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2D72" w:rsidRDefault="00E74A81" w:rsidP="00C72469">
      <w:pPr>
        <w:pStyle w:val="FCGBBodyText"/>
      </w:pPr>
      <w:r>
        <w:rPr>
          <w:noProof/>
          <w:lang w:eastAsia="en-GB"/>
        </w:rPr>
        <mc:AlternateContent>
          <mc:Choice Requires="wps">
            <w:drawing>
              <wp:anchor distT="0" distB="0" distL="114300" distR="114300" simplePos="0" relativeHeight="251657216" behindDoc="0" locked="1" layoutInCell="0" allowOverlap="1">
                <wp:simplePos x="0" y="0"/>
                <wp:positionH relativeFrom="page">
                  <wp:posOffset>1005840</wp:posOffset>
                </wp:positionH>
                <wp:positionV relativeFrom="page">
                  <wp:posOffset>3017520</wp:posOffset>
                </wp:positionV>
                <wp:extent cx="5474335" cy="65265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652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D40" w:rsidRDefault="00840D40" w:rsidP="00323316">
                            <w:pPr>
                              <w:pStyle w:val="CoverTitle3"/>
                              <w:jc w:val="center"/>
                              <w:rPr>
                                <w:b/>
                                <w:color w:val="006600"/>
                                <w:sz w:val="56"/>
                                <w:szCs w:val="56"/>
                              </w:rPr>
                            </w:pPr>
                            <w:r>
                              <w:rPr>
                                <w:b/>
                                <w:color w:val="006600"/>
                                <w:sz w:val="56"/>
                                <w:szCs w:val="56"/>
                              </w:rPr>
                              <w:t xml:space="preserve">Invitation to Tender </w:t>
                            </w:r>
                          </w:p>
                          <w:p w:rsidR="00840D40" w:rsidRDefault="00840D40" w:rsidP="00323316">
                            <w:pPr>
                              <w:pStyle w:val="CoverTitle3"/>
                              <w:jc w:val="center"/>
                              <w:rPr>
                                <w:color w:val="008080"/>
                                <w:sz w:val="56"/>
                              </w:rPr>
                            </w:pPr>
                            <w:r>
                              <w:rPr>
                                <w:b/>
                                <w:color w:val="006600"/>
                                <w:sz w:val="56"/>
                                <w:szCs w:val="56"/>
                              </w:rPr>
                              <w:t>for</w:t>
                            </w:r>
                          </w:p>
                          <w:p w:rsidR="00840D40" w:rsidRDefault="00840D40" w:rsidP="00323316">
                            <w:pPr>
                              <w:pStyle w:val="CoverTitle3"/>
                              <w:jc w:val="center"/>
                              <w:rPr>
                                <w:color w:val="008080"/>
                                <w:sz w:val="56"/>
                              </w:rPr>
                            </w:pPr>
                          </w:p>
                          <w:p w:rsidR="00840D40" w:rsidRPr="007E5F14" w:rsidRDefault="00840D40" w:rsidP="00627B01">
                            <w:pPr>
                              <w:pStyle w:val="Caption"/>
                              <w:jc w:val="center"/>
                              <w:rPr>
                                <w:sz w:val="48"/>
                                <w:szCs w:val="48"/>
                              </w:rPr>
                            </w:pPr>
                            <w:r w:rsidRPr="007E5F14">
                              <w:rPr>
                                <w:sz w:val="48"/>
                                <w:szCs w:val="48"/>
                              </w:rPr>
                              <w:t>Arena toilets and backstage toilets and showers for outdoor Forest Live concerts</w:t>
                            </w:r>
                          </w:p>
                          <w:p w:rsidR="00840D40" w:rsidRDefault="00840D40" w:rsidP="00627B01">
                            <w:pPr>
                              <w:pStyle w:val="CoverTitle3"/>
                              <w:spacing w:after="0"/>
                              <w:jc w:val="left"/>
                              <w:rPr>
                                <w:i/>
                                <w:color w:val="FF0000"/>
                                <w:sz w:val="48"/>
                              </w:rPr>
                            </w:pPr>
                          </w:p>
                          <w:p w:rsidR="00840D40" w:rsidRDefault="00840D40" w:rsidP="00323316">
                            <w:pPr>
                              <w:pStyle w:val="CoverTitle3"/>
                              <w:jc w:val="left"/>
                              <w:rPr>
                                <w:color w:val="008080"/>
                                <w:sz w:val="48"/>
                              </w:rPr>
                            </w:pPr>
                          </w:p>
                          <w:p w:rsidR="00840D40" w:rsidRDefault="00840D40" w:rsidP="00323316">
                            <w:pPr>
                              <w:pStyle w:val="CoverTitle3"/>
                              <w:jc w:val="center"/>
                              <w:rPr>
                                <w:color w:val="365F91"/>
                                <w:sz w:val="48"/>
                              </w:rPr>
                            </w:pPr>
                            <w:r w:rsidRPr="00AE6AC3">
                              <w:rPr>
                                <w:color w:val="006600"/>
                                <w:sz w:val="48"/>
                              </w:rPr>
                              <w:t>Contract No</w:t>
                            </w:r>
                            <w:r>
                              <w:rPr>
                                <w:color w:val="006600"/>
                                <w:sz w:val="48"/>
                              </w:rPr>
                              <w:t>:</w:t>
                            </w:r>
                            <w:r w:rsidRPr="00CB2652">
                              <w:rPr>
                                <w:color w:val="006600"/>
                                <w:sz w:val="48"/>
                              </w:rPr>
                              <w:t xml:space="preserve"> </w:t>
                            </w:r>
                            <w:r>
                              <w:rPr>
                                <w:color w:val="006600"/>
                                <w:sz w:val="48"/>
                              </w:rPr>
                              <w:t>MUSIC 103/16/01</w:t>
                            </w:r>
                          </w:p>
                          <w:p w:rsidR="00840D40" w:rsidRDefault="00840D40" w:rsidP="00323316">
                            <w:pPr>
                              <w:pStyle w:val="CoverTitle3"/>
                              <w:jc w:val="center"/>
                              <w:rPr>
                                <w:color w:val="365F91"/>
                                <w:sz w:val="48"/>
                              </w:rPr>
                            </w:pPr>
                          </w:p>
                          <w:p w:rsidR="00840D40" w:rsidRPr="00ED2B0F" w:rsidRDefault="00840D40" w:rsidP="00323316">
                            <w:pPr>
                              <w:pStyle w:val="CoverTitle3"/>
                              <w:jc w:val="center"/>
                              <w:rPr>
                                <w:color w:val="365F91"/>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2pt;margin-top:237.6pt;width:431.05pt;height:51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r3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OMBO2gRY9sb9Cd3KPIVmfodQpODz24mT0cQ5cdU93fy/K7RkIuGyo27FYpOTSMVpBdaG/6F1dH&#10;HG1B1sMnWUEYujXSAe1r1dnSQTEQoEOXnk6dsamUcBiTGZlMYoxKsE3jaBpPXO98mh6v90qbD0x2&#10;yC4yrKD1Dp7u7rWx6dD06GKjCVnwtnXtb8WLA3AcTyA4XLU2m4br5nMSJKv5ak48Ek1XHgny3Lst&#10;lsSbFuEszif5cpmHv2zckKQNryombJijskLyZ507aHzUxElbWra8snA2Ja0262Wr0I6Csgv3uaKD&#10;5ezmv0zDFQG4vKIURiS4ixKvmM5nHilI7CWzYO4FYXKXTAOSkLx4SemeC/bvlNCQ4SSO4lFN56Rf&#10;cQvc95YbTTtuYHa0vMvw/OREU6vBlahcaw3l7bi+KIVN/1wKaPex0U6xVqSjXM1+vQcUK+O1rJ5A&#10;u0qCskCgMPBg0Uj1E6MBhkeG9Y8tVQyj9qMA/SchIXbauA2JZxFs1KVlfWmhogSoDBuMxuXSjBNq&#10;2yu+aSDS+OKEvIU3U3On5nNWh5cGA8KROgwzO4Eu987rPHIXvwEAAP//AwBQSwMEFAAGAAgAAAAh&#10;AFmO923eAAAADQEAAA8AAABkcnMvZG93bnJldi54bWxMj8FOwzAQRO9I/IO1SNyoTUhKCXGqCsQV&#10;RAtI3Nx4m0SN11HsNuHv2ZzgOJqn2bfFenKdOOMQWk8abhcKBFLlbUu1ho/dy80KRIiGrOk8oYYf&#10;DLAuLy8Kk1s/0juet7EWPEIhNxqaGPtcylA16ExY+B6Ju4MfnIkch1rawYw87jqZKLWUzrTEFxrT&#10;41OD1XF7cho+Xw/fX6l6q59d1o9+UpLcg9T6+mraPIKIOMU/GGZ9VoeSnfb+RDaIjnO2ShnVkN5n&#10;CYiZUInKQOznTt0pkGUh/39R/gIAAP//AwBQSwECLQAUAAYACAAAACEAtoM4kv4AAADhAQAAEwAA&#10;AAAAAAAAAAAAAAAAAAAAW0NvbnRlbnRfVHlwZXNdLnhtbFBLAQItABQABgAIAAAAIQA4/SH/1gAA&#10;AJQBAAALAAAAAAAAAAAAAAAAAC8BAABfcmVscy8ucmVsc1BLAQItABQABgAIAAAAIQAACfr3uAIA&#10;ALoFAAAOAAAAAAAAAAAAAAAAAC4CAABkcnMvZTJvRG9jLnhtbFBLAQItABQABgAIAAAAIQBZjvdt&#10;3gAAAA0BAAAPAAAAAAAAAAAAAAAAABIFAABkcnMvZG93bnJldi54bWxQSwUGAAAAAAQABADzAAAA&#10;HQYAAAAA&#10;" o:allowincell="f" filled="f" stroked="f">
                <v:textbox>
                  <w:txbxContent>
                    <w:p w:rsidR="00840D40" w:rsidRDefault="00840D40" w:rsidP="00323316">
                      <w:pPr>
                        <w:pStyle w:val="CoverTitle3"/>
                        <w:jc w:val="center"/>
                        <w:rPr>
                          <w:b/>
                          <w:color w:val="006600"/>
                          <w:sz w:val="56"/>
                          <w:szCs w:val="56"/>
                        </w:rPr>
                      </w:pPr>
                      <w:r>
                        <w:rPr>
                          <w:b/>
                          <w:color w:val="006600"/>
                          <w:sz w:val="56"/>
                          <w:szCs w:val="56"/>
                        </w:rPr>
                        <w:t xml:space="preserve">Invitation to Tender </w:t>
                      </w:r>
                    </w:p>
                    <w:p w:rsidR="00840D40" w:rsidRDefault="00840D40" w:rsidP="00323316">
                      <w:pPr>
                        <w:pStyle w:val="CoverTitle3"/>
                        <w:jc w:val="center"/>
                        <w:rPr>
                          <w:color w:val="008080"/>
                          <w:sz w:val="56"/>
                        </w:rPr>
                      </w:pPr>
                      <w:r>
                        <w:rPr>
                          <w:b/>
                          <w:color w:val="006600"/>
                          <w:sz w:val="56"/>
                          <w:szCs w:val="56"/>
                        </w:rPr>
                        <w:t>for</w:t>
                      </w:r>
                    </w:p>
                    <w:p w:rsidR="00840D40" w:rsidRDefault="00840D40" w:rsidP="00323316">
                      <w:pPr>
                        <w:pStyle w:val="CoverTitle3"/>
                        <w:jc w:val="center"/>
                        <w:rPr>
                          <w:color w:val="008080"/>
                          <w:sz w:val="56"/>
                        </w:rPr>
                      </w:pPr>
                    </w:p>
                    <w:p w:rsidR="00840D40" w:rsidRPr="007E5F14" w:rsidRDefault="00840D40" w:rsidP="00627B01">
                      <w:pPr>
                        <w:pStyle w:val="Caption"/>
                        <w:jc w:val="center"/>
                        <w:rPr>
                          <w:sz w:val="48"/>
                          <w:szCs w:val="48"/>
                        </w:rPr>
                      </w:pPr>
                      <w:r w:rsidRPr="007E5F14">
                        <w:rPr>
                          <w:sz w:val="48"/>
                          <w:szCs w:val="48"/>
                        </w:rPr>
                        <w:t>Arena toilets and backstage toilets and showers for outdoor Forest Live concerts</w:t>
                      </w:r>
                    </w:p>
                    <w:p w:rsidR="00840D40" w:rsidRDefault="00840D40" w:rsidP="00627B01">
                      <w:pPr>
                        <w:pStyle w:val="CoverTitle3"/>
                        <w:spacing w:after="0"/>
                        <w:jc w:val="left"/>
                        <w:rPr>
                          <w:i/>
                          <w:color w:val="FF0000"/>
                          <w:sz w:val="48"/>
                        </w:rPr>
                      </w:pPr>
                    </w:p>
                    <w:p w:rsidR="00840D40" w:rsidRDefault="00840D40" w:rsidP="00323316">
                      <w:pPr>
                        <w:pStyle w:val="CoverTitle3"/>
                        <w:jc w:val="left"/>
                        <w:rPr>
                          <w:color w:val="008080"/>
                          <w:sz w:val="48"/>
                        </w:rPr>
                      </w:pPr>
                    </w:p>
                    <w:p w:rsidR="00840D40" w:rsidRDefault="00840D40" w:rsidP="00323316">
                      <w:pPr>
                        <w:pStyle w:val="CoverTitle3"/>
                        <w:jc w:val="center"/>
                        <w:rPr>
                          <w:color w:val="365F91"/>
                          <w:sz w:val="48"/>
                        </w:rPr>
                      </w:pPr>
                      <w:r w:rsidRPr="00AE6AC3">
                        <w:rPr>
                          <w:color w:val="006600"/>
                          <w:sz w:val="48"/>
                        </w:rPr>
                        <w:t>Contract No</w:t>
                      </w:r>
                      <w:r>
                        <w:rPr>
                          <w:color w:val="006600"/>
                          <w:sz w:val="48"/>
                        </w:rPr>
                        <w:t>:</w:t>
                      </w:r>
                      <w:r w:rsidRPr="00CB2652">
                        <w:rPr>
                          <w:color w:val="006600"/>
                          <w:sz w:val="48"/>
                        </w:rPr>
                        <w:t xml:space="preserve"> </w:t>
                      </w:r>
                      <w:r>
                        <w:rPr>
                          <w:color w:val="006600"/>
                          <w:sz w:val="48"/>
                        </w:rPr>
                        <w:t>MUSIC 103/16/01</w:t>
                      </w:r>
                    </w:p>
                    <w:p w:rsidR="00840D40" w:rsidRDefault="00840D40" w:rsidP="00323316">
                      <w:pPr>
                        <w:pStyle w:val="CoverTitle3"/>
                        <w:jc w:val="center"/>
                        <w:rPr>
                          <w:color w:val="365F91"/>
                          <w:sz w:val="48"/>
                        </w:rPr>
                      </w:pPr>
                    </w:p>
                    <w:p w:rsidR="00840D40" w:rsidRPr="00ED2B0F" w:rsidRDefault="00840D40" w:rsidP="00323316">
                      <w:pPr>
                        <w:pStyle w:val="CoverTitle3"/>
                        <w:jc w:val="center"/>
                        <w:rPr>
                          <w:color w:val="365F91"/>
                          <w:sz w:val="48"/>
                        </w:rPr>
                      </w:pPr>
                    </w:p>
                  </w:txbxContent>
                </v:textbox>
                <w10:wrap anchorx="page" anchory="page"/>
                <w10:anchorlock/>
              </v:shape>
            </w:pict>
          </mc:Fallback>
        </mc:AlternateContent>
      </w:r>
    </w:p>
    <w:p w:rsidR="00323316" w:rsidRDefault="00323316" w:rsidP="00C72469">
      <w:pPr>
        <w:pStyle w:val="FCGBBodyText"/>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Pr="009E5141" w:rsidRDefault="00323316" w:rsidP="00323316">
      <w:pPr>
        <w:pStyle w:val="Heading1"/>
      </w:pPr>
      <w:r w:rsidRPr="009E5141">
        <w:lastRenderedPageBreak/>
        <w:t>Introduction</w:t>
      </w:r>
    </w:p>
    <w:p w:rsidR="00323316" w:rsidRDefault="00323316" w:rsidP="00323316">
      <w:r w:rsidRPr="009E5141">
        <w:rPr>
          <w:rStyle w:val="Strong"/>
          <w:b w:val="0"/>
          <w:color w:val="000000"/>
        </w:rPr>
        <w:t>The Forestry Commission’s (FC)</w:t>
      </w:r>
      <w:r w:rsidRPr="009E5141">
        <w:rPr>
          <w:rStyle w:val="Strong"/>
        </w:rPr>
        <w:t xml:space="preserve"> </w:t>
      </w:r>
      <w:r w:rsidRPr="009E5141">
        <w:t>mission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8" w:history="1">
        <w:r w:rsidRPr="009E5141">
          <w:rPr>
            <w:rStyle w:val="Hyperlink"/>
          </w:rPr>
          <w:t>www.forestry.gov.uk</w:t>
        </w:r>
      </w:hyperlink>
    </w:p>
    <w:p w:rsidR="00323316" w:rsidRPr="009E5141" w:rsidRDefault="00323316" w:rsidP="00323316"/>
    <w:p w:rsidR="00323316" w:rsidRPr="00BA28AF" w:rsidRDefault="00736E3A" w:rsidP="00323316">
      <w:pPr>
        <w:pStyle w:val="Heading1"/>
        <w:keepNext w:val="0"/>
        <w:spacing w:before="120" w:line="240" w:lineRule="atLeast"/>
        <w:ind w:right="567"/>
        <w:rPr>
          <w:color w:val="365F91"/>
        </w:rPr>
      </w:pPr>
      <w:r>
        <w:t>Specification of Requirements</w:t>
      </w:r>
    </w:p>
    <w:p w:rsidR="00627B01" w:rsidRPr="00614E40" w:rsidRDefault="00627B01" w:rsidP="00627B01">
      <w:pPr>
        <w:rPr>
          <w:i/>
        </w:rPr>
      </w:pPr>
      <w:r w:rsidRPr="00614E40">
        <w:t>We will be awarding a contract for provision of toilets for our Forest Live concer</w:t>
      </w:r>
      <w:r>
        <w:t>t programme taking place over 21</w:t>
      </w:r>
      <w:r w:rsidRPr="00614E40">
        <w:t xml:space="preserve"> nights at seven forest venues through England. The service required includes arena toilets, backstage </w:t>
      </w:r>
      <w:r>
        <w:t xml:space="preserve">VIP </w:t>
      </w:r>
      <w:r w:rsidRPr="00614E40">
        <w:t xml:space="preserve">toilets and showers, cleaning and emptying. </w:t>
      </w:r>
    </w:p>
    <w:p w:rsidR="00627B01" w:rsidRPr="00A5495E" w:rsidRDefault="00627B01" w:rsidP="00627B01">
      <w:pPr>
        <w:rPr>
          <w:color w:val="000000" w:themeColor="text1"/>
        </w:rPr>
      </w:pPr>
      <w:r w:rsidRPr="00207212">
        <w:t xml:space="preserve">Our intention is to award this </w:t>
      </w:r>
      <w:r>
        <w:t xml:space="preserve">contract for an initial period of 3 years. </w:t>
      </w:r>
      <w:r w:rsidRPr="00A5495E">
        <w:rPr>
          <w:color w:val="000000" w:themeColor="text1"/>
        </w:rPr>
        <w:t xml:space="preserve">There will be an option to extend the </w:t>
      </w:r>
      <w:r>
        <w:rPr>
          <w:color w:val="000000" w:themeColor="text1"/>
        </w:rPr>
        <w:t>contract</w:t>
      </w:r>
      <w:r w:rsidRPr="00A5495E">
        <w:rPr>
          <w:color w:val="000000" w:themeColor="text1"/>
        </w:rPr>
        <w:t xml:space="preserve"> by up to a further </w:t>
      </w:r>
      <w:r>
        <w:rPr>
          <w:color w:val="000000" w:themeColor="text1"/>
        </w:rPr>
        <w:t>two one-year periods making a total of 5 years if all extensions are used.</w:t>
      </w:r>
    </w:p>
    <w:p w:rsidR="00627B01" w:rsidRPr="0078291E" w:rsidRDefault="00627B01" w:rsidP="00627B01">
      <w:r w:rsidRPr="0078291E">
        <w:t>The decision on whether to use any or all of the extension option available will be at our discretion and we will base it on the following factors: performance, budget, continued requirement for the service.</w:t>
      </w:r>
    </w:p>
    <w:p w:rsidR="00CB2652" w:rsidRDefault="00627B01" w:rsidP="00627B01">
      <w:r w:rsidRPr="00614E40">
        <w:t>The seven venues are separate lots, tenderers can bid for all lots or as many lots as they wish.</w:t>
      </w:r>
      <w:r w:rsidR="00414458">
        <w:t xml:space="preserve"> </w:t>
      </w:r>
    </w:p>
    <w:p w:rsidR="00627B01" w:rsidRDefault="00414458" w:rsidP="00627B01">
      <w:r>
        <w:t>We</w:t>
      </w:r>
      <w:r w:rsidR="00D42055">
        <w:t xml:space="preserve"> welcome bids from contractors working together in consortiums or from suppliers sub-hiring VIP facilities in order to meet our specification.</w:t>
      </w:r>
    </w:p>
    <w:p w:rsidR="00CB2652" w:rsidRPr="00614E40" w:rsidRDefault="00CB2652" w:rsidP="00627B01"/>
    <w:p w:rsidR="00627B01" w:rsidRDefault="00627B01" w:rsidP="00627B01">
      <w:r w:rsidRPr="00614E40">
        <w:t>The total value of all lots of this contract over the entire period, including any extension optio</w:t>
      </w:r>
      <w:r>
        <w:t>ns, will be in the region of £335</w:t>
      </w:r>
      <w:r w:rsidRPr="00614E40">
        <w:t>,000.</w:t>
      </w:r>
    </w:p>
    <w:p w:rsidR="00700496" w:rsidRDefault="00700496" w:rsidP="00627B01"/>
    <w:p w:rsidR="00CB2652" w:rsidRDefault="00700496" w:rsidP="00627B01">
      <w:r>
        <w:t>Any increases to the value of the contract will be in line with CPI as of 1 January in each year of the contract.</w:t>
      </w:r>
    </w:p>
    <w:p w:rsidR="00627B01" w:rsidRDefault="00CB2652" w:rsidP="00CB2652">
      <w:pPr>
        <w:spacing w:line="240" w:lineRule="auto"/>
      </w:pPr>
      <w:r>
        <w:br w:type="page"/>
      </w:r>
    </w:p>
    <w:p w:rsidR="00627B01" w:rsidRPr="009E5141" w:rsidRDefault="00627B01" w:rsidP="00627B01">
      <w:pPr>
        <w:pStyle w:val="Heading2"/>
      </w:pPr>
      <w:r>
        <w:lastRenderedPageBreak/>
        <w:t>Background</w:t>
      </w:r>
    </w:p>
    <w:p w:rsidR="00323316" w:rsidRPr="009E5141" w:rsidRDefault="00323316" w:rsidP="00323316"/>
    <w:p w:rsidR="00627B01" w:rsidRPr="0078291E" w:rsidRDefault="00627B01" w:rsidP="00627B01">
      <w:r w:rsidRPr="0078291E">
        <w:t xml:space="preserve">The Forestry Commission began </w:t>
      </w:r>
      <w:r>
        <w:t xml:space="preserve">holding </w:t>
      </w:r>
      <w:r w:rsidRPr="0078291E">
        <w:t>outdoor music events in 1998. Since then the programme has expanded and covers seven venues in spectacular forest locations throughout England. The Forestry Commission is now a significant promoter of summer outdoor music events.</w:t>
      </w:r>
    </w:p>
    <w:p w:rsidR="00627B01" w:rsidRPr="0078291E" w:rsidRDefault="00627B01" w:rsidP="00627B01">
      <w:r w:rsidRPr="0078291E">
        <w:t>Artists are generally from the rock, pop and indie genres although classical evenings have also taken place at some venues. Artists have included Alfie Boe, The Beach Boys, Boyzone, Blondie, Ian Brown, James Blunt, Beautiful South, Crowded House, The Charlatans, Elvis Costello, The Courteeners, Tony Christie, Jamie Cullum, The Darkness, Deacon Blue, Doves, Erasure, Elbow, Embrace, Fun Lovin Criminals, Paloma Faith, Bryan Ferry, Rebecca Ferguson, David Gray, Jools Holland, The Human League, James, JLS, Jessie J, Katherine Jenkins, Keane, KT Tunstall, Little Mix, Levellers, Level 42, Motorhead, Massive Attack, Madness, James Morrison, McFly, Olly Murs, Van Morrison, Katie Melua, Simple Minds, Pulp, Plan B, Pet Shop Boys,The Pogues, Courtney Pine, Razorlight, Ed Sheeran, The Saturdays, Simply Red, Suede, Sugababes, Scouting for Girls, The Script, Status Quo, Travis, Texas, UB40, Paul Weller, The Wombats, Westlife, The Wanted, Will Young, The Zutons</w:t>
      </w:r>
    </w:p>
    <w:p w:rsidR="00627B01" w:rsidRDefault="00627B01" w:rsidP="00627B01"/>
    <w:p w:rsidR="00627B01" w:rsidRPr="0078291E" w:rsidRDefault="00627B01" w:rsidP="00627B01">
      <w:r w:rsidRPr="0078291E">
        <w:t>Forest Live events introduce a new audience to our forests and make forests relevant to people in different ways. In addition the programme raises revenue which is ploughed back into the forests in a variety of environmental and social projects.</w:t>
      </w:r>
    </w:p>
    <w:p w:rsidR="00627B01" w:rsidRDefault="00627B01" w:rsidP="00627B01"/>
    <w:p w:rsidR="00627B01" w:rsidRPr="0078291E" w:rsidRDefault="00627B01" w:rsidP="00627B01">
      <w:r w:rsidRPr="0078291E">
        <w:t xml:space="preserve">For further information please visit </w:t>
      </w:r>
      <w:hyperlink r:id="rId9" w:history="1">
        <w:r w:rsidRPr="0078291E">
          <w:rPr>
            <w:rStyle w:val="Hyperlink"/>
          </w:rPr>
          <w:t>www.forestry.gov.uk/music</w:t>
        </w:r>
      </w:hyperlink>
      <w:r w:rsidRPr="0078291E">
        <w:t xml:space="preserve"> </w:t>
      </w:r>
    </w:p>
    <w:p w:rsidR="00627B01" w:rsidRDefault="00627B01" w:rsidP="00627B01"/>
    <w:p w:rsidR="00627B01" w:rsidRPr="0078291E" w:rsidRDefault="00627B01" w:rsidP="00627B01">
      <w:r w:rsidRPr="0078291E">
        <w:t xml:space="preserve">All our concerts are held in rural outdoor locations, in clearings in the forest. All infrastructure and power is temporarily brought in to the venues for the events. </w:t>
      </w:r>
    </w:p>
    <w:p w:rsidR="00627B01" w:rsidRDefault="00627B01" w:rsidP="00627B01"/>
    <w:p w:rsidR="00627B01" w:rsidRPr="0078291E" w:rsidRDefault="00627B01" w:rsidP="00627B01">
      <w:r w:rsidRPr="0078291E">
        <w:t xml:space="preserve">Catering units and a bar are provided for customers to purchase refreshments. At present customers are allowed to bring in their own food and drinks including alcohol if they wish. Cans, glass, umbrellas and some other items are prohibited. Bag checks are made on entry for these items. </w:t>
      </w:r>
    </w:p>
    <w:p w:rsidR="00627B01" w:rsidRDefault="00627B01" w:rsidP="00627B01"/>
    <w:p w:rsidR="00627B01" w:rsidRDefault="00627B01" w:rsidP="00627B01">
      <w:r w:rsidRPr="0078291E">
        <w:t xml:space="preserve">Due to the rural nature of the events customers predominantly arrive by car and parking is located in clearings or on fields adjacent to the arenas. </w:t>
      </w:r>
    </w:p>
    <w:p w:rsidR="00627B01" w:rsidRDefault="00627B01" w:rsidP="00627B01">
      <w:pPr>
        <w:spacing w:line="240" w:lineRule="auto"/>
        <w:rPr>
          <w:rFonts w:cs="Arial"/>
          <w:snapToGrid w:val="0"/>
          <w:color w:val="003300"/>
          <w:sz w:val="32"/>
          <w:szCs w:val="32"/>
          <w:lang w:val="en-US"/>
        </w:rPr>
      </w:pPr>
      <w:r>
        <w:br w:type="page"/>
      </w:r>
    </w:p>
    <w:p w:rsidR="00627B01" w:rsidRPr="00627B01" w:rsidRDefault="00F774F9" w:rsidP="00627B01">
      <w:pPr>
        <w:pStyle w:val="Heading2"/>
        <w:rPr>
          <w:sz w:val="32"/>
          <w:szCs w:val="32"/>
        </w:rPr>
      </w:pPr>
      <w:r>
        <w:rPr>
          <w:sz w:val="32"/>
          <w:szCs w:val="32"/>
        </w:rPr>
        <w:lastRenderedPageBreak/>
        <w:t>Dates for 2016</w:t>
      </w:r>
    </w:p>
    <w:p w:rsidR="00627B01" w:rsidRDefault="00627B01" w:rsidP="00627B01">
      <w:r w:rsidRPr="0078291E">
        <w:t>During 201</w:t>
      </w:r>
      <w:r w:rsidR="00E74A81">
        <w:t>6</w:t>
      </w:r>
      <w:r w:rsidRPr="0078291E">
        <w:t xml:space="preserve"> we anticipate running</w:t>
      </w:r>
      <w:r>
        <w:t xml:space="preserve"> a programme of 21 events over four</w:t>
      </w:r>
      <w:r w:rsidRPr="0078291E">
        <w:t xml:space="preserve"> weekends through June / July with an audience capacity of approximately 125,000 across 7 concert venues. Some sites operate two nights, some thr</w:t>
      </w:r>
      <w:r>
        <w:t>ee nights and some four nights. Two venues operate over each weekend</w:t>
      </w:r>
      <w:r w:rsidR="00F774F9">
        <w:t xml:space="preserve"> on three of the weekends</w:t>
      </w:r>
      <w:r>
        <w:t xml:space="preserve">. </w:t>
      </w:r>
      <w:r w:rsidRPr="0078291E">
        <w:t xml:space="preserve">Shows can take place </w:t>
      </w:r>
      <w:r>
        <w:t xml:space="preserve">between Thursdays and Sundays. </w:t>
      </w:r>
    </w:p>
    <w:p w:rsidR="00627B01" w:rsidRDefault="00627B01" w:rsidP="00627B01">
      <w:pPr>
        <w:rPr>
          <w:lang w:val="en-US"/>
        </w:rPr>
      </w:pPr>
    </w:p>
    <w:p w:rsidR="00F774F9" w:rsidRPr="00C1027B" w:rsidRDefault="00F774F9" w:rsidP="00F774F9">
      <w:pPr>
        <w:rPr>
          <w:lang w:val="en-US"/>
        </w:rPr>
      </w:pPr>
      <w:r w:rsidRPr="00C1027B">
        <w:rPr>
          <w:lang w:val="en-US"/>
        </w:rPr>
        <w:t>Westonbirt</w:t>
      </w:r>
      <w:r>
        <w:rPr>
          <w:lang w:val="en-US"/>
        </w:rPr>
        <w:t xml:space="preserve"> Arboretum, Glos</w:t>
      </w:r>
      <w:r w:rsidRPr="00C1027B">
        <w:rPr>
          <w:lang w:val="en-US"/>
        </w:rPr>
        <w:tab/>
      </w:r>
      <w:r>
        <w:rPr>
          <w:lang w:val="en-US"/>
        </w:rPr>
        <w:t>Thurs 16 June, Fri 17</w:t>
      </w:r>
      <w:r w:rsidRPr="00C1027B">
        <w:rPr>
          <w:lang w:val="en-US"/>
        </w:rPr>
        <w:t xml:space="preserve"> June</w:t>
      </w:r>
      <w:r>
        <w:rPr>
          <w:lang w:val="en-US"/>
        </w:rPr>
        <w:t>, Sat 18</w:t>
      </w:r>
      <w:r w:rsidRPr="00C1027B">
        <w:rPr>
          <w:lang w:val="en-US"/>
        </w:rPr>
        <w:t xml:space="preserve"> June</w:t>
      </w:r>
      <w:r>
        <w:rPr>
          <w:lang w:val="en-US"/>
        </w:rPr>
        <w:t>, Sun 19</w:t>
      </w:r>
      <w:r w:rsidRPr="00C1027B">
        <w:rPr>
          <w:lang w:val="en-US"/>
        </w:rPr>
        <w:t xml:space="preserve"> June</w:t>
      </w:r>
    </w:p>
    <w:p w:rsidR="00F774F9" w:rsidRPr="00C1027B" w:rsidRDefault="00F774F9" w:rsidP="00F774F9">
      <w:pPr>
        <w:rPr>
          <w:lang w:val="en-US"/>
        </w:rPr>
      </w:pPr>
      <w:r w:rsidRPr="00C1027B">
        <w:rPr>
          <w:lang w:val="en-US"/>
        </w:rPr>
        <w:t>Bedgebury</w:t>
      </w:r>
      <w:r>
        <w:rPr>
          <w:lang w:val="en-US"/>
        </w:rPr>
        <w:t xml:space="preserve"> Pinetum, Kent </w:t>
      </w:r>
      <w:r>
        <w:rPr>
          <w:lang w:val="en-US"/>
        </w:rPr>
        <w:tab/>
        <w:t>Fri 17</w:t>
      </w:r>
      <w:r w:rsidRPr="00C1027B">
        <w:rPr>
          <w:lang w:val="en-US"/>
        </w:rPr>
        <w:t xml:space="preserve"> June</w:t>
      </w:r>
      <w:r>
        <w:rPr>
          <w:lang w:val="en-US"/>
        </w:rPr>
        <w:t>, Sat 18</w:t>
      </w:r>
      <w:r w:rsidRPr="00C1027B">
        <w:rPr>
          <w:lang w:val="en-US"/>
        </w:rPr>
        <w:t xml:space="preserve"> June</w:t>
      </w:r>
    </w:p>
    <w:p w:rsidR="005C5D33" w:rsidRDefault="00F774F9" w:rsidP="00F774F9">
      <w:pPr>
        <w:rPr>
          <w:lang w:val="en-US"/>
        </w:rPr>
      </w:pPr>
      <w:r w:rsidRPr="00C1027B">
        <w:rPr>
          <w:lang w:val="en-US"/>
        </w:rPr>
        <w:t>Dalby</w:t>
      </w:r>
      <w:r>
        <w:rPr>
          <w:lang w:val="en-US"/>
        </w:rPr>
        <w:t xml:space="preserve"> Forest, N.Yorks </w:t>
      </w:r>
      <w:r w:rsidRPr="00C1027B">
        <w:rPr>
          <w:lang w:val="en-US"/>
        </w:rPr>
        <w:tab/>
      </w:r>
      <w:r>
        <w:rPr>
          <w:lang w:val="en-US"/>
        </w:rPr>
        <w:tab/>
      </w:r>
      <w:r w:rsidR="005C5D33">
        <w:rPr>
          <w:lang w:val="en-US"/>
        </w:rPr>
        <w:t>Fri 24</w:t>
      </w:r>
      <w:r w:rsidR="005C5D33" w:rsidRPr="00C1027B">
        <w:rPr>
          <w:lang w:val="en-US"/>
        </w:rPr>
        <w:t xml:space="preserve"> Jun</w:t>
      </w:r>
      <w:r w:rsidR="005C5D33">
        <w:rPr>
          <w:lang w:val="en-US"/>
        </w:rPr>
        <w:t>, Sat 25</w:t>
      </w:r>
      <w:r w:rsidR="005C5D33" w:rsidRPr="00C1027B">
        <w:rPr>
          <w:lang w:val="en-US"/>
        </w:rPr>
        <w:t xml:space="preserve"> June</w:t>
      </w:r>
      <w:r w:rsidR="005C5D33">
        <w:rPr>
          <w:lang w:val="en-US"/>
        </w:rPr>
        <w:t>, Sun 26</w:t>
      </w:r>
      <w:r w:rsidR="005C5D33" w:rsidRPr="00C1027B">
        <w:rPr>
          <w:lang w:val="en-US"/>
        </w:rPr>
        <w:t xml:space="preserve"> June </w:t>
      </w:r>
    </w:p>
    <w:p w:rsidR="00F774F9" w:rsidRPr="00C1027B" w:rsidRDefault="00F774F9" w:rsidP="00F774F9">
      <w:pPr>
        <w:rPr>
          <w:lang w:val="en-US"/>
        </w:rPr>
      </w:pPr>
      <w:r w:rsidRPr="00C1027B">
        <w:rPr>
          <w:lang w:val="en-US"/>
        </w:rPr>
        <w:t>Sherwood</w:t>
      </w:r>
      <w:r w:rsidR="00644DFB">
        <w:rPr>
          <w:lang w:val="en-US"/>
        </w:rPr>
        <w:t xml:space="preserve"> Pines, Notts</w:t>
      </w:r>
      <w:r w:rsidR="00644DFB">
        <w:rPr>
          <w:lang w:val="en-US"/>
        </w:rPr>
        <w:tab/>
      </w:r>
      <w:r w:rsidR="00644DFB">
        <w:rPr>
          <w:lang w:val="en-US"/>
        </w:rPr>
        <w:tab/>
        <w:t>Fri 24</w:t>
      </w:r>
      <w:r w:rsidRPr="00C1027B">
        <w:rPr>
          <w:lang w:val="en-US"/>
        </w:rPr>
        <w:t xml:space="preserve"> June</w:t>
      </w:r>
      <w:r w:rsidR="00644DFB">
        <w:rPr>
          <w:lang w:val="en-US"/>
        </w:rPr>
        <w:t>, Sat 25</w:t>
      </w:r>
      <w:r w:rsidRPr="00C1027B">
        <w:rPr>
          <w:lang w:val="en-US"/>
        </w:rPr>
        <w:t xml:space="preserve"> June</w:t>
      </w:r>
    </w:p>
    <w:p w:rsidR="00F774F9" w:rsidRPr="00C1027B" w:rsidRDefault="00F774F9" w:rsidP="00F774F9">
      <w:pPr>
        <w:rPr>
          <w:lang w:val="en-US"/>
        </w:rPr>
      </w:pPr>
      <w:r w:rsidRPr="00C1027B">
        <w:rPr>
          <w:lang w:val="en-US"/>
        </w:rPr>
        <w:t>Thetford</w:t>
      </w:r>
      <w:r>
        <w:rPr>
          <w:lang w:val="en-US"/>
        </w:rPr>
        <w:t xml:space="preserve"> Forest, Suffolk</w:t>
      </w:r>
      <w:r>
        <w:rPr>
          <w:lang w:val="en-US"/>
        </w:rPr>
        <w:tab/>
      </w:r>
      <w:r w:rsidRPr="00C1027B">
        <w:rPr>
          <w:lang w:val="en-US"/>
        </w:rPr>
        <w:tab/>
        <w:t>Thurs 2</w:t>
      </w:r>
      <w:r>
        <w:rPr>
          <w:lang w:val="en-US"/>
        </w:rPr>
        <w:t>9 June, Fri 1 July,  Sat 2</w:t>
      </w:r>
      <w:r w:rsidRPr="00C1027B">
        <w:rPr>
          <w:lang w:val="en-US"/>
        </w:rPr>
        <w:t xml:space="preserve"> July</w:t>
      </w:r>
      <w:r>
        <w:rPr>
          <w:lang w:val="en-US"/>
        </w:rPr>
        <w:t>, Sun 3</w:t>
      </w:r>
      <w:r w:rsidRPr="00C1027B">
        <w:rPr>
          <w:lang w:val="en-US"/>
        </w:rPr>
        <w:t xml:space="preserve"> July</w:t>
      </w:r>
    </w:p>
    <w:p w:rsidR="00F774F9" w:rsidRPr="00C1027B" w:rsidRDefault="00F774F9" w:rsidP="00F774F9">
      <w:pPr>
        <w:rPr>
          <w:lang w:val="en-US"/>
        </w:rPr>
      </w:pPr>
      <w:r w:rsidRPr="00C1027B">
        <w:rPr>
          <w:lang w:val="en-US"/>
        </w:rPr>
        <w:t>Delamere</w:t>
      </w:r>
      <w:r>
        <w:rPr>
          <w:lang w:val="en-US"/>
        </w:rPr>
        <w:t xml:space="preserve"> Forest,  Cheshire</w:t>
      </w:r>
      <w:r w:rsidRPr="00C1027B">
        <w:rPr>
          <w:lang w:val="en-US"/>
        </w:rPr>
        <w:tab/>
      </w:r>
      <w:r>
        <w:rPr>
          <w:lang w:val="en-US"/>
        </w:rPr>
        <w:t>Fri 1 July,  Sat 2</w:t>
      </w:r>
      <w:r w:rsidRPr="00C1027B">
        <w:rPr>
          <w:lang w:val="en-US"/>
        </w:rPr>
        <w:t xml:space="preserve"> July</w:t>
      </w:r>
      <w:r>
        <w:rPr>
          <w:lang w:val="en-US"/>
        </w:rPr>
        <w:t>, Sun 3</w:t>
      </w:r>
      <w:r w:rsidRPr="00C1027B">
        <w:rPr>
          <w:lang w:val="en-US"/>
        </w:rPr>
        <w:t xml:space="preserve"> July</w:t>
      </w:r>
    </w:p>
    <w:p w:rsidR="00F774F9" w:rsidRPr="00462332" w:rsidRDefault="00F774F9" w:rsidP="00F774F9">
      <w:r w:rsidRPr="00C1027B">
        <w:rPr>
          <w:lang w:val="en-US"/>
        </w:rPr>
        <w:t>Cannock</w:t>
      </w:r>
      <w:r>
        <w:rPr>
          <w:lang w:val="en-US"/>
        </w:rPr>
        <w:t xml:space="preserve"> Chase, Staffs</w:t>
      </w:r>
      <w:r>
        <w:rPr>
          <w:lang w:val="en-US"/>
        </w:rPr>
        <w:tab/>
      </w:r>
      <w:r>
        <w:rPr>
          <w:lang w:val="en-US"/>
        </w:rPr>
        <w:tab/>
        <w:t>Fri 8</w:t>
      </w:r>
      <w:r w:rsidRPr="00C1027B">
        <w:rPr>
          <w:lang w:val="en-US"/>
        </w:rPr>
        <w:t xml:space="preserve"> July</w:t>
      </w:r>
      <w:r>
        <w:rPr>
          <w:lang w:val="en-US"/>
        </w:rPr>
        <w:t>, Sat 9</w:t>
      </w:r>
      <w:r w:rsidRPr="00C1027B">
        <w:rPr>
          <w:lang w:val="en-US"/>
        </w:rPr>
        <w:t xml:space="preserve"> July</w:t>
      </w:r>
      <w:r>
        <w:rPr>
          <w:lang w:val="en-US"/>
        </w:rPr>
        <w:t>, Sun 10</w:t>
      </w:r>
      <w:r w:rsidRPr="00C1027B">
        <w:rPr>
          <w:lang w:val="en-US"/>
        </w:rPr>
        <w:t xml:space="preserve"> July</w:t>
      </w:r>
    </w:p>
    <w:p w:rsidR="00627B01" w:rsidRDefault="00627B01" w:rsidP="00627B01"/>
    <w:p w:rsidR="00627B01" w:rsidRPr="00627B01" w:rsidRDefault="00627B01" w:rsidP="00627B01">
      <w:pPr>
        <w:pStyle w:val="Heading2"/>
        <w:tabs>
          <w:tab w:val="left" w:pos="1134"/>
        </w:tabs>
        <w:spacing w:line="240" w:lineRule="atLeast"/>
        <w:ind w:right="567"/>
        <w:rPr>
          <w:sz w:val="32"/>
          <w:szCs w:val="32"/>
        </w:rPr>
      </w:pPr>
      <w:r w:rsidRPr="00627B01">
        <w:rPr>
          <w:sz w:val="32"/>
          <w:szCs w:val="32"/>
        </w:rPr>
        <w:t>Arena Specification</w:t>
      </w:r>
    </w:p>
    <w:p w:rsidR="00627B01" w:rsidRPr="00614E40" w:rsidRDefault="00627B01" w:rsidP="00627B01">
      <w:r w:rsidRPr="00614E40">
        <w:rPr>
          <w:b/>
        </w:rPr>
        <w:t xml:space="preserve">Public units </w:t>
      </w:r>
      <w:r w:rsidRPr="00614E40">
        <w:t>(Trailers, single pods and buster urinals– specification lists which type or combinations are required per site) Units or single pods should have: hand sanitizer</w:t>
      </w:r>
      <w:r>
        <w:t xml:space="preserve"> dispenser</w:t>
      </w:r>
      <w:r w:rsidRPr="00614E40">
        <w:t xml:space="preserve">, mirror, clear roof, laminate walls and flooring. </w:t>
      </w:r>
    </w:p>
    <w:p w:rsidR="00627B01" w:rsidRPr="00614E40" w:rsidRDefault="00627B01" w:rsidP="00627B01">
      <w:r w:rsidRPr="00614E40">
        <w:t>Where we have specified a combination of trailers, single pods or urinal units we need to know 6 weeks in advance of the concerts what your schedule and combination is, in addition we need to know any deviation or changes to delivery schedule at least 4 we</w:t>
      </w:r>
      <w:r>
        <w:t>eks in advance of the concerts.</w:t>
      </w:r>
    </w:p>
    <w:p w:rsidR="00627B01" w:rsidRPr="00614E40" w:rsidRDefault="00627B01" w:rsidP="00627B01">
      <w:r w:rsidRPr="00614E40">
        <w:rPr>
          <w:b/>
        </w:rPr>
        <w:t>Disabled units</w:t>
      </w:r>
      <w:r w:rsidRPr="00614E40">
        <w:t xml:space="preserve"> should be low to the ground and have: wash basin </w:t>
      </w:r>
      <w:r>
        <w:t xml:space="preserve">or </w:t>
      </w:r>
      <w:r w:rsidRPr="00614E40">
        <w:t>hand sanitizer</w:t>
      </w:r>
      <w:r>
        <w:t xml:space="preserve"> dispenser</w:t>
      </w:r>
      <w:r w:rsidRPr="00614E40">
        <w:t xml:space="preserve">, access ramp, interior handrails, clear roof, mirror and easy to use lock lever. </w:t>
      </w:r>
    </w:p>
    <w:p w:rsidR="00627B01" w:rsidRPr="00614E40" w:rsidRDefault="00627B01" w:rsidP="00627B01">
      <w:r w:rsidRPr="00614E40">
        <w:t xml:space="preserve">Where </w:t>
      </w:r>
      <w:r w:rsidRPr="00614E40">
        <w:rPr>
          <w:b/>
        </w:rPr>
        <w:t xml:space="preserve">buster urinals </w:t>
      </w:r>
      <w:r w:rsidRPr="00614E40">
        <w:t>are specified these should provide 2.4</w:t>
      </w:r>
      <w:r>
        <w:t>m</w:t>
      </w:r>
      <w:r w:rsidRPr="00614E40">
        <w:t xml:space="preserve"> of urinal channel and are </w:t>
      </w:r>
      <w:r w:rsidRPr="00614E40">
        <w:rPr>
          <w:b/>
        </w:rPr>
        <w:t>in addition</w:t>
      </w:r>
      <w:r w:rsidRPr="00614E40">
        <w:t xml:space="preserve"> to trailer or single pod urinal provision listed and should not be used as a substitute for trailer or single pod provision.</w:t>
      </w:r>
    </w:p>
    <w:p w:rsidR="00627B01" w:rsidRPr="00614E40" w:rsidRDefault="00627B01" w:rsidP="00627B01">
      <w:r w:rsidRPr="00614E40">
        <w:rPr>
          <w:b/>
        </w:rPr>
        <w:t xml:space="preserve">Arena Catering sink waste </w:t>
      </w:r>
      <w:r>
        <w:rPr>
          <w:b/>
        </w:rPr>
        <w:t xml:space="preserve">low level </w:t>
      </w:r>
      <w:r w:rsidRPr="00614E40">
        <w:rPr>
          <w:b/>
        </w:rPr>
        <w:t xml:space="preserve">slop tank: </w:t>
      </w:r>
      <w:r w:rsidRPr="00614E40">
        <w:t>Our catering units set-up on the day before first show day so each catering sink waste container needs to be delivered and positioned by 4pm on the day before first show day.</w:t>
      </w:r>
    </w:p>
    <w:p w:rsidR="00627B01" w:rsidRDefault="00627B01" w:rsidP="00627B01">
      <w:pPr>
        <w:rPr>
          <w:b/>
        </w:rPr>
      </w:pPr>
      <w:r w:rsidRPr="00614E40">
        <w:rPr>
          <w:b/>
        </w:rPr>
        <w:t>Consumables:</w:t>
      </w:r>
      <w:r>
        <w:rPr>
          <w:b/>
        </w:rPr>
        <w:t xml:space="preserve"> </w:t>
      </w:r>
      <w:r w:rsidRPr="006F1120">
        <w:t>Toilet tissue supplied and topped up as necessary throughout the evening. It is essential that units are not left without toilet tissue</w:t>
      </w:r>
      <w:r>
        <w:rPr>
          <w:b/>
        </w:rPr>
        <w:t>.</w:t>
      </w:r>
    </w:p>
    <w:p w:rsidR="00627B01" w:rsidRPr="00614E40" w:rsidRDefault="00627B01" w:rsidP="00627B01">
      <w:r w:rsidRPr="00614E40">
        <w:rPr>
          <w:b/>
        </w:rPr>
        <w:t xml:space="preserve">Cleaning </w:t>
      </w:r>
      <w:r w:rsidRPr="00614E40">
        <w:t xml:space="preserve">We expect regular cleaning of all public units and re stock of consumables throughout the show period 6pm to 11.00pm. We would advise suppliers to have a small truck to allow for gulley cleaning and any water refills. </w:t>
      </w:r>
    </w:p>
    <w:p w:rsidR="00627B01" w:rsidRPr="00614E40" w:rsidRDefault="00627B01" w:rsidP="00627B01">
      <w:r w:rsidRPr="00614E40">
        <w:rPr>
          <w:b/>
        </w:rPr>
        <w:t xml:space="preserve">Water bowser </w:t>
      </w:r>
      <w:r w:rsidRPr="00614E40">
        <w:t>(potable supply)</w:t>
      </w:r>
      <w:r w:rsidRPr="00614E40">
        <w:rPr>
          <w:b/>
        </w:rPr>
        <w:t xml:space="preserve"> </w:t>
      </w:r>
      <w:r w:rsidRPr="00614E40">
        <w:t xml:space="preserve">we will need these delivered and positioned (with backstage manager) by 4pm on the day before first show day. Public catering bowsers can be blocks or tanks with wheels. These would need to be delivered alongside public unit schedules. Bowsers should have a standard standpipe tap connected so we can use </w:t>
      </w:r>
      <w:r w:rsidRPr="00614E40">
        <w:lastRenderedPageBreak/>
        <w:t>st</w:t>
      </w:r>
      <w:r>
        <w:t>andard hose pipe connectors.  If</w:t>
      </w:r>
      <w:r w:rsidRPr="00614E40">
        <w:t xml:space="preserve"> water bowsers are being sub hired it remains the responsibility of the toilet provider to ensure delivery and installation to schedule.</w:t>
      </w:r>
    </w:p>
    <w:p w:rsidR="00627B01" w:rsidRPr="000C29E4" w:rsidRDefault="00627B01" w:rsidP="00627B01">
      <w:pPr>
        <w:rPr>
          <w:b/>
        </w:rPr>
      </w:pPr>
      <w:r w:rsidRPr="00614E40">
        <w:rPr>
          <w:b/>
        </w:rPr>
        <w:t>Delivery / Collection / Gulley Services</w:t>
      </w:r>
      <w:r w:rsidRPr="00614E40">
        <w:t xml:space="preserve"> On show days all public and disabled units plus the public catering slop tanks need to be cleaned and have consumables ready by 5pm. Gulley services should only use ‘approved access routes’ to the toilet and catering areas. Each show evening (6pm-11pm) on site staff should ensure all public units are maintained in a clean and working order.  If required on site staff should be able to carry out routine repairs.</w:t>
      </w:r>
    </w:p>
    <w:p w:rsidR="00627B01" w:rsidRPr="00614E40" w:rsidRDefault="00627B01" w:rsidP="00627B01">
      <w:r w:rsidRPr="00614E40">
        <w:t>Units need to be delivered and positioned as per specification times listed. It is not acceptable to have any public units delivered on the first show day. Collection wise units can start being removed from 8.30am the day after the last show day.</w:t>
      </w:r>
    </w:p>
    <w:p w:rsidR="00627B01" w:rsidRPr="00614E40" w:rsidRDefault="00627B01" w:rsidP="00627B01"/>
    <w:p w:rsidR="00627B01" w:rsidRPr="00627B01" w:rsidRDefault="00627B01" w:rsidP="00627B01">
      <w:pPr>
        <w:pStyle w:val="Heading2"/>
        <w:tabs>
          <w:tab w:val="left" w:pos="1134"/>
        </w:tabs>
        <w:spacing w:line="240" w:lineRule="atLeast"/>
        <w:ind w:right="567"/>
        <w:rPr>
          <w:sz w:val="32"/>
          <w:szCs w:val="32"/>
        </w:rPr>
      </w:pPr>
      <w:r w:rsidRPr="00627B01">
        <w:rPr>
          <w:sz w:val="32"/>
          <w:szCs w:val="32"/>
        </w:rPr>
        <w:t>Backstage Specification</w:t>
      </w:r>
    </w:p>
    <w:p w:rsidR="00627B01" w:rsidRPr="00614E40" w:rsidRDefault="00627B01" w:rsidP="00627B01">
      <w:r w:rsidRPr="00614E40">
        <w:rPr>
          <w:b/>
        </w:rPr>
        <w:t>Backstage Luxury VIP self-contained Toilet unit</w:t>
      </w:r>
      <w:r w:rsidRPr="00614E40">
        <w:t xml:space="preserve">: </w:t>
      </w:r>
      <w:r w:rsidRPr="00614E40">
        <w:rPr>
          <w:rFonts w:cs="Arial"/>
          <w:color w:val="000000"/>
        </w:rPr>
        <w:t>These should be finished to a very high standard and come complete with fine toiletries, constant hot and cold water, floor to ceiling cubicles for privacy, automatic air fresheners, framed prints on the walls, large mirrors and discrete recessed ceiling lighting.</w:t>
      </w:r>
      <w:r w:rsidRPr="00614E40">
        <w:t xml:space="preserve"> If the unit has piped music or DVD player this is fine.  Minimum of 4 wc’s so we can split as Ladies and Gents plus minimum of x 2 urinal bowls. It is essential each backstage toilet is clean with all mechanisms in excellent working order.</w:t>
      </w:r>
    </w:p>
    <w:p w:rsidR="00627B01" w:rsidRPr="00614E40" w:rsidRDefault="00627B01" w:rsidP="00627B01">
      <w:r w:rsidRPr="00614E40">
        <w:rPr>
          <w:b/>
        </w:rPr>
        <w:t xml:space="preserve">Backstage Luxury shower VIP unit </w:t>
      </w:r>
      <w:r w:rsidRPr="00614E40">
        <w:t>(minimum 2 berth, gas or electric power)</w:t>
      </w:r>
    </w:p>
    <w:p w:rsidR="00627B01" w:rsidRPr="00614E40" w:rsidRDefault="00627B01" w:rsidP="00627B01">
      <w:r w:rsidRPr="00614E40">
        <w:rPr>
          <w:rFonts w:cs="Arial"/>
          <w:color w:val="000000"/>
        </w:rPr>
        <w:t>These should be finished to a very high standard.</w:t>
      </w:r>
      <w:r w:rsidRPr="00614E40">
        <w:t xml:space="preserve"> Where water is not available self-contained showers with water tanks should be used. All showers to have: Changing area in each cubicle to hang clothes/towels plus shower curtain, mirrors, clear roof, quality laminate walls and flooring. </w:t>
      </w:r>
    </w:p>
    <w:p w:rsidR="00627B01" w:rsidRPr="000C29E4" w:rsidRDefault="00627B01" w:rsidP="00627B01">
      <w:pPr>
        <w:rPr>
          <w:iCs/>
        </w:rPr>
      </w:pPr>
      <w:r w:rsidRPr="00614E40">
        <w:t xml:space="preserve">Please note you will need to ensure the shower water tank is kept filled up with water, you should not use backstage bowsers to do this. </w:t>
      </w:r>
      <w:r w:rsidRPr="00614E40">
        <w:rPr>
          <w:iCs/>
        </w:rPr>
        <w:t>If using gas showers you must provide enough cylinders for the 3-4 day period and also ensure you install the cylinder to test the showers. Relevant LPG paper work will be required.</w:t>
      </w:r>
    </w:p>
    <w:p w:rsidR="00627B01" w:rsidRPr="00614E40" w:rsidRDefault="00627B01" w:rsidP="00627B01">
      <w:r w:rsidRPr="00614E40">
        <w:rPr>
          <w:b/>
        </w:rPr>
        <w:t xml:space="preserve">Backstage low catering sink waste slop tank: </w:t>
      </w:r>
      <w:r w:rsidRPr="00614E40">
        <w:t>Our catering team set-up the kitchens on the day before first show day so each catering sink waste container needs to be delivered and positioned (with backstage manager) by 4pm on the day before first show day.</w:t>
      </w:r>
    </w:p>
    <w:p w:rsidR="00627B01" w:rsidRPr="00614E40" w:rsidRDefault="00627B01" w:rsidP="00627B01">
      <w:r w:rsidRPr="00614E40">
        <w:rPr>
          <w:b/>
        </w:rPr>
        <w:t xml:space="preserve">Consumables Backstage </w:t>
      </w:r>
      <w:r w:rsidRPr="00614E40">
        <w:t>Clean cotton towels should be in constant supply with re stocking. In addition quality paper towel dispenser should be provided with regular disposal and re stocking.</w:t>
      </w:r>
    </w:p>
    <w:p w:rsidR="00627B01" w:rsidRPr="00614E40" w:rsidRDefault="00627B01" w:rsidP="00627B01">
      <w:r w:rsidRPr="00614E40">
        <w:t xml:space="preserve">Backstage units should arrive on site in a clean and working condition, they need to be delivered and positioned as per the specification times. Units need to be installed and checked so they can be used by backstage crews and on occasions by artist production by 4pm on the day before first show day. Should a water bowser be needed as the </w:t>
      </w:r>
      <w:r w:rsidRPr="00614E40">
        <w:lastRenderedPageBreak/>
        <w:t xml:space="preserve">primary water source this needs to be delivered and positioned on the day before the first show. </w:t>
      </w:r>
    </w:p>
    <w:p w:rsidR="00627B01" w:rsidRPr="00614E40" w:rsidRDefault="00627B01" w:rsidP="00627B01"/>
    <w:p w:rsidR="00627B01" w:rsidRPr="00614E40" w:rsidRDefault="00627B01" w:rsidP="00627B01">
      <w:r w:rsidRPr="00614E40">
        <w:t xml:space="preserve">On show days backstage gulley services for toilets, shower and slop tank should be booked so the gulley is finished by 8am each day, they should be cleaned and have consumables ready by 8.30am. Throughout each show day both units should be checked at regular intervals at agreed times with the backstage manager. A radio will be supplied so if there are service issues with any unit our backstage manager can contact at least one of the on-site cleaner between 7.45am and 11.45pm. </w:t>
      </w:r>
    </w:p>
    <w:p w:rsidR="00627B01" w:rsidRPr="00614E40" w:rsidRDefault="00627B01" w:rsidP="00627B01">
      <w:r w:rsidRPr="00614E40">
        <w:t>Collection wise as the showers and toilets will be used by crews in the morning units should not be start being removed until noon the day after the last show day.</w:t>
      </w:r>
    </w:p>
    <w:p w:rsidR="00627B01" w:rsidRDefault="00627B01" w:rsidP="00627B01">
      <w:pPr>
        <w:rPr>
          <w:lang w:val="en-US"/>
        </w:rPr>
      </w:pPr>
    </w:p>
    <w:p w:rsidR="00627B01" w:rsidRPr="00627B01" w:rsidRDefault="00627B01" w:rsidP="00627B01">
      <w:pPr>
        <w:pStyle w:val="Heading2"/>
        <w:tabs>
          <w:tab w:val="left" w:pos="1134"/>
        </w:tabs>
        <w:spacing w:line="240" w:lineRule="atLeast"/>
        <w:ind w:right="567"/>
        <w:rPr>
          <w:sz w:val="32"/>
          <w:szCs w:val="32"/>
        </w:rPr>
      </w:pPr>
      <w:r w:rsidRPr="00627B01">
        <w:rPr>
          <w:sz w:val="32"/>
          <w:szCs w:val="32"/>
        </w:rPr>
        <w:t>Lots</w:t>
      </w:r>
    </w:p>
    <w:p w:rsidR="00627B01" w:rsidRDefault="00627B01" w:rsidP="00627B01">
      <w:pPr>
        <w:pStyle w:val="Heading3"/>
        <w:spacing w:after="0" w:line="240" w:lineRule="atLeast"/>
        <w:ind w:right="570"/>
        <w:rPr>
          <w:lang w:val="en-US"/>
        </w:rPr>
      </w:pPr>
      <w:r>
        <w:rPr>
          <w:lang w:val="en-US"/>
        </w:rPr>
        <w:t>Lot 1: Westonbirt Arboretum</w:t>
      </w:r>
    </w:p>
    <w:p w:rsidR="00627B01" w:rsidRDefault="00627B01" w:rsidP="00627B01">
      <w:pPr>
        <w:rPr>
          <w:lang w:val="en-US"/>
        </w:rPr>
      </w:pPr>
      <w:r w:rsidRPr="00E05908">
        <w:rPr>
          <w:b/>
          <w:lang w:val="en-US"/>
        </w:rPr>
        <w:t>Capacity:</w:t>
      </w:r>
      <w:r>
        <w:rPr>
          <w:lang w:val="en-US"/>
        </w:rPr>
        <w:t xml:space="preserve"> 7000</w:t>
      </w:r>
    </w:p>
    <w:p w:rsidR="00F774F9" w:rsidRPr="00C1027B" w:rsidRDefault="00627B01" w:rsidP="00F774F9">
      <w:pPr>
        <w:rPr>
          <w:lang w:val="en-US"/>
        </w:rPr>
      </w:pPr>
      <w:r w:rsidRPr="00E05908">
        <w:rPr>
          <w:b/>
          <w:lang w:val="en-US"/>
        </w:rPr>
        <w:t>Show dates:</w:t>
      </w:r>
      <w:r>
        <w:rPr>
          <w:lang w:val="en-US"/>
        </w:rPr>
        <w:t xml:space="preserve"> </w:t>
      </w:r>
      <w:r>
        <w:rPr>
          <w:lang w:val="en-US"/>
        </w:rPr>
        <w:tab/>
      </w:r>
      <w:r w:rsidR="00F774F9">
        <w:rPr>
          <w:lang w:val="en-US"/>
        </w:rPr>
        <w:t>Thurs 16 June, Fri 17</w:t>
      </w:r>
      <w:r w:rsidR="00F774F9" w:rsidRPr="00C1027B">
        <w:rPr>
          <w:lang w:val="en-US"/>
        </w:rPr>
        <w:t xml:space="preserve"> June</w:t>
      </w:r>
      <w:r w:rsidR="00F774F9">
        <w:rPr>
          <w:lang w:val="en-US"/>
        </w:rPr>
        <w:t>, Sat 18</w:t>
      </w:r>
      <w:r w:rsidR="00F774F9" w:rsidRPr="00C1027B">
        <w:rPr>
          <w:lang w:val="en-US"/>
        </w:rPr>
        <w:t xml:space="preserve"> June</w:t>
      </w:r>
      <w:r w:rsidR="00F774F9">
        <w:rPr>
          <w:lang w:val="en-US"/>
        </w:rPr>
        <w:t>, Sun 19</w:t>
      </w:r>
      <w:r w:rsidR="00F774F9" w:rsidRPr="00C1027B">
        <w:rPr>
          <w:lang w:val="en-US"/>
        </w:rPr>
        <w:t xml:space="preserve"> June</w:t>
      </w:r>
      <w:r w:rsidR="00644DFB">
        <w:rPr>
          <w:lang w:val="en-US"/>
        </w:rPr>
        <w:t xml:space="preserve"> 2016</w:t>
      </w:r>
    </w:p>
    <w:p w:rsidR="00627B01" w:rsidRDefault="00627B01" w:rsidP="00627B01">
      <w:pPr>
        <w:rPr>
          <w:lang w:val="en-US"/>
        </w:rPr>
      </w:pPr>
    </w:p>
    <w:p w:rsidR="00627B01" w:rsidRPr="00340311" w:rsidRDefault="00627B01" w:rsidP="00627B01">
      <w:r>
        <w:t>Females x 32 WC</w:t>
      </w:r>
      <w:r w:rsidRPr="00340311">
        <w:t xml:space="preserve">s </w:t>
      </w:r>
      <w:r>
        <w:t>with hand sanitizer</w:t>
      </w:r>
      <w:r w:rsidRPr="00340311">
        <w:t xml:space="preserve"> (combination of single pods and / or trailers)</w:t>
      </w:r>
    </w:p>
    <w:p w:rsidR="00627B01" w:rsidRPr="00340311" w:rsidRDefault="00627B01" w:rsidP="00627B01">
      <w:r>
        <w:t>Males x 10 WC</w:t>
      </w:r>
      <w:r w:rsidRPr="00340311">
        <w:t xml:space="preserve">s </w:t>
      </w:r>
      <w:r>
        <w:t>with hand sanitizer</w:t>
      </w:r>
      <w:r w:rsidRPr="00340311">
        <w:t xml:space="preserve"> and 16 urinals with handwash or wipes (combination of single pods and / or trailers)</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3 x additional Buster urinals (4 bay)</w:t>
      </w:r>
      <w:r>
        <w:t xml:space="preserve"> and hand sanitizer </w:t>
      </w:r>
    </w:p>
    <w:p w:rsidR="00627B01" w:rsidRPr="00340311" w:rsidRDefault="00627B01" w:rsidP="00627B01">
      <w:r w:rsidRPr="00340311">
        <w:t>Disabled</w:t>
      </w:r>
      <w:r>
        <w:t xml:space="preserve"> WC</w:t>
      </w:r>
      <w:r w:rsidRPr="00340311">
        <w:t xml:space="preserve"> x 3 plus wash basins</w:t>
      </w:r>
      <w:r>
        <w:t>/ hand sanitizer</w:t>
      </w:r>
      <w:r w:rsidRPr="00340311">
        <w:tab/>
      </w:r>
    </w:p>
    <w:p w:rsidR="00627B01" w:rsidRPr="00340311" w:rsidRDefault="00627B01" w:rsidP="00627B01">
      <w:r w:rsidRPr="00340311">
        <w:t>2 x single pod toilet for bar/food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2 x single pods for car parks</w:t>
      </w:r>
    </w:p>
    <w:p w:rsidR="00627B01" w:rsidRDefault="00627B01" w:rsidP="00627B01">
      <w:r w:rsidRPr="00340311">
        <w:t>Back stage re-circulating VIP Luxury Toilet</w:t>
      </w:r>
      <w:r>
        <w:t xml:space="preserve"> </w:t>
      </w:r>
    </w:p>
    <w:p w:rsidR="00627B01" w:rsidRPr="00340311" w:rsidRDefault="00627B01" w:rsidP="00627B01">
      <w:r w:rsidRPr="00340311">
        <w:t>Self-contained VIP / Luxury shower</w:t>
      </w:r>
      <w:r>
        <w:t xml:space="preserve"> </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 xml:space="preserve">All consumables backstage and in public areas for </w:t>
      </w:r>
      <w:r>
        <w:t xml:space="preserve">two weekends of </w:t>
      </w:r>
      <w:r w:rsidRPr="00340311">
        <w:t xml:space="preserve">3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t>Gully services backstage need to be completed before 8am each show day</w:t>
      </w:r>
    </w:p>
    <w:p w:rsidR="00627B01" w:rsidRDefault="00627B01" w:rsidP="00627B01">
      <w:pPr>
        <w:rPr>
          <w:b/>
        </w:rPr>
      </w:pPr>
    </w:p>
    <w:p w:rsidR="00627B01" w:rsidRPr="00E71AC0" w:rsidRDefault="00627B01" w:rsidP="00627B01">
      <w:pPr>
        <w:rPr>
          <w:b/>
        </w:rPr>
      </w:pPr>
      <w:r w:rsidRPr="00E71AC0">
        <w:rPr>
          <w:b/>
        </w:rPr>
        <w:t xml:space="preserve">Delivery/Collection </w:t>
      </w:r>
      <w:r>
        <w:rPr>
          <w:b/>
        </w:rPr>
        <w:t>– First Weekend (June)</w:t>
      </w:r>
    </w:p>
    <w:p w:rsidR="00627B01" w:rsidRPr="00E71AC0" w:rsidRDefault="00627B01" w:rsidP="00627B01">
      <w:pPr>
        <w:rPr>
          <w:u w:val="single"/>
        </w:rPr>
      </w:pPr>
      <w:r w:rsidRPr="00340311">
        <w:rPr>
          <w:b/>
        </w:rPr>
        <w:t>Public and staff units</w:t>
      </w:r>
      <w:r w:rsidRPr="00340311">
        <w:t xml:space="preserve"> should start being delivered from 10am </w:t>
      </w:r>
      <w:r w:rsidR="00F774F9">
        <w:t>Monday 13</w:t>
      </w:r>
      <w:r w:rsidRPr="00340311">
        <w:t xml:space="preserve"> June with all units to be in</w:t>
      </w:r>
      <w:r w:rsidR="00F774F9">
        <w:t xml:space="preserve"> position by 6pm on Tuesday 14</w:t>
      </w:r>
      <w:r>
        <w:t xml:space="preserve"> June</w:t>
      </w:r>
      <w:r w:rsidRPr="00340311">
        <w:t xml:space="preserve">.  All units then need to be ready for use by 4pm on </w:t>
      </w:r>
      <w:r w:rsidR="00F774F9">
        <w:t>Thursday 16</w:t>
      </w:r>
      <w:r>
        <w:t xml:space="preserve"> </w:t>
      </w:r>
      <w:r w:rsidRPr="00340311">
        <w:t>June. Collection should start from 10am on Monday 22 June with all units off site by 6pm Tuesday 23 June.</w:t>
      </w:r>
    </w:p>
    <w:p w:rsidR="00627B01" w:rsidRDefault="00627B01" w:rsidP="00627B01">
      <w:r w:rsidRPr="00340311">
        <w:rPr>
          <w:b/>
        </w:rPr>
        <w:t>Backstage units</w:t>
      </w:r>
      <w:r w:rsidRPr="00340311">
        <w:t xml:space="preserve"> and sink waste tank need to be delivered and positioned by 4pm on </w:t>
      </w:r>
      <w:r>
        <w:t xml:space="preserve">Tuesday 16 </w:t>
      </w:r>
      <w:r w:rsidRPr="00340311">
        <w:t xml:space="preserve"> and plumbed for staff use by 4pm on </w:t>
      </w:r>
      <w:r>
        <w:t>Wednesd</w:t>
      </w:r>
      <w:r w:rsidR="00F774F9">
        <w:t>ay 15</w:t>
      </w:r>
      <w:r>
        <w:t xml:space="preserve"> June</w:t>
      </w:r>
      <w:r w:rsidRPr="00340311">
        <w:t>. Collection should</w:t>
      </w:r>
      <w:r w:rsidR="00F774F9">
        <w:t xml:space="preserve"> start from 12 noon on Monday 20</w:t>
      </w:r>
      <w:r w:rsidRPr="00340311">
        <w:t xml:space="preserve"> June.</w:t>
      </w:r>
    </w:p>
    <w:p w:rsidR="00627B01" w:rsidRDefault="00627B01" w:rsidP="00627B01"/>
    <w:p w:rsidR="00627B01" w:rsidRPr="00340311" w:rsidRDefault="00627B01" w:rsidP="00627B01"/>
    <w:p w:rsidR="00627B01" w:rsidRPr="00A800B0" w:rsidRDefault="00627B01" w:rsidP="00627B01">
      <w:pPr>
        <w:pStyle w:val="Heading3"/>
        <w:spacing w:after="0" w:line="240" w:lineRule="atLeast"/>
        <w:ind w:right="570"/>
        <w:rPr>
          <w:b/>
          <w:szCs w:val="22"/>
        </w:rPr>
      </w:pPr>
      <w:r>
        <w:t xml:space="preserve">Lot 2: </w:t>
      </w:r>
      <w:r w:rsidRPr="00340311">
        <w:t xml:space="preserve">Bedgebury Pinetum, Kent </w:t>
      </w:r>
    </w:p>
    <w:p w:rsidR="00627B01" w:rsidRDefault="00627B01" w:rsidP="00627B01">
      <w:pPr>
        <w:pStyle w:val="Heading3"/>
        <w:numPr>
          <w:ilvl w:val="0"/>
          <w:numId w:val="0"/>
        </w:numPr>
        <w:rPr>
          <w:b/>
          <w:sz w:val="22"/>
          <w:szCs w:val="22"/>
        </w:rPr>
      </w:pPr>
      <w:r>
        <w:rPr>
          <w:b/>
          <w:sz w:val="22"/>
          <w:szCs w:val="22"/>
        </w:rPr>
        <w:t xml:space="preserve">Capacity: </w:t>
      </w:r>
      <w:r w:rsidRPr="009407BF">
        <w:rPr>
          <w:sz w:val="22"/>
          <w:szCs w:val="22"/>
        </w:rPr>
        <w:t>5500</w:t>
      </w:r>
    </w:p>
    <w:p w:rsidR="005C5D33" w:rsidRPr="00C1027B" w:rsidRDefault="00627B01" w:rsidP="005C5D33">
      <w:pPr>
        <w:rPr>
          <w:lang w:val="en-US"/>
        </w:rPr>
      </w:pPr>
      <w:r w:rsidRPr="00A800B0">
        <w:rPr>
          <w:b/>
        </w:rPr>
        <w:t>Show dates:</w:t>
      </w:r>
      <w:r w:rsidRPr="00A800B0">
        <w:t xml:space="preserve"> </w:t>
      </w:r>
      <w:r w:rsidR="005C5D33">
        <w:rPr>
          <w:lang w:val="en-US"/>
        </w:rPr>
        <w:t>Fri 17</w:t>
      </w:r>
      <w:r w:rsidR="005C5D33" w:rsidRPr="00C1027B">
        <w:rPr>
          <w:lang w:val="en-US"/>
        </w:rPr>
        <w:t xml:space="preserve"> June</w:t>
      </w:r>
      <w:r w:rsidR="005C5D33">
        <w:rPr>
          <w:lang w:val="en-US"/>
        </w:rPr>
        <w:t>, Sat 18</w:t>
      </w:r>
      <w:r w:rsidR="005C5D33" w:rsidRPr="00C1027B">
        <w:rPr>
          <w:lang w:val="en-US"/>
        </w:rPr>
        <w:t xml:space="preserve"> June</w:t>
      </w:r>
      <w:r w:rsidR="00644DFB">
        <w:rPr>
          <w:lang w:val="en-US"/>
        </w:rPr>
        <w:t xml:space="preserve"> 2016</w:t>
      </w:r>
    </w:p>
    <w:p w:rsidR="005C5D33" w:rsidRDefault="005C5D33" w:rsidP="005C5D33">
      <w:pPr>
        <w:pStyle w:val="Heading3"/>
        <w:numPr>
          <w:ilvl w:val="0"/>
          <w:numId w:val="0"/>
        </w:numPr>
        <w:spacing w:before="0"/>
      </w:pPr>
    </w:p>
    <w:p w:rsidR="00627B01" w:rsidRPr="00340311" w:rsidRDefault="00627B01" w:rsidP="005C5D33">
      <w:pPr>
        <w:pStyle w:val="Heading3"/>
        <w:numPr>
          <w:ilvl w:val="0"/>
          <w:numId w:val="0"/>
        </w:numPr>
        <w:spacing w:before="0"/>
      </w:pPr>
      <w:r>
        <w:t>Females x 26 WC</w:t>
      </w:r>
      <w:r w:rsidRPr="00340311">
        <w:t xml:space="preserve">s </w:t>
      </w:r>
      <w:r>
        <w:t>with hand sanitizer</w:t>
      </w:r>
      <w:r w:rsidRPr="00340311">
        <w:t xml:space="preserve"> (combination of single pods and / or trailers)</w:t>
      </w:r>
    </w:p>
    <w:p w:rsidR="00627B01" w:rsidRPr="00340311" w:rsidRDefault="00627B01" w:rsidP="00627B01">
      <w:r>
        <w:t>Males x 6 WC</w:t>
      </w:r>
      <w:r w:rsidRPr="00340311">
        <w:t xml:space="preserve">s </w:t>
      </w:r>
      <w:r>
        <w:t>with hand sanitizer</w:t>
      </w:r>
      <w:r w:rsidRPr="00340311">
        <w:t xml:space="preserve"> and 16 urinals </w:t>
      </w:r>
      <w:r>
        <w:t>with hand sanitizer</w:t>
      </w:r>
      <w:r w:rsidRPr="00340311">
        <w:t xml:space="preserve"> (combination of single pods and / or trailers)</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2 x additional Buster urinals (4 bay) </w:t>
      </w:r>
      <w:r>
        <w:t xml:space="preserve">and hand sanitizer </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Disabled x 2 plus wash basins</w:t>
      </w:r>
      <w:r>
        <w:t xml:space="preserve"> or hand sanitizer </w:t>
      </w:r>
      <w:r w:rsidRPr="00340311">
        <w:tab/>
      </w:r>
    </w:p>
    <w:p w:rsidR="00627B01" w:rsidRPr="00340311" w:rsidRDefault="00627B01" w:rsidP="00627B01">
      <w:r w:rsidRPr="00340311">
        <w:t>2 x single pod toilet for bar/food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2 x single pods for car parks</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 xml:space="preserve">All consumables backstage and in public areas for 2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t>Gully services backstage need to be completed before 8am each show day</w:t>
      </w:r>
    </w:p>
    <w:p w:rsidR="00627B01" w:rsidRDefault="00627B01" w:rsidP="00627B01">
      <w:pPr>
        <w:rPr>
          <w:b/>
        </w:rPr>
      </w:pPr>
    </w:p>
    <w:p w:rsidR="00627B01" w:rsidRPr="000C29E4" w:rsidRDefault="00627B01" w:rsidP="00627B01">
      <w:pPr>
        <w:rPr>
          <w:b/>
        </w:rPr>
      </w:pPr>
      <w:r w:rsidRPr="000C29E4">
        <w:rPr>
          <w:b/>
        </w:rPr>
        <w:t xml:space="preserve">Delivery/Collection </w:t>
      </w:r>
    </w:p>
    <w:p w:rsidR="00627B01" w:rsidRPr="000C29E4" w:rsidRDefault="00627B01" w:rsidP="00627B01">
      <w:pPr>
        <w:rPr>
          <w:u w:val="single"/>
        </w:rPr>
      </w:pPr>
      <w:r w:rsidRPr="00340311">
        <w:rPr>
          <w:b/>
        </w:rPr>
        <w:t>Public and staff units</w:t>
      </w:r>
      <w:r w:rsidRPr="00340311">
        <w:t xml:space="preserve"> should start bein</w:t>
      </w:r>
      <w:r w:rsidR="005C5D33">
        <w:t>g delivered from 10am Tuesday 14</w:t>
      </w:r>
      <w:r w:rsidRPr="00340311">
        <w:t xml:space="preserve"> June with all units to be in</w:t>
      </w:r>
      <w:r w:rsidR="005C5D33">
        <w:t xml:space="preserve"> position by 6pm on Wednesday 15</w:t>
      </w:r>
      <w:r w:rsidRPr="00340311">
        <w:t>.  All units then need to be r</w:t>
      </w:r>
      <w:r w:rsidR="005C5D33">
        <w:t>eady for use by 4pm on Friday 17</w:t>
      </w:r>
      <w:r w:rsidRPr="00340311">
        <w:t xml:space="preserve"> June. Collection should start from 10am on Sunday 21 June with all units off site by 6pm Monday 22 June.</w:t>
      </w:r>
    </w:p>
    <w:p w:rsidR="005C5D33" w:rsidRPr="000C29E4" w:rsidRDefault="00627B01" w:rsidP="005C5D33">
      <w:pPr>
        <w:rPr>
          <w:u w:val="single"/>
        </w:rPr>
      </w:pPr>
      <w:r w:rsidRPr="00340311">
        <w:rPr>
          <w:b/>
        </w:rPr>
        <w:t>Backstage units</w:t>
      </w:r>
      <w:r w:rsidRPr="00340311">
        <w:t xml:space="preserve"> and sink waste tank need to be delivered and p</w:t>
      </w:r>
      <w:r w:rsidR="005C5D33">
        <w:t>ositioned by 4pm on Wednesday 15</w:t>
      </w:r>
      <w:r w:rsidRPr="00340311">
        <w:t xml:space="preserve"> and plumbed for</w:t>
      </w:r>
      <w:r w:rsidR="005C5D33">
        <w:t xml:space="preserve"> staff use by 4pm on Thursday 16</w:t>
      </w:r>
      <w:r w:rsidRPr="00340311">
        <w:t xml:space="preserve"> June. </w:t>
      </w:r>
      <w:r w:rsidR="005C5D33" w:rsidRPr="00340311">
        <w:t>Collection should start from 10am on Sunday 21 June with all units off site by 6pm Monday 22 June.</w:t>
      </w:r>
    </w:p>
    <w:p w:rsidR="00627B01" w:rsidRPr="00340311" w:rsidRDefault="00627B01" w:rsidP="00627B01"/>
    <w:p w:rsidR="00627B01" w:rsidRDefault="00627B01" w:rsidP="00627B01">
      <w:pPr>
        <w:pStyle w:val="Heading3"/>
        <w:spacing w:after="0" w:line="240" w:lineRule="atLeast"/>
        <w:ind w:right="570"/>
      </w:pPr>
      <w:r>
        <w:t>Lot 3: Dalby Forest, N. Yorks</w:t>
      </w:r>
    </w:p>
    <w:p w:rsidR="00627B01" w:rsidRPr="007C3F14" w:rsidRDefault="00627B01" w:rsidP="00627B01">
      <w:r w:rsidRPr="007C3F14">
        <w:rPr>
          <w:b/>
        </w:rPr>
        <w:t>Capacity:</w:t>
      </w:r>
      <w:r>
        <w:t xml:space="preserve"> 6000 </w:t>
      </w:r>
    </w:p>
    <w:p w:rsidR="00627B01" w:rsidRDefault="00627B01" w:rsidP="005C5D33">
      <w:pPr>
        <w:rPr>
          <w:lang w:val="en-US"/>
        </w:rPr>
      </w:pPr>
      <w:r>
        <w:rPr>
          <w:b/>
        </w:rPr>
        <w:t>Show dates</w:t>
      </w:r>
      <w:r w:rsidRPr="00340311">
        <w:rPr>
          <w:b/>
        </w:rPr>
        <w:t xml:space="preserve">: </w:t>
      </w:r>
      <w:r w:rsidR="005C5D33">
        <w:rPr>
          <w:lang w:val="en-US"/>
        </w:rPr>
        <w:t>Fri 24</w:t>
      </w:r>
      <w:r w:rsidR="005C5D33" w:rsidRPr="00C1027B">
        <w:rPr>
          <w:lang w:val="en-US"/>
        </w:rPr>
        <w:t xml:space="preserve"> Jun</w:t>
      </w:r>
      <w:r w:rsidR="005C5D33">
        <w:rPr>
          <w:lang w:val="en-US"/>
        </w:rPr>
        <w:t>, Sat 25</w:t>
      </w:r>
      <w:r w:rsidR="005C5D33" w:rsidRPr="00C1027B">
        <w:rPr>
          <w:lang w:val="en-US"/>
        </w:rPr>
        <w:t xml:space="preserve"> June</w:t>
      </w:r>
      <w:r w:rsidR="005C5D33">
        <w:rPr>
          <w:lang w:val="en-US"/>
        </w:rPr>
        <w:t>, Sun 26</w:t>
      </w:r>
      <w:r w:rsidR="005C5D33" w:rsidRPr="00C1027B">
        <w:rPr>
          <w:lang w:val="en-US"/>
        </w:rPr>
        <w:t xml:space="preserve"> June</w:t>
      </w:r>
      <w:r w:rsidR="00644DFB">
        <w:rPr>
          <w:lang w:val="en-US"/>
        </w:rPr>
        <w:t xml:space="preserve"> 2016</w:t>
      </w:r>
    </w:p>
    <w:p w:rsidR="005C5D33" w:rsidRDefault="005C5D33" w:rsidP="005C5D33"/>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Females x 28 single pods only </w:t>
      </w:r>
      <w:r>
        <w:t>with hand sanitizer</w:t>
      </w:r>
      <w:r w:rsidRPr="00340311">
        <w:tab/>
      </w:r>
      <w:r w:rsidRPr="00340311">
        <w:tab/>
        <w:t xml:space="preserve">                      </w:t>
      </w:r>
    </w:p>
    <w:p w:rsidR="00627B0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Males x 28 single pods only </w:t>
      </w:r>
      <w:r>
        <w:t>with hand sanitizer</w:t>
      </w:r>
      <w:r w:rsidRPr="00340311">
        <w:tab/>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3 x additional Buster urinals (4 bay)</w:t>
      </w:r>
      <w:r>
        <w:t xml:space="preserve"> and hand sanitizer </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Disabled x 2 plus wash basins</w:t>
      </w:r>
      <w:r>
        <w:t xml:space="preserve"> or hand sanitizer </w:t>
      </w:r>
    </w:p>
    <w:p w:rsidR="00627B01" w:rsidRPr="00340311" w:rsidRDefault="00627B01" w:rsidP="00627B01">
      <w:r w:rsidRPr="00340311">
        <w:lastRenderedPageBreak/>
        <w:t>2 x single pod toilet for bar/food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2 x single pods for car parks</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All consumables bac</w:t>
      </w:r>
      <w:r>
        <w:t>kstage and in public areas for three</w:t>
      </w:r>
      <w:r w:rsidRPr="00340311">
        <w:t xml:space="preserve"> concert nights </w:t>
      </w:r>
    </w:p>
    <w:p w:rsidR="00627B01" w:rsidRPr="00340311" w:rsidRDefault="00627B01" w:rsidP="00627B01">
      <w:r w:rsidRPr="00340311">
        <w:t>On site cleaning and maintenance staff show days from 7.45am to 11.45pm</w:t>
      </w:r>
    </w:p>
    <w:p w:rsidR="00627B01" w:rsidRDefault="00627B01" w:rsidP="00627B01">
      <w:r w:rsidRPr="00340311">
        <w:t>Gully services backstage need to be completed before 8am each show day</w:t>
      </w:r>
    </w:p>
    <w:p w:rsidR="00627B01" w:rsidRPr="00340311" w:rsidRDefault="00627B01" w:rsidP="00627B01"/>
    <w:p w:rsidR="00627B01" w:rsidRPr="000C29E4" w:rsidRDefault="00627B01" w:rsidP="00627B01">
      <w:pPr>
        <w:rPr>
          <w:b/>
        </w:rPr>
      </w:pPr>
      <w:r w:rsidRPr="000C29E4">
        <w:rPr>
          <w:b/>
        </w:rPr>
        <w:t xml:space="preserve">Delivery/Collection </w:t>
      </w:r>
    </w:p>
    <w:p w:rsidR="00627B01" w:rsidRPr="00340311" w:rsidRDefault="00627B01" w:rsidP="00627B01">
      <w:pPr>
        <w:rPr>
          <w:u w:val="single"/>
        </w:rPr>
      </w:pPr>
      <w:r w:rsidRPr="00340311">
        <w:rPr>
          <w:b/>
        </w:rPr>
        <w:t>Public and staff units</w:t>
      </w:r>
      <w:r w:rsidRPr="00340311">
        <w:t xml:space="preserve"> should start being delivered from 10am </w:t>
      </w:r>
      <w:r w:rsidR="005C5D33">
        <w:t>Tuesday 21</w:t>
      </w:r>
      <w:r w:rsidRPr="00340311">
        <w:t xml:space="preserve"> June with all units to be in position by 6pm on </w:t>
      </w:r>
      <w:r w:rsidR="005C5D33">
        <w:t>Wednesday 22</w:t>
      </w:r>
      <w:r w:rsidRPr="00340311">
        <w:t>.  All units then need to be rea</w:t>
      </w:r>
      <w:r w:rsidR="005C5D33">
        <w:t>dy for use by 4pm on Thursday 23</w:t>
      </w:r>
      <w:r w:rsidRPr="00340311">
        <w:t xml:space="preserve"> June. Collection should start from </w:t>
      </w:r>
      <w:r w:rsidR="005C5D33">
        <w:t>10am on Sunday 26</w:t>
      </w:r>
      <w:r w:rsidRPr="00340311">
        <w:t xml:space="preserve"> June with all</w:t>
      </w:r>
      <w:r w:rsidR="005C5D33">
        <w:t xml:space="preserve"> units off site by 6pm Monday 27</w:t>
      </w:r>
      <w:r w:rsidRPr="00340311">
        <w:t xml:space="preserve"> June.</w:t>
      </w:r>
    </w:p>
    <w:p w:rsidR="00627B01" w:rsidRPr="00340311" w:rsidRDefault="00627B01" w:rsidP="00627B01"/>
    <w:p w:rsidR="00627B01" w:rsidRPr="00812931" w:rsidRDefault="00627B01" w:rsidP="00627B01">
      <w:pPr>
        <w:rPr>
          <w:u w:val="single"/>
        </w:rPr>
      </w:pPr>
      <w:r w:rsidRPr="00340311">
        <w:rPr>
          <w:b/>
        </w:rPr>
        <w:t>Backstage units</w:t>
      </w:r>
      <w:r w:rsidRPr="00340311">
        <w:t xml:space="preserve"> and sink waste tank need to be delivered and</w:t>
      </w:r>
      <w:r w:rsidR="005C5D33">
        <w:t xml:space="preserve"> positioned by 4pm on Tuesday 21</w:t>
      </w:r>
      <w:r w:rsidRPr="00340311">
        <w:t xml:space="preserve"> June and plumbed for </w:t>
      </w:r>
      <w:r w:rsidR="005C5D33">
        <w:t>staff use by 4pm on Wednesday 22</w:t>
      </w:r>
      <w:r w:rsidRPr="00340311">
        <w:t xml:space="preserve"> June. </w:t>
      </w:r>
      <w:r w:rsidR="00812931" w:rsidRPr="00340311">
        <w:t xml:space="preserve">Collection should start from </w:t>
      </w:r>
      <w:r w:rsidR="00812931">
        <w:t>10am on Sunday 26</w:t>
      </w:r>
      <w:r w:rsidR="00812931" w:rsidRPr="00340311">
        <w:t xml:space="preserve"> June with all</w:t>
      </w:r>
      <w:r w:rsidR="00812931">
        <w:t xml:space="preserve"> units off site by 6pm Monday 27</w:t>
      </w:r>
      <w:r w:rsidR="00812931" w:rsidRPr="00340311">
        <w:t xml:space="preserve"> June.</w:t>
      </w:r>
    </w:p>
    <w:p w:rsidR="00627B01" w:rsidRDefault="00627B01" w:rsidP="00627B01">
      <w:pPr>
        <w:pStyle w:val="Heading3"/>
        <w:spacing w:after="0" w:line="240" w:lineRule="atLeast"/>
        <w:ind w:right="570"/>
      </w:pPr>
      <w:r>
        <w:t>Lot 4: Sherwood Pines, Notts</w:t>
      </w:r>
    </w:p>
    <w:p w:rsidR="00627B01" w:rsidRPr="007C3F14" w:rsidRDefault="00627B01" w:rsidP="00627B01">
      <w:r w:rsidRPr="007C3F14">
        <w:rPr>
          <w:b/>
        </w:rPr>
        <w:t>Capacity:</w:t>
      </w:r>
      <w:r>
        <w:t xml:space="preserve"> 6000</w:t>
      </w:r>
    </w:p>
    <w:p w:rsidR="00627B01" w:rsidRPr="00340311" w:rsidRDefault="00627B01" w:rsidP="00627B01">
      <w:pPr>
        <w:rPr>
          <w:b/>
        </w:rPr>
      </w:pPr>
      <w:r>
        <w:rPr>
          <w:b/>
        </w:rPr>
        <w:t>Show dates</w:t>
      </w:r>
      <w:r w:rsidRPr="00340311">
        <w:rPr>
          <w:b/>
        </w:rPr>
        <w:t xml:space="preserve">: </w:t>
      </w:r>
      <w:r w:rsidR="00840D40">
        <w:t xml:space="preserve"> </w:t>
      </w:r>
      <w:r w:rsidR="00812931">
        <w:t>Fri 24, Sat 26</w:t>
      </w:r>
      <w:r w:rsidR="00644DFB">
        <w:t xml:space="preserve"> 2016</w:t>
      </w:r>
    </w:p>
    <w:p w:rsidR="00627B01" w:rsidRPr="00340311" w:rsidRDefault="00627B01" w:rsidP="00627B01"/>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Females x 28 single pods only </w:t>
      </w:r>
      <w:r>
        <w:t>with hand sanitizer</w:t>
      </w:r>
      <w:r w:rsidRPr="00340311">
        <w:tab/>
      </w:r>
      <w:r w:rsidRPr="00340311">
        <w:tab/>
        <w:t xml:space="preserve">                      </w:t>
      </w:r>
      <w:r w:rsidRPr="00340311">
        <w:tab/>
      </w:r>
      <w:r w:rsidRPr="00340311">
        <w:tab/>
        <w:t xml:space="preserve">                      </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Males x 28 single pods only </w:t>
      </w:r>
      <w:r>
        <w:t>with hand sanitizer</w:t>
      </w:r>
      <w:r w:rsidRPr="00340311">
        <w:tab/>
      </w:r>
      <w:r w:rsidRPr="00340311">
        <w:tab/>
        <w:t xml:space="preserve">                      </w:t>
      </w:r>
    </w:p>
    <w:p w:rsidR="00627B01" w:rsidRPr="00340311" w:rsidRDefault="00627B01" w:rsidP="00627B01">
      <w:r w:rsidRPr="00340311">
        <w:t xml:space="preserve">3 x additional Buster urinals (4 bay) </w:t>
      </w:r>
      <w:r>
        <w:t>with hand sanitizer</w:t>
      </w:r>
      <w:r w:rsidRPr="00340311">
        <w:tab/>
      </w:r>
      <w:r w:rsidRPr="00340311">
        <w:tab/>
        <w:t xml:space="preserve">                      </w:t>
      </w:r>
    </w:p>
    <w:p w:rsidR="00627B01" w:rsidRPr="00340311" w:rsidRDefault="00627B01" w:rsidP="00627B01">
      <w:r w:rsidRPr="00340311">
        <w:t>Disabled x 2 plus wash basins</w:t>
      </w:r>
      <w:r>
        <w:t xml:space="preserve"> or hand sanitizer</w:t>
      </w:r>
      <w:r w:rsidRPr="00340311">
        <w:tab/>
      </w:r>
      <w:r w:rsidRPr="00340311">
        <w:tab/>
        <w:t xml:space="preserve">                      </w:t>
      </w:r>
      <w:r w:rsidRPr="00340311">
        <w:tab/>
      </w:r>
    </w:p>
    <w:p w:rsidR="00627B01" w:rsidRPr="00340311" w:rsidRDefault="00627B01" w:rsidP="00627B01">
      <w:r w:rsidRPr="00340311">
        <w:t>2 x single pod toilet for bar/food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2 x single pods for car parks</w:t>
      </w:r>
    </w:p>
    <w:p w:rsidR="00627B01" w:rsidRPr="00340311" w:rsidRDefault="00627B01" w:rsidP="00627B01">
      <w:r w:rsidRPr="00340311">
        <w:t xml:space="preserve">2 x 200 gallon water bowsers </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All consumables bac</w:t>
      </w:r>
      <w:r>
        <w:t>kstage and in public areas for three</w:t>
      </w:r>
      <w:r w:rsidRPr="00340311">
        <w:t xml:space="preserve">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t>Gully services backstage need to be completed before 8am each show day</w:t>
      </w:r>
    </w:p>
    <w:p w:rsidR="00627B01" w:rsidRPr="00340311" w:rsidRDefault="00627B01" w:rsidP="00627B01"/>
    <w:p w:rsidR="00627B01" w:rsidRPr="000C29E4" w:rsidRDefault="00627B01" w:rsidP="00627B01">
      <w:pPr>
        <w:rPr>
          <w:b/>
        </w:rPr>
      </w:pPr>
      <w:r w:rsidRPr="000C29E4">
        <w:rPr>
          <w:b/>
        </w:rPr>
        <w:t xml:space="preserve">Delivery/Collection </w:t>
      </w:r>
    </w:p>
    <w:p w:rsidR="00627B01" w:rsidRPr="000C29E4" w:rsidRDefault="00627B01" w:rsidP="00627B01">
      <w:pPr>
        <w:rPr>
          <w:u w:val="single"/>
        </w:rPr>
      </w:pPr>
      <w:r w:rsidRPr="00340311">
        <w:rPr>
          <w:b/>
        </w:rPr>
        <w:lastRenderedPageBreak/>
        <w:t>Public and staff units</w:t>
      </w:r>
      <w:r w:rsidRPr="00340311">
        <w:t xml:space="preserve"> should start being delivered from 10am Tuesday 2</w:t>
      </w:r>
      <w:r w:rsidR="00840D40">
        <w:t>1</w:t>
      </w:r>
      <w:r w:rsidRPr="00340311">
        <w:t xml:space="preserve"> June with all units to be in</w:t>
      </w:r>
      <w:r w:rsidR="00840D40">
        <w:t xml:space="preserve"> position by 6pm on Wednesday 22</w:t>
      </w:r>
      <w:r w:rsidRPr="00340311">
        <w:t>.  All units then need to be r</w:t>
      </w:r>
      <w:r w:rsidR="00840D40">
        <w:t>eady for use by 4pm on Friday 24</w:t>
      </w:r>
      <w:r w:rsidRPr="00340311">
        <w:t xml:space="preserve"> June. Collection should start from 10am on </w:t>
      </w:r>
      <w:r w:rsidR="00840D40">
        <w:t>Sunday 27</w:t>
      </w:r>
      <w:r w:rsidRPr="00340311">
        <w:t xml:space="preserve"> June with all units off site by 6pm </w:t>
      </w:r>
      <w:r w:rsidR="00840D40">
        <w:t>Monday 28</w:t>
      </w:r>
      <w:r w:rsidRPr="00340311">
        <w:t xml:space="preserve"> June.</w:t>
      </w:r>
    </w:p>
    <w:p w:rsidR="00840D40" w:rsidRDefault="00627B01" w:rsidP="00627B01">
      <w:r w:rsidRPr="00340311">
        <w:rPr>
          <w:b/>
        </w:rPr>
        <w:t>Backstage units</w:t>
      </w:r>
      <w:r w:rsidRPr="00340311">
        <w:t xml:space="preserve"> and sink waste tank need to be delivered and p</w:t>
      </w:r>
      <w:r w:rsidR="00840D40">
        <w:t>ositioned by 4pm on Wednesday 22</w:t>
      </w:r>
      <w:r w:rsidRPr="00340311">
        <w:t xml:space="preserve"> and plumbed for</w:t>
      </w:r>
      <w:r w:rsidR="00840D40">
        <w:t xml:space="preserve"> staff use by 4pm on Thursday 23</w:t>
      </w:r>
      <w:r w:rsidRPr="00340311">
        <w:t xml:space="preserve"> June. </w:t>
      </w:r>
      <w:r w:rsidR="00840D40" w:rsidRPr="00340311">
        <w:t xml:space="preserve">Collection should start from 10am on </w:t>
      </w:r>
      <w:r w:rsidR="00840D40">
        <w:t>Sunday 27</w:t>
      </w:r>
      <w:r w:rsidR="00840D40" w:rsidRPr="00340311">
        <w:t xml:space="preserve"> June </w:t>
      </w:r>
      <w:r w:rsidR="00840D40">
        <w:t>.</w:t>
      </w:r>
    </w:p>
    <w:p w:rsidR="00627B01" w:rsidRPr="00340311" w:rsidRDefault="00627B01" w:rsidP="00627B01">
      <w:r w:rsidRPr="00340311">
        <w:rPr>
          <w:b/>
        </w:rPr>
        <w:t>Water bowsers</w:t>
      </w:r>
      <w:r w:rsidRPr="00340311">
        <w:t xml:space="preserve"> should be delivered and positioned ready for use by 4pm on Thu</w:t>
      </w:r>
      <w:r w:rsidR="00840D40">
        <w:t>rsday 23</w:t>
      </w:r>
      <w:r w:rsidRPr="00340311">
        <w:t xml:space="preserve"> June. </w:t>
      </w:r>
      <w:r w:rsidR="00840D40" w:rsidRPr="00340311">
        <w:t xml:space="preserve">Collection should start from 10am on </w:t>
      </w:r>
      <w:r w:rsidR="00840D40">
        <w:t>Sunday 27</w:t>
      </w:r>
      <w:r w:rsidR="00840D40" w:rsidRPr="00340311">
        <w:t xml:space="preserve"> June</w:t>
      </w:r>
      <w:r w:rsidR="00840D40">
        <w:t>.</w:t>
      </w:r>
    </w:p>
    <w:p w:rsidR="00627B01" w:rsidRPr="00340311" w:rsidRDefault="00627B01" w:rsidP="00627B01"/>
    <w:p w:rsidR="00627B01" w:rsidRDefault="00627B01" w:rsidP="00627B01">
      <w:pPr>
        <w:pStyle w:val="Heading3"/>
        <w:spacing w:after="0" w:line="240" w:lineRule="atLeast"/>
        <w:ind w:right="570"/>
      </w:pPr>
      <w:r>
        <w:t>Lot 5: Thetford Forest, Suffolk</w:t>
      </w:r>
    </w:p>
    <w:p w:rsidR="00627B01" w:rsidRPr="00D94126" w:rsidRDefault="00627B01" w:rsidP="00627B01">
      <w:pPr>
        <w:rPr>
          <w:b/>
        </w:rPr>
      </w:pPr>
      <w:r w:rsidRPr="00D94126">
        <w:rPr>
          <w:b/>
        </w:rPr>
        <w:t xml:space="preserve">Capacity: </w:t>
      </w:r>
      <w:r w:rsidRPr="00D94126">
        <w:t xml:space="preserve">  9750 </w:t>
      </w:r>
    </w:p>
    <w:p w:rsidR="00627B01" w:rsidRPr="00D94126" w:rsidRDefault="00627B01" w:rsidP="00627B01">
      <w:r>
        <w:rPr>
          <w:b/>
        </w:rPr>
        <w:t>Show dates</w:t>
      </w:r>
      <w:r w:rsidRPr="00340311">
        <w:rPr>
          <w:b/>
        </w:rPr>
        <w:t xml:space="preserve">: </w:t>
      </w:r>
      <w:r w:rsidR="00840D40">
        <w:t>Thurs 30 June, Fri 1, Sat 2 and Sun 3</w:t>
      </w:r>
      <w:r>
        <w:t xml:space="preserve"> July</w:t>
      </w:r>
      <w:r w:rsidR="00644DFB">
        <w:t xml:space="preserve"> 2016</w:t>
      </w:r>
    </w:p>
    <w:p w:rsidR="00627B01" w:rsidRPr="00340311" w:rsidRDefault="00627B01" w:rsidP="00627B01">
      <w:pPr>
        <w:rPr>
          <w:b/>
        </w:rPr>
      </w:pPr>
    </w:p>
    <w:p w:rsidR="00627B01" w:rsidRPr="00340311" w:rsidRDefault="00627B01" w:rsidP="00627B01">
      <w:r>
        <w:t>Females x 42 single WC</w:t>
      </w:r>
      <w:r w:rsidRPr="00340311">
        <w:t xml:space="preserve">s </w:t>
      </w:r>
      <w:r>
        <w:t>with hand sanitizer</w:t>
      </w:r>
      <w:r w:rsidRPr="00340311">
        <w:t xml:space="preserve"> (combination of single pods and / or trailers)</w:t>
      </w:r>
    </w:p>
    <w:p w:rsidR="00627B01" w:rsidRPr="00340311" w:rsidRDefault="00627B01" w:rsidP="00627B01">
      <w:r>
        <w:t>Males x 13 WC</w:t>
      </w:r>
      <w:r w:rsidRPr="00340311">
        <w:t xml:space="preserve">s </w:t>
      </w:r>
      <w:r>
        <w:t>with hand sanitizer</w:t>
      </w:r>
      <w:r w:rsidRPr="00340311">
        <w:t xml:space="preserve"> and 34 urinals </w:t>
      </w:r>
      <w:r>
        <w:t>with hand sanitizer</w:t>
      </w:r>
      <w:r w:rsidRPr="00340311">
        <w:t xml:space="preserve"> (comb</w:t>
      </w:r>
      <w:r>
        <w:t xml:space="preserve">ination of single pods and /or </w:t>
      </w:r>
      <w:r w:rsidRPr="00340311">
        <w:t>trailers)</w:t>
      </w:r>
    </w:p>
    <w:p w:rsidR="00627B01" w:rsidRPr="00340311" w:rsidRDefault="00627B01" w:rsidP="00627B01">
      <w:r w:rsidRPr="00340311">
        <w:t>4 x additional Buster urinals</w:t>
      </w:r>
      <w:r>
        <w:t xml:space="preserve"> </w:t>
      </w:r>
      <w:r w:rsidRPr="00340311">
        <w:t xml:space="preserve">(4 bay) </w:t>
      </w:r>
      <w:r>
        <w:t>with hand sanitizer</w:t>
      </w:r>
    </w:p>
    <w:p w:rsidR="00627B01" w:rsidRPr="00340311" w:rsidRDefault="00627B01" w:rsidP="00627B01">
      <w:r w:rsidRPr="00340311">
        <w:t>Disabled x 4 plus wash basins</w:t>
      </w:r>
      <w:r>
        <w:t xml:space="preserve"> or hand sanitizer</w:t>
      </w:r>
      <w:r w:rsidRPr="00340311">
        <w:t>, ramp and handrails</w:t>
      </w:r>
    </w:p>
    <w:p w:rsidR="00627B01" w:rsidRPr="00340311" w:rsidRDefault="00627B01" w:rsidP="00627B01">
      <w:r w:rsidRPr="00340311">
        <w:t>2 x single pods for bar and 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5 x single pods for car parks</w:t>
      </w:r>
    </w:p>
    <w:p w:rsidR="00627B01" w:rsidRPr="00340311" w:rsidRDefault="00627B01" w:rsidP="00627B01">
      <w:r w:rsidRPr="00340311">
        <w:t>2 x single pod for AP Security camping</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3 x Catering sink waste slop low level holding tanks (1 x backstage and  2 x public)</w:t>
      </w:r>
    </w:p>
    <w:p w:rsidR="00627B01" w:rsidRPr="00340311" w:rsidRDefault="00627B01" w:rsidP="00627B01">
      <w:r w:rsidRPr="00340311">
        <w:t>All consumables backstage and in public are</w:t>
      </w:r>
      <w:r>
        <w:t>as for four</w:t>
      </w:r>
      <w:r w:rsidRPr="00340311">
        <w:t xml:space="preserve">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t>Gully services backstage need to be completed before 8am each show day</w:t>
      </w:r>
    </w:p>
    <w:p w:rsidR="00627B01" w:rsidRPr="00340311" w:rsidRDefault="00627B01" w:rsidP="00627B01"/>
    <w:p w:rsidR="00627B01" w:rsidRPr="000C29E4" w:rsidRDefault="00627B01" w:rsidP="00627B01">
      <w:pPr>
        <w:rPr>
          <w:b/>
        </w:rPr>
      </w:pPr>
      <w:r w:rsidRPr="000C29E4">
        <w:rPr>
          <w:b/>
        </w:rPr>
        <w:t xml:space="preserve">Delivery/Collection </w:t>
      </w:r>
    </w:p>
    <w:p w:rsidR="00627B01" w:rsidRPr="000C29E4" w:rsidRDefault="00627B01" w:rsidP="00627B01">
      <w:pPr>
        <w:rPr>
          <w:u w:val="single"/>
        </w:rPr>
      </w:pPr>
      <w:r w:rsidRPr="00340311">
        <w:rPr>
          <w:b/>
        </w:rPr>
        <w:t>Public and staff units</w:t>
      </w:r>
      <w:r w:rsidRPr="00340311">
        <w:t xml:space="preserve"> should start bei</w:t>
      </w:r>
      <w:r w:rsidR="00840D40">
        <w:t>ng delivered from 10am Monday 27</w:t>
      </w:r>
      <w:r w:rsidRPr="00340311">
        <w:t xml:space="preserve"> June with all units to be </w:t>
      </w:r>
      <w:r w:rsidR="00840D40">
        <w:t>in position by 6pm on Tuesday 28</w:t>
      </w:r>
      <w:r w:rsidRPr="00340311">
        <w:t xml:space="preserve"> June.  All units then need to be re</w:t>
      </w:r>
      <w:r w:rsidR="00840D40">
        <w:t>ady for use by 4pm on Wed 29 June</w:t>
      </w:r>
      <w:r w:rsidRPr="00340311">
        <w:t>. Collection sh</w:t>
      </w:r>
      <w:r w:rsidR="00840D40">
        <w:t>ould start from 10am on Monday 4</w:t>
      </w:r>
      <w:r w:rsidRPr="00340311">
        <w:t xml:space="preserve"> July with all</w:t>
      </w:r>
      <w:r w:rsidR="00840D40">
        <w:t xml:space="preserve"> units off site by 6pm Tuesday 5</w:t>
      </w:r>
      <w:r w:rsidRPr="00340311">
        <w:t xml:space="preserve"> July.</w:t>
      </w:r>
    </w:p>
    <w:p w:rsidR="00627B01" w:rsidRPr="00340311" w:rsidRDefault="00627B01" w:rsidP="00627B01">
      <w:r w:rsidRPr="00340311">
        <w:rPr>
          <w:b/>
        </w:rPr>
        <w:t>Backstage units</w:t>
      </w:r>
      <w:r w:rsidRPr="00340311">
        <w:t xml:space="preserve"> and sink waste tank need to be delivered and</w:t>
      </w:r>
      <w:r w:rsidR="00840D40">
        <w:t xml:space="preserve"> positioned by 4pm on Tuesday 28</w:t>
      </w:r>
      <w:r w:rsidRPr="00340311">
        <w:t xml:space="preserve"> June and plumbed for</w:t>
      </w:r>
      <w:r w:rsidR="00840D40">
        <w:t xml:space="preserve"> staff use by 4pm on Wednesday 29 June</w:t>
      </w:r>
      <w:r w:rsidRPr="00340311">
        <w:t>. Collection shoul</w:t>
      </w:r>
      <w:r w:rsidR="00840D40">
        <w:t>d start from 12 noon on Monday 4</w:t>
      </w:r>
      <w:r w:rsidRPr="00340311">
        <w:t xml:space="preserve"> July. </w:t>
      </w:r>
    </w:p>
    <w:p w:rsidR="00627B01" w:rsidRPr="00340311" w:rsidRDefault="00627B01" w:rsidP="00627B01">
      <w:pPr>
        <w:pStyle w:val="Heading3"/>
        <w:spacing w:after="0" w:line="240" w:lineRule="atLeast"/>
        <w:ind w:right="570"/>
      </w:pPr>
      <w:r>
        <w:t>Lot 6: Delamere Forest, Cheshire</w:t>
      </w:r>
    </w:p>
    <w:p w:rsidR="00627B01" w:rsidRPr="00340311" w:rsidRDefault="00627B01" w:rsidP="00627B01">
      <w:r w:rsidRPr="00D94126">
        <w:rPr>
          <w:b/>
        </w:rPr>
        <w:t>Capacity:</w:t>
      </w:r>
      <w:r>
        <w:t xml:space="preserve"> 5500</w:t>
      </w:r>
    </w:p>
    <w:p w:rsidR="00627B01" w:rsidRPr="00340311" w:rsidRDefault="00627B01" w:rsidP="00627B01">
      <w:pPr>
        <w:rPr>
          <w:b/>
        </w:rPr>
      </w:pPr>
      <w:r>
        <w:rPr>
          <w:b/>
        </w:rPr>
        <w:lastRenderedPageBreak/>
        <w:t>Show dates</w:t>
      </w:r>
      <w:r w:rsidRPr="00340311">
        <w:rPr>
          <w:b/>
        </w:rPr>
        <w:t xml:space="preserve">: </w:t>
      </w:r>
      <w:r w:rsidR="00840D40">
        <w:t>Fri 1, Sat 2 and Sun 3</w:t>
      </w:r>
      <w:r w:rsidRPr="00D94126">
        <w:t xml:space="preserve"> July</w:t>
      </w:r>
      <w:r w:rsidR="00644DFB">
        <w:t xml:space="preserve"> 2016</w:t>
      </w:r>
    </w:p>
    <w:p w:rsidR="00627B01" w:rsidRPr="00340311" w:rsidRDefault="00627B01" w:rsidP="00627B01">
      <w:pPr>
        <w:rPr>
          <w:b/>
        </w:rPr>
      </w:pP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Females x 28 single pods only </w:t>
      </w:r>
      <w:r>
        <w:t>with hand sanitizer</w:t>
      </w:r>
      <w:r w:rsidRPr="00340311">
        <w:tab/>
        <w:t xml:space="preserve">                      </w:t>
      </w:r>
    </w:p>
    <w:p w:rsidR="00627B0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Males x 28 single pods only </w:t>
      </w:r>
      <w:r>
        <w:t>with hand sanitizer</w:t>
      </w:r>
      <w:r w:rsidRPr="00340311">
        <w:t xml:space="preserve"> </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2 x additional Buster urinals (4 bay) </w:t>
      </w:r>
      <w:r>
        <w:t>with hand sanitizer</w:t>
      </w:r>
    </w:p>
    <w:p w:rsidR="00627B01" w:rsidRPr="00340311" w:rsidRDefault="00627B01" w:rsidP="00627B01">
      <w:r w:rsidRPr="00340311">
        <w:t>Disabled x 2 plus wash basins</w:t>
      </w:r>
      <w:r>
        <w:t xml:space="preserve"> or hand sanitizer</w:t>
      </w:r>
      <w:r w:rsidRPr="00340311">
        <w:tab/>
      </w:r>
    </w:p>
    <w:p w:rsidR="00627B01" w:rsidRPr="00340311" w:rsidRDefault="00627B01" w:rsidP="00627B01">
      <w:r w:rsidRPr="00340311">
        <w:t>2 x single pod toilet for bar/food</w:t>
      </w:r>
    </w:p>
    <w:p w:rsidR="00627B01" w:rsidRPr="00340311" w:rsidRDefault="00627B01" w:rsidP="00627B01">
      <w:r w:rsidRPr="00340311">
        <w:t>1 x single pod fo</w:t>
      </w:r>
      <w:r>
        <w:t>r first</w:t>
      </w:r>
      <w:r w:rsidRPr="00340311">
        <w:t xml:space="preserve"> aid</w:t>
      </w:r>
      <w:r w:rsidRPr="00340311">
        <w:tab/>
      </w:r>
    </w:p>
    <w:p w:rsidR="00627B01" w:rsidRPr="00340311" w:rsidRDefault="00627B01" w:rsidP="00627B01">
      <w:r w:rsidRPr="00340311">
        <w:t>2 x single pods for car parks</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All consumables bac</w:t>
      </w:r>
      <w:r>
        <w:t>kstage and in public areas for three</w:t>
      </w:r>
      <w:r w:rsidRPr="00340311">
        <w:t xml:space="preserve">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t>Gully services backstage need to be completed before 8am each show day</w:t>
      </w:r>
    </w:p>
    <w:p w:rsidR="00627B01" w:rsidRPr="00340311" w:rsidRDefault="00627B01" w:rsidP="00627B01"/>
    <w:p w:rsidR="00627B01" w:rsidRPr="000C29E4" w:rsidRDefault="00627B01" w:rsidP="00627B01">
      <w:pPr>
        <w:rPr>
          <w:b/>
        </w:rPr>
      </w:pPr>
      <w:r w:rsidRPr="000C29E4">
        <w:rPr>
          <w:b/>
        </w:rPr>
        <w:t xml:space="preserve">Delivery/Collection </w:t>
      </w:r>
    </w:p>
    <w:p w:rsidR="00627B01" w:rsidRPr="000C29E4" w:rsidRDefault="00627B01" w:rsidP="00627B01">
      <w:pPr>
        <w:rPr>
          <w:u w:val="single"/>
        </w:rPr>
      </w:pPr>
      <w:r w:rsidRPr="00340311">
        <w:rPr>
          <w:b/>
        </w:rPr>
        <w:t>Public and staff units</w:t>
      </w:r>
      <w:r w:rsidRPr="00340311">
        <w:t xml:space="preserve"> should start bein</w:t>
      </w:r>
      <w:r w:rsidR="00644DFB">
        <w:t>g delivered from 10am Tuesday 28</w:t>
      </w:r>
      <w:r w:rsidRPr="00340311">
        <w:t xml:space="preserve"> June with all units to be i</w:t>
      </w:r>
      <w:r w:rsidR="00644DFB">
        <w:t>n position by 6pm on Wednesday 29 June</w:t>
      </w:r>
      <w:r w:rsidRPr="00340311">
        <w:t xml:space="preserve">. All units then need to be </w:t>
      </w:r>
      <w:r w:rsidR="00644DFB">
        <w:t>ready for use by 4pm on Friday 1</w:t>
      </w:r>
      <w:r w:rsidRPr="00340311">
        <w:t xml:space="preserve"> July. Collection sh</w:t>
      </w:r>
      <w:r w:rsidR="00644DFB">
        <w:t>ould start from 10am on Monday 4</w:t>
      </w:r>
      <w:r w:rsidRPr="00340311">
        <w:t xml:space="preserve"> July with all</w:t>
      </w:r>
      <w:r w:rsidR="00644DFB">
        <w:t xml:space="preserve"> units off site by 6pm Tuesday 5</w:t>
      </w:r>
      <w:r w:rsidRPr="00340311">
        <w:t xml:space="preserve"> July.</w:t>
      </w:r>
    </w:p>
    <w:p w:rsidR="00627B01" w:rsidRPr="00340311" w:rsidRDefault="00627B01" w:rsidP="00627B01">
      <w:r w:rsidRPr="00340311">
        <w:rPr>
          <w:b/>
        </w:rPr>
        <w:t>Backstage units</w:t>
      </w:r>
      <w:r w:rsidRPr="00340311">
        <w:t xml:space="preserve"> and sink waste tank need to be delivered and </w:t>
      </w:r>
      <w:r w:rsidR="00644DFB">
        <w:t>positioned by 4pm on Wednesday 29 June</w:t>
      </w:r>
      <w:r w:rsidRPr="00340311">
        <w:t xml:space="preserve"> and plumbed fo</w:t>
      </w:r>
      <w:r w:rsidR="00644DFB">
        <w:t>r staff use by 4pm on Thursday 30 June</w:t>
      </w:r>
      <w:r w:rsidRPr="00340311">
        <w:t>.  Collection shoul</w:t>
      </w:r>
      <w:r w:rsidR="00644DFB">
        <w:t>d start from 12 noon on Monday 4</w:t>
      </w:r>
      <w:r w:rsidRPr="00340311">
        <w:t xml:space="preserve"> July. </w:t>
      </w:r>
    </w:p>
    <w:p w:rsidR="00627B01" w:rsidRDefault="00627B01" w:rsidP="00627B01">
      <w:pPr>
        <w:rPr>
          <w:u w:val="single"/>
        </w:rPr>
      </w:pPr>
    </w:p>
    <w:p w:rsidR="00627B01" w:rsidRPr="00340311" w:rsidRDefault="00627B01" w:rsidP="00627B01">
      <w:pPr>
        <w:pStyle w:val="Heading3"/>
        <w:spacing w:after="0" w:line="240" w:lineRule="atLeast"/>
        <w:ind w:right="570"/>
      </w:pPr>
      <w:r>
        <w:t>Lot 7: Cannock Chase Forest, Staffs</w:t>
      </w:r>
    </w:p>
    <w:p w:rsidR="00627B01" w:rsidRPr="0054704E" w:rsidRDefault="00627B01" w:rsidP="00627B01">
      <w:r w:rsidRPr="0054704E">
        <w:rPr>
          <w:b/>
        </w:rPr>
        <w:t xml:space="preserve">Capacity: </w:t>
      </w:r>
      <w:r w:rsidRPr="0054704E">
        <w:t>5300</w:t>
      </w:r>
    </w:p>
    <w:p w:rsidR="00627B01" w:rsidRPr="0054704E" w:rsidRDefault="00627B01" w:rsidP="00627B01">
      <w:r w:rsidRPr="00340311">
        <w:rPr>
          <w:b/>
        </w:rPr>
        <w:t xml:space="preserve">Shows: </w:t>
      </w:r>
      <w:r w:rsidR="00644DFB">
        <w:t>Fri 8, Sat 9 and Sun 10</w:t>
      </w:r>
      <w:r w:rsidRPr="0054704E">
        <w:t xml:space="preserve"> July</w:t>
      </w:r>
      <w:r w:rsidR="00644DFB">
        <w:t xml:space="preserve"> 2016</w:t>
      </w:r>
    </w:p>
    <w:p w:rsidR="00627B01" w:rsidRPr="00340311" w:rsidRDefault="00627B01" w:rsidP="00627B01">
      <w:pPr>
        <w:rPr>
          <w:b/>
        </w:rPr>
      </w:pP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Females x 25 single pods only with </w:t>
      </w:r>
      <w:r>
        <w:t>hand sanitizer</w:t>
      </w:r>
      <w:r w:rsidRPr="00340311">
        <w:tab/>
      </w:r>
      <w:r w:rsidRPr="00340311">
        <w:tab/>
        <w:t xml:space="preserve">                      </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 xml:space="preserve">Males x 22 single pods only with </w:t>
      </w:r>
      <w:r>
        <w:t>hand sanitizer</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rsidRPr="00340311">
        <w:t>2 x additional Buster urinals</w:t>
      </w:r>
      <w:r>
        <w:t xml:space="preserve"> (4 bay)</w:t>
      </w:r>
      <w:r w:rsidRPr="00340311">
        <w:t xml:space="preserve"> with </w:t>
      </w:r>
      <w:r>
        <w:t>hand sanitizer</w:t>
      </w:r>
    </w:p>
    <w:p w:rsidR="00627B01" w:rsidRPr="00340311" w:rsidRDefault="00627B01" w:rsidP="00627B01">
      <w:pPr>
        <w:tabs>
          <w:tab w:val="left" w:pos="720"/>
          <w:tab w:val="left" w:pos="1440"/>
          <w:tab w:val="left" w:pos="2160"/>
          <w:tab w:val="left" w:pos="2880"/>
          <w:tab w:val="left" w:pos="3600"/>
          <w:tab w:val="left" w:pos="4320"/>
          <w:tab w:val="left" w:pos="5040"/>
          <w:tab w:val="left" w:pos="5760"/>
          <w:tab w:val="left" w:pos="6480"/>
          <w:tab w:val="left" w:pos="7200"/>
          <w:tab w:val="right" w:pos="8306"/>
        </w:tabs>
      </w:pPr>
      <w:r>
        <w:t>Disabled x 2 plus wash basins or hand sanitizer</w:t>
      </w:r>
    </w:p>
    <w:p w:rsidR="00627B01" w:rsidRPr="00340311" w:rsidRDefault="00627B01" w:rsidP="00627B01">
      <w:r w:rsidRPr="00340311">
        <w:t>2 x single pod toilet for bar/food</w:t>
      </w:r>
    </w:p>
    <w:p w:rsidR="00627B01" w:rsidRPr="00340311" w:rsidRDefault="00627B01" w:rsidP="00627B01">
      <w:r>
        <w:t>1 x single pod for first</w:t>
      </w:r>
      <w:r w:rsidRPr="00340311">
        <w:t xml:space="preserve"> aid</w:t>
      </w:r>
      <w:r w:rsidRPr="00340311">
        <w:tab/>
      </w:r>
    </w:p>
    <w:p w:rsidR="00627B01" w:rsidRPr="00340311" w:rsidRDefault="00627B01" w:rsidP="00627B01">
      <w:r w:rsidRPr="00340311">
        <w:t>2 x single pods for car parks</w:t>
      </w:r>
    </w:p>
    <w:p w:rsidR="00627B01" w:rsidRPr="00340311" w:rsidRDefault="00627B01" w:rsidP="00627B01">
      <w:r w:rsidRPr="00340311">
        <w:t>Back stage re-circulating VIP Luxury Toilet</w:t>
      </w:r>
    </w:p>
    <w:p w:rsidR="00627B01" w:rsidRPr="00340311" w:rsidRDefault="00627B01" w:rsidP="00627B01">
      <w:r w:rsidRPr="00340311">
        <w:t>Self-contained VIP / Luxury shower</w:t>
      </w:r>
    </w:p>
    <w:p w:rsidR="00627B01" w:rsidRPr="00340311" w:rsidRDefault="00627B01" w:rsidP="00627B01">
      <w:r w:rsidRPr="00340311">
        <w:t>2 x Catering sink waste slop low level holding tanks (1 x backstage and 1 x public)</w:t>
      </w:r>
    </w:p>
    <w:p w:rsidR="00627B01" w:rsidRPr="00340311" w:rsidRDefault="00627B01" w:rsidP="00627B01">
      <w:r w:rsidRPr="00340311">
        <w:t>All consumables backstage and in</w:t>
      </w:r>
      <w:r>
        <w:t xml:space="preserve"> public areas for three</w:t>
      </w:r>
      <w:r w:rsidRPr="00340311">
        <w:t xml:space="preserve"> concert nights </w:t>
      </w:r>
    </w:p>
    <w:p w:rsidR="00627B01" w:rsidRPr="00340311" w:rsidRDefault="00627B01" w:rsidP="00627B01">
      <w:r w:rsidRPr="00340311">
        <w:t>On site cleaning and maintenance staff show days from 7.45am to 11.45pm</w:t>
      </w:r>
    </w:p>
    <w:p w:rsidR="00627B01" w:rsidRPr="00340311" w:rsidRDefault="00627B01" w:rsidP="00627B01">
      <w:r w:rsidRPr="00340311">
        <w:lastRenderedPageBreak/>
        <w:t>Gully services backstage need to be completed before 8am each show day</w:t>
      </w:r>
    </w:p>
    <w:p w:rsidR="00627B01" w:rsidRPr="00340311" w:rsidRDefault="00627B01" w:rsidP="00627B01"/>
    <w:p w:rsidR="00627B01" w:rsidRPr="000C29E4" w:rsidRDefault="00627B01" w:rsidP="00627B01">
      <w:pPr>
        <w:rPr>
          <w:b/>
        </w:rPr>
      </w:pPr>
      <w:r w:rsidRPr="000C29E4">
        <w:rPr>
          <w:b/>
        </w:rPr>
        <w:t xml:space="preserve">Delivery/Collection </w:t>
      </w:r>
    </w:p>
    <w:p w:rsidR="00627B01" w:rsidRPr="000C29E4" w:rsidRDefault="00627B01" w:rsidP="00627B01">
      <w:pPr>
        <w:rPr>
          <w:u w:val="single"/>
        </w:rPr>
      </w:pPr>
      <w:r w:rsidRPr="00340311">
        <w:rPr>
          <w:b/>
        </w:rPr>
        <w:t>Public and staff units</w:t>
      </w:r>
      <w:r w:rsidRPr="00340311">
        <w:t xml:space="preserve"> should start bei</w:t>
      </w:r>
      <w:r w:rsidR="00644DFB">
        <w:t>ng delivered from 10am Tuesday 5</w:t>
      </w:r>
      <w:r w:rsidRPr="00340311">
        <w:t xml:space="preserve"> July with all units to be i</w:t>
      </w:r>
      <w:r w:rsidR="00644DFB">
        <w:t>n position by 6pm on Wednesday 6</w:t>
      </w:r>
      <w:r w:rsidRPr="00340311">
        <w:t xml:space="preserve"> July. All units then need to be re</w:t>
      </w:r>
      <w:r w:rsidR="00644DFB">
        <w:t>ady for use by 4pm on Friday 8</w:t>
      </w:r>
      <w:r w:rsidRPr="00340311">
        <w:t xml:space="preserve"> July. Collection sho</w:t>
      </w:r>
      <w:r w:rsidR="00644DFB">
        <w:t>uld start from 10am on Monday 11</w:t>
      </w:r>
      <w:r w:rsidRPr="00340311">
        <w:t xml:space="preserve"> July with all </w:t>
      </w:r>
      <w:r w:rsidR="00644DFB">
        <w:t>units off site by 6pm Tuesday 12</w:t>
      </w:r>
      <w:r w:rsidRPr="00340311">
        <w:t xml:space="preserve"> July.</w:t>
      </w:r>
    </w:p>
    <w:p w:rsidR="00627B01" w:rsidRDefault="00627B01" w:rsidP="00627B01">
      <w:r w:rsidRPr="00340311">
        <w:rPr>
          <w:b/>
        </w:rPr>
        <w:t>Backstage units</w:t>
      </w:r>
      <w:r w:rsidRPr="00340311">
        <w:t xml:space="preserve"> and sink waste tank need to be delivered and positioned by 4pm on Wednesday 8 July and plumbed for sta</w:t>
      </w:r>
      <w:r w:rsidR="00644DFB">
        <w:t>ff use by 4pm on Thursday 7</w:t>
      </w:r>
      <w:r w:rsidRPr="00340311">
        <w:t xml:space="preserve"> July. Collection should</w:t>
      </w:r>
      <w:r w:rsidR="00644DFB">
        <w:t xml:space="preserve"> start from 12 noon on Monday 11</w:t>
      </w:r>
      <w:r w:rsidRPr="00340311">
        <w:t xml:space="preserve"> July.</w:t>
      </w:r>
    </w:p>
    <w:p w:rsidR="00627B01" w:rsidRDefault="00627B01" w:rsidP="00627B01"/>
    <w:p w:rsidR="00627B01" w:rsidRPr="00627B01" w:rsidRDefault="00627B01" w:rsidP="00627B01">
      <w:pPr>
        <w:pStyle w:val="Heading2"/>
        <w:rPr>
          <w:sz w:val="32"/>
          <w:szCs w:val="32"/>
        </w:rPr>
      </w:pPr>
      <w:r w:rsidRPr="00627B01">
        <w:rPr>
          <w:sz w:val="32"/>
          <w:szCs w:val="32"/>
        </w:rPr>
        <w:t>Contract Management Requirements</w:t>
      </w:r>
    </w:p>
    <w:p w:rsidR="00627B01" w:rsidRDefault="00627B01" w:rsidP="00627B01">
      <w:pPr>
        <w:pStyle w:val="FCGBBodyText"/>
      </w:pPr>
    </w:p>
    <w:p w:rsidR="00627B01" w:rsidRDefault="00627B01" w:rsidP="00627B01">
      <w:pPr>
        <w:pStyle w:val="FCGBBodyText"/>
      </w:pPr>
      <w:r>
        <w:t xml:space="preserve">The successful bidder must designate in advance a named manager as the key point of contact for both planning and delivery of service on site. </w:t>
      </w:r>
    </w:p>
    <w:p w:rsidR="00627B01" w:rsidRDefault="00627B01" w:rsidP="00627B01">
      <w:pPr>
        <w:pStyle w:val="FCGBBodyText"/>
      </w:pPr>
    </w:p>
    <w:p w:rsidR="00627B01" w:rsidRDefault="00627B01" w:rsidP="00627B01">
      <w:pPr>
        <w:pStyle w:val="FCGBBodyText"/>
      </w:pPr>
      <w:r>
        <w:t>The contractors manager at each site must ensure they have been issued with a radio and attend to communications concerning them throughout the evening.</w:t>
      </w:r>
    </w:p>
    <w:p w:rsidR="0078442A" w:rsidRDefault="0078442A" w:rsidP="00627B01">
      <w:pPr>
        <w:pStyle w:val="FCGBBodyText"/>
      </w:pPr>
    </w:p>
    <w:p w:rsidR="0078442A" w:rsidRDefault="0078442A" w:rsidP="00627B01">
      <w:pPr>
        <w:pStyle w:val="FCGBBodyText"/>
      </w:pPr>
      <w:r>
        <w:t xml:space="preserve">Exact requirements may vary depending on actual ticket sales, final number of units required will be finalised a minimum of 2 weeks before each event. </w:t>
      </w:r>
    </w:p>
    <w:p w:rsidR="00414458" w:rsidRDefault="00414458" w:rsidP="00627B01">
      <w:pPr>
        <w:pStyle w:val="FCGBBodyText"/>
      </w:pPr>
    </w:p>
    <w:p w:rsidR="00414458" w:rsidRDefault="00414458" w:rsidP="00627B01">
      <w:pPr>
        <w:pStyle w:val="FCGBBodyText"/>
      </w:pPr>
      <w:r>
        <w:t>Invoices will be paid by BACS within 30 days of receipt either:</w:t>
      </w:r>
    </w:p>
    <w:p w:rsidR="00414458" w:rsidRDefault="00414458" w:rsidP="00627B01">
      <w:pPr>
        <w:pStyle w:val="FCGBBodyText"/>
      </w:pPr>
      <w:r>
        <w:t xml:space="preserve">50% </w:t>
      </w:r>
      <w:r w:rsidR="00380E65">
        <w:t xml:space="preserve">up to 3 months in advance of the delivery date </w:t>
      </w:r>
      <w:r>
        <w:t>and 50% after the lot has been delivered.</w:t>
      </w:r>
    </w:p>
    <w:p w:rsidR="00414458" w:rsidRDefault="00414458" w:rsidP="00627B01">
      <w:pPr>
        <w:pStyle w:val="FCGBBodyText"/>
      </w:pPr>
      <w:r>
        <w:t>or</w:t>
      </w:r>
    </w:p>
    <w:p w:rsidR="00414458" w:rsidRDefault="00414458" w:rsidP="00627B01">
      <w:pPr>
        <w:pStyle w:val="FCGBBodyText"/>
      </w:pPr>
      <w:r>
        <w:t>100% of cost invoiced after the lot has been delivered.</w:t>
      </w:r>
    </w:p>
    <w:p w:rsidR="00414458" w:rsidRDefault="00414458" w:rsidP="00627B01">
      <w:pPr>
        <w:pStyle w:val="FCGBBodyText"/>
      </w:pPr>
    </w:p>
    <w:p w:rsidR="00414458" w:rsidRDefault="00414458" w:rsidP="00627B01">
      <w:pPr>
        <w:pStyle w:val="FCGBBodyText"/>
      </w:pPr>
      <w:r>
        <w:t>All invoices to be received by 31 July in the year of delivery.</w:t>
      </w:r>
    </w:p>
    <w:p w:rsidR="000D0DD0" w:rsidRDefault="000D0DD0" w:rsidP="00627B01">
      <w:pPr>
        <w:pStyle w:val="FCGBBodyText"/>
      </w:pPr>
    </w:p>
    <w:p w:rsidR="000D0DD0" w:rsidRDefault="000D0DD0" w:rsidP="000D0DD0">
      <w:r>
        <w:t>Any increases to the value of the contract will be in line with CPI as of 1 January in each year of the contract.</w:t>
      </w:r>
    </w:p>
    <w:p w:rsidR="0078442A" w:rsidRDefault="0078442A" w:rsidP="00627B01">
      <w:pPr>
        <w:pStyle w:val="FCGBBodyText"/>
      </w:pPr>
    </w:p>
    <w:p w:rsidR="0078442A" w:rsidRDefault="0078442A" w:rsidP="00627B01">
      <w:pPr>
        <w:pStyle w:val="FCGBBodyText"/>
      </w:pPr>
      <w:r>
        <w:t xml:space="preserve">Requirements </w:t>
      </w:r>
      <w:r w:rsidR="00AE353B">
        <w:t xml:space="preserve">in terms of number of units </w:t>
      </w:r>
      <w:r>
        <w:t xml:space="preserve">may vary slightly from year to year. Dates and outline </w:t>
      </w:r>
      <w:r w:rsidR="00AE353B">
        <w:t>requirements for</w:t>
      </w:r>
      <w:r>
        <w:t xml:space="preserve"> the service required will be provided before the end of August for the following year of the contract.</w:t>
      </w:r>
    </w:p>
    <w:p w:rsidR="00627B01" w:rsidRPr="00340311" w:rsidRDefault="00627B01" w:rsidP="00627B01"/>
    <w:p w:rsidR="00627B01" w:rsidRPr="00627B01" w:rsidRDefault="00627B01" w:rsidP="00627B01">
      <w:pPr>
        <w:pStyle w:val="Heading2"/>
        <w:tabs>
          <w:tab w:val="left" w:pos="1134"/>
        </w:tabs>
        <w:spacing w:line="240" w:lineRule="atLeast"/>
        <w:ind w:right="567"/>
        <w:rPr>
          <w:sz w:val="32"/>
          <w:szCs w:val="32"/>
        </w:rPr>
      </w:pPr>
      <w:r w:rsidRPr="00627B01">
        <w:rPr>
          <w:sz w:val="32"/>
          <w:szCs w:val="32"/>
        </w:rPr>
        <w:t>Environmental/ sustainability requirements</w:t>
      </w:r>
    </w:p>
    <w:p w:rsidR="00627B01" w:rsidRPr="00C27B37" w:rsidRDefault="00627B01" w:rsidP="00627B01"/>
    <w:p w:rsidR="00627B01" w:rsidRDefault="00627B01" w:rsidP="00627B01">
      <w:pPr>
        <w:spacing w:line="240" w:lineRule="auto"/>
      </w:pPr>
      <w:r w:rsidRPr="00C27B37">
        <w:lastRenderedPageBreak/>
        <w:t>All waste must be transported and disposed of via licensed companies</w:t>
      </w:r>
      <w:r>
        <w:t xml:space="preserve"> who can produce the necessary Duty-of-C</w:t>
      </w:r>
      <w:r w:rsidRPr="00C27B37">
        <w:t xml:space="preserve">are paperwork for each waste transaction. </w:t>
      </w:r>
    </w:p>
    <w:p w:rsidR="00627B01" w:rsidRPr="00C27B37" w:rsidRDefault="00627B01" w:rsidP="00627B01">
      <w:pPr>
        <w:spacing w:line="240" w:lineRule="auto"/>
      </w:pPr>
    </w:p>
    <w:p w:rsidR="00627B01" w:rsidRDefault="00627B01" w:rsidP="00627B01">
      <w:pPr>
        <w:spacing w:line="240" w:lineRule="auto"/>
      </w:pPr>
      <w:r w:rsidRPr="00C27B37">
        <w:t xml:space="preserve">Copies of Waste carrier licenses (waste carriers), season tickets, exemptions, and environmental permits with relevant EWC code schedule (waste receivers) should be given to the FC prior to </w:t>
      </w:r>
      <w:r>
        <w:t>any waste being taken off-site.</w:t>
      </w:r>
    </w:p>
    <w:p w:rsidR="00627B01" w:rsidRPr="00C27B37" w:rsidRDefault="00627B01" w:rsidP="00627B01">
      <w:pPr>
        <w:spacing w:line="240" w:lineRule="auto"/>
      </w:pPr>
    </w:p>
    <w:p w:rsidR="00627B01" w:rsidRDefault="00627B01" w:rsidP="00627B01">
      <w:pPr>
        <w:spacing w:line="240" w:lineRule="auto"/>
      </w:pPr>
      <w:r w:rsidRPr="00C27B37">
        <w:t>Waste transfer/consignment notes should be sent to FC for any waste transfers not covered by a season ticket or exemption.</w:t>
      </w:r>
    </w:p>
    <w:p w:rsidR="00627B01" w:rsidRDefault="00627B01" w:rsidP="00627B01">
      <w:pPr>
        <w:spacing w:line="240" w:lineRule="auto"/>
      </w:pPr>
    </w:p>
    <w:p w:rsidR="00627B01" w:rsidRPr="00D0691B" w:rsidRDefault="00627B01" w:rsidP="00627B01">
      <w:pPr>
        <w:spacing w:line="240" w:lineRule="auto"/>
        <w:rPr>
          <w:color w:val="FF0000"/>
        </w:rPr>
      </w:pPr>
      <w:r w:rsidRPr="00C27B37">
        <w:rPr>
          <w:color w:val="000000" w:themeColor="text1"/>
        </w:rPr>
        <w:t>L</w:t>
      </w:r>
      <w:r>
        <w:rPr>
          <w:color w:val="000000" w:themeColor="text1"/>
        </w:rPr>
        <w:t>ocal Drainage P</w:t>
      </w:r>
      <w:r w:rsidRPr="00C27B37">
        <w:rPr>
          <w:color w:val="000000" w:themeColor="text1"/>
        </w:rPr>
        <w:t xml:space="preserve">lans </w:t>
      </w:r>
      <w:r>
        <w:rPr>
          <w:color w:val="000000" w:themeColor="text1"/>
        </w:rPr>
        <w:t>will be supplied by the FC to the successful contractor(s)</w:t>
      </w:r>
      <w:r w:rsidRPr="00C27B37">
        <w:rPr>
          <w:color w:val="000000" w:themeColor="text1"/>
        </w:rPr>
        <w:t xml:space="preserve"> prior to gaining access to the site.</w:t>
      </w:r>
      <w:r>
        <w:rPr>
          <w:color w:val="000000" w:themeColor="text1"/>
        </w:rPr>
        <w:t xml:space="preserve"> </w:t>
      </w:r>
    </w:p>
    <w:p w:rsidR="00627B01" w:rsidRDefault="00627B01" w:rsidP="00627B01">
      <w:pPr>
        <w:spacing w:line="240" w:lineRule="auto"/>
      </w:pPr>
    </w:p>
    <w:p w:rsidR="00627B01" w:rsidRDefault="00627B01" w:rsidP="00627B01">
      <w:pPr>
        <w:spacing w:line="240" w:lineRule="auto"/>
      </w:pPr>
      <w:r>
        <w:t>The contractor must ensure s</w:t>
      </w:r>
      <w:r w:rsidRPr="00C27B37">
        <w:t>pill kits and pollution prevention tr</w:t>
      </w:r>
      <w:r>
        <w:t>ained staff</w:t>
      </w:r>
      <w:r w:rsidRPr="00C27B37">
        <w:t xml:space="preserve"> </w:t>
      </w:r>
      <w:r>
        <w:t>are</w:t>
      </w:r>
      <w:r w:rsidRPr="00C27B37">
        <w:t xml:space="preserve"> available for all operations where pollution incidents may occur.</w:t>
      </w:r>
    </w:p>
    <w:p w:rsidR="00627B01" w:rsidRPr="00C27B37" w:rsidRDefault="00627B01" w:rsidP="00627B01">
      <w:pPr>
        <w:spacing w:line="240" w:lineRule="auto"/>
      </w:pPr>
    </w:p>
    <w:p w:rsidR="00627B01" w:rsidRDefault="00627B01" w:rsidP="00627B01">
      <w:pPr>
        <w:autoSpaceDE w:val="0"/>
        <w:autoSpaceDN w:val="0"/>
        <w:adjustRightInd w:val="0"/>
        <w:spacing w:line="240" w:lineRule="auto"/>
      </w:pPr>
      <w:r w:rsidRPr="00D0691B">
        <w:rPr>
          <w:rFonts w:cs="Verdana"/>
        </w:rPr>
        <w:t>The Forestry Commission is an ISO14001-accredited organisation and requires that all agents and contactors comply with the stated aims of the FC Environmental Policy</w:t>
      </w:r>
      <w:r>
        <w:rPr>
          <w:rFonts w:cs="Verdana"/>
        </w:rPr>
        <w:t xml:space="preserve"> (enclosed)</w:t>
      </w:r>
      <w:r>
        <w:t xml:space="preserve">. </w:t>
      </w:r>
    </w:p>
    <w:p w:rsidR="00627B01" w:rsidRPr="00D0691B" w:rsidRDefault="00627B01" w:rsidP="00627B01">
      <w:r w:rsidRPr="00D0691B">
        <w:t>The successful contractor(s) will meet the FC contract conditions ensuring the FC receive the information required under Duty of Care in good time.</w:t>
      </w:r>
      <w:r>
        <w:t xml:space="preserve"> </w:t>
      </w:r>
    </w:p>
    <w:p w:rsidR="00A15A13" w:rsidRPr="009E5141" w:rsidRDefault="00A15A13" w:rsidP="00323316">
      <w:pPr>
        <w:rPr>
          <w:color w:val="FF0000"/>
        </w:rPr>
      </w:pPr>
    </w:p>
    <w:p w:rsidR="00323316" w:rsidRDefault="00323316" w:rsidP="00323316">
      <w:pPr>
        <w:spacing w:line="240" w:lineRule="auto"/>
        <w:jc w:val="both"/>
        <w:rPr>
          <w:rFonts w:ascii="Arial" w:eastAsia="Arial" w:hAnsi="Arial" w:cs="Arial"/>
          <w:b/>
          <w:u w:val="single"/>
        </w:rPr>
      </w:pPr>
      <w:r w:rsidRPr="009E5141">
        <w:rPr>
          <w:b/>
          <w:color w:val="006600"/>
        </w:rPr>
        <w:t>Note: Tenderers must include details of any areas where they will not be able to comply with these requirements.  If your Tender does not meet these requirements we reserve the right to reject it completely.</w:t>
      </w:r>
    </w:p>
    <w:p w:rsidR="00323316" w:rsidRDefault="00323316" w:rsidP="00323316">
      <w:pPr>
        <w:spacing w:line="240" w:lineRule="auto"/>
        <w:jc w:val="both"/>
        <w:rPr>
          <w:rFonts w:ascii="Arial" w:eastAsia="Arial" w:hAnsi="Arial" w:cs="Arial"/>
          <w:b/>
          <w:u w:val="single"/>
        </w:rPr>
      </w:pPr>
    </w:p>
    <w:p w:rsidR="0016319B" w:rsidRDefault="0016319B" w:rsidP="0016319B">
      <w:pPr>
        <w:pStyle w:val="Heading1"/>
        <w:keepNext w:val="0"/>
        <w:spacing w:before="120" w:line="240" w:lineRule="atLeast"/>
        <w:ind w:right="567"/>
      </w:pPr>
      <w:r>
        <w:t>Notes for Completion</w:t>
      </w:r>
      <w:r w:rsidR="00555277">
        <w:t xml:space="preserve"> and Conditions</w:t>
      </w:r>
    </w:p>
    <w:p w:rsidR="00A15A13" w:rsidRPr="00A15A13" w:rsidRDefault="00A15A13" w:rsidP="00A15A13">
      <w:pPr>
        <w:pStyle w:val="Heading2"/>
      </w:pPr>
      <w:r>
        <w:t>Definitions and purpose</w:t>
      </w:r>
    </w:p>
    <w:p w:rsidR="007E0FAD" w:rsidRDefault="0016319B" w:rsidP="007E0FAD">
      <w:r>
        <w:t xml:space="preserve">The “authority” </w:t>
      </w:r>
      <w:r w:rsidR="00502CAF">
        <w:t xml:space="preserve">or “we” </w:t>
      </w:r>
      <w:r>
        <w:t xml:space="preserve">means </w:t>
      </w:r>
      <w:r w:rsidR="007E0FAD">
        <w:t xml:space="preserve">the </w:t>
      </w:r>
      <w:r w:rsidR="00736E3A">
        <w:t>Forestry Commission</w:t>
      </w:r>
      <w:r w:rsidR="007E0FAD">
        <w:t xml:space="preserve">, or anyone acting on behalf of the </w:t>
      </w:r>
      <w:r w:rsidR="00736E3A">
        <w:t>Forestry Commission</w:t>
      </w:r>
      <w:r w:rsidR="007E0FAD">
        <w:t>, that is seeking to invite suitable Suppliers to participate in this procurement process.</w:t>
      </w:r>
    </w:p>
    <w:p w:rsidR="007E0FAD" w:rsidRDefault="007E0FAD" w:rsidP="007E0FAD"/>
    <w:p w:rsidR="007E0FAD" w:rsidRDefault="007E0FAD" w:rsidP="007E0FAD">
      <w:r>
        <w:t xml:space="preserve">“You”/”Your” or </w:t>
      </w:r>
      <w:r w:rsidR="003C2EB2">
        <w:t>“S</w:t>
      </w:r>
      <w:r>
        <w:t>upplier”</w:t>
      </w:r>
      <w:r w:rsidR="003C2EB2">
        <w:t xml:space="preserve"> or “Bidder”</w:t>
      </w:r>
      <w:r>
        <w:t xml:space="preserve"> </w:t>
      </w:r>
      <w:r w:rsidR="00736E3A">
        <w:t xml:space="preserve">means the body responding to this Invitation to Tender (ITT) </w:t>
      </w:r>
      <w:r>
        <w:t xml:space="preserve">i.e. the legal entity submitting a tender.  The ‘Supplier’ </w:t>
      </w:r>
      <w:r w:rsidR="003C2EB2">
        <w:t xml:space="preserve">or ‘Bidder’ </w:t>
      </w:r>
      <w:r>
        <w:t xml:space="preserve">is intended to cover any economic operator as defined by the Public Contracts Regulations 2015 and could be </w:t>
      </w:r>
      <w:r w:rsidR="002F6640">
        <w:t xml:space="preserve">a </w:t>
      </w:r>
      <w:r>
        <w:t>registered company; charitable organisation; Voluntary Community and Social Enterprise (VCSE); Special Purpose Vehicle; or other form of entity.</w:t>
      </w:r>
    </w:p>
    <w:p w:rsidR="00A15A13" w:rsidRDefault="00A15A13" w:rsidP="007E0FAD"/>
    <w:p w:rsidR="003C2EB2" w:rsidRDefault="007E0FAD" w:rsidP="007E0FAD">
      <w:r>
        <w:t xml:space="preserve">This Invitation to Tender (ITT) has been designed to assess both the suitability of a Supplier to deliver the authority’s contract requirement(s); and to determine of those suitable, which </w:t>
      </w:r>
      <w:r w:rsidR="00736E3A">
        <w:t>supplier(s) have provided the most economically advantageous tender.</w:t>
      </w:r>
    </w:p>
    <w:p w:rsidR="003C2EB2" w:rsidRDefault="003C2EB2" w:rsidP="003C2EB2">
      <w:pPr>
        <w:pStyle w:val="Heading2"/>
      </w:pPr>
      <w:r>
        <w:lastRenderedPageBreak/>
        <w:t>Timetable</w:t>
      </w:r>
    </w:p>
    <w:p w:rsidR="003C2EB2" w:rsidRPr="009E5141" w:rsidRDefault="003C2EB2" w:rsidP="003C2EB2">
      <w:r w:rsidRPr="009E5141">
        <w:t xml:space="preserve">Set out below is the procurement timetable.  </w:t>
      </w:r>
      <w:r>
        <w:t>W</w:t>
      </w:r>
      <w:r w:rsidRPr="009E5141">
        <w:t>hile we do not intend to depart from the timetable</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3"/>
          <w:jc w:val="center"/>
        </w:trPr>
        <w:tc>
          <w:tcPr>
            <w:tcW w:w="4859" w:type="dxa"/>
          </w:tcPr>
          <w:p w:rsidR="003C2EB2" w:rsidRPr="005310DA" w:rsidRDefault="003C2EB2" w:rsidP="00416884">
            <w:r w:rsidRPr="005310DA">
              <w:t>Closing date for expressing interest in opportunity and submitting questions</w:t>
            </w:r>
          </w:p>
        </w:tc>
        <w:tc>
          <w:tcPr>
            <w:tcW w:w="4860" w:type="dxa"/>
          </w:tcPr>
          <w:p w:rsidR="003C2EB2" w:rsidRPr="005310DA" w:rsidRDefault="005310DA" w:rsidP="00416884">
            <w:r w:rsidRPr="005310DA">
              <w:t>3pm 14 December 2015</w:t>
            </w:r>
          </w:p>
        </w:tc>
      </w:tr>
      <w:tr w:rsidR="003C2EB2" w:rsidRPr="009E5141" w:rsidTr="00416884">
        <w:trPr>
          <w:trHeight w:val="774"/>
          <w:jc w:val="center"/>
        </w:trPr>
        <w:tc>
          <w:tcPr>
            <w:tcW w:w="4859" w:type="dxa"/>
          </w:tcPr>
          <w:p w:rsidR="003C2EB2" w:rsidRPr="005310DA" w:rsidRDefault="003C2EB2" w:rsidP="00416884">
            <w:pPr>
              <w:rPr>
                <w:b/>
              </w:rPr>
            </w:pPr>
            <w:r w:rsidRPr="005310DA">
              <w:rPr>
                <w:b/>
              </w:rPr>
              <w:t>Closing Date and Time for Tender Returns</w:t>
            </w:r>
          </w:p>
        </w:tc>
        <w:tc>
          <w:tcPr>
            <w:tcW w:w="4860" w:type="dxa"/>
          </w:tcPr>
          <w:p w:rsidR="003C2EB2" w:rsidRPr="005310DA" w:rsidRDefault="005310DA" w:rsidP="00416884">
            <w:r w:rsidRPr="005310DA">
              <w:t>3pm 21 December 2015</w:t>
            </w:r>
          </w:p>
        </w:tc>
      </w:tr>
      <w:tr w:rsidR="003C2EB2" w:rsidRPr="009E5141" w:rsidTr="00416884">
        <w:trPr>
          <w:trHeight w:val="774"/>
          <w:jc w:val="center"/>
        </w:trPr>
        <w:tc>
          <w:tcPr>
            <w:tcW w:w="4859" w:type="dxa"/>
          </w:tcPr>
          <w:p w:rsidR="003C2EB2" w:rsidRPr="005310DA" w:rsidRDefault="003C2EB2" w:rsidP="00416884">
            <w:r w:rsidRPr="005310DA">
              <w:t>Expected Notification of Intent to Award</w:t>
            </w:r>
          </w:p>
          <w:p w:rsidR="003C2EB2" w:rsidRPr="005310DA" w:rsidRDefault="003C2EB2" w:rsidP="00416884"/>
        </w:tc>
        <w:tc>
          <w:tcPr>
            <w:tcW w:w="4860" w:type="dxa"/>
          </w:tcPr>
          <w:p w:rsidR="003C2EB2" w:rsidRPr="005310DA" w:rsidRDefault="005310DA" w:rsidP="00416884">
            <w:r w:rsidRPr="005310DA">
              <w:t>15 January 2016</w:t>
            </w:r>
          </w:p>
        </w:tc>
      </w:tr>
      <w:tr w:rsidR="003C2EB2" w:rsidRPr="009E5141" w:rsidTr="00416884">
        <w:trPr>
          <w:trHeight w:val="774"/>
          <w:jc w:val="center"/>
        </w:trPr>
        <w:tc>
          <w:tcPr>
            <w:tcW w:w="4859" w:type="dxa"/>
          </w:tcPr>
          <w:p w:rsidR="003C2EB2" w:rsidRPr="005310DA" w:rsidRDefault="003C2EB2" w:rsidP="005310DA">
            <w:r w:rsidRPr="005310DA">
              <w:t>End of Standstill Period</w:t>
            </w:r>
            <w:r w:rsidR="00E82136" w:rsidRPr="005310DA">
              <w:t xml:space="preserve"> </w:t>
            </w:r>
          </w:p>
        </w:tc>
        <w:tc>
          <w:tcPr>
            <w:tcW w:w="4860" w:type="dxa"/>
          </w:tcPr>
          <w:p w:rsidR="003C2EB2" w:rsidRPr="005310DA" w:rsidRDefault="005310DA" w:rsidP="00E82136">
            <w:r w:rsidRPr="005310DA">
              <w:t>26 January 2016</w:t>
            </w:r>
          </w:p>
        </w:tc>
      </w:tr>
      <w:tr w:rsidR="003C2EB2" w:rsidRPr="009E5141" w:rsidTr="00416884">
        <w:trPr>
          <w:trHeight w:val="774"/>
          <w:jc w:val="center"/>
        </w:trPr>
        <w:tc>
          <w:tcPr>
            <w:tcW w:w="4859" w:type="dxa"/>
          </w:tcPr>
          <w:p w:rsidR="003C2EB2" w:rsidRPr="005310DA" w:rsidRDefault="003C2EB2" w:rsidP="00416884">
            <w:r w:rsidRPr="005310DA">
              <w:t>Expected Start Date</w:t>
            </w:r>
          </w:p>
          <w:p w:rsidR="003C2EB2" w:rsidRPr="005310DA" w:rsidRDefault="003C2EB2" w:rsidP="00416884"/>
        </w:tc>
        <w:tc>
          <w:tcPr>
            <w:tcW w:w="4860" w:type="dxa"/>
          </w:tcPr>
          <w:p w:rsidR="003C2EB2" w:rsidRPr="005310DA" w:rsidRDefault="005310DA" w:rsidP="00416884">
            <w:r w:rsidRPr="005310DA">
              <w:t>1 February 2016</w:t>
            </w:r>
          </w:p>
        </w:tc>
      </w:tr>
    </w:tbl>
    <w:p w:rsidR="00956066" w:rsidRDefault="00956066" w:rsidP="003C2EB2"/>
    <w:p w:rsidR="00956066" w:rsidRPr="009E5141" w:rsidRDefault="00956066" w:rsidP="003C2EB2"/>
    <w:p w:rsidR="003C2EB2" w:rsidRPr="009E5141" w:rsidRDefault="003C2EB2" w:rsidP="003C2EB2"/>
    <w:p w:rsidR="003C2EB2" w:rsidRPr="009E5141" w:rsidRDefault="003C2EB2" w:rsidP="003C2EB2">
      <w:pPr>
        <w:pStyle w:val="Heading2"/>
        <w:tabs>
          <w:tab w:val="left" w:pos="1134"/>
        </w:tabs>
        <w:spacing w:line="240" w:lineRule="atLeast"/>
        <w:ind w:right="567"/>
      </w:pPr>
      <w:r w:rsidRPr="009E5141">
        <w:t>Enquiries</w:t>
      </w:r>
    </w:p>
    <w:p w:rsidR="003C2EB2" w:rsidRPr="0078442A" w:rsidRDefault="003C2EB2" w:rsidP="003C2EB2">
      <w:r w:rsidRPr="0078442A">
        <w:t>Please send all enquiries by email, by the deadline stated at Section 3.2 quoting the</w:t>
      </w:r>
      <w:r w:rsidRPr="0078442A">
        <w:rPr>
          <w:i/>
        </w:rPr>
        <w:t xml:space="preserve"> </w:t>
      </w:r>
      <w:r w:rsidRPr="0078442A">
        <w:t>reference number</w:t>
      </w:r>
      <w:r w:rsidRPr="0078442A">
        <w:rPr>
          <w:i/>
        </w:rPr>
        <w:t xml:space="preserve"> </w:t>
      </w:r>
      <w:r w:rsidRPr="0078442A">
        <w:t>printed at the front of this document to:</w:t>
      </w:r>
    </w:p>
    <w:p w:rsidR="003C2EB2" w:rsidRPr="0078442A" w:rsidRDefault="0078442A" w:rsidP="003C2EB2">
      <w:r w:rsidRPr="0078442A">
        <w:t>Rachael Miller, Events Manager    rachael.miller@forestry.gsi.gov.uk</w:t>
      </w:r>
    </w:p>
    <w:p w:rsidR="003C2EB2" w:rsidRPr="009E5141" w:rsidRDefault="003C2EB2"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9E5141" w:rsidRDefault="003C2EB2" w:rsidP="003C2EB2"/>
    <w:p w:rsidR="003C2EB2" w:rsidRPr="003C2EB2" w:rsidRDefault="003C2EB2" w:rsidP="007E0FAD">
      <w:pPr>
        <w:rPr>
          <w:b/>
          <w:color w:val="006600"/>
        </w:rPr>
      </w:pPr>
      <w:r w:rsidRPr="009E5141">
        <w:rPr>
          <w:b/>
          <w:color w:val="006600"/>
        </w:rPr>
        <w:t xml:space="preserve">If you want to tender, and have not yet registered interest in the </w:t>
      </w:r>
      <w:r w:rsidR="0078442A" w:rsidRPr="0078442A">
        <w:rPr>
          <w:rStyle w:val="Strong"/>
          <w:sz w:val="22"/>
        </w:rPr>
        <w:t>contract</w:t>
      </w:r>
      <w:r w:rsidRPr="009E5141">
        <w:rPr>
          <w:b/>
          <w:color w:val="006600"/>
        </w:rPr>
        <w:t xml:space="preserve">, you must do so before the closing date for </w:t>
      </w:r>
      <w:r>
        <w:rPr>
          <w:b/>
          <w:color w:val="006600"/>
        </w:rPr>
        <w:t>expressing interest</w:t>
      </w:r>
      <w:r w:rsidRPr="009E5141">
        <w:rPr>
          <w:b/>
          <w:color w:val="006600"/>
        </w:rPr>
        <w:t xml:space="preserve"> to make sure you are told a</w:t>
      </w:r>
      <w:r>
        <w:rPr>
          <w:b/>
          <w:color w:val="006600"/>
        </w:rPr>
        <w:t>bout any questions and answers.</w:t>
      </w:r>
    </w:p>
    <w:p w:rsidR="00A15A13" w:rsidRDefault="00A15A13" w:rsidP="00A15A13">
      <w:pPr>
        <w:pStyle w:val="Heading2"/>
      </w:pPr>
      <w:r>
        <w:lastRenderedPageBreak/>
        <w:t>Responses and supporting documents</w:t>
      </w:r>
    </w:p>
    <w:p w:rsidR="002F6640" w:rsidRDefault="002F6640" w:rsidP="007E0FAD">
      <w:r>
        <w:t>Please ensure that all questions are completed in full, and in the format requested.  Failure to do so may result in your submission being disqualified.  If the question does not apply to you, please state</w:t>
      </w:r>
      <w:r w:rsidR="00AA6C9A">
        <w:t xml:space="preserve"> clearly</w:t>
      </w:r>
      <w:r>
        <w:t xml:space="preserve"> ‘N/A’.</w:t>
      </w:r>
    </w:p>
    <w:p w:rsidR="00736E3A" w:rsidRDefault="00736E3A" w:rsidP="007E0FAD"/>
    <w:p w:rsidR="0016319B" w:rsidRDefault="002F6640" w:rsidP="0016319B">
      <w:r>
        <w:t>Should you need to provide additional Appendices in response to the questions, these should be numbered clearly and listed as part of you declaration.  A template for providing additional information is provided at the end of this document, which should be used unless, due to formatting, this is not possible.</w:t>
      </w:r>
    </w:p>
    <w:p w:rsidR="00956066" w:rsidRDefault="00956066" w:rsidP="0016319B"/>
    <w:p w:rsidR="00956066" w:rsidRDefault="00956066" w:rsidP="00956066">
      <w:r w:rsidRPr="009E5141">
        <w:t>To make the process straightforward, you do not need t</w:t>
      </w:r>
      <w:r>
        <w:t xml:space="preserve">o provide supporting documents </w:t>
      </w:r>
      <w:r w:rsidRPr="009E5141">
        <w:t>with your tender unless specifically requested to do so.  However, w</w:t>
      </w:r>
      <w:r>
        <w:t>e may ask you for th</w:t>
      </w:r>
      <w:r w:rsidR="002E609B">
        <w:t>is</w:t>
      </w:r>
      <w:r>
        <w:t xml:space="preserve"> later.</w:t>
      </w:r>
    </w:p>
    <w:p w:rsidR="00956066" w:rsidRDefault="00956066" w:rsidP="00956066"/>
    <w:p w:rsidR="002E609B" w:rsidRDefault="00956066" w:rsidP="00956066">
      <w:r w:rsidRPr="009E5141">
        <w:t xml:space="preserve">Your organisation will only be evaluated based on the information in your tender.  </w:t>
      </w:r>
      <w:r>
        <w:t>I</w:t>
      </w:r>
      <w:r w:rsidRPr="009E5141">
        <w:t xml:space="preserve">f you do not mention any </w:t>
      </w:r>
      <w:r>
        <w:t xml:space="preserve">applicable </w:t>
      </w:r>
      <w:r w:rsidRPr="009E5141">
        <w:t>previous experience of working with us in your reply</w:t>
      </w:r>
      <w:r>
        <w:t xml:space="preserve"> </w:t>
      </w:r>
      <w:r w:rsidRPr="009E5141">
        <w:t xml:space="preserve">we </w:t>
      </w:r>
      <w:r w:rsidR="002E609B">
        <w:t>cannot take this into account.</w:t>
      </w:r>
    </w:p>
    <w:p w:rsidR="002E609B" w:rsidRDefault="002E609B" w:rsidP="00956066"/>
    <w:p w:rsidR="00956066" w:rsidRDefault="00956066" w:rsidP="0016319B">
      <w:r w:rsidRPr="009E5141">
        <w:t>Please do not send any information that is general company or promotional literature, as this will not form part of our evaluation. Any additional documents you provide must refer to a question within the ITT and be eas</w:t>
      </w:r>
      <w:r w:rsidR="002E609B">
        <w:t>ily identifiable as the answer.</w:t>
      </w:r>
    </w:p>
    <w:p w:rsidR="002F6640" w:rsidRDefault="00956066" w:rsidP="00956066">
      <w:pPr>
        <w:pStyle w:val="Heading2"/>
      </w:pPr>
      <w:r>
        <w:t>Return arrangements</w:t>
      </w:r>
    </w:p>
    <w:p w:rsidR="00223D85" w:rsidRPr="0078442A" w:rsidRDefault="00223D85" w:rsidP="00223D85">
      <w:r w:rsidRPr="0078442A">
        <w:t>Please return your completed tender submission inclusive of any relevant appendices as:</w:t>
      </w:r>
    </w:p>
    <w:p w:rsidR="00223D85" w:rsidRPr="0078442A" w:rsidRDefault="0078442A" w:rsidP="00223D85">
      <w:pPr>
        <w:numPr>
          <w:ilvl w:val="0"/>
          <w:numId w:val="20"/>
        </w:numPr>
        <w:spacing w:before="120" w:line="240" w:lineRule="atLeast"/>
      </w:pPr>
      <w:r w:rsidRPr="0078442A">
        <w:t>one</w:t>
      </w:r>
      <w:r w:rsidR="00223D85" w:rsidRPr="0078442A">
        <w:t xml:space="preserve"> paper copies by post or hand delivered, and</w:t>
      </w:r>
    </w:p>
    <w:p w:rsidR="00223D85" w:rsidRPr="0078442A" w:rsidRDefault="00223D85" w:rsidP="00223D85">
      <w:pPr>
        <w:numPr>
          <w:ilvl w:val="0"/>
          <w:numId w:val="20"/>
        </w:numPr>
        <w:spacing w:before="120" w:line="240" w:lineRule="atLeast"/>
      </w:pPr>
      <w:r w:rsidRPr="0078442A">
        <w:t>one copy on disk or USB type storage device in a read only format</w:t>
      </w:r>
    </w:p>
    <w:p w:rsidR="00223D85" w:rsidRPr="0078442A" w:rsidRDefault="00223D85" w:rsidP="00223D85"/>
    <w:p w:rsidR="00223D85" w:rsidRPr="0078442A" w:rsidRDefault="00223D85" w:rsidP="00223D85">
      <w:r w:rsidRPr="0078442A">
        <w:t xml:space="preserve">Please note that we do not accept fax or email copies.  We must receive your completed tender before the closing date and time shown in the Timetable at </w:t>
      </w:r>
      <w:r w:rsidR="00415AE7" w:rsidRPr="0078442A">
        <w:t>section 3.2</w:t>
      </w:r>
      <w:r w:rsidRPr="0078442A">
        <w:t xml:space="preserve">.  We will keep tenders received before this deadline unopened until after this time.  We reserve the right to not consider any tenders received after the deadline.  Please be aware that tenders may be copied for our use. </w:t>
      </w:r>
    </w:p>
    <w:p w:rsidR="00223D85" w:rsidRDefault="00223D85" w:rsidP="00223D85">
      <w:r w:rsidRPr="0078442A">
        <w:t>Mark your envelopes with the words ‘</w:t>
      </w:r>
      <w:r w:rsidR="0078442A" w:rsidRPr="0078442A">
        <w:rPr>
          <w:b/>
        </w:rPr>
        <w:t xml:space="preserve">Tender for </w:t>
      </w:r>
      <w:r w:rsidR="00D3042D">
        <w:rPr>
          <w:b/>
        </w:rPr>
        <w:t>Toilets for</w:t>
      </w:r>
      <w:r w:rsidR="0078442A" w:rsidRPr="0078442A">
        <w:rPr>
          <w:b/>
        </w:rPr>
        <w:t xml:space="preserve"> Forest Live concerts</w:t>
      </w:r>
      <w:r w:rsidRPr="0078442A">
        <w:rPr>
          <w:b/>
        </w:rPr>
        <w:t xml:space="preserve"> –</w:t>
      </w:r>
      <w:r w:rsidRPr="0078442A">
        <w:t xml:space="preserve"> </w:t>
      </w:r>
      <w:r w:rsidRPr="0078442A">
        <w:rPr>
          <w:b/>
        </w:rPr>
        <w:t>Not</w:t>
      </w:r>
      <w:r w:rsidRPr="00D3042D">
        <w:rPr>
          <w:b/>
        </w:rPr>
        <w:t xml:space="preserve"> to be opened until </w:t>
      </w:r>
      <w:r w:rsidR="00D3042D" w:rsidRPr="00D3042D">
        <w:rPr>
          <w:b/>
        </w:rPr>
        <w:t>3pm on 21</w:t>
      </w:r>
      <w:r w:rsidR="00D3042D" w:rsidRPr="00D3042D">
        <w:rPr>
          <w:b/>
          <w:vertAlign w:val="superscript"/>
        </w:rPr>
        <w:t>st</w:t>
      </w:r>
      <w:r w:rsidR="00D3042D" w:rsidRPr="00D3042D">
        <w:rPr>
          <w:b/>
        </w:rPr>
        <w:t xml:space="preserve"> December</w:t>
      </w:r>
      <w:r w:rsidRPr="00D3042D">
        <w:t>.</w:t>
      </w:r>
      <w:r w:rsidR="00D3042D">
        <w:t>’</w:t>
      </w:r>
    </w:p>
    <w:p w:rsidR="00D3042D" w:rsidRPr="0078442A" w:rsidRDefault="00D3042D" w:rsidP="00223D85">
      <w:pPr>
        <w:rPr>
          <w:color w:val="FF0000"/>
        </w:rPr>
      </w:pPr>
    </w:p>
    <w:p w:rsidR="00223D85" w:rsidRPr="0078442A" w:rsidRDefault="00223D85" w:rsidP="00223D85">
      <w:pPr>
        <w:rPr>
          <w:b/>
        </w:rPr>
      </w:pPr>
      <w:r w:rsidRPr="0078442A">
        <w:rPr>
          <w:b/>
        </w:rPr>
        <w:t xml:space="preserve">Submissions may be excluded if you do not mark the envelope in this way. </w:t>
      </w:r>
    </w:p>
    <w:p w:rsidR="00223D85" w:rsidRPr="0078442A" w:rsidRDefault="00223D85" w:rsidP="00223D85">
      <w:r w:rsidRPr="0078442A">
        <w:t>Send completed tender documents to the following address:</w:t>
      </w:r>
    </w:p>
    <w:p w:rsidR="00223D85" w:rsidRPr="0078442A" w:rsidRDefault="0078442A" w:rsidP="00223D85">
      <w:r w:rsidRPr="0078442A">
        <w:t>Rachael Miller</w:t>
      </w:r>
    </w:p>
    <w:p w:rsidR="0078442A" w:rsidRPr="0078442A" w:rsidRDefault="0078442A" w:rsidP="00223D85">
      <w:r w:rsidRPr="0078442A">
        <w:t>Forestry Commission East England</w:t>
      </w:r>
    </w:p>
    <w:p w:rsidR="0078442A" w:rsidRPr="0078442A" w:rsidRDefault="0078442A" w:rsidP="00223D85">
      <w:r w:rsidRPr="0078442A">
        <w:t>Santon Downham</w:t>
      </w:r>
    </w:p>
    <w:p w:rsidR="0078442A" w:rsidRPr="0078442A" w:rsidRDefault="0078442A" w:rsidP="00223D85">
      <w:r w:rsidRPr="0078442A">
        <w:t>Brandon</w:t>
      </w:r>
    </w:p>
    <w:p w:rsidR="0078442A" w:rsidRPr="0078442A" w:rsidRDefault="0078442A" w:rsidP="00223D85">
      <w:r w:rsidRPr="0078442A">
        <w:lastRenderedPageBreak/>
        <w:t>Suffolk</w:t>
      </w:r>
    </w:p>
    <w:p w:rsidR="0078442A" w:rsidRPr="0078442A" w:rsidRDefault="0078442A" w:rsidP="00223D85">
      <w:r w:rsidRPr="0078442A">
        <w:t>IP27 0TJ</w:t>
      </w:r>
    </w:p>
    <w:p w:rsidR="00223D85" w:rsidRPr="00B71737" w:rsidRDefault="00223D85" w:rsidP="00223D85"/>
    <w:p w:rsidR="0016319B" w:rsidRPr="0078442A" w:rsidRDefault="00223D85" w:rsidP="0016319B">
      <w:r w:rsidRPr="0078442A">
        <w:t>Any tender returns submitted via any other method will not be considered and we reserve the right not to consider any tenders received after the deadline.  Please be aware that tenders may be copied for our use.</w:t>
      </w:r>
    </w:p>
    <w:p w:rsidR="00956066" w:rsidRPr="009E5141" w:rsidRDefault="00956066" w:rsidP="002E609B">
      <w:pPr>
        <w:pStyle w:val="Heading2"/>
      </w:pPr>
      <w:r w:rsidRPr="009E5141">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Default="00437391" w:rsidP="00437391">
      <w:pPr>
        <w:pStyle w:val="Heading2"/>
      </w:pPr>
      <w:r>
        <w:t>Verification of information p</w:t>
      </w:r>
      <w:r w:rsidR="002E609B">
        <w:t>rovided</w:t>
      </w:r>
    </w:p>
    <w:p w:rsidR="002E609B" w:rsidRDefault="002E609B" w:rsidP="00956066">
      <w:r>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(such as the questions </w:t>
      </w:r>
      <w:r w:rsidR="00F925DB">
        <w:t>within the sub-</w:t>
      </w:r>
      <w:r>
        <w:t>section</w:t>
      </w:r>
      <w:r w:rsidR="00F925DB">
        <w:t>s of</w:t>
      </w:r>
      <w:r>
        <w:t xml:space="preserve"> </w:t>
      </w:r>
      <w:r w:rsidR="00C26503" w:rsidRPr="00C26503">
        <w:t>4.7</w:t>
      </w:r>
      <w:r>
        <w:t xml:space="preserve"> of this ITT relating to Technical and Professional Ability) the authority may only obtain such evidence after the final tender evaluation decision i.e. </w:t>
      </w:r>
      <w:r w:rsidR="00437391">
        <w:t>from the winning Supplier only.</w:t>
      </w:r>
    </w:p>
    <w:p w:rsidR="002E609B" w:rsidRDefault="002E609B" w:rsidP="00437391">
      <w:pPr>
        <w:pStyle w:val="Heading2"/>
      </w:pPr>
      <w:r>
        <w:t>Sub-contracting arrangements</w:t>
      </w:r>
    </w:p>
    <w:p w:rsidR="002E609B" w:rsidRDefault="002E609B" w:rsidP="00956066">
      <w:r>
        <w:t>Where the supplier proposes to use one or more sub-contractors to deliver some or all of the requirements, a separate Appendix should be used to provide details of the proposed bidding model that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based on an assessment of the updated information.</w:t>
      </w:r>
    </w:p>
    <w:p w:rsidR="00437391" w:rsidRDefault="00437391" w:rsidP="00437391">
      <w:pPr>
        <w:pStyle w:val="Heading2"/>
      </w:pPr>
      <w:r>
        <w:lastRenderedPageBreak/>
        <w:t>Consortia arrangements</w:t>
      </w:r>
    </w:p>
    <w:p w:rsidR="00437391" w:rsidRDefault="00437391" w:rsidP="00956066">
      <w:r>
        <w:t>If the Supplier completing this ITT is doing so as part of a proposed consortium, the followi</w:t>
      </w:r>
      <w:r w:rsidR="007F4B1C">
        <w:t>ng information must be provided:-</w:t>
      </w:r>
    </w:p>
    <w:p w:rsidR="007F4B1C" w:rsidRDefault="007F4B1C" w:rsidP="00956066"/>
    <w:p w:rsidR="007F4B1C" w:rsidRDefault="007F4B1C" w:rsidP="007F4B1C">
      <w:pPr>
        <w:numPr>
          <w:ilvl w:val="0"/>
          <w:numId w:val="25"/>
        </w:numPr>
      </w:pPr>
      <w:r>
        <w:t>Names of all consortium members;</w:t>
      </w:r>
    </w:p>
    <w:p w:rsidR="007F4B1C" w:rsidRDefault="007F4B1C" w:rsidP="007F4B1C">
      <w:pPr>
        <w:numPr>
          <w:ilvl w:val="0"/>
          <w:numId w:val="25"/>
        </w:numPr>
      </w:pPr>
      <w:r>
        <w:t>The lead member of the consortium who will be contractually responsible for delivery of the contract (if a separate legal entity is not being created); and</w:t>
      </w:r>
    </w:p>
    <w:p w:rsidR="007F4B1C" w:rsidRDefault="007F4B1C" w:rsidP="007F4B1C">
      <w:pPr>
        <w:numPr>
          <w:ilvl w:val="0"/>
          <w:numId w:val="25"/>
        </w:numPr>
      </w:pPr>
      <w:r>
        <w:t>If the consortium is not proposing to form a legal entity, full details of proposed arrangements within a separate Appendix.</w:t>
      </w:r>
    </w:p>
    <w:p w:rsidR="007F4B1C" w:rsidRDefault="007F4B1C" w:rsidP="00956066"/>
    <w:p w:rsidR="007F4B1C" w:rsidRDefault="007F4B1C" w:rsidP="00956066">
      <w:r>
        <w:t xml:space="preserve">Please note that the authority may require the consortium to assume a specific legal form if awarded the </w:t>
      </w:r>
      <w:r w:rsidR="005A2ADC">
        <w:t>work</w:t>
      </w:r>
      <w:r>
        <w:t xml:space="preserve">, to the extent that a specific legal form is deemed by the authority as being necessary for the </w:t>
      </w:r>
      <w:r w:rsidR="0078442A">
        <w:t xml:space="preserve">satisfactory </w:t>
      </w:r>
      <w:r w:rsidR="0078442A" w:rsidRPr="0078442A">
        <w:t xml:space="preserve">performance of the </w:t>
      </w:r>
      <w:r w:rsidRPr="0078442A">
        <w:t>contract</w:t>
      </w:r>
      <w:r w:rsidR="0078442A" w:rsidRPr="0078442A">
        <w:t>.</w:t>
      </w:r>
    </w:p>
    <w:p w:rsidR="007F4B1C" w:rsidRDefault="007F4B1C" w:rsidP="00956066"/>
    <w:p w:rsidR="007F4B1C" w:rsidRDefault="007F4B1C" w:rsidP="00956066">
      <w:r w:rsidRPr="00502CAF">
        <w:rPr>
          <w:b/>
          <w:u w:val="single"/>
        </w:rPr>
        <w:t>All</w:t>
      </w:r>
      <w:r>
        <w:t xml:space="preserve"> members of the consortium will be required to provide the information required in </w:t>
      </w:r>
      <w:r w:rsidRPr="00502CAF">
        <w:rPr>
          <w:b/>
          <w:u w:val="single"/>
        </w:rPr>
        <w:t>all</w:t>
      </w:r>
      <w:r>
        <w:t xml:space="preserve"> sections of the </w:t>
      </w:r>
      <w:r w:rsidR="00C26503">
        <w:t>ITT</w:t>
      </w:r>
      <w:r>
        <w:t xml:space="preserve"> as part of a single composite response to the authority i.e. each member of the consortium is required to complete the form.</w:t>
      </w:r>
    </w:p>
    <w:p w:rsidR="007F4B1C" w:rsidRDefault="007F4B1C" w:rsidP="00956066"/>
    <w:p w:rsidR="007F4B1C" w:rsidRDefault="007F4B1C" w:rsidP="00956066">
      <w:r>
        <w:t>Where you are proposing to create a separate legal entity, such as a Special Purpose Vehicle (SPV), you should provide details of the actual or proposed percentage shareholding of the constituent members within the new legal entity in a separate Appendix.</w:t>
      </w:r>
    </w:p>
    <w:p w:rsidR="007F4B1C" w:rsidRDefault="007F4B1C" w:rsidP="00956066"/>
    <w:p w:rsidR="00956066" w:rsidRDefault="007F4B1C" w:rsidP="0016319B">
      <w: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502CAF" w:rsidRDefault="00502CAF" w:rsidP="00502CAF">
      <w:pPr>
        <w:pStyle w:val="Heading2"/>
      </w:pPr>
      <w:r>
        <w:t>Confidentiality</w:t>
      </w:r>
    </w:p>
    <w:p w:rsidR="00502CAF" w:rsidRDefault="00502CAF" w:rsidP="0016319B">
      <w:r>
        <w:t xml:space="preserve">When providing details of contracts in answering section </w:t>
      </w:r>
      <w:r w:rsidR="00C26503" w:rsidRPr="00C26503">
        <w:t>4.6</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authority reserves the right to contact the named customer contact in </w:t>
      </w:r>
      <w:r w:rsidRPr="00C26503">
        <w:t xml:space="preserve">section </w:t>
      </w:r>
      <w:r w:rsidR="00C26503" w:rsidRPr="00C26503">
        <w:t>4.6</w:t>
      </w:r>
      <w:r>
        <w:t xml:space="preserve"> regarding the contracts included in </w:t>
      </w:r>
      <w:r w:rsidRPr="00C26503">
        <w:t xml:space="preserve">section </w:t>
      </w:r>
      <w:r w:rsidR="00C26503" w:rsidRPr="00C26503">
        <w:t>4.6</w:t>
      </w:r>
      <w:r w:rsidRPr="00C26503">
        <w:t>.</w:t>
      </w:r>
      <w:r>
        <w:t xml:space="preserve">  The named customer contact does not owe the authority any duty of care or have any legal liability, except for any deceitful or maliciously false statements of fact.</w:t>
      </w:r>
    </w:p>
    <w:p w:rsidR="00502CAF" w:rsidRDefault="00502CAF" w:rsidP="0016319B"/>
    <w:p w:rsidR="00502CAF" w:rsidRDefault="00502CAF" w:rsidP="0016319B">
      <w: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supplied to it by the authority</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The authority</w:t>
      </w:r>
      <w:r w:rsidRPr="009E5141">
        <w:rPr>
          <w:rFonts w:cs="Arial"/>
          <w:lang w:eastAsia="en-GB"/>
        </w:rPr>
        <w:t xml:space="preserve"> will then assess this information (along with the rest of the contract)</w:t>
      </w:r>
      <w:r>
        <w:rPr>
          <w:rFonts w:cs="Arial"/>
          <w:lang w:eastAsia="en-GB"/>
        </w:rPr>
        <w:t>,</w:t>
      </w:r>
      <w:r w:rsidRPr="009E5141">
        <w:rPr>
          <w:rFonts w:cs="Arial"/>
          <w:lang w:eastAsia="en-GB"/>
        </w:rPr>
        <w:t xml:space="preserve"> </w:t>
      </w:r>
      <w:r>
        <w:rPr>
          <w:rFonts w:cs="Arial"/>
          <w:lang w:eastAsia="en-GB"/>
        </w:rPr>
        <w:t>taking account of Regulation 21 of the Public Contracts Regulations,</w:t>
      </w:r>
      <w:r w:rsidRPr="009E5141">
        <w:rPr>
          <w:rFonts w:cs="Arial"/>
          <w:lang w:eastAsia="en-GB"/>
        </w:rPr>
        <w:t xml:space="preserve"> 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D3042D" w:rsidRDefault="00E537D1" w:rsidP="00E537D1">
      <w:pPr>
        <w:pStyle w:val="Heading2"/>
        <w:tabs>
          <w:tab w:val="left" w:pos="1134"/>
        </w:tabs>
        <w:spacing w:line="240" w:lineRule="atLeast"/>
        <w:ind w:right="567"/>
        <w:rPr>
          <w:color w:val="auto"/>
        </w:rPr>
      </w:pPr>
      <w:r w:rsidRPr="009E5141">
        <w:t>Tender validity</w:t>
      </w:r>
    </w:p>
    <w:p w:rsidR="00E537D1" w:rsidRPr="009E5141" w:rsidRDefault="00E537D1" w:rsidP="00E537D1">
      <w:r w:rsidRPr="00D3042D">
        <w:t xml:space="preserve">All details of the tender, including prices and rates, must be valid for </w:t>
      </w:r>
      <w:r w:rsidR="00D3042D" w:rsidRPr="00D3042D">
        <w:t xml:space="preserve">90 </w:t>
      </w:r>
      <w:r w:rsidRPr="00D3042D">
        <w:t xml:space="preserve">days </w:t>
      </w:r>
      <w:r>
        <w:t>from receipt of tender.</w:t>
      </w:r>
    </w:p>
    <w:p w:rsidR="00E537D1" w:rsidRPr="009E5141" w:rsidRDefault="00E537D1" w:rsidP="00E537D1">
      <w:pPr>
        <w:pStyle w:val="Heading2"/>
        <w:tabs>
          <w:tab w:val="left" w:pos="1134"/>
        </w:tabs>
        <w:spacing w:line="240" w:lineRule="atLeast"/>
        <w:ind w:right="567"/>
      </w:pPr>
      <w:r w:rsidRPr="009E5141">
        <w:t>Language</w:t>
      </w:r>
    </w:p>
    <w:p w:rsidR="00E537D1" w:rsidRPr="009E5141" w:rsidRDefault="00E537D1" w:rsidP="00E537D1">
      <w:r w:rsidRPr="009E5141">
        <w:t>The completed tender and all accompanyin</w:t>
      </w:r>
      <w:r>
        <w:t>g documents must be in English.</w:t>
      </w:r>
    </w:p>
    <w:p w:rsidR="00E537D1" w:rsidRPr="009E5141" w:rsidRDefault="00E537D1" w:rsidP="00E537D1">
      <w:pPr>
        <w:pStyle w:val="Heading2"/>
        <w:tabs>
          <w:tab w:val="left" w:pos="1134"/>
        </w:tabs>
        <w:spacing w:line="240" w:lineRule="atLeast"/>
        <w:ind w:right="567"/>
      </w:pPr>
      <w:r w:rsidRPr="009E5141">
        <w:t>Applicable Law</w:t>
      </w:r>
    </w:p>
    <w:p w:rsidR="00E537D1" w:rsidRPr="009E5141" w:rsidRDefault="00E537D1" w:rsidP="00E537D1">
      <w:r w:rsidRPr="0078442A">
        <w:t>Any contract</w:t>
      </w:r>
      <w:r w:rsidRPr="00E537D1">
        <w:rPr>
          <w:color w:val="365F91"/>
        </w:rPr>
        <w:t xml:space="preserve"> </w:t>
      </w:r>
      <w:r w:rsidRPr="009E5141">
        <w:t xml:space="preserve">concluded as a result of this ITT will be governed </w:t>
      </w:r>
      <w:r w:rsidRPr="00797DD4">
        <w:t>by English</w:t>
      </w:r>
      <w:r>
        <w:t xml:space="preserve"> law.</w:t>
      </w:r>
    </w:p>
    <w:p w:rsidR="00E537D1" w:rsidRPr="009E5141" w:rsidRDefault="00E537D1" w:rsidP="00E537D1">
      <w:pPr>
        <w:pStyle w:val="Heading2"/>
        <w:tabs>
          <w:tab w:val="left" w:pos="1134"/>
        </w:tabs>
        <w:spacing w:line="240" w:lineRule="atLeast"/>
        <w:ind w:right="567"/>
      </w:pPr>
      <w:r w:rsidRPr="009E5141">
        <w:t>Pricing</w:t>
      </w:r>
    </w:p>
    <w:p w:rsidR="00E537D1" w:rsidRDefault="00E537D1" w:rsidP="00E537D1">
      <w:r w:rsidRPr="009E5141">
        <w:t>All prices will be in</w:t>
      </w:r>
      <w:r>
        <w:t xml:space="preserve"> sterling and exclusive of VAT.</w:t>
      </w:r>
    </w:p>
    <w:p w:rsidR="00E537D1" w:rsidRPr="009E5141" w:rsidRDefault="00E537D1" w:rsidP="00E537D1">
      <w:pPr>
        <w:pStyle w:val="Heading2"/>
        <w:tabs>
          <w:tab w:val="left" w:pos="1134"/>
        </w:tabs>
        <w:spacing w:line="240" w:lineRule="atLeast"/>
        <w:ind w:right="567"/>
      </w:pPr>
      <w:r w:rsidRPr="009E5141">
        <w:t>Additional costs</w:t>
      </w:r>
    </w:p>
    <w:p w:rsidR="00E537D1" w:rsidRPr="00E537D1" w:rsidRDefault="00E537D1" w:rsidP="0016319B">
      <w:r w:rsidRPr="009E5141">
        <w:t xml:space="preserve">Once we have awarded the </w:t>
      </w:r>
      <w:r w:rsidRPr="0078442A">
        <w:t>contract, we</w:t>
      </w:r>
      <w:r w:rsidRPr="009E5141">
        <w:t xml:space="preserve"> will not pay any additional costs incurred which are not refle</w:t>
      </w:r>
      <w:r>
        <w:t>cted in your tender submission.</w:t>
      </w:r>
    </w:p>
    <w:p w:rsidR="00F146E6" w:rsidRDefault="00F146E6" w:rsidP="00F146E6">
      <w:pPr>
        <w:pStyle w:val="Heading2"/>
        <w:tabs>
          <w:tab w:val="left" w:pos="1134"/>
        </w:tabs>
        <w:spacing w:line="240" w:lineRule="atLeast"/>
        <w:ind w:right="567"/>
      </w:pPr>
      <w:r w:rsidRPr="009E5141">
        <w:t xml:space="preserve">Evaluation </w:t>
      </w:r>
    </w:p>
    <w:p w:rsidR="00F146E6" w:rsidRPr="009E5141" w:rsidRDefault="00F146E6" w:rsidP="00F146E6">
      <w:r>
        <w:t>A Tender Panel</w:t>
      </w:r>
      <w:r w:rsidRPr="009E5141">
        <w:t xml:space="preserve"> will evaluate responses to the tender objectively using the </w:t>
      </w:r>
      <w:r>
        <w:t xml:space="preserve">criteria and </w:t>
      </w:r>
      <w:r w:rsidRPr="009E5141">
        <w:t>evaluation matrix</w:t>
      </w:r>
      <w:r>
        <w:t>’ defined within</w:t>
      </w:r>
      <w:r w:rsidRPr="009E5141">
        <w:t xml:space="preserve"> Section</w:t>
      </w:r>
      <w:r>
        <w:t xml:space="preserve"> 4</w:t>
      </w:r>
      <w:r w:rsidRPr="009E5141">
        <w:t>.</w:t>
      </w:r>
    </w:p>
    <w:p w:rsidR="00F146E6" w:rsidRPr="009E5141" w:rsidRDefault="00F146E6" w:rsidP="00F146E6">
      <w:pPr>
        <w:pStyle w:val="Heading2"/>
        <w:tabs>
          <w:tab w:val="left" w:pos="1134"/>
        </w:tabs>
        <w:spacing w:line="240" w:lineRule="atLeast"/>
        <w:ind w:right="567"/>
      </w:pPr>
      <w:r w:rsidRPr="009E5141">
        <w:lastRenderedPageBreak/>
        <w:t>Gateways</w:t>
      </w:r>
    </w:p>
    <w:p w:rsidR="00F146E6" w:rsidRPr="009E5141" w:rsidRDefault="00F146E6" w:rsidP="00F146E6">
      <w:r w:rsidRPr="009E5141">
        <w:t xml:space="preserve">Some questions in the tender are known as gateways and are fundamental requirements of </w:t>
      </w:r>
      <w:r w:rsidRPr="0078442A">
        <w:t>the contract.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9E5141" w:rsidRDefault="00F146E6" w:rsidP="00F146E6">
      <w:pPr>
        <w:pStyle w:val="Heading2"/>
        <w:tabs>
          <w:tab w:val="left" w:pos="1134"/>
        </w:tabs>
        <w:spacing w:line="240" w:lineRule="atLeast"/>
        <w:ind w:right="567"/>
      </w:pPr>
      <w:r>
        <w:t>Weighted</w:t>
      </w:r>
      <w:r w:rsidRPr="009E5141">
        <w:t xml:space="preserve"> questions </w:t>
      </w:r>
    </w:p>
    <w:p w:rsidR="00F146E6"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Pr="009E5141">
        <w:t xml:space="preserve">. </w:t>
      </w:r>
    </w:p>
    <w:p w:rsidR="00E537D1" w:rsidRPr="009E5141" w:rsidRDefault="00E537D1" w:rsidP="00F146E6">
      <w:r>
        <w:t>For these questions, t</w:t>
      </w:r>
      <w:r w:rsidR="00F146E6" w:rsidRPr="009E5141">
        <w:t>he marks</w:t>
      </w:r>
      <w:r>
        <w:t xml:space="preserve"> out of 4</w:t>
      </w:r>
      <w:r w:rsidR="00F146E6">
        <w:t xml:space="preserve"> that are</w:t>
      </w:r>
      <w:r w:rsidR="00F146E6" w:rsidRPr="009E5141">
        <w:t xml:space="preserve"> </w:t>
      </w:r>
      <w:r>
        <w:t>achieved</w:t>
      </w:r>
      <w:r w:rsidR="00F146E6" w:rsidRPr="009E5141">
        <w:t xml:space="preserve"> for each question will be </w:t>
      </w:r>
      <w:r>
        <w:t xml:space="preserve">subsequently </w:t>
      </w:r>
      <w:r w:rsidR="00F146E6">
        <w:t>weighted</w:t>
      </w:r>
      <w:r w:rsidR="00F146E6" w:rsidRPr="009E5141">
        <w:t xml:space="preserve"> </w:t>
      </w:r>
      <w:r>
        <w:t>to provide</w:t>
      </w:r>
      <w:r w:rsidR="00F146E6">
        <w:t xml:space="preserve"> a total number of marks out of 100.</w:t>
      </w:r>
    </w:p>
    <w:p w:rsidR="00F146E6" w:rsidRPr="009E5141" w:rsidRDefault="00F146E6" w:rsidP="00F146E6">
      <w:pPr>
        <w:pStyle w:val="Heading2"/>
        <w:tabs>
          <w:tab w:val="left" w:pos="1134"/>
        </w:tabs>
        <w:spacing w:line="240" w:lineRule="atLeast"/>
        <w:ind w:right="567"/>
      </w:pPr>
      <w:r w:rsidRPr="009E5141">
        <w:t>Award</w:t>
      </w:r>
    </w:p>
    <w:p w:rsidR="00F146E6" w:rsidRPr="009E5141" w:rsidRDefault="00F146E6" w:rsidP="00F146E6">
      <w:r w:rsidRPr="009E5141">
        <w:t xml:space="preserve">Once we have carried out the evaluation and identified the successful tenderer(s), we will tell all tenderers in writing </w:t>
      </w:r>
      <w:r w:rsidRPr="00E537D1">
        <w:t xml:space="preserve">by </w:t>
      </w:r>
      <w:r w:rsidR="00E537D1" w:rsidRPr="00E537D1">
        <w:t>email</w:t>
      </w:r>
      <w:r w:rsidR="00E537D1">
        <w:t xml:space="preserve"> of </w:t>
      </w:r>
      <w:r w:rsidR="00E537D1" w:rsidRPr="009E1EDF">
        <w:t xml:space="preserve">our </w:t>
      </w:r>
      <w:r w:rsidR="00C26503" w:rsidRPr="009E1EDF">
        <w:t>‘</w:t>
      </w:r>
      <w:r w:rsidR="00E537D1" w:rsidRPr="009E1EDF">
        <w:t>intention to award</w:t>
      </w:r>
      <w:r w:rsidR="009E1EDF" w:rsidRPr="009E1EDF">
        <w:t>’</w:t>
      </w:r>
      <w:r w:rsidR="00E537D1" w:rsidRPr="009E1EDF">
        <w:t>.</w:t>
      </w:r>
    </w:p>
    <w:p w:rsidR="00F146E6" w:rsidRPr="009E1EDF" w:rsidRDefault="00F146E6" w:rsidP="009E1EDF">
      <w:pPr>
        <w:pStyle w:val="Heading3"/>
        <w:spacing w:after="0" w:line="240" w:lineRule="atLeast"/>
        <w:ind w:left="0" w:right="-1" w:firstLine="141"/>
        <w:rPr>
          <w:color w:val="auto"/>
        </w:rPr>
      </w:pPr>
      <w:r w:rsidRPr="009E1EDF">
        <w:rPr>
          <w:color w:val="auto"/>
        </w:rPr>
        <w:t>Standstill Period</w:t>
      </w:r>
      <w:r w:rsidR="00E537D1" w:rsidRPr="009E1EDF">
        <w:rPr>
          <w:color w:val="auto"/>
        </w:rPr>
        <w:t xml:space="preserve"> </w:t>
      </w:r>
      <w:r w:rsidR="009E1EDF">
        <w:rPr>
          <w:color w:val="auto"/>
        </w:rPr>
        <w:br/>
      </w:r>
      <w:r w:rsidRPr="009E1EDF">
        <w:rPr>
          <w:color w:val="auto"/>
          <w:sz w:val="22"/>
          <w:szCs w:val="22"/>
        </w:rPr>
        <w:t>We will apply a standstill period of 1</w:t>
      </w:r>
      <w:r w:rsidR="00E537D1" w:rsidRPr="009E1EDF">
        <w:rPr>
          <w:color w:val="auto"/>
          <w:sz w:val="22"/>
          <w:szCs w:val="22"/>
        </w:rPr>
        <w:t>0</w:t>
      </w:r>
      <w:r w:rsidRPr="009E1EDF">
        <w:rPr>
          <w:color w:val="auto"/>
          <w:sz w:val="22"/>
          <w:szCs w:val="22"/>
        </w:rPr>
        <w:t xml:space="preserve"> ca</w:t>
      </w:r>
      <w:r w:rsidR="009E1EDF">
        <w:rPr>
          <w:color w:val="auto"/>
          <w:sz w:val="22"/>
          <w:szCs w:val="22"/>
        </w:rPr>
        <w:t xml:space="preserve">lendar days minimum between the </w:t>
      </w:r>
      <w:r w:rsidRPr="009E1EDF">
        <w:rPr>
          <w:color w:val="auto"/>
          <w:sz w:val="22"/>
          <w:szCs w:val="22"/>
        </w:rPr>
        <w:t>notification of intention to award, and the start of th</w:t>
      </w:r>
      <w:r w:rsidR="00D3042D">
        <w:rPr>
          <w:color w:val="auto"/>
          <w:sz w:val="22"/>
          <w:szCs w:val="22"/>
        </w:rPr>
        <w:t>e contract</w:t>
      </w:r>
      <w:r w:rsidR="00E537D1" w:rsidRPr="009E1EDF">
        <w:rPr>
          <w:color w:val="auto"/>
          <w:sz w:val="22"/>
          <w:szCs w:val="22"/>
        </w:rPr>
        <w:t>.</w:t>
      </w:r>
    </w:p>
    <w:p w:rsidR="00F146E6" w:rsidRPr="009E5141" w:rsidRDefault="00F146E6" w:rsidP="00F146E6">
      <w:pPr>
        <w:pStyle w:val="Heading3"/>
        <w:spacing w:after="0" w:line="240" w:lineRule="atLeast"/>
        <w:ind w:right="570"/>
      </w:pPr>
      <w:r w:rsidRPr="009E5141">
        <w:t>Debriefing</w:t>
      </w:r>
    </w:p>
    <w:p w:rsidR="00F146E6" w:rsidRDefault="00F146E6" w:rsidP="0016319B">
      <w:r w:rsidRPr="009E5141">
        <w:t xml:space="preserve">We will give </w:t>
      </w:r>
      <w:r w:rsidRPr="009E5141">
        <w:rPr>
          <w:b/>
          <w:color w:val="006600"/>
        </w:rPr>
        <w:t>all bidders</w:t>
      </w:r>
      <w:r w:rsidRPr="009E5141">
        <w:t xml:space="preserve"> the opportunity of a debriefing.  Please tell us in writing as soon as poss</w:t>
      </w:r>
      <w:r w:rsidR="00E537D1">
        <w:t>ible if you want a debriefing.</w:t>
      </w:r>
    </w:p>
    <w:p w:rsidR="00C26503" w:rsidRPr="009E5141" w:rsidRDefault="00C26503" w:rsidP="00C26503">
      <w:pPr>
        <w:pStyle w:val="Heading2"/>
        <w:tabs>
          <w:tab w:val="left" w:pos="1134"/>
        </w:tabs>
        <w:spacing w:line="240" w:lineRule="atLeast"/>
        <w:ind w:right="567"/>
      </w:pPr>
      <w:r w:rsidRPr="009E5141">
        <w:t>Contract management</w:t>
      </w:r>
    </w:p>
    <w:p w:rsidR="00C26503" w:rsidRPr="009E5141" w:rsidRDefault="00C26503" w:rsidP="00C26503">
      <w:r w:rsidRPr="009E5141">
        <w:rPr>
          <w:color w:val="000000"/>
        </w:rPr>
        <w:t xml:space="preserve">If we award a contract you will have to co-operate in managing </w:t>
      </w:r>
      <w:r w:rsidR="00CD33C3">
        <w:rPr>
          <w:color w:val="000000"/>
        </w:rPr>
        <w:t>it</w:t>
      </w:r>
      <w:r w:rsidRPr="009E5141">
        <w:rPr>
          <w:color w:val="000000"/>
        </w:rPr>
        <w:t xml:space="preserve"> and comply with the contract management requirements, as detailed in the </w:t>
      </w:r>
      <w:r>
        <w:rPr>
          <w:color w:val="000000"/>
        </w:rPr>
        <w:t>Specification</w:t>
      </w:r>
      <w:r w:rsidRPr="009E5141">
        <w:rPr>
          <w:color w:val="000000"/>
        </w:rPr>
        <w:t xml:space="preserve"> of Requirements at Section </w:t>
      </w:r>
      <w:r>
        <w:rPr>
          <w:color w:val="000000"/>
        </w:rPr>
        <w:t>2</w:t>
      </w:r>
      <w:r w:rsidRPr="009E5141">
        <w:rPr>
          <w:color w:val="000000"/>
        </w:rPr>
        <w:t xml:space="preserve">. </w:t>
      </w:r>
    </w:p>
    <w:p w:rsidR="0016319B" w:rsidRPr="009E5141" w:rsidRDefault="0016319B" w:rsidP="0016319B">
      <w:pPr>
        <w:pStyle w:val="Heading2"/>
        <w:tabs>
          <w:tab w:val="left" w:pos="1134"/>
        </w:tabs>
        <w:spacing w:line="240" w:lineRule="atLeast"/>
        <w:ind w:right="567"/>
      </w:pPr>
      <w:r w:rsidRPr="009E5141">
        <w:t>Costs</w:t>
      </w:r>
    </w:p>
    <w:p w:rsidR="0016319B" w:rsidRPr="0009784B" w:rsidRDefault="00797DD4" w:rsidP="0016319B">
      <w:pPr>
        <w:rPr>
          <w:color w:val="000000"/>
        </w:rPr>
      </w:pPr>
      <w:r>
        <w:rPr>
          <w:color w:val="000000"/>
        </w:rPr>
        <w:t>Unless otherwise stated in this ITT, a</w:t>
      </w:r>
      <w:r w:rsidR="0016319B" w:rsidRPr="009E5141">
        <w:rPr>
          <w:color w:val="000000"/>
        </w:rPr>
        <w:t>ll costs associated with taking part in this proces</w:t>
      </w:r>
      <w:r>
        <w:rPr>
          <w:color w:val="000000"/>
        </w:rPr>
        <w:t>s remain your responsibility and w</w:t>
      </w:r>
      <w:r w:rsidR="0016319B" w:rsidRPr="009E5141">
        <w:rPr>
          <w:color w:val="000000"/>
        </w:rPr>
        <w:t>e will not return any part of</w:t>
      </w:r>
      <w:r>
        <w:rPr>
          <w:color w:val="000000"/>
        </w:rPr>
        <w:t xml:space="preserve"> your completed tender to you.</w:t>
      </w:r>
    </w:p>
    <w:p w:rsidR="0016319B" w:rsidRPr="009E5141" w:rsidRDefault="0016319B" w:rsidP="0016319B">
      <w:pPr>
        <w:pStyle w:val="Heading2"/>
        <w:tabs>
          <w:tab w:val="left" w:pos="1134"/>
        </w:tabs>
        <w:spacing w:line="240" w:lineRule="atLeast"/>
        <w:ind w:right="567"/>
      </w:pPr>
      <w:r w:rsidRPr="009E5141">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9E5141" w:rsidRDefault="00C26503" w:rsidP="00C26503">
      <w:pPr>
        <w:pStyle w:val="Heading2"/>
        <w:tabs>
          <w:tab w:val="left" w:pos="1134"/>
        </w:tabs>
        <w:spacing w:line="240" w:lineRule="atLeast"/>
        <w:ind w:right="567"/>
      </w:pPr>
      <w:r w:rsidRPr="009E5141">
        <w:lastRenderedPageBreak/>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9E5141" w:rsidRDefault="0016319B" w:rsidP="0016319B">
      <w:pPr>
        <w:pStyle w:val="Heading2"/>
        <w:tabs>
          <w:tab w:val="left" w:pos="1134"/>
        </w:tabs>
        <w:spacing w:line="240" w:lineRule="atLeast"/>
        <w:ind w:right="567"/>
      </w:pPr>
      <w:r w:rsidRPr="009E5141">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the FC, nor their advisors, nor their respective directors, officers, members, partners, employees, other staff or agents:</w:t>
      </w:r>
    </w:p>
    <w:p w:rsidR="0016319B" w:rsidRPr="009E5141" w:rsidRDefault="0016319B" w:rsidP="0016319B">
      <w:pPr>
        <w:numPr>
          <w:ilvl w:val="0"/>
          <w:numId w:val="22"/>
        </w:numPr>
        <w:spacing w:before="120" w:line="240" w:lineRule="atLeast"/>
      </w:pPr>
      <w:r w:rsidRPr="009E5141">
        <w:t>makes any representation or warranty (express or implied) as to the accuracy, reasonableness or completeness of this ITT; or</w:t>
      </w:r>
    </w:p>
    <w:p w:rsidR="0016319B" w:rsidRPr="009E5141" w:rsidRDefault="0016319B" w:rsidP="0016319B">
      <w:pPr>
        <w:numPr>
          <w:ilvl w:val="0"/>
          <w:numId w:val="22"/>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16319B" w:rsidRDefault="0016319B" w:rsidP="0016319B"/>
    <w:p w:rsidR="00994B1A" w:rsidRPr="009E5141" w:rsidRDefault="00994B1A" w:rsidP="0016319B"/>
    <w:p w:rsidR="0016319B" w:rsidRDefault="0016319B" w:rsidP="0016319B"/>
    <w:p w:rsidR="0016319B" w:rsidRPr="00994B1A" w:rsidRDefault="00E82136" w:rsidP="00E82136">
      <w:pPr>
        <w:pStyle w:val="Heading1"/>
      </w:pPr>
      <w:r>
        <w:br w:type="page"/>
      </w:r>
      <w:r w:rsidR="0016319B" w:rsidRPr="00994B1A">
        <w:lastRenderedPageBreak/>
        <w:t>Your response</w:t>
      </w:r>
    </w:p>
    <w:p w:rsidR="0016319B" w:rsidRDefault="0016319B" w:rsidP="0016319B">
      <w:r w:rsidRPr="009E5141">
        <w:t xml:space="preserve">In order to submit a </w:t>
      </w:r>
      <w:r w:rsidR="00994B1A">
        <w:t>tender</w:t>
      </w:r>
      <w:r w:rsidRPr="009E5141">
        <w:t xml:space="preserve"> for this requirement you must complete and return the </w:t>
      </w:r>
      <w:r w:rsidR="00781E67">
        <w:t>relevant</w:t>
      </w:r>
      <w:r w:rsidRPr="009E5141">
        <w:t xml:space="preserve"> sections</w:t>
      </w:r>
      <w:r w:rsidR="00781E67">
        <w:t>, detailed in the table below,</w:t>
      </w:r>
      <w:r w:rsidR="00994B1A">
        <w:t xml:space="preserve"> in </w:t>
      </w:r>
      <w:r w:rsidR="00277241">
        <w:t>compliance</w:t>
      </w:r>
      <w:r w:rsidR="00994B1A">
        <w:t xml:space="preserve"> with Section 3 above</w:t>
      </w:r>
      <w:r w:rsidRPr="009E5141">
        <w:t>.</w:t>
      </w:r>
      <w:r w:rsidR="00781E67">
        <w:t xml:space="preserve">  </w:t>
      </w:r>
      <w:r w:rsidR="00277241">
        <w:t>If we have decided that certain sections are not relevant for this particular ITT, we have indicated this by stating ‘N/A’ next to the title heading at the relevant section</w:t>
      </w:r>
      <w:r w:rsidR="006B03A6">
        <w:t xml:space="preserve"> and by indicating </w:t>
      </w:r>
      <w:r w:rsidR="00781E67">
        <w:t xml:space="preserve">‘Not Applicable’ </w:t>
      </w:r>
      <w:r w:rsidR="006B03A6">
        <w:t xml:space="preserve">within the </w:t>
      </w:r>
      <w:r w:rsidR="00781E67">
        <w:t>table</w:t>
      </w:r>
      <w:r w:rsidR="006B03A6">
        <w:t xml:space="preserve"> below</w:t>
      </w:r>
      <w:r w:rsidR="00277241">
        <w:t>.</w:t>
      </w:r>
      <w:r w:rsidR="00781E67">
        <w:t xml:space="preserve">  Unless otherwise indicated in this way, all sections must be completed and returned.</w:t>
      </w:r>
    </w:p>
    <w:p w:rsidR="00781E67" w:rsidRDefault="00781E67" w:rsidP="0016319B"/>
    <w:p w:rsidR="00781E67" w:rsidRDefault="00781E67" w:rsidP="0016319B">
      <w:r>
        <w:t>The table below provides a summary of the evaluation method for each section, however full details of how we will evaluate your submission can be found in the individual Evaluation Matrix’ within each section.</w:t>
      </w:r>
    </w:p>
    <w:p w:rsidR="002E09AD" w:rsidRDefault="002E09AD" w:rsidP="001631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213"/>
        <w:gridCol w:w="3793"/>
      </w:tblGrid>
      <w:tr w:rsidR="00F61F52" w:rsidTr="00093B5A">
        <w:tc>
          <w:tcPr>
            <w:tcW w:w="1132" w:type="dxa"/>
            <w:shd w:val="clear" w:color="auto" w:fill="auto"/>
          </w:tcPr>
          <w:p w:rsidR="002E09AD" w:rsidRPr="00093B5A" w:rsidRDefault="002E09AD" w:rsidP="0016319B">
            <w:pPr>
              <w:rPr>
                <w:b/>
              </w:rPr>
            </w:pPr>
            <w:r w:rsidRPr="00093B5A">
              <w:rPr>
                <w:b/>
              </w:rPr>
              <w:t>Section</w:t>
            </w:r>
          </w:p>
        </w:tc>
        <w:tc>
          <w:tcPr>
            <w:tcW w:w="5213" w:type="dxa"/>
            <w:shd w:val="clear" w:color="auto" w:fill="auto"/>
          </w:tcPr>
          <w:p w:rsidR="002E09AD" w:rsidRPr="00093B5A" w:rsidRDefault="002E09AD" w:rsidP="0016319B">
            <w:pPr>
              <w:rPr>
                <w:b/>
              </w:rPr>
            </w:pPr>
            <w:r w:rsidRPr="00093B5A">
              <w:rPr>
                <w:b/>
              </w:rPr>
              <w:t>Title</w:t>
            </w:r>
          </w:p>
        </w:tc>
        <w:tc>
          <w:tcPr>
            <w:tcW w:w="3793" w:type="dxa"/>
            <w:shd w:val="clear" w:color="auto" w:fill="auto"/>
          </w:tcPr>
          <w:p w:rsidR="002E09AD" w:rsidRPr="00093B5A" w:rsidRDefault="002E09AD" w:rsidP="0016319B">
            <w:pPr>
              <w:rPr>
                <w:b/>
              </w:rPr>
            </w:pPr>
            <w:r w:rsidRPr="00093B5A">
              <w:rPr>
                <w:b/>
              </w:rPr>
              <w:t>Evaluation Method</w:t>
            </w:r>
          </w:p>
        </w:tc>
      </w:tr>
      <w:tr w:rsidR="00F61F52" w:rsidTr="00093B5A">
        <w:tc>
          <w:tcPr>
            <w:tcW w:w="1132" w:type="dxa"/>
            <w:shd w:val="clear" w:color="auto" w:fill="auto"/>
          </w:tcPr>
          <w:p w:rsidR="003D3BCE" w:rsidRPr="001610A1" w:rsidRDefault="003D3BCE" w:rsidP="0016319B">
            <w:r w:rsidRPr="001610A1">
              <w:t>4</w:t>
            </w:r>
          </w:p>
        </w:tc>
        <w:tc>
          <w:tcPr>
            <w:tcW w:w="5213" w:type="dxa"/>
            <w:shd w:val="clear" w:color="auto" w:fill="auto"/>
          </w:tcPr>
          <w:p w:rsidR="003D3BCE" w:rsidRPr="001610A1" w:rsidRDefault="003D3BCE" w:rsidP="0016319B">
            <w:r w:rsidRPr="001610A1">
              <w:t>Lots</w:t>
            </w:r>
          </w:p>
        </w:tc>
        <w:tc>
          <w:tcPr>
            <w:tcW w:w="3793" w:type="dxa"/>
            <w:shd w:val="clear" w:color="auto" w:fill="auto"/>
          </w:tcPr>
          <w:p w:rsidR="003D3BCE" w:rsidRPr="001610A1" w:rsidRDefault="003D3BCE" w:rsidP="0016319B">
            <w:r w:rsidRPr="001610A1">
              <w:t>For information only but must be completed</w:t>
            </w:r>
          </w:p>
        </w:tc>
      </w:tr>
      <w:tr w:rsidR="00F61F52" w:rsidTr="00093B5A">
        <w:tc>
          <w:tcPr>
            <w:tcW w:w="1132" w:type="dxa"/>
            <w:shd w:val="clear" w:color="auto" w:fill="auto"/>
          </w:tcPr>
          <w:p w:rsidR="002E09AD" w:rsidRDefault="003D3BCE" w:rsidP="0016319B">
            <w:r>
              <w:t>4.1</w:t>
            </w:r>
          </w:p>
        </w:tc>
        <w:tc>
          <w:tcPr>
            <w:tcW w:w="5213" w:type="dxa"/>
            <w:shd w:val="clear" w:color="auto" w:fill="auto"/>
          </w:tcPr>
          <w:p w:rsidR="002E09AD" w:rsidRDefault="003D3BCE" w:rsidP="0016319B">
            <w:r>
              <w:t>Supplier Information</w:t>
            </w:r>
          </w:p>
        </w:tc>
        <w:tc>
          <w:tcPr>
            <w:tcW w:w="3793" w:type="dxa"/>
            <w:shd w:val="clear" w:color="auto" w:fill="auto"/>
          </w:tcPr>
          <w:p w:rsidR="002E09AD" w:rsidRDefault="003D3BCE" w:rsidP="0016319B">
            <w:r>
              <w:t>For information only but must be completed</w:t>
            </w:r>
          </w:p>
        </w:tc>
      </w:tr>
      <w:tr w:rsidR="00781E67" w:rsidTr="00093B5A">
        <w:tc>
          <w:tcPr>
            <w:tcW w:w="10138" w:type="dxa"/>
            <w:gridSpan w:val="3"/>
            <w:shd w:val="clear" w:color="auto" w:fill="auto"/>
          </w:tcPr>
          <w:p w:rsidR="00781E67" w:rsidRDefault="00781E67" w:rsidP="00093B5A">
            <w:pPr>
              <w:jc w:val="center"/>
            </w:pPr>
          </w:p>
        </w:tc>
      </w:tr>
      <w:tr w:rsidR="00F61F52" w:rsidTr="00093B5A">
        <w:tc>
          <w:tcPr>
            <w:tcW w:w="1132" w:type="dxa"/>
            <w:shd w:val="clear" w:color="auto" w:fill="auto"/>
          </w:tcPr>
          <w:p w:rsidR="002E09AD" w:rsidRDefault="003D3BCE" w:rsidP="0016319B">
            <w:r>
              <w:t>4.2</w:t>
            </w:r>
          </w:p>
        </w:tc>
        <w:tc>
          <w:tcPr>
            <w:tcW w:w="5213" w:type="dxa"/>
            <w:shd w:val="clear" w:color="auto" w:fill="auto"/>
          </w:tcPr>
          <w:p w:rsidR="002E09AD" w:rsidRDefault="003D3BCE" w:rsidP="0016319B">
            <w:r>
              <w:t>Grounds for mandatory exclusion</w:t>
            </w:r>
          </w:p>
        </w:tc>
        <w:tc>
          <w:tcPr>
            <w:tcW w:w="3793" w:type="dxa"/>
            <w:shd w:val="clear" w:color="auto" w:fill="auto"/>
          </w:tcPr>
          <w:p w:rsidR="002E09AD" w:rsidRDefault="003D3BCE" w:rsidP="003D3BCE">
            <w:r>
              <w:t>Pass / Fail</w:t>
            </w:r>
          </w:p>
        </w:tc>
      </w:tr>
      <w:tr w:rsidR="00F61F52" w:rsidTr="00093B5A">
        <w:tc>
          <w:tcPr>
            <w:tcW w:w="1132" w:type="dxa"/>
            <w:shd w:val="clear" w:color="auto" w:fill="auto"/>
          </w:tcPr>
          <w:p w:rsidR="002E09AD" w:rsidRDefault="003D3BCE" w:rsidP="0016319B">
            <w:r>
              <w:t>4.3</w:t>
            </w:r>
          </w:p>
        </w:tc>
        <w:tc>
          <w:tcPr>
            <w:tcW w:w="5213" w:type="dxa"/>
            <w:shd w:val="clear" w:color="auto" w:fill="auto"/>
          </w:tcPr>
          <w:p w:rsidR="002E09AD" w:rsidRDefault="003D3BCE" w:rsidP="0016319B">
            <w:r>
              <w:t>Grounds for discretionary exclusion – Part 1</w:t>
            </w:r>
          </w:p>
        </w:tc>
        <w:tc>
          <w:tcPr>
            <w:tcW w:w="3793" w:type="dxa"/>
            <w:shd w:val="clear" w:color="auto" w:fill="auto"/>
          </w:tcPr>
          <w:p w:rsidR="002E09AD" w:rsidRDefault="003D3BCE" w:rsidP="0016319B">
            <w:r>
              <w:t>Pass / Fail</w:t>
            </w:r>
          </w:p>
        </w:tc>
      </w:tr>
      <w:tr w:rsidR="00F61F52" w:rsidTr="00093B5A">
        <w:tc>
          <w:tcPr>
            <w:tcW w:w="1132" w:type="dxa"/>
            <w:shd w:val="clear" w:color="auto" w:fill="auto"/>
          </w:tcPr>
          <w:p w:rsidR="002E09AD" w:rsidRDefault="003D3BCE" w:rsidP="0016319B">
            <w:r>
              <w:t>4.4</w:t>
            </w:r>
          </w:p>
        </w:tc>
        <w:tc>
          <w:tcPr>
            <w:tcW w:w="5213" w:type="dxa"/>
            <w:shd w:val="clear" w:color="auto" w:fill="auto"/>
          </w:tcPr>
          <w:p w:rsidR="002E09AD" w:rsidRDefault="003D3BCE" w:rsidP="0016319B">
            <w:r>
              <w:t>Grounds for discretionary exclusion – Part 2</w:t>
            </w:r>
          </w:p>
        </w:tc>
        <w:tc>
          <w:tcPr>
            <w:tcW w:w="3793" w:type="dxa"/>
            <w:shd w:val="clear" w:color="auto" w:fill="auto"/>
          </w:tcPr>
          <w:p w:rsidR="002E09AD" w:rsidRDefault="00D3042D" w:rsidP="0016319B">
            <w:r>
              <w:t>Not Applicable</w:t>
            </w:r>
          </w:p>
        </w:tc>
      </w:tr>
      <w:tr w:rsidR="003D3BCE" w:rsidTr="00093B5A">
        <w:tc>
          <w:tcPr>
            <w:tcW w:w="10138" w:type="dxa"/>
            <w:gridSpan w:val="3"/>
            <w:shd w:val="clear" w:color="auto" w:fill="auto"/>
          </w:tcPr>
          <w:p w:rsidR="003D3BCE" w:rsidRPr="00093B5A" w:rsidRDefault="003D3BCE" w:rsidP="00093B5A">
            <w:pPr>
              <w:jc w:val="center"/>
              <w:rPr>
                <w:b/>
              </w:rPr>
            </w:pPr>
            <w:r w:rsidRPr="00093B5A">
              <w:rPr>
                <w:b/>
              </w:rPr>
              <w:t>Selection Criteria</w:t>
            </w:r>
          </w:p>
        </w:tc>
      </w:tr>
      <w:tr w:rsidR="00F61F52" w:rsidTr="00093B5A">
        <w:tc>
          <w:tcPr>
            <w:tcW w:w="1132" w:type="dxa"/>
            <w:shd w:val="clear" w:color="auto" w:fill="auto"/>
          </w:tcPr>
          <w:p w:rsidR="003D3BCE" w:rsidRDefault="003D3BCE" w:rsidP="00F61F52">
            <w:r>
              <w:t>4.5</w:t>
            </w:r>
          </w:p>
        </w:tc>
        <w:tc>
          <w:tcPr>
            <w:tcW w:w="5213" w:type="dxa"/>
            <w:shd w:val="clear" w:color="auto" w:fill="auto"/>
          </w:tcPr>
          <w:p w:rsidR="003D3BCE" w:rsidRDefault="003D3BCE" w:rsidP="00F61F52">
            <w:r>
              <w:t>Economic and Financial Standing</w:t>
            </w:r>
          </w:p>
        </w:tc>
        <w:tc>
          <w:tcPr>
            <w:tcW w:w="3793" w:type="dxa"/>
            <w:shd w:val="clear" w:color="auto" w:fill="auto"/>
          </w:tcPr>
          <w:p w:rsidR="003D3BCE" w:rsidRPr="00B63A04" w:rsidRDefault="00D3042D" w:rsidP="00D3042D">
            <w:r w:rsidRPr="00B63A04">
              <w:t>Not Applicable</w:t>
            </w:r>
          </w:p>
        </w:tc>
      </w:tr>
      <w:tr w:rsidR="00F61F52" w:rsidTr="00093B5A">
        <w:tc>
          <w:tcPr>
            <w:tcW w:w="1132" w:type="dxa"/>
            <w:shd w:val="clear" w:color="auto" w:fill="auto"/>
          </w:tcPr>
          <w:p w:rsidR="003D3BCE" w:rsidRDefault="003D3BCE" w:rsidP="00F61F52">
            <w:r>
              <w:t>4.6</w:t>
            </w:r>
          </w:p>
        </w:tc>
        <w:tc>
          <w:tcPr>
            <w:tcW w:w="5213" w:type="dxa"/>
            <w:shd w:val="clear" w:color="auto" w:fill="auto"/>
          </w:tcPr>
          <w:p w:rsidR="003D3BCE" w:rsidRDefault="003D3BCE" w:rsidP="00F61F52">
            <w:r>
              <w:t>Technical and Professional Ability</w:t>
            </w:r>
          </w:p>
        </w:tc>
        <w:tc>
          <w:tcPr>
            <w:tcW w:w="3793" w:type="dxa"/>
            <w:shd w:val="clear" w:color="auto" w:fill="auto"/>
          </w:tcPr>
          <w:p w:rsidR="003D3BCE" w:rsidRPr="00B63A04" w:rsidRDefault="00D3042D" w:rsidP="00F61F52">
            <w:r w:rsidRPr="00B63A04">
              <w:t>Pass/Fail</w:t>
            </w:r>
          </w:p>
        </w:tc>
      </w:tr>
      <w:tr w:rsidR="003D3BCE" w:rsidTr="00093B5A">
        <w:tc>
          <w:tcPr>
            <w:tcW w:w="1132" w:type="dxa"/>
            <w:shd w:val="clear" w:color="auto" w:fill="auto"/>
          </w:tcPr>
          <w:p w:rsidR="003D3BCE" w:rsidRDefault="003D3BCE" w:rsidP="00F61F52">
            <w:r>
              <w:t>4.7</w:t>
            </w:r>
          </w:p>
        </w:tc>
        <w:tc>
          <w:tcPr>
            <w:tcW w:w="9006" w:type="dxa"/>
            <w:gridSpan w:val="2"/>
            <w:shd w:val="clear" w:color="auto" w:fill="auto"/>
          </w:tcPr>
          <w:p w:rsidR="003D3BCE" w:rsidRPr="00B63A04" w:rsidRDefault="003D3BCE" w:rsidP="00F61F52">
            <w:r w:rsidRPr="00B63A04">
              <w:t>Additional Selection Modules</w:t>
            </w:r>
          </w:p>
        </w:tc>
      </w:tr>
      <w:tr w:rsidR="00F61F52" w:rsidTr="00093B5A">
        <w:tc>
          <w:tcPr>
            <w:tcW w:w="1132" w:type="dxa"/>
            <w:shd w:val="clear" w:color="auto" w:fill="auto"/>
          </w:tcPr>
          <w:p w:rsidR="003D3BCE" w:rsidRDefault="003D3BCE" w:rsidP="00F61F52">
            <w:r>
              <w:t>4.7.1</w:t>
            </w:r>
          </w:p>
        </w:tc>
        <w:tc>
          <w:tcPr>
            <w:tcW w:w="5213" w:type="dxa"/>
            <w:shd w:val="clear" w:color="auto" w:fill="auto"/>
          </w:tcPr>
          <w:p w:rsidR="003D3BCE" w:rsidRDefault="003D3BCE" w:rsidP="00F61F52">
            <w:r>
              <w:t>Project Specific Questions to assess Technical and Professional Ability</w:t>
            </w:r>
          </w:p>
        </w:tc>
        <w:tc>
          <w:tcPr>
            <w:tcW w:w="3793" w:type="dxa"/>
            <w:shd w:val="clear" w:color="auto" w:fill="auto"/>
          </w:tcPr>
          <w:p w:rsidR="003D3BCE" w:rsidRPr="00B63A04" w:rsidRDefault="00D3042D" w:rsidP="00F61F52">
            <w:r w:rsidRPr="00B63A04">
              <w:t>Pass/Fail</w:t>
            </w:r>
          </w:p>
        </w:tc>
      </w:tr>
      <w:tr w:rsidR="00F61F52" w:rsidTr="00093B5A">
        <w:tc>
          <w:tcPr>
            <w:tcW w:w="1132" w:type="dxa"/>
            <w:shd w:val="clear" w:color="auto" w:fill="auto"/>
          </w:tcPr>
          <w:p w:rsidR="003D3BCE" w:rsidRDefault="003D3BCE" w:rsidP="00F61F52">
            <w:r>
              <w:t>4.7.2</w:t>
            </w:r>
          </w:p>
        </w:tc>
        <w:tc>
          <w:tcPr>
            <w:tcW w:w="5213" w:type="dxa"/>
            <w:shd w:val="clear" w:color="auto" w:fill="auto"/>
          </w:tcPr>
          <w:p w:rsidR="003D3BCE" w:rsidRDefault="003D3BCE" w:rsidP="00F61F52">
            <w:r>
              <w:t>Insurance</w:t>
            </w:r>
          </w:p>
        </w:tc>
        <w:tc>
          <w:tcPr>
            <w:tcW w:w="3793" w:type="dxa"/>
            <w:shd w:val="clear" w:color="auto" w:fill="auto"/>
          </w:tcPr>
          <w:p w:rsidR="003D3BCE" w:rsidRPr="00B63A04" w:rsidRDefault="003D3BCE" w:rsidP="00F61F52">
            <w:r w:rsidRPr="00B63A04">
              <w:t>Pass / Fail</w:t>
            </w:r>
          </w:p>
        </w:tc>
      </w:tr>
      <w:tr w:rsidR="00F61F52" w:rsidTr="00093B5A">
        <w:tc>
          <w:tcPr>
            <w:tcW w:w="1132" w:type="dxa"/>
            <w:shd w:val="clear" w:color="auto" w:fill="auto"/>
          </w:tcPr>
          <w:p w:rsidR="003D3BCE" w:rsidRDefault="003D3BCE" w:rsidP="00F61F52">
            <w:r>
              <w:t>4.7.3</w:t>
            </w:r>
          </w:p>
        </w:tc>
        <w:tc>
          <w:tcPr>
            <w:tcW w:w="5213" w:type="dxa"/>
            <w:shd w:val="clear" w:color="auto" w:fill="auto"/>
          </w:tcPr>
          <w:p w:rsidR="003D3BCE" w:rsidRDefault="003D3BCE" w:rsidP="00F61F52">
            <w:r>
              <w:t>Compliance with equality legislation</w:t>
            </w:r>
          </w:p>
        </w:tc>
        <w:tc>
          <w:tcPr>
            <w:tcW w:w="3793" w:type="dxa"/>
            <w:shd w:val="clear" w:color="auto" w:fill="auto"/>
          </w:tcPr>
          <w:p w:rsidR="003D3BCE" w:rsidRPr="00B63A04" w:rsidRDefault="003D3BCE" w:rsidP="00D3042D">
            <w:r w:rsidRPr="00B63A04">
              <w:t xml:space="preserve">Not </w:t>
            </w:r>
            <w:r w:rsidR="00D3042D" w:rsidRPr="00B63A04">
              <w:t>Applicable</w:t>
            </w:r>
          </w:p>
        </w:tc>
      </w:tr>
      <w:tr w:rsidR="00F61F52" w:rsidTr="00093B5A">
        <w:tc>
          <w:tcPr>
            <w:tcW w:w="1132" w:type="dxa"/>
            <w:shd w:val="clear" w:color="auto" w:fill="auto"/>
          </w:tcPr>
          <w:p w:rsidR="003D3BCE" w:rsidRDefault="003D3BCE" w:rsidP="00F61F52">
            <w:r>
              <w:t>4.7.4</w:t>
            </w:r>
          </w:p>
        </w:tc>
        <w:tc>
          <w:tcPr>
            <w:tcW w:w="5213" w:type="dxa"/>
            <w:shd w:val="clear" w:color="auto" w:fill="auto"/>
          </w:tcPr>
          <w:p w:rsidR="003D3BCE" w:rsidRDefault="003D3BCE" w:rsidP="00F61F52">
            <w:r>
              <w:t>Environmental Management</w:t>
            </w:r>
          </w:p>
        </w:tc>
        <w:tc>
          <w:tcPr>
            <w:tcW w:w="3793" w:type="dxa"/>
            <w:shd w:val="clear" w:color="auto" w:fill="auto"/>
          </w:tcPr>
          <w:p w:rsidR="003D3BCE" w:rsidRPr="00B63A04" w:rsidRDefault="00B63A04" w:rsidP="00B63A04">
            <w:r w:rsidRPr="00B63A04">
              <w:t>Not Applicable</w:t>
            </w:r>
          </w:p>
        </w:tc>
      </w:tr>
      <w:tr w:rsidR="00F61F52" w:rsidTr="00093B5A">
        <w:tc>
          <w:tcPr>
            <w:tcW w:w="1132" w:type="dxa"/>
            <w:shd w:val="clear" w:color="auto" w:fill="auto"/>
          </w:tcPr>
          <w:p w:rsidR="00781E67" w:rsidRDefault="00781E67" w:rsidP="00F61F52">
            <w:r>
              <w:t>4.7.5</w:t>
            </w:r>
          </w:p>
        </w:tc>
        <w:tc>
          <w:tcPr>
            <w:tcW w:w="5213" w:type="dxa"/>
            <w:shd w:val="clear" w:color="auto" w:fill="auto"/>
          </w:tcPr>
          <w:p w:rsidR="00781E67" w:rsidRDefault="00781E67" w:rsidP="00F61F52">
            <w:r>
              <w:t>Health and Safety</w:t>
            </w:r>
          </w:p>
        </w:tc>
        <w:tc>
          <w:tcPr>
            <w:tcW w:w="3793" w:type="dxa"/>
            <w:shd w:val="clear" w:color="auto" w:fill="auto"/>
          </w:tcPr>
          <w:p w:rsidR="00781E67" w:rsidRPr="00B63A04" w:rsidRDefault="00D3042D" w:rsidP="00F61F52">
            <w:r w:rsidRPr="00B63A04">
              <w:t>Pass/Fail</w:t>
            </w:r>
          </w:p>
        </w:tc>
      </w:tr>
      <w:tr w:rsidR="00781E67" w:rsidTr="00093B5A">
        <w:tc>
          <w:tcPr>
            <w:tcW w:w="10138" w:type="dxa"/>
            <w:gridSpan w:val="3"/>
            <w:shd w:val="clear" w:color="auto" w:fill="auto"/>
          </w:tcPr>
          <w:p w:rsidR="00781E67" w:rsidRPr="00093B5A" w:rsidRDefault="00781E67" w:rsidP="00093B5A">
            <w:pPr>
              <w:jc w:val="center"/>
              <w:rPr>
                <w:b/>
              </w:rPr>
            </w:pPr>
            <w:r w:rsidRPr="00093B5A">
              <w:rPr>
                <w:b/>
              </w:rPr>
              <w:t>Award Criteria</w:t>
            </w:r>
          </w:p>
        </w:tc>
      </w:tr>
      <w:tr w:rsidR="00F61F52" w:rsidTr="00093B5A">
        <w:tc>
          <w:tcPr>
            <w:tcW w:w="1132" w:type="dxa"/>
            <w:shd w:val="clear" w:color="auto" w:fill="auto"/>
          </w:tcPr>
          <w:p w:rsidR="00781E67" w:rsidRDefault="00781E67" w:rsidP="00F61F52">
            <w:r>
              <w:t>4.8</w:t>
            </w:r>
          </w:p>
        </w:tc>
        <w:tc>
          <w:tcPr>
            <w:tcW w:w="5213" w:type="dxa"/>
            <w:shd w:val="clear" w:color="auto" w:fill="auto"/>
          </w:tcPr>
          <w:p w:rsidR="00781E67" w:rsidRDefault="00781E67" w:rsidP="00F61F52">
            <w:r>
              <w:t>Requirement Specific Questions</w:t>
            </w:r>
          </w:p>
        </w:tc>
        <w:tc>
          <w:tcPr>
            <w:tcW w:w="3793" w:type="dxa"/>
            <w:shd w:val="clear" w:color="auto" w:fill="auto"/>
          </w:tcPr>
          <w:p w:rsidR="00781E67" w:rsidRDefault="00781E67" w:rsidP="00F61F52">
            <w:r>
              <w:t>Scored and Weighted</w:t>
            </w:r>
          </w:p>
        </w:tc>
      </w:tr>
      <w:tr w:rsidR="00F61F52" w:rsidTr="00093B5A">
        <w:tc>
          <w:tcPr>
            <w:tcW w:w="1132" w:type="dxa"/>
            <w:shd w:val="clear" w:color="auto" w:fill="auto"/>
          </w:tcPr>
          <w:p w:rsidR="00781E67" w:rsidRDefault="00781E67" w:rsidP="00F61F52">
            <w:r>
              <w:t>4.9</w:t>
            </w:r>
          </w:p>
        </w:tc>
        <w:tc>
          <w:tcPr>
            <w:tcW w:w="5213" w:type="dxa"/>
            <w:shd w:val="clear" w:color="auto" w:fill="auto"/>
          </w:tcPr>
          <w:p w:rsidR="00781E67" w:rsidRDefault="00781E67" w:rsidP="00F61F52">
            <w:r>
              <w:t>Pricing Schedule</w:t>
            </w:r>
          </w:p>
        </w:tc>
        <w:tc>
          <w:tcPr>
            <w:tcW w:w="3793" w:type="dxa"/>
            <w:shd w:val="clear" w:color="auto" w:fill="auto"/>
          </w:tcPr>
          <w:p w:rsidR="00781E67" w:rsidRDefault="00781E67" w:rsidP="00F61F52">
            <w:r>
              <w:t>Scored and Weighted</w:t>
            </w:r>
          </w:p>
        </w:tc>
      </w:tr>
      <w:tr w:rsidR="00F61F52" w:rsidTr="00093B5A">
        <w:tc>
          <w:tcPr>
            <w:tcW w:w="1132" w:type="dxa"/>
            <w:shd w:val="clear" w:color="auto" w:fill="auto"/>
          </w:tcPr>
          <w:p w:rsidR="00781E67" w:rsidRDefault="00781E67" w:rsidP="00F61F52">
            <w:r>
              <w:t>4.10</w:t>
            </w:r>
          </w:p>
        </w:tc>
        <w:tc>
          <w:tcPr>
            <w:tcW w:w="5213" w:type="dxa"/>
            <w:shd w:val="clear" w:color="auto" w:fill="auto"/>
          </w:tcPr>
          <w:p w:rsidR="00781E67" w:rsidRDefault="00781E67" w:rsidP="00F61F52">
            <w:r>
              <w:t>ITT Template Appendices</w:t>
            </w:r>
          </w:p>
        </w:tc>
        <w:tc>
          <w:tcPr>
            <w:tcW w:w="3793" w:type="dxa"/>
            <w:shd w:val="clear" w:color="auto" w:fill="auto"/>
          </w:tcPr>
          <w:p w:rsidR="00781E67" w:rsidRDefault="00781E67" w:rsidP="00F61F52">
            <w:r>
              <w:t>Template Only – Use where required</w:t>
            </w:r>
          </w:p>
        </w:tc>
      </w:tr>
      <w:tr w:rsidR="00781E67" w:rsidTr="00093B5A">
        <w:tc>
          <w:tcPr>
            <w:tcW w:w="10138" w:type="dxa"/>
            <w:gridSpan w:val="3"/>
            <w:shd w:val="clear" w:color="auto" w:fill="auto"/>
          </w:tcPr>
          <w:p w:rsidR="00781E67" w:rsidRDefault="00781E67" w:rsidP="00F61F52"/>
        </w:tc>
      </w:tr>
      <w:tr w:rsidR="00F61F52" w:rsidTr="00093B5A">
        <w:tc>
          <w:tcPr>
            <w:tcW w:w="1132" w:type="dxa"/>
            <w:shd w:val="clear" w:color="auto" w:fill="auto"/>
          </w:tcPr>
          <w:p w:rsidR="00781E67" w:rsidRDefault="00781E67" w:rsidP="00F61F52">
            <w:r>
              <w:t>4.11</w:t>
            </w:r>
          </w:p>
        </w:tc>
        <w:tc>
          <w:tcPr>
            <w:tcW w:w="5213" w:type="dxa"/>
            <w:shd w:val="clear" w:color="auto" w:fill="auto"/>
          </w:tcPr>
          <w:p w:rsidR="00781E67" w:rsidRDefault="00781E67" w:rsidP="00F61F52">
            <w:r>
              <w:t>Terms and Conditions of Contract</w:t>
            </w:r>
          </w:p>
        </w:tc>
        <w:tc>
          <w:tcPr>
            <w:tcW w:w="3793" w:type="dxa"/>
            <w:shd w:val="clear" w:color="auto" w:fill="auto"/>
          </w:tcPr>
          <w:p w:rsidR="00781E67" w:rsidRDefault="00781E67" w:rsidP="00F61F52">
            <w:r>
              <w:t>Pass/Fail</w:t>
            </w:r>
          </w:p>
        </w:tc>
      </w:tr>
      <w:tr w:rsidR="00F61F52" w:rsidTr="00093B5A">
        <w:tc>
          <w:tcPr>
            <w:tcW w:w="1132" w:type="dxa"/>
            <w:shd w:val="clear" w:color="auto" w:fill="auto"/>
          </w:tcPr>
          <w:p w:rsidR="00781E67" w:rsidRDefault="00781E67" w:rsidP="00F61F52">
            <w:r>
              <w:t>4.12</w:t>
            </w:r>
          </w:p>
        </w:tc>
        <w:tc>
          <w:tcPr>
            <w:tcW w:w="5213" w:type="dxa"/>
            <w:shd w:val="clear" w:color="auto" w:fill="auto"/>
          </w:tcPr>
          <w:p w:rsidR="00781E67" w:rsidRDefault="00781E67" w:rsidP="00F61F52">
            <w:r>
              <w:t>Declaration</w:t>
            </w:r>
          </w:p>
        </w:tc>
        <w:tc>
          <w:tcPr>
            <w:tcW w:w="3793" w:type="dxa"/>
            <w:shd w:val="clear" w:color="auto" w:fill="auto"/>
          </w:tcPr>
          <w:p w:rsidR="00781E67" w:rsidRDefault="00781E67" w:rsidP="00F61F52">
            <w:r>
              <w:t>Pass/Fail</w:t>
            </w:r>
          </w:p>
        </w:tc>
      </w:tr>
    </w:tbl>
    <w:p w:rsidR="002E09AD" w:rsidRPr="009E5141" w:rsidRDefault="002E09AD" w:rsidP="0016319B"/>
    <w:p w:rsidR="0016319B" w:rsidRPr="00B63A04" w:rsidRDefault="0016319B" w:rsidP="006B5BF3">
      <w:pPr>
        <w:pStyle w:val="Heading2"/>
        <w:numPr>
          <w:ilvl w:val="0"/>
          <w:numId w:val="0"/>
        </w:numPr>
        <w:rPr>
          <w:color w:val="auto"/>
        </w:rPr>
      </w:pPr>
      <w:r w:rsidRPr="009E5141">
        <w:br w:type="page"/>
      </w:r>
      <w:r w:rsidRPr="00B63A04">
        <w:rPr>
          <w:color w:val="auto"/>
        </w:rPr>
        <w:lastRenderedPageBreak/>
        <w:t>Lots</w:t>
      </w:r>
      <w:r w:rsidR="001610A1" w:rsidRPr="00B63A04">
        <w:rPr>
          <w:color w:val="auto"/>
        </w:rPr>
        <w:t xml:space="preserve"> </w:t>
      </w:r>
    </w:p>
    <w:p w:rsidR="0016319B" w:rsidRPr="00B63A04" w:rsidRDefault="0016319B" w:rsidP="0016319B">
      <w:pPr>
        <w:spacing w:after="120"/>
      </w:pPr>
      <w:r w:rsidRPr="00B63A04">
        <w:t>Please indicate which lots you are bidding for:</w:t>
      </w:r>
    </w:p>
    <w:p w:rsidR="001610A1" w:rsidRDefault="001610A1" w:rsidP="0016319B">
      <w:pPr>
        <w:spacing w:after="120"/>
        <w:rPr>
          <w:color w:val="365F91"/>
        </w:rPr>
      </w:pPr>
    </w:p>
    <w:tbl>
      <w:tblPr>
        <w:tblW w:w="10207" w:type="dxa"/>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1E0" w:firstRow="1" w:lastRow="1" w:firstColumn="1" w:lastColumn="1" w:noHBand="0" w:noVBand="0"/>
      </w:tblPr>
      <w:tblGrid>
        <w:gridCol w:w="5422"/>
        <w:gridCol w:w="4785"/>
      </w:tblGrid>
      <w:tr w:rsidR="001610A1" w:rsidRPr="00DC51D8" w:rsidTr="001610A1">
        <w:tc>
          <w:tcPr>
            <w:tcW w:w="5422" w:type="dxa"/>
            <w:shd w:val="clear" w:color="auto" w:fill="EAF1DD"/>
          </w:tcPr>
          <w:p w:rsidR="001610A1" w:rsidRPr="00DC51D8" w:rsidRDefault="001610A1" w:rsidP="001610A1">
            <w:pPr>
              <w:spacing w:after="120"/>
              <w:rPr>
                <w:b/>
              </w:rPr>
            </w:pPr>
            <w:r w:rsidRPr="00DC51D8">
              <w:rPr>
                <w:b/>
              </w:rPr>
              <w:t>Lot No:</w:t>
            </w:r>
          </w:p>
        </w:tc>
        <w:tc>
          <w:tcPr>
            <w:tcW w:w="4785" w:type="dxa"/>
            <w:shd w:val="clear" w:color="auto" w:fill="EAF1DD"/>
          </w:tcPr>
          <w:p w:rsidR="001610A1" w:rsidRPr="00DC51D8" w:rsidRDefault="001610A1" w:rsidP="001610A1">
            <w:pPr>
              <w:spacing w:after="120"/>
              <w:rPr>
                <w:b/>
              </w:rPr>
            </w:pPr>
            <w:r w:rsidRPr="00DC51D8">
              <w:rPr>
                <w:b/>
              </w:rPr>
              <w:t>Bid: Yes/No</w:t>
            </w:r>
          </w:p>
        </w:tc>
      </w:tr>
      <w:tr w:rsidR="001610A1" w:rsidRPr="00DC51D8" w:rsidTr="001610A1">
        <w:trPr>
          <w:trHeight w:val="323"/>
        </w:trPr>
        <w:tc>
          <w:tcPr>
            <w:tcW w:w="5422" w:type="dxa"/>
          </w:tcPr>
          <w:p w:rsidR="001610A1" w:rsidRPr="00DC51D8" w:rsidRDefault="001610A1" w:rsidP="001610A1">
            <w:r w:rsidRPr="00DC51D8">
              <w:t>1. Westonbirt Arboretum, Glos, GL8 8QS</w:t>
            </w:r>
          </w:p>
        </w:tc>
        <w:tc>
          <w:tcPr>
            <w:tcW w:w="4785" w:type="dxa"/>
          </w:tcPr>
          <w:p w:rsidR="001610A1" w:rsidRPr="00DC51D8" w:rsidRDefault="001610A1" w:rsidP="001610A1"/>
        </w:tc>
      </w:tr>
      <w:tr w:rsidR="001610A1" w:rsidRPr="00DC51D8" w:rsidTr="001610A1">
        <w:trPr>
          <w:trHeight w:val="346"/>
        </w:trPr>
        <w:tc>
          <w:tcPr>
            <w:tcW w:w="5422" w:type="dxa"/>
          </w:tcPr>
          <w:p w:rsidR="001610A1" w:rsidRPr="00DC51D8" w:rsidRDefault="001610A1" w:rsidP="001610A1">
            <w:r w:rsidRPr="00DC51D8">
              <w:t>2. Bedgebury Pinetum, Kent, TN17 2SJ</w:t>
            </w:r>
          </w:p>
        </w:tc>
        <w:tc>
          <w:tcPr>
            <w:tcW w:w="4785" w:type="dxa"/>
          </w:tcPr>
          <w:p w:rsidR="001610A1" w:rsidRPr="00DC51D8" w:rsidRDefault="001610A1" w:rsidP="001610A1"/>
        </w:tc>
      </w:tr>
      <w:tr w:rsidR="001610A1" w:rsidRPr="00DC51D8" w:rsidTr="001610A1">
        <w:trPr>
          <w:trHeight w:val="357"/>
        </w:trPr>
        <w:tc>
          <w:tcPr>
            <w:tcW w:w="5422" w:type="dxa"/>
          </w:tcPr>
          <w:p w:rsidR="001610A1" w:rsidRPr="00DC51D8" w:rsidRDefault="001610A1" w:rsidP="001610A1">
            <w:r w:rsidRPr="00DC51D8">
              <w:t>3. Dalby Forest, N. Yorks, YO18 7LR</w:t>
            </w:r>
          </w:p>
        </w:tc>
        <w:tc>
          <w:tcPr>
            <w:tcW w:w="4785" w:type="dxa"/>
          </w:tcPr>
          <w:p w:rsidR="001610A1" w:rsidRPr="00DC51D8" w:rsidRDefault="001610A1" w:rsidP="001610A1"/>
        </w:tc>
      </w:tr>
      <w:tr w:rsidR="001610A1" w:rsidRPr="00DC51D8" w:rsidTr="001610A1">
        <w:trPr>
          <w:trHeight w:val="353"/>
        </w:trPr>
        <w:tc>
          <w:tcPr>
            <w:tcW w:w="5422" w:type="dxa"/>
          </w:tcPr>
          <w:p w:rsidR="001610A1" w:rsidRPr="00DC51D8" w:rsidRDefault="001610A1" w:rsidP="001610A1">
            <w:r w:rsidRPr="00DC51D8">
              <w:t>4. Sherwood Pines, Notts, NG21 9JL</w:t>
            </w:r>
          </w:p>
        </w:tc>
        <w:tc>
          <w:tcPr>
            <w:tcW w:w="4785" w:type="dxa"/>
          </w:tcPr>
          <w:p w:rsidR="001610A1" w:rsidRPr="00DC51D8" w:rsidRDefault="001610A1" w:rsidP="001610A1"/>
        </w:tc>
      </w:tr>
      <w:tr w:rsidR="001610A1" w:rsidRPr="00DC51D8" w:rsidTr="001610A1">
        <w:trPr>
          <w:trHeight w:val="353"/>
        </w:trPr>
        <w:tc>
          <w:tcPr>
            <w:tcW w:w="5422" w:type="dxa"/>
          </w:tcPr>
          <w:p w:rsidR="001610A1" w:rsidRPr="00DC51D8" w:rsidRDefault="001610A1" w:rsidP="001610A1">
            <w:r w:rsidRPr="00DC51D8">
              <w:t>5. Thetford Forest, Suffolk, IP27 0AF</w:t>
            </w:r>
          </w:p>
        </w:tc>
        <w:tc>
          <w:tcPr>
            <w:tcW w:w="4785" w:type="dxa"/>
          </w:tcPr>
          <w:p w:rsidR="001610A1" w:rsidRPr="00DC51D8" w:rsidRDefault="001610A1" w:rsidP="001610A1"/>
        </w:tc>
      </w:tr>
      <w:tr w:rsidR="001610A1" w:rsidRPr="00DC51D8" w:rsidTr="001610A1">
        <w:trPr>
          <w:trHeight w:val="353"/>
        </w:trPr>
        <w:tc>
          <w:tcPr>
            <w:tcW w:w="5422" w:type="dxa"/>
          </w:tcPr>
          <w:p w:rsidR="001610A1" w:rsidRPr="00DC51D8" w:rsidRDefault="001610A1" w:rsidP="001610A1">
            <w:r w:rsidRPr="00DC51D8">
              <w:t>6. Delamere Forest, Cheshire, CW8 2JD</w:t>
            </w:r>
          </w:p>
        </w:tc>
        <w:tc>
          <w:tcPr>
            <w:tcW w:w="4785" w:type="dxa"/>
          </w:tcPr>
          <w:p w:rsidR="001610A1" w:rsidRPr="00DC51D8" w:rsidRDefault="001610A1" w:rsidP="001610A1"/>
        </w:tc>
      </w:tr>
      <w:tr w:rsidR="001610A1" w:rsidRPr="00DC51D8" w:rsidTr="001610A1">
        <w:trPr>
          <w:trHeight w:val="353"/>
        </w:trPr>
        <w:tc>
          <w:tcPr>
            <w:tcW w:w="5422" w:type="dxa"/>
          </w:tcPr>
          <w:p w:rsidR="001610A1" w:rsidRPr="00DC51D8" w:rsidRDefault="001610A1" w:rsidP="001610A1">
            <w:r w:rsidRPr="00DC51D8">
              <w:t>7. Cannock Chase, Staffs, WS15 2UQ</w:t>
            </w:r>
          </w:p>
        </w:tc>
        <w:tc>
          <w:tcPr>
            <w:tcW w:w="4785" w:type="dxa"/>
          </w:tcPr>
          <w:p w:rsidR="001610A1" w:rsidRPr="00DC51D8" w:rsidRDefault="001610A1" w:rsidP="001610A1"/>
        </w:tc>
      </w:tr>
    </w:tbl>
    <w:p w:rsidR="00252A87" w:rsidRDefault="00252A87" w:rsidP="0016319B">
      <w:pPr>
        <w:rPr>
          <w:rStyle w:val="FCEBodyTextChar"/>
        </w:rPr>
      </w:pPr>
    </w:p>
    <w:p w:rsidR="00252A87" w:rsidRDefault="00252A87" w:rsidP="0016319B">
      <w:pPr>
        <w:rPr>
          <w:rStyle w:val="FCEBodyTextChar"/>
        </w:rPr>
      </w:pPr>
    </w:p>
    <w:p w:rsidR="00252A87" w:rsidRPr="009E5141" w:rsidRDefault="00252A87" w:rsidP="0016319B">
      <w:pPr>
        <w:rPr>
          <w:rStyle w:val="FCEBodyTextChar"/>
        </w:rPr>
      </w:pPr>
    </w:p>
    <w:p w:rsidR="00323316" w:rsidRDefault="00CC6687" w:rsidP="00CC6687">
      <w:pPr>
        <w:pStyle w:val="Heading2"/>
      </w:pPr>
      <w:r>
        <w:t>Supplier Information</w:t>
      </w: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2745"/>
        <w:gridCol w:w="425"/>
        <w:gridCol w:w="3646"/>
        <w:gridCol w:w="40"/>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Full name of the Supplier completing the </w:t>
            </w:r>
            <w:r w:rsidR="00CC6687">
              <w:rPr>
                <w:rFonts w:eastAsia="Arial"/>
              </w:rPr>
              <w:t>ITT</w:t>
            </w:r>
            <w:r>
              <w:rPr>
                <w:rFonts w:eastAsia="Arial"/>
              </w:rPr>
              <w:t xml:space="preserve"> </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address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r>
              <w:rPr>
                <w:rFonts w:eastAsia="Arial"/>
              </w:rPr>
              <w:t>Please mark ‘X’ in the relevant box to indicate your trading status</w:t>
            </w:r>
          </w:p>
          <w:p w:rsidR="00323316" w:rsidRDefault="00323316" w:rsidP="00CC6687"/>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i) a public limited company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 a limited company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 </w:t>
            </w:r>
          </w:p>
          <w:p w:rsidR="00323316" w:rsidRDefault="00323316" w:rsidP="00CC6687"/>
        </w:tc>
      </w:tr>
      <w:tr w:rsidR="00323316" w:rsidTr="00B858E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iii) a limited liability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other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 sole trader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 other (please specify)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r>
              <w:rPr>
                <w:rFonts w:eastAsia="Arial"/>
              </w:rPr>
              <w:t>Please mark ‘X’ in the relevant boxes to indicate whether any of the following classifications apply to you</w:t>
            </w:r>
          </w:p>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i)Voluntary, Community and Social Enterprise (VCSE)</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ii) Small or Medium Enterprise (SME) </w:t>
            </w:r>
            <w:r>
              <w:rPr>
                <w:rFonts w:eastAsia="Arial"/>
                <w:vertAlign w:val="superscript"/>
              </w:rPr>
              <w:footnoteReference w:id="1"/>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iii) Sheltered workshop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Public service mutual</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700"/>
        </w:trPr>
        <w:tc>
          <w:tcPr>
            <w:tcW w:w="1036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8E2" w:rsidRDefault="00323316" w:rsidP="00CC6687">
            <w:pPr>
              <w:rPr>
                <w:rFonts w:eastAsia="Arial"/>
              </w:rPr>
            </w:pPr>
            <w:r w:rsidRPr="00B858E2">
              <w:rPr>
                <w:rFonts w:eastAsia="Arial"/>
                <w:b/>
              </w:rPr>
              <w:t>Bidding model</w:t>
            </w:r>
            <w:r w:rsidR="00B858E2">
              <w:rPr>
                <w:rFonts w:eastAsia="Arial"/>
              </w:rPr>
              <w:t xml:space="preserve"> </w:t>
            </w:r>
          </w:p>
          <w:p w:rsidR="00323316" w:rsidRPr="00B858E2" w:rsidRDefault="00B858E2" w:rsidP="00CC6687">
            <w:pPr>
              <w:rPr>
                <w:b/>
              </w:rPr>
            </w:pPr>
            <w:r>
              <w:rPr>
                <w:rFonts w:eastAsia="Arial"/>
              </w:rPr>
              <w:t>Please mark ‘</w:t>
            </w:r>
            <w:r w:rsidRPr="00B858E2">
              <w:rPr>
                <w:rFonts w:eastAsia="Arial"/>
                <w:b/>
              </w:rPr>
              <w:t>X</w:t>
            </w:r>
            <w:r>
              <w:rPr>
                <w:rFonts w:eastAsia="Arial"/>
              </w:rPr>
              <w:t>’ in the relevant box to indicate whether you are:</w:t>
            </w:r>
          </w:p>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pPr>
              <w:rPr>
                <w:rFonts w:eastAsia="Arial"/>
              </w:rPr>
            </w:pPr>
            <w:r>
              <w:rPr>
                <w:rFonts w:eastAsia="Arial"/>
              </w:rPr>
              <w:t>a)      Bidding as a Prime Contractor and will deliver 10</w:t>
            </w:r>
            <w:r w:rsidR="001610A1">
              <w:rPr>
                <w:rFonts w:eastAsia="Arial"/>
              </w:rPr>
              <w:t xml:space="preserve">0% of the </w:t>
            </w:r>
            <w:r w:rsidR="001610A1" w:rsidRPr="001610A1">
              <w:rPr>
                <w:rFonts w:eastAsia="Arial"/>
              </w:rPr>
              <w:t xml:space="preserve">key </w:t>
            </w:r>
            <w:r w:rsidRPr="001610A1">
              <w:rPr>
                <w:rFonts w:eastAsia="Arial"/>
              </w:rPr>
              <w:t>contract deliverables</w:t>
            </w:r>
            <w:r>
              <w:rPr>
                <w:rFonts w:eastAsia="Arial"/>
              </w:rPr>
              <w:t xml:space="preserve"> yourself</w:t>
            </w:r>
          </w:p>
          <w:p w:rsidR="001610A1" w:rsidRDefault="001610A1" w:rsidP="00CC6687"/>
        </w:tc>
        <w:tc>
          <w:tcPr>
            <w:tcW w:w="4071"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B858E2"/>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b)      Bidding as a Prime Contractor and will use third parties to deliver </w:t>
            </w:r>
            <w:r>
              <w:rPr>
                <w:rFonts w:eastAsia="Arial"/>
                <w:u w:val="single"/>
              </w:rPr>
              <w:t>some</w:t>
            </w:r>
            <w:r>
              <w:rPr>
                <w:rFonts w:eastAsia="Arial"/>
              </w:rPr>
              <w:t xml:space="preserve"> of the services</w:t>
            </w:r>
          </w:p>
          <w:p w:rsidR="00323316" w:rsidRDefault="00323316" w:rsidP="00CC6687"/>
          <w:p w:rsidR="00323316" w:rsidRDefault="00323316" w:rsidP="001610A1">
            <w:r>
              <w:rPr>
                <w:rFonts w:eastAsia="Arial"/>
              </w:rPr>
              <w:t xml:space="preserve">If yes, please provide details of your proposed bidding model that includes members of the supply chain, the percentage of work being delivered by each sub-contractor and the key </w:t>
            </w:r>
            <w:r w:rsidRPr="001610A1">
              <w:rPr>
                <w:rFonts w:eastAsia="Arial"/>
              </w:rPr>
              <w:t>contract deliverables</w:t>
            </w:r>
            <w:r>
              <w:rPr>
                <w:rFonts w:eastAsia="Arial"/>
              </w:rPr>
              <w:t xml:space="preserve">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i/>
              </w:rPr>
              <w:t> </w:t>
            </w:r>
          </w:p>
          <w:p w:rsidR="00323316" w:rsidRDefault="00323316" w:rsidP="00CC6687"/>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c)       Bidding as Prime Contractor but will operate as a Managing Agent and will use third parties to deliver </w:t>
            </w:r>
            <w:r>
              <w:rPr>
                <w:rFonts w:eastAsia="Arial"/>
                <w:u w:val="single"/>
              </w:rPr>
              <w:t>all</w:t>
            </w:r>
            <w:r>
              <w:rPr>
                <w:rFonts w:eastAsia="Arial"/>
              </w:rPr>
              <w:t xml:space="preserve"> of the services</w:t>
            </w:r>
          </w:p>
          <w:p w:rsidR="00323316" w:rsidRDefault="00323316" w:rsidP="00CC6687"/>
          <w:p w:rsidR="00323316" w:rsidRDefault="00323316" w:rsidP="001610A1">
            <w:r>
              <w:rPr>
                <w:rFonts w:eastAsia="Arial"/>
              </w:rPr>
              <w:t xml:space="preserve">If yes, please provide details of your proposed bidding model that includes members of the supply chain, the percentage of work being delivered by each sub-contractor and the key </w:t>
            </w:r>
            <w:r w:rsidR="00CD33C3" w:rsidRPr="001610A1">
              <w:rPr>
                <w:rFonts w:eastAsia="Arial"/>
              </w:rPr>
              <w:t>contract</w:t>
            </w:r>
            <w:r w:rsidRPr="001610A1">
              <w:rPr>
                <w:rFonts w:eastAsia="Arial"/>
              </w:rPr>
              <w:t xml:space="preserve"> deliverables</w:t>
            </w:r>
            <w:r>
              <w:rPr>
                <w:rFonts w:eastAsia="Arial"/>
              </w:rPr>
              <w:t xml:space="preserve">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B858E2"/>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d)      Bidding as a consortium but not proposing to create a new legal entity. </w:t>
            </w:r>
          </w:p>
          <w:p w:rsidR="00323316" w:rsidRDefault="00323316" w:rsidP="00CC6687"/>
          <w:p w:rsidR="00323316" w:rsidRDefault="00323316" w:rsidP="00CC6687">
            <w:r>
              <w:rPr>
                <w:rFonts w:eastAsia="Arial"/>
              </w:rPr>
              <w:t xml:space="preserve">If yes, please include details of your consortium in the next column and use a separate Appendix to explain the alternative arrangements i.e. why a new legal entity is not being created. </w:t>
            </w:r>
          </w:p>
          <w:p w:rsidR="00323316" w:rsidRDefault="00323316" w:rsidP="00CC6687"/>
          <w:p w:rsidR="00323316" w:rsidRDefault="00323316" w:rsidP="001610A1">
            <w:r>
              <w:rPr>
                <w:rFonts w:eastAsia="Arial"/>
              </w:rPr>
              <w:t xml:space="preserve">Please note that the authority may require the consortium to assume a specific legal form if awarded the </w:t>
            </w:r>
            <w:r w:rsidR="00CD33C3" w:rsidRPr="001610A1">
              <w:rPr>
                <w:rFonts w:eastAsia="Arial"/>
              </w:rPr>
              <w:t>contract</w:t>
            </w:r>
            <w:r w:rsidRPr="001610A1">
              <w:rPr>
                <w:rFonts w:eastAsia="Arial"/>
              </w:rPr>
              <w:t xml:space="preserve"> to the</w:t>
            </w:r>
            <w:r>
              <w:rPr>
                <w:rFonts w:eastAsia="Arial"/>
              </w:rPr>
              <w:t xml:space="preserve"> extent that it is necessary for the satisfactory performance of the </w:t>
            </w:r>
            <w:r w:rsidR="00CD33C3" w:rsidRPr="001610A1">
              <w:rPr>
                <w:rFonts w:eastAsia="Arial"/>
              </w:rPr>
              <w:t>contract</w:t>
            </w:r>
            <w:r w:rsidR="001610A1" w:rsidRPr="001610A1">
              <w:rPr>
                <w:rFonts w:eastAsia="Arial"/>
              </w:rPr>
              <w:t>.</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i/>
              </w:rPr>
              <w:lastRenderedPageBreak/>
              <w:t> </w:t>
            </w:r>
          </w:p>
          <w:p w:rsidR="00323316" w:rsidRDefault="00323316" w:rsidP="00CC6687"/>
          <w:p w:rsidR="00B858E2" w:rsidRDefault="00B858E2" w:rsidP="00CC6687">
            <w:pPr>
              <w:rPr>
                <w:rFonts w:eastAsia="Arial"/>
                <w:u w:val="single"/>
              </w:rPr>
            </w:pPr>
          </w:p>
          <w:p w:rsidR="00323316" w:rsidRPr="00B858E2" w:rsidRDefault="00323316" w:rsidP="00CC6687">
            <w:pPr>
              <w:rPr>
                <w:b/>
              </w:rPr>
            </w:pPr>
            <w:r w:rsidRPr="00B858E2">
              <w:rPr>
                <w:rFonts w:eastAsia="Arial"/>
                <w:b/>
                <w:u w:val="single"/>
              </w:rPr>
              <w:t>Consortium members</w:t>
            </w:r>
            <w:r w:rsidR="00B858E2" w:rsidRPr="00B858E2">
              <w:rPr>
                <w:rFonts w:eastAsia="Arial"/>
                <w:b/>
                <w:u w:val="single"/>
              </w:rPr>
              <w:t>:</w:t>
            </w:r>
          </w:p>
          <w:p w:rsidR="00323316" w:rsidRDefault="00323316" w:rsidP="00CC6687"/>
          <w:p w:rsidR="00B858E2" w:rsidRDefault="00B858E2" w:rsidP="00CC6687">
            <w:pPr>
              <w:rPr>
                <w:rFonts w:eastAsia="Arial"/>
                <w:u w:val="single"/>
              </w:rPr>
            </w:pPr>
          </w:p>
          <w:p w:rsidR="00323316" w:rsidRPr="00B858E2" w:rsidRDefault="00323316" w:rsidP="00CC6687">
            <w:pPr>
              <w:rPr>
                <w:b/>
              </w:rPr>
            </w:pPr>
            <w:r w:rsidRPr="00B858E2">
              <w:rPr>
                <w:rFonts w:eastAsia="Arial"/>
                <w:b/>
                <w:u w:val="single"/>
              </w:rPr>
              <w:t>Lead member</w:t>
            </w:r>
            <w:r w:rsidR="00B858E2" w:rsidRPr="00B858E2">
              <w:rPr>
                <w:rFonts w:eastAsia="Arial"/>
                <w:b/>
              </w:rPr>
              <w:t>:</w:t>
            </w:r>
          </w:p>
          <w:p w:rsidR="00323316" w:rsidRPr="00B858E2" w:rsidRDefault="00323316" w:rsidP="00CC6687"/>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lastRenderedPageBreak/>
              <w:t xml:space="preserve">e)      Bidding as a consortium and intend to create a Special Purpose Vehicle (SPV). </w:t>
            </w:r>
          </w:p>
          <w:p w:rsidR="00323316" w:rsidRDefault="00323316" w:rsidP="00CC6687"/>
          <w:p w:rsidR="00323316" w:rsidRDefault="00323316" w:rsidP="00CC6687">
            <w:r>
              <w:rPr>
                <w:rFonts w:eastAsia="Arial"/>
              </w:rPr>
              <w:t>If yes, please include details of your consortium, current lead member and intended SPV in the next column and provide full details of the bidding model using a separate Appendix.</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p w:rsidR="00323316" w:rsidRDefault="00323316" w:rsidP="00CC6687"/>
          <w:p w:rsidR="00323316" w:rsidRPr="00B858E2" w:rsidRDefault="00323316" w:rsidP="00CC6687">
            <w:pPr>
              <w:rPr>
                <w:rFonts w:eastAsia="Arial"/>
                <w:b/>
                <w:u w:val="single"/>
              </w:rPr>
            </w:pPr>
            <w:r w:rsidRPr="00B858E2">
              <w:rPr>
                <w:rFonts w:eastAsia="Arial"/>
                <w:b/>
                <w:u w:val="single"/>
              </w:rPr>
              <w:t>Consortium members</w:t>
            </w:r>
            <w:r w:rsidR="00B858E2" w:rsidRPr="00B858E2">
              <w:rPr>
                <w:rFonts w:eastAsia="Arial"/>
                <w:b/>
                <w:u w:val="single"/>
              </w:rPr>
              <w:t>:</w:t>
            </w:r>
          </w:p>
          <w:p w:rsidR="00B858E2" w:rsidRDefault="00B858E2" w:rsidP="00CC6687"/>
          <w:p w:rsidR="00323316" w:rsidRPr="00B858E2" w:rsidRDefault="00323316" w:rsidP="00CC6687">
            <w:pPr>
              <w:rPr>
                <w:rFonts w:eastAsia="Arial"/>
                <w:b/>
                <w:u w:val="single"/>
              </w:rPr>
            </w:pPr>
            <w:r w:rsidRPr="00B858E2">
              <w:rPr>
                <w:rFonts w:eastAsia="Arial"/>
                <w:b/>
                <w:u w:val="single"/>
              </w:rPr>
              <w:t>Current lead member</w:t>
            </w:r>
            <w:r w:rsidR="00B858E2" w:rsidRPr="00B858E2">
              <w:rPr>
                <w:rFonts w:eastAsia="Arial"/>
                <w:b/>
                <w:u w:val="single"/>
              </w:rPr>
              <w:t>:</w:t>
            </w:r>
          </w:p>
          <w:p w:rsidR="00B858E2" w:rsidRDefault="00B858E2" w:rsidP="00CC6687"/>
          <w:p w:rsidR="00323316" w:rsidRPr="00B858E2" w:rsidRDefault="00323316" w:rsidP="00CC6687">
            <w:pPr>
              <w:rPr>
                <w:rFonts w:eastAsia="Arial"/>
                <w:b/>
                <w:u w:val="single"/>
              </w:rPr>
            </w:pPr>
            <w:r w:rsidRPr="00B858E2">
              <w:rPr>
                <w:rFonts w:eastAsia="Arial"/>
                <w:b/>
                <w:u w:val="single"/>
              </w:rPr>
              <w:t>Name of Special Purpose Vehicle</w:t>
            </w:r>
            <w:r w:rsidR="00B858E2" w:rsidRPr="00B858E2">
              <w:rPr>
                <w:rFonts w:eastAsia="Arial"/>
                <w:b/>
                <w:u w:val="single"/>
              </w:rPr>
              <w:t>:</w:t>
            </w:r>
          </w:p>
          <w:p w:rsidR="00B858E2" w:rsidRDefault="00B858E2" w:rsidP="00CC6687"/>
        </w:tc>
        <w:tc>
          <w:tcPr>
            <w:tcW w:w="40" w:type="dxa"/>
            <w:shd w:val="clear" w:color="auto" w:fill="auto"/>
            <w:tcMar>
              <w:top w:w="0" w:type="dxa"/>
              <w:left w:w="10" w:type="dxa"/>
              <w:bottom w:w="0" w:type="dxa"/>
              <w:right w:w="10" w:type="dxa"/>
            </w:tcMar>
          </w:tcPr>
          <w:p w:rsidR="00323316" w:rsidRDefault="00323316" w:rsidP="00CC6687"/>
        </w:tc>
      </w:tr>
      <w:tr w:rsidR="00323316" w:rsidTr="002A76A4">
        <w:trPr>
          <w:trHeight w:val="320"/>
        </w:trPr>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Country</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323316" w:rsidRDefault="00323316" w:rsidP="00CC6687"/>
    <w:tbl>
      <w:tblPr>
        <w:tblW w:w="10408" w:type="dxa"/>
        <w:tblInd w:w="-228" w:type="dxa"/>
        <w:tblLayout w:type="fixed"/>
        <w:tblCellMar>
          <w:left w:w="10" w:type="dxa"/>
          <w:right w:w="10" w:type="dxa"/>
        </w:tblCellMar>
        <w:tblLook w:val="0000" w:firstRow="0" w:lastRow="0" w:firstColumn="0" w:lastColumn="0" w:noHBand="0" w:noVBand="0"/>
      </w:tblPr>
      <w:tblGrid>
        <w:gridCol w:w="5163"/>
        <w:gridCol w:w="5245"/>
      </w:tblGrid>
      <w:tr w:rsidR="00323316" w:rsidTr="002A76A4">
        <w:trPr>
          <w:trHeight w:val="440"/>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2A76A4" w:rsidRDefault="00323316" w:rsidP="002A76A4">
            <w:pPr>
              <w:rPr>
                <w:b/>
              </w:rPr>
            </w:pPr>
            <w:r w:rsidRPr="002A76A4">
              <w:rPr>
                <w:rFonts w:eastAsia="Arial"/>
                <w:b/>
              </w:rPr>
              <w:t xml:space="preserve">Licensing and registration (please </w:t>
            </w:r>
            <w:r w:rsidR="002A76A4">
              <w:rPr>
                <w:rFonts w:eastAsia="Arial"/>
                <w:b/>
              </w:rPr>
              <w:t>delete the option which doesn’t apply</w:t>
            </w:r>
            <w:r w:rsidRPr="002A76A4">
              <w:rPr>
                <w:rFonts w:eastAsia="Arial"/>
                <w:b/>
              </w:rPr>
              <w:t>)</w:t>
            </w:r>
          </w:p>
        </w:tc>
      </w:tr>
      <w:tr w:rsidR="002A76A4" w:rsidTr="002A76A4">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Default="002A76A4" w:rsidP="00CC6687">
            <w:r>
              <w:rPr>
                <w:rFonts w:eastAsia="Arial"/>
              </w:rPr>
              <w:t>Registration with a professional body</w:t>
            </w:r>
          </w:p>
          <w:p w:rsidR="002A76A4" w:rsidRDefault="002A76A4" w:rsidP="00CC6687">
            <w:r>
              <w:rPr>
                <w:rFonts w:eastAsia="Arial"/>
              </w:rPr>
              <w:t xml:space="preserve">If applicable, is your business registered with the appropriate trade or professional register(s) in the EU member state where it is established (as set out in Annex XI of </w:t>
            </w:r>
            <w:r>
              <w:rPr>
                <w:rFonts w:eastAsia="Arial"/>
              </w:rPr>
              <w:lastRenderedPageBreak/>
              <w:t>directive 2014/24/EU) under the conditions laid down by that member state).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Pr="002A76A4" w:rsidRDefault="002A76A4" w:rsidP="00CC6687">
            <w:pPr>
              <w:rPr>
                <w:b/>
              </w:rPr>
            </w:pPr>
            <w:r w:rsidRPr="002A76A4">
              <w:rPr>
                <w:rFonts w:eastAsia="Arial"/>
                <w:b/>
              </w:rPr>
              <w:lastRenderedPageBreak/>
              <w:t>Yes / No</w:t>
            </w:r>
          </w:p>
          <w:p w:rsidR="002A76A4" w:rsidRDefault="002A76A4" w:rsidP="00CC6687"/>
          <w:p w:rsidR="002A76A4" w:rsidRDefault="002A76A4" w:rsidP="00CC6687">
            <w:r>
              <w:rPr>
                <w:rFonts w:eastAsia="Arial"/>
              </w:rPr>
              <w:t>If Yes, please provide the registration number in this box.</w:t>
            </w:r>
          </w:p>
        </w:tc>
      </w:tr>
      <w:tr w:rsidR="002A76A4" w:rsidTr="002A76A4">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Default="002A76A4" w:rsidP="00CC6687">
            <w:r>
              <w:rPr>
                <w:rFonts w:eastAsia="Arial"/>
              </w:rPr>
              <w:lastRenderedPageBreak/>
              <w:t>Is it a legal requirement in the state where you are established for you to be licensed or a member of a relevant organisation in order to provide the requirement in this procurement?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Pr="002A76A4" w:rsidRDefault="002A76A4" w:rsidP="00CC6687">
            <w:pPr>
              <w:rPr>
                <w:b/>
              </w:rPr>
            </w:pPr>
            <w:r w:rsidRPr="002A76A4">
              <w:rPr>
                <w:rFonts w:eastAsia="Arial"/>
                <w:b/>
              </w:rPr>
              <w:t>Yes / No</w:t>
            </w:r>
          </w:p>
          <w:p w:rsidR="002A76A4" w:rsidRDefault="002A76A4" w:rsidP="00CC6687"/>
          <w:p w:rsidR="002A76A4" w:rsidRDefault="002A76A4" w:rsidP="00CC6687">
            <w:r>
              <w:rPr>
                <w:rFonts w:eastAsia="Arial"/>
              </w:rPr>
              <w:t>If Yes, please provide additional details within this box of what is required and confirmation that you have complied with this.</w:t>
            </w:r>
          </w:p>
        </w:tc>
      </w:tr>
    </w:tbl>
    <w:p w:rsidR="00E82136" w:rsidRDefault="00E82136" w:rsidP="00E82136">
      <w:pPr>
        <w:pStyle w:val="Heading2"/>
        <w:numPr>
          <w:ilvl w:val="0"/>
          <w:numId w:val="0"/>
        </w:numPr>
        <w:ind w:left="576"/>
      </w:pPr>
    </w:p>
    <w:p w:rsidR="00323316" w:rsidRDefault="00E82136" w:rsidP="002A76A4">
      <w:pPr>
        <w:pStyle w:val="Heading2"/>
      </w:pPr>
      <w:r>
        <w:br w:type="page"/>
      </w:r>
      <w:r w:rsidR="002A76A4">
        <w:lastRenderedPageBreak/>
        <w:t>Grounds for mandatory exclusion</w:t>
      </w:r>
    </w:p>
    <w:p w:rsidR="00323316" w:rsidRDefault="00323316" w:rsidP="00CC6687">
      <w:r>
        <w:rPr>
          <w:rFonts w:eastAsia="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323316" w:rsidRDefault="00323316" w:rsidP="00CC6687"/>
    <w:p w:rsidR="00323316" w:rsidRDefault="00323316" w:rsidP="00CC6687">
      <w:r>
        <w:rPr>
          <w:rFonts w:eastAsia="Arial"/>
        </w:rPr>
        <w:t xml:space="preserve">If you have answered “yes” to question </w:t>
      </w:r>
      <w:r w:rsidR="00570F56">
        <w:rPr>
          <w:rFonts w:eastAsia="Arial"/>
        </w:rPr>
        <w:t>4.</w:t>
      </w:r>
      <w:r>
        <w:rPr>
          <w:rFonts w:eastAsia="Arial"/>
        </w:rPr>
        <w:t xml:space="preserve">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323316" w:rsidRDefault="00323316" w:rsidP="00CC6687"/>
    <w:tbl>
      <w:tblPr>
        <w:tblW w:w="10300" w:type="dxa"/>
        <w:tblInd w:w="-262" w:type="dxa"/>
        <w:tblLayout w:type="fixed"/>
        <w:tblCellMar>
          <w:left w:w="10" w:type="dxa"/>
          <w:right w:w="10" w:type="dxa"/>
        </w:tblCellMar>
        <w:tblLook w:val="0000" w:firstRow="0" w:lastRow="0" w:firstColumn="0" w:lastColumn="0" w:noHBand="0" w:noVBand="0"/>
      </w:tblPr>
      <w:tblGrid>
        <w:gridCol w:w="7748"/>
        <w:gridCol w:w="1276"/>
        <w:gridCol w:w="1276"/>
      </w:tblGrid>
      <w:tr w:rsidR="00323316" w:rsidTr="00171943">
        <w:trPr>
          <w:trHeight w:val="400"/>
        </w:trPr>
        <w:tc>
          <w:tcPr>
            <w:tcW w:w="7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570F56" w:rsidP="00CC6687">
            <w:pPr>
              <w:rPr>
                <w:b/>
              </w:rPr>
            </w:pPr>
            <w:r w:rsidRPr="00570F56">
              <w:rPr>
                <w:rFonts w:eastAsia="Arial"/>
                <w:b/>
              </w:rPr>
              <w:t>4.</w:t>
            </w:r>
            <w:r w:rsidR="00323316" w:rsidRPr="00570F56">
              <w:rPr>
                <w:rFonts w:eastAsia="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Please indicate your answer by marking ‘X’ in the relevant box.</w:t>
            </w:r>
          </w:p>
        </w:tc>
      </w:tr>
      <w:tr w:rsidR="00323316" w:rsidTr="00171943">
        <w:trPr>
          <w:trHeight w:val="400"/>
        </w:trPr>
        <w:tc>
          <w:tcPr>
            <w:tcW w:w="7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No</w:t>
            </w:r>
          </w:p>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570F56">
            <w:pPr>
              <w:numPr>
                <w:ilvl w:val="0"/>
                <w:numId w:val="26"/>
              </w:numPr>
              <w:rPr>
                <w:rFonts w:eastAsia="Arial"/>
              </w:rPr>
            </w:pPr>
            <w:r>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570F56">
            <w:pPr>
              <w:numPr>
                <w:ilvl w:val="0"/>
                <w:numId w:val="26"/>
              </w:numPr>
              <w:rPr>
                <w:rFonts w:eastAsia="Arial"/>
              </w:rPr>
            </w:pPr>
            <w:r>
              <w:rPr>
                <w:rFonts w:eastAsia="Arial"/>
              </w:rPr>
              <w:t>corruption within the meaning of section 1(2) of the Public Bodies Corrupt Practices Act 1889 or section 1 of the Prevention of Corruption Act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2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the common law offence of bribery;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bribery within the meaning of sections 1, 2 or 6 of the Bribery Act 2010; or section 113 of the Representation of the People Act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 the offence of cheating the Revenue;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 the offence of conspiracy to defraud;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100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lastRenderedPageBreak/>
              <w:t>(iii)</w:t>
            </w:r>
            <w:r>
              <w:rPr>
                <w:rFonts w:eastAsia="Arial"/>
              </w:rPr>
              <w:tab/>
              <w:t>fraud or theft within the meaning of the Theft Act 1968, the Theft Act (Northern Ireland) 1969, the Theft Act 1978 or the Theft (Northern Ireland) Order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fraudulent trading within the meaning of section 458 of the Companies Act 1985, article 451 of the Companies (Northern Ireland) Order 1986 or section 993 of the Companies Act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 fraudulent evasion within the meaning of section 170 of the Customs and Excise Management Act 1979 or section 72 of the Value Added Tax Act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 an offence in connection with taxation in the European Union within the meaning of section 71 of the Criminal Justice Act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(vii)</w:t>
            </w:r>
            <w:r>
              <w:rPr>
                <w:rFonts w:eastAsia="Arial"/>
              </w:rPr>
              <w:tab/>
              <w:t>destroying, defacing or concealing of documents or procuring the execution of a valuable security within the meaning of section 20 of the Theft Act 1968 or section 19 of the Theft Act (Northern Ireland)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(viii) fraud within the meaning of section 2, 3 or 4 of the Fraud Act 2006;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42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(ix)</w:t>
            </w:r>
            <w:r>
              <w:rPr>
                <w:rFonts w:eastAsia="Arial"/>
              </w:rPr>
              <w:tab/>
              <w:t>the possession of articles for use in frauds within the meaning of section 6 of the Fraud Act 2006, or the making, adapting, supplying or offering to supply articles for use in frauds within the meaning of section 7 of that Act;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any offence listed—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w:t>
            </w:r>
            <w:r>
              <w:rPr>
                <w:rFonts w:eastAsia="Arial"/>
              </w:rPr>
              <w:tab/>
              <w:t>in section 41 of the Counter Terrorism Act 2008;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68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w:t>
            </w:r>
            <w:r>
              <w:rPr>
                <w:rFonts w:eastAsia="Arial"/>
              </w:rPr>
              <w:tab/>
              <w:t>in Schedule 2 to that Act where the court has determined that there is a terrorist connection;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any offence under sections 44 to 46 of the Serious Crime Act 2007 which relates to an offence covered by subparagraph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7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money laundering within the meaning of sections 340(11) and 415 of the Proceeds of Crime Act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F2F4F">
            <w:pPr>
              <w:numPr>
                <w:ilvl w:val="0"/>
                <w:numId w:val="26"/>
              </w:numPr>
              <w:rPr>
                <w:rFonts w:eastAsia="Arial"/>
              </w:rPr>
            </w:pPr>
            <w:r>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71943">
            <w:pPr>
              <w:numPr>
                <w:ilvl w:val="0"/>
                <w:numId w:val="26"/>
              </w:numPr>
              <w:rPr>
                <w:rFonts w:eastAsia="Arial"/>
              </w:rPr>
            </w:pPr>
            <w:r>
              <w:rPr>
                <w:rFonts w:eastAsia="Arial"/>
              </w:rPr>
              <w:t>an offence under section 4 of the Asylum and Immigration (Treatment of Claimants etc.) Act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71943">
            <w:pPr>
              <w:numPr>
                <w:ilvl w:val="0"/>
                <w:numId w:val="26"/>
              </w:numPr>
              <w:rPr>
                <w:rFonts w:eastAsia="Arial"/>
              </w:rPr>
            </w:pPr>
            <w:r>
              <w:rPr>
                <w:rFonts w:eastAsia="Arial"/>
              </w:rPr>
              <w:t>an offence under section 59A of the Sexual Offences Act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71943">
            <w:pPr>
              <w:numPr>
                <w:ilvl w:val="0"/>
                <w:numId w:val="26"/>
              </w:numPr>
              <w:rPr>
                <w:rFonts w:eastAsia="Arial"/>
              </w:rPr>
            </w:pPr>
            <w:r>
              <w:rPr>
                <w:rFonts w:eastAsia="Arial"/>
              </w:rPr>
              <w:t xml:space="preserve">an offence under section 71 of the Coroners and Justice Act </w:t>
            </w:r>
            <w:r>
              <w:rPr>
                <w:rFonts w:eastAsia="Arial"/>
              </w:rPr>
              <w:lastRenderedPageBreak/>
              <w:t>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71943">
            <w:pPr>
              <w:numPr>
                <w:ilvl w:val="0"/>
                <w:numId w:val="26"/>
              </w:numPr>
              <w:rPr>
                <w:rFonts w:eastAsia="Arial"/>
              </w:rPr>
            </w:pPr>
            <w:r>
              <w:rPr>
                <w:rFonts w:eastAsia="Arial"/>
              </w:rPr>
              <w:lastRenderedPageBreak/>
              <w:t>an offence in connection with the proceeds of drug trafficking within the meaning of section 49, 50 or 51 of the Drug Trafficking Act 1994;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71943">
            <w:pPr>
              <w:numPr>
                <w:ilvl w:val="0"/>
                <w:numId w:val="26"/>
              </w:numPr>
              <w:rPr>
                <w:rFonts w:eastAsia="Arial"/>
              </w:rPr>
            </w:pPr>
            <w:r>
              <w:rPr>
                <w:rFonts w:eastAsia="Arial"/>
              </w:rPr>
              <w:t>any other offence within the meaning of Article 57(1) of the Public Contracts Directive—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w:t>
            </w:r>
            <w:r>
              <w:rPr>
                <w:rFonts w:eastAsia="Arial"/>
              </w:rPr>
              <w:tab/>
              <w:t>as defined by the law of any jurisdiction outside England and Wales and Northern Ireland;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w:t>
            </w:r>
            <w:r>
              <w:rPr>
                <w:rFonts w:eastAsia="Arial"/>
              </w:rPr>
              <w:tab/>
              <w:t>created, after the day on which these Regulations were made, in the law of England and Wales or Northern Ireland.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4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71943" w:rsidRDefault="00323316" w:rsidP="00CC6687">
            <w:pPr>
              <w:rPr>
                <w:rFonts w:eastAsia="Arial"/>
                <w:b/>
                <w:u w:val="single"/>
              </w:rPr>
            </w:pPr>
            <w:r w:rsidRPr="00171943">
              <w:rPr>
                <w:rFonts w:eastAsia="Arial"/>
                <w:b/>
                <w:u w:val="single"/>
              </w:rPr>
              <w:t>Non-payment of taxes</w:t>
            </w:r>
          </w:p>
          <w:p w:rsidR="00171943" w:rsidRPr="00171943" w:rsidRDefault="00171943" w:rsidP="00CC6687">
            <w:pPr>
              <w:rPr>
                <w:b/>
              </w:rPr>
            </w:pPr>
          </w:p>
          <w:p w:rsidR="00323316" w:rsidRPr="00171943" w:rsidRDefault="00171943" w:rsidP="00CC6687">
            <w:pPr>
              <w:rPr>
                <w:b/>
              </w:rPr>
            </w:pPr>
            <w:r w:rsidRPr="00171943">
              <w:rPr>
                <w:rFonts w:eastAsia="Arial"/>
                <w:b/>
              </w:rPr>
              <w:t>4.</w:t>
            </w:r>
            <w:r w:rsidR="00323316" w:rsidRPr="00171943">
              <w:rPr>
                <w:rFonts w:eastAsia="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171943" w:rsidRDefault="00171943" w:rsidP="00CC6687">
            <w:pPr>
              <w:rPr>
                <w:rFonts w:eastAsia="Arial"/>
              </w:rPr>
            </w:pPr>
          </w:p>
          <w:p w:rsidR="00323316" w:rsidRDefault="00323316" w:rsidP="00CC6687">
            <w:r>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82136" w:rsidRDefault="00E82136" w:rsidP="00E82136">
      <w:pPr>
        <w:pStyle w:val="Heading2"/>
        <w:numPr>
          <w:ilvl w:val="0"/>
          <w:numId w:val="0"/>
        </w:numPr>
        <w:ind w:left="576"/>
      </w:pPr>
    </w:p>
    <w:p w:rsidR="00323316" w:rsidRDefault="00E82136" w:rsidP="00171943">
      <w:pPr>
        <w:pStyle w:val="Heading2"/>
      </w:pPr>
      <w:r>
        <w:br w:type="page"/>
      </w:r>
      <w:r w:rsidR="00171943">
        <w:lastRenderedPageBreak/>
        <w:t>Grounds for discretionary exclusion – Part 1</w:t>
      </w:r>
    </w:p>
    <w:p w:rsidR="00323316" w:rsidRDefault="00323316" w:rsidP="00CC6687">
      <w:bookmarkStart w:id="1" w:name="h.30j0zll"/>
      <w:bookmarkEnd w:id="1"/>
      <w:r>
        <w:rPr>
          <w:rFonts w:eastAsia="Arial"/>
        </w:rPr>
        <w:t xml:space="preserve">The authority may exclude any Supplier who answers ‘Yes’ in any of the following situations set out in paragraphs (a) to (i); </w:t>
      </w:r>
    </w:p>
    <w:p w:rsidR="00323316" w:rsidRDefault="00323316" w:rsidP="00CC6687"/>
    <w:tbl>
      <w:tblPr>
        <w:tblW w:w="10349" w:type="dxa"/>
        <w:tblInd w:w="-311" w:type="dxa"/>
        <w:tblLayout w:type="fixed"/>
        <w:tblCellMar>
          <w:left w:w="10" w:type="dxa"/>
          <w:right w:w="10" w:type="dxa"/>
        </w:tblCellMar>
        <w:tblLook w:val="0000" w:firstRow="0" w:lastRow="0" w:firstColumn="0" w:lastColumn="0" w:noHBand="0" w:noVBand="0"/>
      </w:tblPr>
      <w:tblGrid>
        <w:gridCol w:w="7797"/>
        <w:gridCol w:w="1276"/>
        <w:gridCol w:w="1276"/>
      </w:tblGrid>
      <w:tr w:rsidR="00323316" w:rsidTr="00197A10">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171943" w:rsidP="00CC6687">
            <w:pPr>
              <w:rPr>
                <w:b/>
              </w:rPr>
            </w:pPr>
            <w:r w:rsidRPr="00197A10">
              <w:rPr>
                <w:rFonts w:eastAsia="Arial"/>
                <w:b/>
              </w:rPr>
              <w:t>4.</w:t>
            </w:r>
            <w:r w:rsidR="00323316" w:rsidRPr="00197A10">
              <w:rPr>
                <w:rFonts w:eastAsia="Arial"/>
                <w:b/>
              </w:rPr>
              <w:t>3.1 Within the past three years, please indicate if any of the following situations have applied, or currently apply, to your organisation.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Please indicate your answer by marking ‘X’ in the relevant box.</w:t>
            </w:r>
          </w:p>
        </w:tc>
      </w:tr>
      <w:tr w:rsidR="00323316" w:rsidTr="00197A10">
        <w:tc>
          <w:tcPr>
            <w:tcW w:w="7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No</w:t>
            </w:r>
          </w:p>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rPr>
                <w:rFonts w:eastAsia="Arial"/>
              </w:rPr>
            </w:pPr>
            <w:bookmarkStart w:id="2" w:name="h.1fob9te"/>
            <w:bookmarkEnd w:id="2"/>
            <w:r>
              <w:rPr>
                <w:rFonts w:eastAsia="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  </w:t>
            </w:r>
          </w:p>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rPr>
                <w:rFonts w:eastAsia="Arial"/>
              </w:rPr>
            </w:pPr>
            <w:r>
              <w:rPr>
                <w:rFonts w:eastAsia="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rPr>
                <w:rFonts w:eastAsia="Arial"/>
              </w:rPr>
            </w:pPr>
            <w:r>
              <w:rPr>
                <w:rFonts w:eastAsia="Arial"/>
              </w:rPr>
              <w:t>your organisation is guilty of grave professional misconduct,  which renders its integrity questionable;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rPr>
                <w:rFonts w:eastAsia="Arial"/>
              </w:rPr>
            </w:pPr>
            <w:r>
              <w:rPr>
                <w:rFonts w:eastAsia="Arial"/>
              </w:rPr>
              <w:t>your organisation has entered into agreements with other economic operators aimed at distorting competition;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E82136" w:rsidP="00197A10">
            <w:pPr>
              <w:numPr>
                <w:ilvl w:val="0"/>
                <w:numId w:val="27"/>
              </w:numPr>
              <w:rPr>
                <w:rFonts w:eastAsia="Arial"/>
              </w:rPr>
            </w:pPr>
            <w:r>
              <w:rPr>
                <w:rFonts w:eastAsia="Arial"/>
              </w:rPr>
              <w:t>*</w:t>
            </w:r>
            <w:r w:rsidR="00323316">
              <w:rPr>
                <w:rFonts w:eastAsia="Arial"/>
              </w:rPr>
              <w:t>your organisation has a conflict of interest within the meaning of regulation 24 of the Public Contracts Regulations 2015 that cannot be effectively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rPr>
                <w:rFonts w:eastAsia="Arial"/>
              </w:rPr>
            </w:pPr>
            <w:r>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E82136" w:rsidP="00197A10">
            <w:pPr>
              <w:numPr>
                <w:ilvl w:val="0"/>
                <w:numId w:val="27"/>
              </w:numPr>
              <w:rPr>
                <w:rFonts w:eastAsia="Arial"/>
              </w:rPr>
            </w:pPr>
            <w:r>
              <w:rPr>
                <w:rFonts w:eastAsia="Arial"/>
              </w:rPr>
              <w:t>**</w:t>
            </w:r>
            <w:r w:rsidR="00323316">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197A10"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197A10">
            <w:pPr>
              <w:numPr>
                <w:ilvl w:val="0"/>
                <w:numId w:val="27"/>
              </w:numPr>
              <w:rPr>
                <w:rFonts w:eastAsia="Arial"/>
              </w:rPr>
            </w:pPr>
            <w:r>
              <w:rPr>
                <w:rFonts w:eastAsia="Arial"/>
              </w:rPr>
              <w:lastRenderedPageBreak/>
              <w:t>Your organisation –</w:t>
            </w:r>
          </w:p>
          <w:p w:rsidR="00197A10" w:rsidRDefault="00197A10" w:rsidP="00197A10">
            <w:pPr>
              <w:numPr>
                <w:ilvl w:val="0"/>
                <w:numId w:val="28"/>
              </w:numPr>
            </w:pPr>
            <w:r>
              <w:rPr>
                <w:rFonts w:eastAsia="Arial"/>
              </w:rPr>
              <w:t>has been guilty of serious misrepresentation in supplying the information required for the verification of the absence of grounds for exclusion or the fulfilment of the selection criteria; or</w:t>
            </w:r>
          </w:p>
          <w:p w:rsidR="00197A10" w:rsidRDefault="00197A10" w:rsidP="00197A10">
            <w:pPr>
              <w:numPr>
                <w:ilvl w:val="0"/>
                <w:numId w:val="28"/>
              </w:numPr>
              <w:rPr>
                <w:rFonts w:eastAsia="Arial"/>
              </w:rPr>
            </w:pPr>
            <w:r>
              <w:rPr>
                <w:rFonts w:eastAsia="Arial"/>
              </w:rPr>
              <w:t>has withheld such information or is not able to submit supporting documents required under regulation 59 of the Public Contracts Regulations 2015;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pPr>
            <w:r>
              <w:rPr>
                <w:rFonts w:eastAsia="Arial"/>
              </w:rPr>
              <w:t>your organisation has undertaken 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(aa)</w:t>
            </w:r>
            <w:r>
              <w:rPr>
                <w:rFonts w:eastAsia="Arial"/>
              </w:rPr>
              <w:tab/>
              <w:t>unduly influence the decision-making process of the contracting authority,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(bb)</w:t>
            </w:r>
            <w:r>
              <w:rPr>
                <w:rFonts w:eastAsia="Arial"/>
              </w:rPr>
              <w:tab/>
              <w:t>obtain confidential information that may confer upon your organisation undue advantages in the procurement procedure;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197A10">
            <w:pPr>
              <w:numPr>
                <w:ilvl w:val="0"/>
                <w:numId w:val="27"/>
              </w:numPr>
            </w:pPr>
            <w:r>
              <w:rPr>
                <w:rFonts w:eastAsia="Arial"/>
              </w:rPr>
              <w:t>your organisation has negligently provided misleading information that may have a material influence on decisions concerning exclusion, selection or award.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323316" w:rsidRPr="00197A10" w:rsidRDefault="00E82136" w:rsidP="00CC6687">
      <w:pPr>
        <w:rPr>
          <w:b/>
        </w:rPr>
      </w:pPr>
      <w:r>
        <w:rPr>
          <w:rFonts w:eastAsia="Arial"/>
          <w:b/>
          <w:u w:val="single"/>
        </w:rPr>
        <w:t xml:space="preserve">* </w:t>
      </w:r>
      <w:r w:rsidR="00323316" w:rsidRPr="00197A10">
        <w:rPr>
          <w:rFonts w:eastAsia="Arial"/>
          <w:b/>
          <w:u w:val="single"/>
        </w:rPr>
        <w:t>Conflicts of interest</w:t>
      </w:r>
    </w:p>
    <w:p w:rsidR="00323316" w:rsidRDefault="00323316" w:rsidP="00CC6687"/>
    <w:p w:rsidR="00323316" w:rsidRDefault="00323316" w:rsidP="00CC6687">
      <w:r>
        <w:rPr>
          <w:rFonts w:eastAsia="Arial"/>
        </w:rPr>
        <w:t xml:space="preserve">In accordance with question </w:t>
      </w:r>
      <w:r w:rsidR="00197A10">
        <w:rPr>
          <w:rFonts w:eastAsia="Arial"/>
        </w:rPr>
        <w:t>4.</w:t>
      </w:r>
      <w:r>
        <w:rPr>
          <w:rFonts w:eastAsia="Arial"/>
        </w:rPr>
        <w:t xml:space="preserve">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323316" w:rsidRDefault="00323316" w:rsidP="00CC6687"/>
    <w:p w:rsidR="00323316" w:rsidRDefault="00323316" w:rsidP="00CC6687">
      <w:r>
        <w:rPr>
          <w:rFonts w:eastAsia="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323316" w:rsidRDefault="00323316" w:rsidP="00CC6687"/>
    <w:p w:rsidR="00323316" w:rsidRPr="00197A10" w:rsidRDefault="00E82136" w:rsidP="00CC6687">
      <w:pPr>
        <w:rPr>
          <w:b/>
        </w:rPr>
      </w:pPr>
      <w:r>
        <w:rPr>
          <w:rFonts w:eastAsia="Arial"/>
          <w:b/>
          <w:u w:val="single"/>
        </w:rPr>
        <w:t xml:space="preserve">** </w:t>
      </w:r>
      <w:r w:rsidR="00323316" w:rsidRPr="00197A10">
        <w:rPr>
          <w:rFonts w:eastAsia="Arial"/>
          <w:b/>
          <w:u w:val="single"/>
        </w:rPr>
        <w:t>Taking Account of Bidders’ Past Performance</w:t>
      </w:r>
    </w:p>
    <w:p w:rsidR="00323316" w:rsidRDefault="00323316" w:rsidP="00CC6687"/>
    <w:p w:rsidR="00323316" w:rsidRDefault="00323316" w:rsidP="00CC6687">
      <w:r>
        <w:rPr>
          <w:rFonts w:eastAsia="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w:t>
      </w:r>
      <w:r w:rsidR="00CB2D76">
        <w:rPr>
          <w:rFonts w:eastAsia="Arial"/>
        </w:rPr>
        <w:t>ITT</w:t>
      </w:r>
      <w:r>
        <w:rPr>
          <w:rFonts w:eastAsia="Arial"/>
        </w:rPr>
        <w:t xml:space="preserve">. The authority may also assess whether specified minimum standards for reliability for such contracts are met. </w:t>
      </w:r>
    </w:p>
    <w:p w:rsidR="00323316" w:rsidRDefault="00323316" w:rsidP="00CC6687"/>
    <w:p w:rsidR="00323316" w:rsidRDefault="00323316" w:rsidP="00CC6687">
      <w:r>
        <w:rPr>
          <w:rFonts w:eastAsia="Arial"/>
        </w:rPr>
        <w:t xml:space="preserve">In addition, the authority may re-assess reliability based on past performance at key stages in the procurement process (i.e. Supplier selection, tender evaluation, contract </w:t>
      </w:r>
      <w:r>
        <w:rPr>
          <w:rFonts w:eastAsia="Arial"/>
        </w:rPr>
        <w:lastRenderedPageBreak/>
        <w:t>award stage etc.). Suppliers may also be asked to update the evidence they provide in this section to reflect more recent performance on new or existing contracts (or to confirm that nothing has changed).</w:t>
      </w:r>
    </w:p>
    <w:p w:rsidR="00323316" w:rsidRDefault="00323316" w:rsidP="00CC6687"/>
    <w:p w:rsidR="00323316" w:rsidRPr="00CB2D76" w:rsidRDefault="00323316" w:rsidP="00CC6687">
      <w:pPr>
        <w:rPr>
          <w:b/>
        </w:rPr>
      </w:pPr>
      <w:r w:rsidRPr="00CB2D76">
        <w:rPr>
          <w:rFonts w:eastAsia="Arial"/>
          <w:b/>
          <w:u w:val="single"/>
        </w:rPr>
        <w:t xml:space="preserve">‘Self-cleaning’ </w:t>
      </w:r>
    </w:p>
    <w:p w:rsidR="00323316" w:rsidRDefault="00323316" w:rsidP="00CC6687">
      <w:bookmarkStart w:id="3" w:name="h.3znysh7"/>
      <w:bookmarkEnd w:id="3"/>
    </w:p>
    <w:p w:rsidR="00323316" w:rsidRDefault="00323316" w:rsidP="00CC6687">
      <w:pPr>
        <w:rPr>
          <w:rFonts w:eastAsia="Arial"/>
        </w:rPr>
      </w:pPr>
      <w:r>
        <w:rPr>
          <w:rFonts w:eastAsia="Arial"/>
        </w:rPr>
        <w:t xml:space="preserve">Any Supplier that answers ‘Yes’ to questions </w:t>
      </w:r>
      <w:r w:rsidR="00CB2D76">
        <w:rPr>
          <w:rFonts w:eastAsia="Arial"/>
        </w:rPr>
        <w:t>4.</w:t>
      </w:r>
      <w:r>
        <w:rPr>
          <w:rFonts w:eastAsia="Arial"/>
        </w:rPr>
        <w:t xml:space="preserve">2.1, </w:t>
      </w:r>
      <w:r w:rsidR="00CB2D76">
        <w:rPr>
          <w:rFonts w:eastAsia="Arial"/>
        </w:rPr>
        <w:t>4.</w:t>
      </w:r>
      <w:r>
        <w:rPr>
          <w:rFonts w:eastAsia="Arial"/>
        </w:rPr>
        <w:t xml:space="preserve">2.2 and </w:t>
      </w:r>
      <w:r w:rsidR="00CB2D76">
        <w:rPr>
          <w:rFonts w:eastAsia="Arial"/>
        </w:rPr>
        <w:t>4.</w:t>
      </w:r>
      <w:r>
        <w:rPr>
          <w:rFonts w:eastAsia="Arial"/>
        </w:rPr>
        <w:t xml:space="preserve">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rsidR="00323316" w:rsidRDefault="00323316" w:rsidP="00CC6687">
      <w:pPr>
        <w:rPr>
          <w:rFonts w:eastAsia="Arial"/>
        </w:rPr>
      </w:pPr>
    </w:p>
    <w:p w:rsidR="00323316" w:rsidRDefault="00323316" w:rsidP="00CC6687">
      <w:r>
        <w:rPr>
          <w:rFonts w:eastAsia="Arial"/>
        </w:rPr>
        <w:t>If such evidence is considered by the authority (whose decision will be final) as sufficient, the economic operator concerned shall be allowed to continue in the procurement process.</w:t>
      </w:r>
    </w:p>
    <w:p w:rsidR="00323316" w:rsidRDefault="00323316" w:rsidP="00CC6687"/>
    <w:p w:rsidR="00323316" w:rsidRDefault="00323316" w:rsidP="00CC6687">
      <w:bookmarkStart w:id="4" w:name="h.2et92p0"/>
      <w:bookmarkEnd w:id="4"/>
      <w:r>
        <w:rPr>
          <w:rFonts w:eastAsia="Arial"/>
        </w:rPr>
        <w:t>In order for the evidence referred to above to be sufficient, the Supplier shall, as a minimum, prove that it has;</w:t>
      </w:r>
    </w:p>
    <w:p w:rsidR="00323316" w:rsidRDefault="00323316" w:rsidP="00CB2D76">
      <w:pPr>
        <w:numPr>
          <w:ilvl w:val="0"/>
          <w:numId w:val="29"/>
        </w:numPr>
      </w:pPr>
      <w:bookmarkStart w:id="5" w:name="h.tyjcwt"/>
      <w:bookmarkEnd w:id="5"/>
      <w:r>
        <w:rPr>
          <w:rFonts w:eastAsia="Arial"/>
        </w:rPr>
        <w:t>paid or undertaken to pay compensation in respect of any damage caused by the criminal offence or misconduct;</w:t>
      </w:r>
    </w:p>
    <w:p w:rsidR="00323316" w:rsidRDefault="00323316" w:rsidP="00CB2D76">
      <w:pPr>
        <w:numPr>
          <w:ilvl w:val="0"/>
          <w:numId w:val="29"/>
        </w:numPr>
      </w:pPr>
      <w:r>
        <w:rPr>
          <w:rFonts w:eastAsia="Arial"/>
        </w:rPr>
        <w:t>clarified the facts and circumstances in a comprehensive manner by actively collaborating with the investigating authorities; and</w:t>
      </w:r>
    </w:p>
    <w:p w:rsidR="00323316" w:rsidRDefault="00323316" w:rsidP="00CB2D76">
      <w:pPr>
        <w:numPr>
          <w:ilvl w:val="0"/>
          <w:numId w:val="29"/>
        </w:numPr>
      </w:pPr>
      <w:bookmarkStart w:id="6" w:name="h.3dy6vkm"/>
      <w:bookmarkEnd w:id="6"/>
      <w:r>
        <w:rPr>
          <w:rFonts w:eastAsia="Arial"/>
        </w:rPr>
        <w:t>taken concrete technical, organisational and personnel measures that are appropriate to prevent further criminal offences or misconduct.</w:t>
      </w:r>
    </w:p>
    <w:p w:rsidR="00323316" w:rsidRDefault="00323316" w:rsidP="00CC6687"/>
    <w:p w:rsidR="00E82136" w:rsidRDefault="00323316" w:rsidP="00CC6687">
      <w:pPr>
        <w:rPr>
          <w:rFonts w:eastAsia="Arial"/>
        </w:rPr>
      </w:pPr>
      <w:bookmarkStart w:id="7" w:name="h.1t3h5sf"/>
      <w:bookmarkEnd w:id="7"/>
      <w:r>
        <w:rPr>
          <w:rFonts w:eastAsia="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323316" w:rsidRDefault="00E82136" w:rsidP="00E82136">
      <w:pPr>
        <w:pStyle w:val="Heading2"/>
      </w:pPr>
      <w:r>
        <w:rPr>
          <w:rFonts w:eastAsia="Arial"/>
        </w:rPr>
        <w:br w:type="page"/>
      </w:r>
      <w:r w:rsidR="00D3042D">
        <w:lastRenderedPageBreak/>
        <w:t>Not Applicable</w:t>
      </w:r>
    </w:p>
    <w:p w:rsidR="00672D28" w:rsidRDefault="00672D28" w:rsidP="00672D28">
      <w:pPr>
        <w:pStyle w:val="Heading1"/>
        <w:numPr>
          <w:ilvl w:val="0"/>
          <w:numId w:val="0"/>
        </w:numPr>
      </w:pPr>
    </w:p>
    <w:p w:rsidR="00672D28" w:rsidRPr="00672D28" w:rsidRDefault="00672D28" w:rsidP="00672D28">
      <w:pPr>
        <w:pStyle w:val="Heading1"/>
        <w:numPr>
          <w:ilvl w:val="0"/>
          <w:numId w:val="0"/>
        </w:numPr>
        <w:rPr>
          <w:u w:val="single"/>
        </w:rPr>
      </w:pPr>
      <w:r w:rsidRPr="00672D28">
        <w:rPr>
          <w:u w:val="single"/>
        </w:rPr>
        <w:t>Selection Criteria</w:t>
      </w:r>
    </w:p>
    <w:p w:rsidR="00323316" w:rsidRDefault="00D3042D" w:rsidP="00416884">
      <w:pPr>
        <w:pStyle w:val="Heading2"/>
      </w:pPr>
      <w:r>
        <w:t>Not Applicable</w:t>
      </w:r>
    </w:p>
    <w:p w:rsidR="009118DF" w:rsidRDefault="009118DF" w:rsidP="009118DF"/>
    <w:p w:rsidR="00323316" w:rsidRDefault="00E82136" w:rsidP="009118DF">
      <w:pPr>
        <w:pStyle w:val="Heading2"/>
        <w:rPr>
          <w:color w:val="365F91"/>
        </w:rPr>
      </w:pPr>
      <w:r>
        <w:br w:type="page"/>
      </w:r>
      <w:r w:rsidR="009118DF">
        <w:lastRenderedPageBreak/>
        <w:t>Technical and Professional Ability</w:t>
      </w:r>
    </w:p>
    <w:p w:rsidR="002845B3" w:rsidRDefault="002845B3" w:rsidP="002845B3">
      <w:r>
        <w:t>The Government has developed an approach to ensuring that previous poor performance by suppliers can be taken into account and robustly assessed prior to entering into certain new contracts (as described in “Procurement Policy Note 04/15 Taking Account of Suppliers’ Past Performance”.  This will give the Government confidence, based on past performance, in the reliability of suppliers.</w:t>
      </w:r>
    </w:p>
    <w:p w:rsidR="002845B3" w:rsidRDefault="002845B3" w:rsidP="002845B3"/>
    <w:p w:rsidR="002845B3" w:rsidRDefault="002845B3" w:rsidP="002845B3">
      <w:r>
        <w:t>The policy is that, as part of any assessment of a supplier’s Technical and Professional ability, contracting authorities should ensure that any failure by the supplier to provide satisfactory performance of previous principal contracts is taken into account in the assessment of whether specified minimum standards for reliability for such contracts are met.</w:t>
      </w:r>
    </w:p>
    <w:p w:rsidR="002845B3" w:rsidRDefault="002845B3" w:rsidP="002845B3"/>
    <w:p w:rsidR="002845B3" w:rsidRDefault="002845B3" w:rsidP="002845B3">
      <w:r>
        <w:t>Evidence will be collected from suppliers to enable this assessment to be made (and a random sample of the evidence collected may be verified).</w:t>
      </w:r>
    </w:p>
    <w:p w:rsidR="002845B3" w:rsidRDefault="002845B3" w:rsidP="002845B3"/>
    <w:p w:rsidR="002845B3" w:rsidRDefault="002845B3" w:rsidP="002845B3">
      <w:r>
        <w:t>In addition, under the policy, authorities will re-assess reliability based on past performance before key points in the procurement process (i.e. short listing, preferred bidder status, conclusion of contract etc). Suppliers will accordingly be asked to update the evidence they provide in relation to past performance to reflect more recent performance on new or existing contracts (or to confirm that nothing has changed).</w:t>
      </w:r>
    </w:p>
    <w:p w:rsidR="007419F1" w:rsidRPr="002845B3" w:rsidRDefault="007419F1" w:rsidP="002845B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2410"/>
        <w:gridCol w:w="2410"/>
        <w:gridCol w:w="2409"/>
        <w:gridCol w:w="2410"/>
      </w:tblGrid>
      <w:tr w:rsidR="00003FC7" w:rsidTr="00073E39">
        <w:trPr>
          <w:trHeight w:val="440"/>
        </w:trPr>
        <w:tc>
          <w:tcPr>
            <w:tcW w:w="993" w:type="dxa"/>
            <w:vMerge w:val="restart"/>
            <w:shd w:val="clear" w:color="auto" w:fill="auto"/>
            <w:tcMar>
              <w:top w:w="0" w:type="dxa"/>
              <w:left w:w="108" w:type="dxa"/>
              <w:bottom w:w="0" w:type="dxa"/>
              <w:right w:w="108" w:type="dxa"/>
            </w:tcMar>
          </w:tcPr>
          <w:p w:rsidR="00003FC7" w:rsidRDefault="00003FC7" w:rsidP="009118DF">
            <w:r>
              <w:t>4.6</w:t>
            </w:r>
          </w:p>
        </w:tc>
        <w:tc>
          <w:tcPr>
            <w:tcW w:w="9639" w:type="dxa"/>
            <w:gridSpan w:val="4"/>
            <w:shd w:val="clear" w:color="auto" w:fill="auto"/>
            <w:tcMar>
              <w:top w:w="0" w:type="dxa"/>
              <w:left w:w="108" w:type="dxa"/>
              <w:bottom w:w="0" w:type="dxa"/>
              <w:right w:w="108" w:type="dxa"/>
            </w:tcMar>
          </w:tcPr>
          <w:p w:rsidR="00003FC7" w:rsidRDefault="00003FC7" w:rsidP="009118DF">
            <w:r>
              <w:rPr>
                <w:rFonts w:eastAsia="Arial"/>
                <w:b/>
              </w:rPr>
              <w:t>Relevant experience and contract examples</w:t>
            </w:r>
          </w:p>
        </w:tc>
      </w:tr>
      <w:tr w:rsidR="00003FC7" w:rsidTr="00073E39">
        <w:trPr>
          <w:trHeight w:val="260"/>
        </w:trPr>
        <w:tc>
          <w:tcPr>
            <w:tcW w:w="993" w:type="dxa"/>
            <w:vMerge/>
            <w:shd w:val="clear" w:color="auto" w:fill="auto"/>
            <w:tcMar>
              <w:top w:w="0" w:type="dxa"/>
              <w:left w:w="108" w:type="dxa"/>
              <w:bottom w:w="0" w:type="dxa"/>
              <w:right w:w="108" w:type="dxa"/>
            </w:tcMar>
          </w:tcPr>
          <w:p w:rsidR="00003FC7" w:rsidRDefault="00003FC7" w:rsidP="009118DF"/>
        </w:tc>
        <w:tc>
          <w:tcPr>
            <w:tcW w:w="9639" w:type="dxa"/>
            <w:gridSpan w:val="4"/>
            <w:shd w:val="clear" w:color="auto" w:fill="auto"/>
            <w:tcMar>
              <w:top w:w="0" w:type="dxa"/>
              <w:left w:w="108" w:type="dxa"/>
              <w:bottom w:w="0" w:type="dxa"/>
              <w:right w:w="108" w:type="dxa"/>
            </w:tcMar>
          </w:tcPr>
          <w:p w:rsidR="00003FC7" w:rsidRDefault="00003FC7" w:rsidP="009118DF">
            <w:pPr>
              <w:rPr>
                <w:rFonts w:eastAsia="Arial"/>
              </w:rPr>
            </w:pPr>
            <w:r>
              <w:rPr>
                <w:rFonts w:eastAsia="Arial"/>
              </w:rPr>
              <w:t xml:space="preserve">Please provide details of up to </w:t>
            </w:r>
            <w:r>
              <w:rPr>
                <w:rFonts w:eastAsia="Arial"/>
                <w:u w:val="single"/>
              </w:rPr>
              <w:t>three</w:t>
            </w:r>
            <w:r>
              <w:rPr>
                <w:rFonts w:eastAsia="Arial"/>
              </w:rPr>
              <w:t xml:space="preserve"> contracts, in any combination from either the public or private sector, that are relevant to the authority’s requirement. Contracts for supplies or services should have been performed during the past </w:t>
            </w:r>
            <w:r>
              <w:rPr>
                <w:rFonts w:eastAsia="Arial"/>
                <w:u w:val="single"/>
              </w:rPr>
              <w:t>three</w:t>
            </w:r>
            <w:r>
              <w:rPr>
                <w:rFonts w:eastAsia="Arial"/>
              </w:rPr>
              <w:t xml:space="preserve"> years. Works contracts may be from the past </w:t>
            </w:r>
            <w:r>
              <w:rPr>
                <w:rFonts w:eastAsia="Arial"/>
                <w:u w:val="single"/>
              </w:rPr>
              <w:t>five</w:t>
            </w:r>
            <w:r>
              <w:rPr>
                <w:rFonts w:eastAsia="Arial"/>
              </w:rPr>
              <w:t xml:space="preserve"> years, and VCSEs may include samples of grant funded work. </w:t>
            </w:r>
          </w:p>
          <w:p w:rsidR="00003FC7" w:rsidRDefault="00003FC7" w:rsidP="009118DF"/>
          <w:p w:rsidR="00003FC7" w:rsidRDefault="00003FC7" w:rsidP="009118DF">
            <w:r>
              <w:rPr>
                <w:rFonts w:eastAsia="Arial"/>
              </w:rPr>
              <w:t>The named customer contact provided should be prepared to provide written evidence to the authority to confirm the accuracy of the information provided below.</w:t>
            </w:r>
          </w:p>
          <w:p w:rsidR="00003FC7" w:rsidRDefault="00003FC7" w:rsidP="009118DF">
            <w:pPr>
              <w:rPr>
                <w:rFonts w:eastAsia="Arial"/>
              </w:rPr>
            </w:pPr>
            <w:r>
              <w:rPr>
                <w:rFonts w:eastAsia="Arial"/>
              </w:rPr>
              <w:t xml:space="preserve">Consortia bids should provide relevant examples of where the consortium has delivered similar requirements; if this is not possible (e.g. the consortium is newly formed or a Special Purpose Vehicle will be created for </w:t>
            </w:r>
            <w:r w:rsidRPr="001610A1">
              <w:rPr>
                <w:rFonts w:eastAsia="Arial"/>
              </w:rPr>
              <w:t xml:space="preserve">this </w:t>
            </w:r>
            <w:r w:rsidR="00CD33C3" w:rsidRPr="001610A1">
              <w:rPr>
                <w:rFonts w:eastAsia="Arial"/>
              </w:rPr>
              <w:t>contract</w:t>
            </w:r>
            <w:r>
              <w:rPr>
                <w:rFonts w:eastAsia="Arial"/>
              </w:rPr>
              <w:t xml:space="preserve">) then three separate examples should be provided between the principal member(s) of the proposed consortium or Special Purpose Vehicle (three examples are not required from each member). </w:t>
            </w:r>
          </w:p>
          <w:p w:rsidR="00003FC7" w:rsidRDefault="00003FC7" w:rsidP="009118DF"/>
          <w:p w:rsidR="00003FC7" w:rsidRPr="00003FC7" w:rsidRDefault="00003FC7" w:rsidP="009118DF">
            <w:pPr>
              <w:rPr>
                <w:rFonts w:eastAsia="Arial"/>
              </w:rPr>
            </w:pPr>
            <w:r>
              <w:rPr>
                <w:rFonts w:eastAsia="Arial"/>
              </w:rPr>
              <w:t xml:space="preserve">Where the Supplier is a Special Purpose Vehicle, or a managing agent not intending to be the main provider of the supplies or services, the information requested </w:t>
            </w:r>
            <w:r>
              <w:rPr>
                <w:rFonts w:eastAsia="Arial"/>
              </w:rPr>
              <w:lastRenderedPageBreak/>
              <w:t>should be provided in respect of the principal intended provider(s) or sub-contractor(s) who will deliver the supplies and services.  (If required you may provide this information in the form of a referenced Appendix)</w:t>
            </w:r>
            <w:r w:rsidR="00097827">
              <w:rPr>
                <w:rFonts w:eastAsia="Arial"/>
              </w:rPr>
              <w:t>.</w:t>
            </w:r>
          </w:p>
        </w:tc>
      </w:tr>
      <w:tr w:rsidR="00323316" w:rsidTr="00003FC7">
        <w:trPr>
          <w:trHeight w:val="260"/>
        </w:trPr>
        <w:tc>
          <w:tcPr>
            <w:tcW w:w="993"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r>
              <w:t>Contract 1</w:t>
            </w:r>
          </w:p>
        </w:tc>
        <w:tc>
          <w:tcPr>
            <w:tcW w:w="2409" w:type="dxa"/>
            <w:shd w:val="clear" w:color="auto" w:fill="auto"/>
            <w:tcMar>
              <w:top w:w="0" w:type="dxa"/>
              <w:left w:w="108" w:type="dxa"/>
              <w:bottom w:w="0" w:type="dxa"/>
              <w:right w:w="108" w:type="dxa"/>
            </w:tcMar>
          </w:tcPr>
          <w:p w:rsidR="00323316" w:rsidRDefault="00323316" w:rsidP="009118DF">
            <w:r>
              <w:t>Contract 2</w:t>
            </w:r>
          </w:p>
        </w:tc>
        <w:tc>
          <w:tcPr>
            <w:tcW w:w="2410" w:type="dxa"/>
            <w:shd w:val="clear" w:color="auto" w:fill="auto"/>
            <w:tcMar>
              <w:top w:w="0" w:type="dxa"/>
              <w:left w:w="108" w:type="dxa"/>
              <w:bottom w:w="0" w:type="dxa"/>
              <w:right w:w="108" w:type="dxa"/>
            </w:tcMar>
          </w:tcPr>
          <w:p w:rsidR="00323316" w:rsidRDefault="00323316" w:rsidP="009118DF">
            <w:r>
              <w:t>Contract 3</w:t>
            </w:r>
          </w:p>
        </w:tc>
      </w:tr>
      <w:tr w:rsidR="00323316" w:rsidTr="00003FC7">
        <w:trPr>
          <w:trHeight w:val="260"/>
        </w:trPr>
        <w:tc>
          <w:tcPr>
            <w:tcW w:w="993" w:type="dxa"/>
            <w:shd w:val="clear" w:color="auto" w:fill="auto"/>
            <w:tcMar>
              <w:top w:w="0" w:type="dxa"/>
              <w:left w:w="108" w:type="dxa"/>
              <w:bottom w:w="0" w:type="dxa"/>
              <w:right w:w="108" w:type="dxa"/>
            </w:tcMar>
          </w:tcPr>
          <w:p w:rsidR="00323316" w:rsidRDefault="00003FC7" w:rsidP="009118DF">
            <w:r>
              <w:t>4.</w:t>
            </w:r>
            <w:r w:rsidR="00323316">
              <w:t>6.1</w:t>
            </w:r>
          </w:p>
        </w:tc>
        <w:tc>
          <w:tcPr>
            <w:tcW w:w="2410" w:type="dxa"/>
            <w:shd w:val="clear" w:color="auto" w:fill="auto"/>
            <w:tcMar>
              <w:top w:w="0" w:type="dxa"/>
              <w:left w:w="108" w:type="dxa"/>
              <w:bottom w:w="0" w:type="dxa"/>
              <w:right w:w="108" w:type="dxa"/>
            </w:tcMar>
          </w:tcPr>
          <w:p w:rsidR="00323316" w:rsidRDefault="00323316" w:rsidP="009118DF">
            <w:r>
              <w:t>Name of customer organisation</w:t>
            </w:r>
          </w:p>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6.2</w:t>
            </w:r>
          </w:p>
        </w:tc>
        <w:tc>
          <w:tcPr>
            <w:tcW w:w="2410" w:type="dxa"/>
            <w:shd w:val="clear" w:color="auto" w:fill="auto"/>
            <w:tcMar>
              <w:top w:w="0" w:type="dxa"/>
              <w:left w:w="108" w:type="dxa"/>
              <w:bottom w:w="0" w:type="dxa"/>
              <w:right w:w="108" w:type="dxa"/>
            </w:tcMar>
          </w:tcPr>
          <w:p w:rsidR="00323316" w:rsidRDefault="00323316" w:rsidP="009118DF">
            <w:r>
              <w:t>Point of contact in customer organisation</w:t>
            </w:r>
          </w:p>
          <w:p w:rsidR="00323316" w:rsidRDefault="00323316" w:rsidP="009118DF">
            <w:r>
              <w:t>Position in the organisation</w:t>
            </w:r>
          </w:p>
          <w:p w:rsidR="00323316" w:rsidRDefault="00323316" w:rsidP="009118DF">
            <w:r>
              <w:t>E-mail address</w:t>
            </w:r>
          </w:p>
        </w:tc>
        <w:tc>
          <w:tcPr>
            <w:tcW w:w="2410" w:type="dxa"/>
            <w:shd w:val="clear" w:color="auto" w:fill="auto"/>
            <w:tcMar>
              <w:top w:w="0" w:type="dxa"/>
              <w:left w:w="108" w:type="dxa"/>
              <w:bottom w:w="0" w:type="dxa"/>
              <w:right w:w="108" w:type="dxa"/>
            </w:tcMar>
          </w:tcPr>
          <w:p w:rsidR="00323316" w:rsidRDefault="00323316" w:rsidP="009118DF"/>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6.3</w:t>
            </w:r>
          </w:p>
        </w:tc>
        <w:tc>
          <w:tcPr>
            <w:tcW w:w="2410" w:type="dxa"/>
            <w:shd w:val="clear" w:color="auto" w:fill="auto"/>
            <w:tcMar>
              <w:top w:w="0" w:type="dxa"/>
              <w:left w:w="108" w:type="dxa"/>
              <w:bottom w:w="0" w:type="dxa"/>
              <w:right w:w="108" w:type="dxa"/>
            </w:tcMar>
          </w:tcPr>
          <w:p w:rsidR="00323316" w:rsidRDefault="00323316" w:rsidP="009118DF">
            <w:r>
              <w:t>Contract start date</w:t>
            </w:r>
          </w:p>
          <w:p w:rsidR="00323316" w:rsidRDefault="00323316" w:rsidP="009118DF">
            <w:r>
              <w:t>Contract completion date</w:t>
            </w:r>
          </w:p>
          <w:p w:rsidR="00323316" w:rsidRDefault="00323316" w:rsidP="009118DF">
            <w:r>
              <w:t>Estimated Contract Value</w:t>
            </w:r>
          </w:p>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6.4</w:t>
            </w:r>
          </w:p>
        </w:tc>
        <w:tc>
          <w:tcPr>
            <w:tcW w:w="2410" w:type="dxa"/>
            <w:shd w:val="clear" w:color="auto" w:fill="auto"/>
            <w:tcMar>
              <w:top w:w="0" w:type="dxa"/>
              <w:left w:w="108" w:type="dxa"/>
              <w:bottom w:w="0" w:type="dxa"/>
              <w:right w:w="108" w:type="dxa"/>
            </w:tcMar>
          </w:tcPr>
          <w:p w:rsidR="00323316" w:rsidRDefault="00323316" w:rsidP="009118DF">
            <w:r>
              <w:t>In no more than 500 words, please provide a brief description of the contract delivered including evidence as to your technical capability in this market.</w:t>
            </w:r>
          </w:p>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9118DF">
        <w:trPr>
          <w:trHeight w:val="900"/>
        </w:trPr>
        <w:tc>
          <w:tcPr>
            <w:tcW w:w="10632" w:type="dxa"/>
            <w:gridSpan w:val="5"/>
            <w:shd w:val="clear" w:color="auto" w:fill="auto"/>
            <w:tcMar>
              <w:top w:w="0" w:type="dxa"/>
              <w:left w:w="108" w:type="dxa"/>
              <w:bottom w:w="0" w:type="dxa"/>
              <w:right w:w="108" w:type="dxa"/>
            </w:tcMar>
          </w:tcPr>
          <w:p w:rsidR="00323316" w:rsidRDefault="00003FC7" w:rsidP="009118DF">
            <w:r>
              <w:t>4.</w:t>
            </w:r>
            <w:r w:rsidR="00323316">
              <w:t xml:space="preserve">6.5 If you cannot provide at least one example for questions </w:t>
            </w:r>
            <w:r>
              <w:t>4.</w:t>
            </w:r>
            <w:r w:rsidR="00323316">
              <w:t xml:space="preserve">6.1 to </w:t>
            </w:r>
            <w:r>
              <w:t>4.</w:t>
            </w:r>
            <w:r w:rsidR="00323316">
              <w:t>6.4, in no more than 500 words please provide an explanation for this e.g. your organisation is a new start-up.</w:t>
            </w:r>
          </w:p>
        </w:tc>
      </w:tr>
      <w:tr w:rsidR="00323316" w:rsidTr="009118DF">
        <w:trPr>
          <w:trHeight w:val="900"/>
        </w:trPr>
        <w:tc>
          <w:tcPr>
            <w:tcW w:w="10632" w:type="dxa"/>
            <w:gridSpan w:val="5"/>
            <w:shd w:val="clear" w:color="auto" w:fill="auto"/>
            <w:tcMar>
              <w:top w:w="0" w:type="dxa"/>
              <w:left w:w="108" w:type="dxa"/>
              <w:bottom w:w="0" w:type="dxa"/>
              <w:right w:w="108" w:type="dxa"/>
            </w:tcMar>
          </w:tcPr>
          <w:p w:rsidR="00323316" w:rsidRDefault="00323316" w:rsidP="009118DF"/>
          <w:p w:rsidR="00323316" w:rsidRDefault="00323316" w:rsidP="009118DF"/>
          <w:p w:rsidR="00323316" w:rsidRDefault="00323316" w:rsidP="009118DF"/>
          <w:p w:rsidR="00323316" w:rsidRDefault="00323316" w:rsidP="009118DF"/>
          <w:p w:rsidR="00323316" w:rsidRDefault="00323316" w:rsidP="009118DF"/>
          <w:p w:rsidR="00323316" w:rsidRDefault="00323316" w:rsidP="009118DF"/>
          <w:p w:rsidR="00D3042D" w:rsidRDefault="00D3042D" w:rsidP="009118DF"/>
          <w:p w:rsidR="00D3042D" w:rsidRDefault="00D3042D" w:rsidP="009118DF"/>
          <w:p w:rsidR="00323316" w:rsidRDefault="00323316" w:rsidP="009118DF"/>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lastRenderedPageBreak/>
        <w:t xml:space="preserve">Evaluation Matrix for </w:t>
      </w:r>
      <w:r>
        <w:rPr>
          <w:rFonts w:cs="Arial"/>
          <w:snapToGrid w:val="0"/>
          <w:color w:val="003300"/>
          <w:sz w:val="28"/>
          <w:szCs w:val="28"/>
          <w:lang w:val="en-US"/>
        </w:rPr>
        <w:t>Section 4.6</w:t>
      </w:r>
    </w:p>
    <w:p w:rsidR="007C59D0" w:rsidRDefault="007C59D0" w:rsidP="007C59D0">
      <w:r w:rsidRPr="009E5141">
        <w:t xml:space="preserve">Responses to the questions </w:t>
      </w:r>
      <w:r>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4E69BB" w:rsidRPr="009E5141" w:rsidTr="00F61F52">
        <w:tc>
          <w:tcPr>
            <w:tcW w:w="819" w:type="pct"/>
            <w:shd w:val="clear" w:color="auto" w:fill="auto"/>
          </w:tcPr>
          <w:p w:rsidR="004E69BB" w:rsidRPr="009E5141" w:rsidRDefault="004E69BB" w:rsidP="00F61F52">
            <w:pPr>
              <w:jc w:val="center"/>
              <w:rPr>
                <w:b/>
                <w:color w:val="003300"/>
              </w:rPr>
            </w:pPr>
            <w:r w:rsidRPr="009E5141">
              <w:rPr>
                <w:b/>
                <w:color w:val="003300"/>
              </w:rPr>
              <w:t>Weight</w:t>
            </w:r>
          </w:p>
        </w:tc>
        <w:tc>
          <w:tcPr>
            <w:tcW w:w="4181" w:type="pct"/>
            <w:shd w:val="clear" w:color="auto" w:fill="auto"/>
          </w:tcPr>
          <w:p w:rsidR="004E69BB" w:rsidRPr="009E5141" w:rsidRDefault="004E69BB" w:rsidP="00F61F52">
            <w:pPr>
              <w:spacing w:line="240" w:lineRule="auto"/>
              <w:rPr>
                <w:b/>
                <w:color w:val="003300"/>
              </w:rPr>
            </w:pPr>
            <w:r w:rsidRPr="009E5141">
              <w:rPr>
                <w:b/>
                <w:color w:val="003300"/>
              </w:rPr>
              <w:t>Agreed Marking Criteria</w:t>
            </w:r>
          </w:p>
        </w:tc>
      </w:tr>
      <w:tr w:rsidR="004E69BB" w:rsidRPr="009E5141" w:rsidTr="00F61F52">
        <w:tc>
          <w:tcPr>
            <w:tcW w:w="819" w:type="pct"/>
            <w:shd w:val="clear" w:color="auto" w:fill="auto"/>
          </w:tcPr>
          <w:p w:rsidR="004E69BB" w:rsidRPr="009E5141" w:rsidRDefault="004E69BB" w:rsidP="00F61F52">
            <w:r w:rsidRPr="009E5141">
              <w:t xml:space="preserve">Pass/Fail </w:t>
            </w:r>
          </w:p>
        </w:tc>
        <w:tc>
          <w:tcPr>
            <w:tcW w:w="4181" w:type="pct"/>
            <w:shd w:val="clear" w:color="auto" w:fill="auto"/>
          </w:tcPr>
          <w:p w:rsidR="004E69BB" w:rsidRDefault="004E69BB" w:rsidP="00F61F52">
            <w:pPr>
              <w:rPr>
                <w:rFonts w:eastAsia="Arial" w:cs="Arial"/>
              </w:rPr>
            </w:pPr>
            <w:r w:rsidRPr="004E69BB">
              <w:rPr>
                <w:rFonts w:eastAsia="Arial" w:cs="Arial"/>
                <w:b/>
              </w:rPr>
              <w:t>Pass</w:t>
            </w:r>
            <w:r>
              <w:rPr>
                <w:rFonts w:eastAsia="Arial" w:cs="Arial"/>
              </w:rPr>
              <w:t xml:space="preserve"> – </w:t>
            </w:r>
            <w:r w:rsidR="00C83704">
              <w:rPr>
                <w:color w:val="000000"/>
              </w:rPr>
              <w:t xml:space="preserve">Three references relevant to the subject </w:t>
            </w:r>
            <w:r w:rsidR="00391B8E">
              <w:rPr>
                <w:color w:val="000000"/>
              </w:rPr>
              <w:t xml:space="preserve">matter </w:t>
            </w:r>
            <w:r w:rsidR="00C83704">
              <w:rPr>
                <w:color w:val="000000"/>
              </w:rPr>
              <w:t>of this ITT have been provided and the authority is content that the minimum standards for reliability have been met</w:t>
            </w:r>
            <w:r>
              <w:t>.</w:t>
            </w:r>
            <w:r w:rsidR="00C83704">
              <w:t xml:space="preserve">  We will consider accepting a lower number of references depending on how long you have been in business.</w:t>
            </w:r>
            <w:r>
              <w:t xml:space="preserve">  </w:t>
            </w:r>
          </w:p>
          <w:p w:rsidR="004E69BB" w:rsidRPr="001409D5" w:rsidRDefault="004E69BB" w:rsidP="00C83704">
            <w:r w:rsidRPr="0087073A">
              <w:rPr>
                <w:rFonts w:eastAsia="Arial" w:cs="Arial"/>
                <w:b/>
              </w:rPr>
              <w:t>Fail</w:t>
            </w:r>
            <w:r>
              <w:rPr>
                <w:rFonts w:eastAsia="Arial" w:cs="Arial"/>
              </w:rPr>
              <w:t xml:space="preserve"> – </w:t>
            </w:r>
            <w:r w:rsidR="00C83704">
              <w:rPr>
                <w:rFonts w:eastAsia="Arial" w:cs="Arial"/>
              </w:rPr>
              <w:t xml:space="preserve">References are not relevant </w:t>
            </w:r>
            <w:r w:rsidR="00C83704" w:rsidRPr="00C83704">
              <w:rPr>
                <w:rFonts w:eastAsia="Arial" w:cs="Arial"/>
                <w:b/>
              </w:rPr>
              <w:t>OR</w:t>
            </w:r>
            <w:r w:rsidR="00C83704">
              <w:rPr>
                <w:rFonts w:eastAsia="Arial" w:cs="Arial"/>
              </w:rPr>
              <w:t xml:space="preserve"> a satisfactory number of references have not been provided </w:t>
            </w:r>
            <w:r w:rsidR="00C83704" w:rsidRPr="00C83704">
              <w:rPr>
                <w:rFonts w:eastAsia="Arial" w:cs="Arial"/>
                <w:b/>
              </w:rPr>
              <w:t>OR</w:t>
            </w:r>
            <w:r w:rsidR="00C83704">
              <w:rPr>
                <w:rFonts w:eastAsia="Arial" w:cs="Arial"/>
              </w:rPr>
              <w:t xml:space="preserve"> t</w:t>
            </w:r>
            <w:r w:rsidR="00C83704">
              <w:rPr>
                <w:rFonts w:eastAsia="Arial"/>
              </w:rPr>
              <w:t>he authority has evidence of the suppliers’</w:t>
            </w:r>
            <w:r w:rsidR="007419F1">
              <w:rPr>
                <w:rFonts w:eastAsia="Arial"/>
              </w:rPr>
              <w:t xml:space="preserve"> failure to discharge </w:t>
            </w:r>
            <w:r w:rsidR="00C83704">
              <w:rPr>
                <w:rFonts w:eastAsia="Arial"/>
              </w:rPr>
              <w:t xml:space="preserve">their </w:t>
            </w:r>
            <w:r w:rsidR="007419F1">
              <w:rPr>
                <w:rFonts w:eastAsia="Arial"/>
              </w:rPr>
              <w:t>obligations under previous principal relevant contract</w:t>
            </w:r>
            <w:r w:rsidR="00C83704">
              <w:rPr>
                <w:rFonts w:eastAsia="Arial"/>
              </w:rPr>
              <w:t>(</w:t>
            </w:r>
            <w:r w:rsidR="007419F1">
              <w:rPr>
                <w:rFonts w:eastAsia="Arial"/>
              </w:rPr>
              <w:t>s</w:t>
            </w:r>
            <w:r w:rsidR="00C83704">
              <w:rPr>
                <w:rFonts w:eastAsia="Arial"/>
              </w:rPr>
              <w:t>) which may include</w:t>
            </w:r>
            <w:r w:rsidR="007419F1">
              <w:rPr>
                <w:rFonts w:eastAsia="Arial"/>
              </w:rPr>
              <w:t xml:space="preserve"> minimum standards for reliability </w:t>
            </w:r>
            <w:r w:rsidR="00C83704">
              <w:rPr>
                <w:rFonts w:eastAsia="Arial"/>
              </w:rPr>
              <w:t>in performing</w:t>
            </w:r>
            <w:r w:rsidR="007419F1">
              <w:rPr>
                <w:rFonts w:eastAsia="Arial"/>
              </w:rPr>
              <w:t xml:space="preserve"> such contracts </w:t>
            </w:r>
            <w:r w:rsidR="00C83704">
              <w:rPr>
                <w:rFonts w:eastAsia="Arial"/>
              </w:rPr>
              <w:t>having not been</w:t>
            </w:r>
            <w:r w:rsidR="007419F1">
              <w:rPr>
                <w:rFonts w:eastAsia="Arial"/>
              </w:rPr>
              <w:t xml:space="preserve"> met.</w:t>
            </w:r>
          </w:p>
        </w:tc>
      </w:tr>
    </w:tbl>
    <w:p w:rsidR="00E82136" w:rsidRDefault="00E82136" w:rsidP="00E82136">
      <w:pPr>
        <w:pStyle w:val="Heading2"/>
        <w:numPr>
          <w:ilvl w:val="0"/>
          <w:numId w:val="0"/>
        </w:numPr>
        <w:ind w:left="576"/>
      </w:pPr>
    </w:p>
    <w:p w:rsidR="00323316" w:rsidRDefault="00E82136" w:rsidP="00003FC7">
      <w:pPr>
        <w:pStyle w:val="Heading2"/>
      </w:pPr>
      <w:r>
        <w:br w:type="page"/>
      </w:r>
      <w:r w:rsidR="00003FC7">
        <w:lastRenderedPageBreak/>
        <w:t>Additional Selection modules</w:t>
      </w:r>
    </w:p>
    <w:p w:rsidR="00A57510" w:rsidRDefault="00A57510" w:rsidP="00A57510">
      <w:pPr>
        <w:pStyle w:val="Heading3"/>
        <w:rPr>
          <w:rFonts w:eastAsia="Arial"/>
        </w:rPr>
      </w:pPr>
      <w:r>
        <w:rPr>
          <w:rFonts w:eastAsia="Arial"/>
        </w:rPr>
        <w:t>Project specific questions to assess Technical and Professional Ability</w:t>
      </w:r>
    </w:p>
    <w:p w:rsidR="00A57510" w:rsidRDefault="00A57510" w:rsidP="00A57510">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086"/>
        <w:gridCol w:w="1378"/>
      </w:tblGrid>
      <w:tr w:rsidR="002078BE" w:rsidRPr="005D3614" w:rsidTr="00655F95">
        <w:tc>
          <w:tcPr>
            <w:tcW w:w="674" w:type="dxa"/>
            <w:shd w:val="clear" w:color="auto" w:fill="auto"/>
          </w:tcPr>
          <w:p w:rsidR="00A57510" w:rsidRPr="005D3614" w:rsidRDefault="00A57510" w:rsidP="00A57510">
            <w:pPr>
              <w:pStyle w:val="FCGBBodyText"/>
              <w:rPr>
                <w:b/>
                <w:color w:val="0D0D0D"/>
              </w:rPr>
            </w:pPr>
            <w:r w:rsidRPr="005D3614">
              <w:rPr>
                <w:b/>
                <w:color w:val="0D0D0D"/>
              </w:rPr>
              <w:t>No.</w:t>
            </w:r>
          </w:p>
        </w:tc>
        <w:tc>
          <w:tcPr>
            <w:tcW w:w="8086" w:type="dxa"/>
            <w:shd w:val="clear" w:color="auto" w:fill="auto"/>
          </w:tcPr>
          <w:p w:rsidR="00A57510" w:rsidRPr="00655F95" w:rsidRDefault="00A57510" w:rsidP="00A57510">
            <w:pPr>
              <w:pStyle w:val="FCGBBodyText"/>
              <w:rPr>
                <w:b/>
              </w:rPr>
            </w:pPr>
            <w:r w:rsidRPr="00655F95">
              <w:rPr>
                <w:b/>
              </w:rPr>
              <w:t>Question</w:t>
            </w:r>
          </w:p>
        </w:tc>
        <w:tc>
          <w:tcPr>
            <w:tcW w:w="1378" w:type="dxa"/>
            <w:shd w:val="clear" w:color="auto" w:fill="auto"/>
          </w:tcPr>
          <w:p w:rsidR="00A57510" w:rsidRPr="00655F95" w:rsidRDefault="00E82136" w:rsidP="00655F95">
            <w:pPr>
              <w:pStyle w:val="FCGBBodyText"/>
              <w:rPr>
                <w:b/>
              </w:rPr>
            </w:pPr>
            <w:r w:rsidRPr="00655F95">
              <w:rPr>
                <w:b/>
              </w:rPr>
              <w:t xml:space="preserve">Pass/Fail </w:t>
            </w:r>
          </w:p>
        </w:tc>
      </w:tr>
      <w:tr w:rsidR="002078BE" w:rsidRPr="005D3614" w:rsidTr="00655F95">
        <w:tc>
          <w:tcPr>
            <w:tcW w:w="674" w:type="dxa"/>
            <w:shd w:val="clear" w:color="auto" w:fill="auto"/>
          </w:tcPr>
          <w:p w:rsidR="00A57510" w:rsidRPr="005D3614" w:rsidRDefault="00A57510" w:rsidP="00A57510">
            <w:pPr>
              <w:pStyle w:val="FCGBBodyText"/>
              <w:rPr>
                <w:color w:val="0D0D0D"/>
              </w:rPr>
            </w:pPr>
          </w:p>
        </w:tc>
        <w:tc>
          <w:tcPr>
            <w:tcW w:w="8086" w:type="dxa"/>
            <w:shd w:val="clear" w:color="auto" w:fill="auto"/>
          </w:tcPr>
          <w:p w:rsidR="00A57510" w:rsidRPr="00655F95" w:rsidRDefault="00655F95" w:rsidP="00672D28">
            <w:pPr>
              <w:pStyle w:val="FCGBBodyText"/>
            </w:pPr>
            <w:r w:rsidRPr="00655F95">
              <w:t>Please enclose a copy of your Waste Carriers Licence</w:t>
            </w:r>
          </w:p>
          <w:p w:rsidR="00655F95" w:rsidRPr="00655F95" w:rsidRDefault="00655F95" w:rsidP="00672D28">
            <w:pPr>
              <w:pStyle w:val="FCGBBodyText"/>
            </w:pPr>
          </w:p>
        </w:tc>
        <w:tc>
          <w:tcPr>
            <w:tcW w:w="1378" w:type="dxa"/>
            <w:shd w:val="clear" w:color="auto" w:fill="auto"/>
          </w:tcPr>
          <w:p w:rsidR="00A57510" w:rsidRPr="00655F95" w:rsidRDefault="00A57510" w:rsidP="00A57510">
            <w:pPr>
              <w:pStyle w:val="FCGBBodyText"/>
            </w:pPr>
          </w:p>
        </w:tc>
      </w:tr>
      <w:tr w:rsidR="002078BE" w:rsidRPr="005D3614" w:rsidTr="005D3614">
        <w:tc>
          <w:tcPr>
            <w:tcW w:w="10138" w:type="dxa"/>
            <w:gridSpan w:val="3"/>
            <w:shd w:val="clear" w:color="auto" w:fill="auto"/>
          </w:tcPr>
          <w:p w:rsidR="00A57510" w:rsidRPr="005D3614" w:rsidRDefault="006E2996" w:rsidP="00A57510">
            <w:pPr>
              <w:pStyle w:val="FCGBBodyText"/>
              <w:rPr>
                <w:color w:val="0D0D0D"/>
              </w:rPr>
            </w:pPr>
            <w:r w:rsidRPr="005D3614">
              <w:rPr>
                <w:b/>
                <w:color w:val="0D0D0D"/>
              </w:rPr>
              <w:t>Answer</w:t>
            </w:r>
            <w:r w:rsidR="00A57510" w:rsidRPr="005D3614">
              <w:rPr>
                <w:color w:val="0D0D0D"/>
              </w:rPr>
              <w:t>:</w:t>
            </w:r>
          </w:p>
          <w:p w:rsidR="00A57510" w:rsidRDefault="00A57510" w:rsidP="00A57510">
            <w:pPr>
              <w:pStyle w:val="FCGBBodyText"/>
              <w:rPr>
                <w:color w:val="0D0D0D"/>
              </w:rPr>
            </w:pPr>
          </w:p>
          <w:p w:rsidR="00655F95" w:rsidRPr="005D3614" w:rsidRDefault="00655F95" w:rsidP="00A57510">
            <w:pPr>
              <w:pStyle w:val="FCGBBodyText"/>
              <w:rPr>
                <w:color w:val="0D0D0D"/>
              </w:rPr>
            </w:pPr>
          </w:p>
          <w:p w:rsidR="00A57510" w:rsidRPr="005D3614" w:rsidRDefault="00A57510" w:rsidP="00A57510">
            <w:pPr>
              <w:pStyle w:val="FCGBBodyText"/>
              <w:rPr>
                <w:color w:val="0D0D0D"/>
              </w:rPr>
            </w:pPr>
          </w:p>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4.7.1</w:t>
      </w:r>
    </w:p>
    <w:p w:rsidR="007C59D0" w:rsidRPr="009E5141" w:rsidRDefault="007C59D0" w:rsidP="007C59D0">
      <w:r w:rsidRPr="009E5141">
        <w:t xml:space="preserve">Responses to the questions </w:t>
      </w:r>
      <w:r w:rsidR="004E69BB">
        <w:t>in this section</w:t>
      </w:r>
      <w:r w:rsidRPr="009E5141">
        <w:t xml:space="preserve"> will be </w:t>
      </w:r>
      <w:r w:rsidR="00E82136">
        <w:t>evaluated</w:t>
      </w:r>
      <w:r w:rsidRPr="009E5141">
        <w:t xml:space="preserve"> on the basis of the marking criteri</w:t>
      </w:r>
      <w:r>
        <w:t>a detailed in the table below.</w:t>
      </w:r>
    </w:p>
    <w:p w:rsidR="00A57510" w:rsidRPr="005D3614" w:rsidRDefault="00A57510" w:rsidP="00A57510">
      <w:pPr>
        <w:pStyle w:val="FCGBBodyText"/>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83"/>
        <w:gridCol w:w="7980"/>
      </w:tblGrid>
      <w:tr w:rsidR="002078BE" w:rsidRPr="005D3614" w:rsidTr="005D3614">
        <w:tc>
          <w:tcPr>
            <w:tcW w:w="675" w:type="dxa"/>
            <w:shd w:val="clear" w:color="auto" w:fill="auto"/>
          </w:tcPr>
          <w:p w:rsidR="00A57510" w:rsidRPr="00655F95" w:rsidRDefault="00A57510" w:rsidP="00A57510">
            <w:pPr>
              <w:pStyle w:val="FCGBBodyText"/>
              <w:rPr>
                <w:b/>
              </w:rPr>
            </w:pPr>
            <w:r w:rsidRPr="00655F95">
              <w:rPr>
                <w:b/>
              </w:rPr>
              <w:t>No.</w:t>
            </w:r>
          </w:p>
        </w:tc>
        <w:tc>
          <w:tcPr>
            <w:tcW w:w="1483" w:type="dxa"/>
            <w:shd w:val="clear" w:color="auto" w:fill="auto"/>
          </w:tcPr>
          <w:p w:rsidR="00A57510" w:rsidRPr="00655F95" w:rsidRDefault="002078BE" w:rsidP="00A57510">
            <w:pPr>
              <w:pStyle w:val="FCGBBodyText"/>
              <w:rPr>
                <w:b/>
              </w:rPr>
            </w:pPr>
            <w:r w:rsidRPr="00655F95">
              <w:rPr>
                <w:b/>
              </w:rPr>
              <w:t>Pass/Fail or Weighting</w:t>
            </w:r>
          </w:p>
        </w:tc>
        <w:tc>
          <w:tcPr>
            <w:tcW w:w="7980" w:type="dxa"/>
            <w:shd w:val="clear" w:color="auto" w:fill="auto"/>
          </w:tcPr>
          <w:p w:rsidR="00A57510" w:rsidRPr="00655F95" w:rsidRDefault="00A57510" w:rsidP="00A57510">
            <w:pPr>
              <w:pStyle w:val="FCGBBodyText"/>
              <w:rPr>
                <w:b/>
              </w:rPr>
            </w:pPr>
            <w:r w:rsidRPr="00655F95">
              <w:rPr>
                <w:b/>
              </w:rPr>
              <w:t>Marking Criteria</w:t>
            </w:r>
          </w:p>
        </w:tc>
      </w:tr>
      <w:tr w:rsidR="002078BE" w:rsidRPr="005D3614" w:rsidTr="005D3614">
        <w:tc>
          <w:tcPr>
            <w:tcW w:w="675" w:type="dxa"/>
            <w:shd w:val="clear" w:color="auto" w:fill="auto"/>
          </w:tcPr>
          <w:p w:rsidR="00A57510" w:rsidRPr="00655F95" w:rsidRDefault="00A57510" w:rsidP="00A57510">
            <w:pPr>
              <w:pStyle w:val="FCGBBodyText"/>
            </w:pPr>
          </w:p>
        </w:tc>
        <w:tc>
          <w:tcPr>
            <w:tcW w:w="1483" w:type="dxa"/>
            <w:shd w:val="clear" w:color="auto" w:fill="auto"/>
          </w:tcPr>
          <w:p w:rsidR="00A57510" w:rsidRPr="00655F95" w:rsidRDefault="00655F95" w:rsidP="00A57510">
            <w:pPr>
              <w:pStyle w:val="FCGBBodyText"/>
            </w:pPr>
            <w:r w:rsidRPr="00655F95">
              <w:t>Pass</w:t>
            </w:r>
            <w:r>
              <w:t>/ Fail</w:t>
            </w:r>
          </w:p>
          <w:p w:rsidR="00655F95" w:rsidRPr="00655F95" w:rsidRDefault="00655F95" w:rsidP="00A57510">
            <w:pPr>
              <w:pStyle w:val="FCGBBodyText"/>
            </w:pPr>
          </w:p>
          <w:p w:rsidR="00655F95" w:rsidRPr="00655F95" w:rsidRDefault="00655F95" w:rsidP="00A57510">
            <w:pPr>
              <w:pStyle w:val="FCGBBodyText"/>
            </w:pPr>
          </w:p>
        </w:tc>
        <w:tc>
          <w:tcPr>
            <w:tcW w:w="7980" w:type="dxa"/>
            <w:shd w:val="clear" w:color="auto" w:fill="auto"/>
          </w:tcPr>
          <w:p w:rsidR="005F596F" w:rsidRPr="00655F95" w:rsidRDefault="00655F95" w:rsidP="005F596F">
            <w:pPr>
              <w:pStyle w:val="FCGBBodyText"/>
            </w:pPr>
            <w:r>
              <w:t xml:space="preserve">Pass - </w:t>
            </w:r>
            <w:r w:rsidRPr="00655F95">
              <w:t>Current Waste Carriers Licence and example provided.</w:t>
            </w:r>
          </w:p>
          <w:p w:rsidR="00655F95" w:rsidRPr="00655F95" w:rsidRDefault="00655F95" w:rsidP="005F596F">
            <w:pPr>
              <w:pStyle w:val="FCGBBodyText"/>
            </w:pPr>
          </w:p>
          <w:p w:rsidR="00655F95" w:rsidRPr="00655F95" w:rsidRDefault="00655F95" w:rsidP="005F596F">
            <w:pPr>
              <w:pStyle w:val="FCGBBodyText"/>
            </w:pPr>
            <w:r>
              <w:t xml:space="preserve">Fail - </w:t>
            </w:r>
            <w:r w:rsidRPr="00655F95">
              <w:t>No Waste Carriers Licence or no example provided.</w:t>
            </w:r>
          </w:p>
        </w:tc>
      </w:tr>
    </w:tbl>
    <w:p w:rsidR="00E82136" w:rsidRDefault="00E82136" w:rsidP="00E82136">
      <w:pPr>
        <w:pStyle w:val="Heading3"/>
        <w:numPr>
          <w:ilvl w:val="0"/>
          <w:numId w:val="0"/>
        </w:numPr>
      </w:pPr>
    </w:p>
    <w:p w:rsidR="00A57510" w:rsidRDefault="00E82136" w:rsidP="002078BE">
      <w:pPr>
        <w:pStyle w:val="Heading3"/>
      </w:pPr>
      <w:r>
        <w:br w:type="page"/>
      </w:r>
      <w:r w:rsidR="002078BE">
        <w:lastRenderedPageBreak/>
        <w:t>Insurance</w:t>
      </w:r>
      <w:r w:rsidR="00F146E6">
        <w:t xml:space="preserve"> </w:t>
      </w:r>
    </w:p>
    <w:p w:rsidR="00A57510" w:rsidRDefault="00A57510" w:rsidP="00A57510">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5F596F" w:rsidRDefault="005F596F" w:rsidP="005F596F">
            <w:r w:rsidRPr="005D3614">
              <w:rPr>
                <w:rFonts w:eastAsia="Arial"/>
              </w:rPr>
              <w:t xml:space="preserve">Please self-certify </w:t>
            </w:r>
            <w:r w:rsidR="00A24D8D" w:rsidRPr="005D3614">
              <w:rPr>
                <w:rFonts w:eastAsia="Arial"/>
              </w:rPr>
              <w:t xml:space="preserve">(by deleting the option which doesn’t apply) </w:t>
            </w:r>
            <w:r w:rsidRPr="005D3614">
              <w:rPr>
                <w:rFonts w:eastAsia="Arial"/>
              </w:rPr>
              <w:t xml:space="preserve">whether you already have, or can commit to obtain, prior to the commencement of the </w:t>
            </w:r>
            <w:r w:rsidR="001610A1" w:rsidRPr="001610A1">
              <w:rPr>
                <w:rFonts w:eastAsia="Arial"/>
              </w:rPr>
              <w:t>c</w:t>
            </w:r>
            <w:r w:rsidR="00CD33C3" w:rsidRPr="001610A1">
              <w:rPr>
                <w:rFonts w:eastAsia="Arial"/>
              </w:rPr>
              <w:t>ontract</w:t>
            </w:r>
            <w:r w:rsidRPr="001610A1">
              <w:rPr>
                <w:rFonts w:eastAsia="Arial"/>
              </w:rPr>
              <w:t>,</w:t>
            </w:r>
            <w:r w:rsidRPr="005D3614">
              <w:rPr>
                <w:rFonts w:eastAsia="Arial"/>
              </w:rPr>
              <w:t xml:space="preserve"> the levels of insurance cover indicated below</w:t>
            </w:r>
            <w:r w:rsidR="00277241" w:rsidRPr="005D3614">
              <w:rPr>
                <w:rFonts w:eastAsia="Arial"/>
              </w:rPr>
              <w:t>.</w:t>
            </w:r>
          </w:p>
          <w:p w:rsidR="005F596F" w:rsidRDefault="005F596F" w:rsidP="005F596F"/>
          <w:p w:rsidR="00955AFA" w:rsidRPr="005D3614" w:rsidRDefault="005F596F" w:rsidP="005F596F">
            <w:pPr>
              <w:rPr>
                <w:rFonts w:eastAsia="Arial"/>
              </w:rPr>
            </w:pPr>
            <w:r w:rsidRPr="005D3614">
              <w:rPr>
                <w:rFonts w:eastAsia="Arial"/>
              </w:rPr>
              <w:t>Employer’s (Compulsory) Liability Insurance  = £5million</w:t>
            </w:r>
          </w:p>
          <w:p w:rsidR="00955AFA" w:rsidRPr="005D3614" w:rsidRDefault="00955AFA" w:rsidP="005F596F">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r w:rsidR="005F596F" w:rsidRPr="005D3614">
              <w:rPr>
                <w:rFonts w:eastAsia="Arial"/>
              </w:rPr>
              <w:t> </w:t>
            </w:r>
            <w:r w:rsidR="005F596F" w:rsidRPr="005D3614">
              <w:rPr>
                <w:rFonts w:eastAsia="Arial"/>
              </w:rPr>
              <w:br/>
            </w:r>
          </w:p>
          <w:p w:rsidR="00277241" w:rsidRPr="005D3614" w:rsidRDefault="005F596F" w:rsidP="00A24D8D">
            <w:pPr>
              <w:rPr>
                <w:rFonts w:eastAsia="Arial"/>
                <w:color w:val="365F91"/>
              </w:rPr>
            </w:pPr>
            <w:r w:rsidRPr="005D3614">
              <w:rPr>
                <w:rFonts w:eastAsia="Arial"/>
              </w:rPr>
              <w:t xml:space="preserve">Public Liability Insurance = </w:t>
            </w:r>
            <w:r w:rsidR="001610A1">
              <w:rPr>
                <w:rFonts w:eastAsia="Arial"/>
              </w:rPr>
              <w:t>£5million</w:t>
            </w:r>
          </w:p>
          <w:p w:rsidR="00277241" w:rsidRPr="008D6685" w:rsidRDefault="00277241" w:rsidP="00A24D8D"/>
        </w:tc>
        <w:tc>
          <w:tcPr>
            <w:tcW w:w="2233" w:type="dxa"/>
            <w:shd w:val="clear" w:color="auto" w:fill="auto"/>
          </w:tcPr>
          <w:p w:rsidR="005F596F" w:rsidRDefault="00A24D8D" w:rsidP="005F596F">
            <w:r>
              <w:t>Yes / No</w:t>
            </w:r>
          </w:p>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4.7.2</w:t>
      </w:r>
    </w:p>
    <w:p w:rsidR="007C59D0" w:rsidRPr="009E5141" w:rsidRDefault="007C59D0" w:rsidP="007C59D0">
      <w:r w:rsidRPr="009E5141">
        <w:t xml:space="preserve">Responses to the questions </w:t>
      </w:r>
      <w:r w:rsidR="001049E9">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1049E9" w:rsidRPr="009E5141" w:rsidTr="00F61F52">
        <w:tc>
          <w:tcPr>
            <w:tcW w:w="819" w:type="pct"/>
            <w:shd w:val="clear" w:color="auto" w:fill="auto"/>
          </w:tcPr>
          <w:p w:rsidR="001049E9" w:rsidRPr="009E5141" w:rsidRDefault="001049E9" w:rsidP="00F61F52">
            <w:pPr>
              <w:jc w:val="center"/>
              <w:rPr>
                <w:b/>
                <w:color w:val="003300"/>
              </w:rPr>
            </w:pPr>
            <w:r w:rsidRPr="009E5141">
              <w:rPr>
                <w:b/>
                <w:color w:val="003300"/>
              </w:rPr>
              <w:t>Weight</w:t>
            </w:r>
          </w:p>
        </w:tc>
        <w:tc>
          <w:tcPr>
            <w:tcW w:w="4181" w:type="pct"/>
            <w:shd w:val="clear" w:color="auto" w:fill="auto"/>
          </w:tcPr>
          <w:p w:rsidR="001049E9" w:rsidRPr="009E5141" w:rsidRDefault="001049E9" w:rsidP="00F61F52">
            <w:pPr>
              <w:spacing w:line="240" w:lineRule="auto"/>
              <w:rPr>
                <w:b/>
                <w:color w:val="003300"/>
              </w:rPr>
            </w:pPr>
            <w:r w:rsidRPr="009E5141">
              <w:rPr>
                <w:b/>
                <w:color w:val="003300"/>
              </w:rPr>
              <w:t>Agreed Marking Criteria</w:t>
            </w:r>
          </w:p>
        </w:tc>
      </w:tr>
      <w:tr w:rsidR="001049E9" w:rsidRPr="009E5141" w:rsidTr="00F61F52">
        <w:tc>
          <w:tcPr>
            <w:tcW w:w="819" w:type="pct"/>
            <w:shd w:val="clear" w:color="auto" w:fill="auto"/>
          </w:tcPr>
          <w:p w:rsidR="001049E9" w:rsidRPr="009E5141" w:rsidRDefault="001049E9" w:rsidP="00F61F52">
            <w:r w:rsidRPr="009E5141">
              <w:t xml:space="preserve">Pass/Fail </w:t>
            </w:r>
          </w:p>
        </w:tc>
        <w:tc>
          <w:tcPr>
            <w:tcW w:w="4181" w:type="pct"/>
            <w:shd w:val="clear" w:color="auto" w:fill="auto"/>
          </w:tcPr>
          <w:p w:rsidR="001049E9" w:rsidRDefault="001049E9" w:rsidP="00F61F52">
            <w:pPr>
              <w:rPr>
                <w:rFonts w:eastAsia="Arial" w:cs="Arial"/>
              </w:rPr>
            </w:pPr>
            <w:r w:rsidRPr="004E69BB">
              <w:rPr>
                <w:rFonts w:eastAsia="Arial" w:cs="Arial"/>
                <w:b/>
              </w:rPr>
              <w:t>Pass</w:t>
            </w:r>
            <w:r>
              <w:rPr>
                <w:rFonts w:eastAsia="Arial" w:cs="Arial"/>
              </w:rPr>
              <w:t xml:space="preserve"> – </w:t>
            </w:r>
            <w:r w:rsidRPr="005D3614">
              <w:rPr>
                <w:color w:val="000000"/>
              </w:rPr>
              <w:t xml:space="preserve">You must either confirm that you have the </w:t>
            </w:r>
            <w:r>
              <w:rPr>
                <w:color w:val="000000"/>
              </w:rPr>
              <w:t xml:space="preserve">required </w:t>
            </w:r>
            <w:r w:rsidRPr="005D3614">
              <w:rPr>
                <w:color w:val="000000"/>
              </w:rPr>
              <w:t xml:space="preserve">levels of insurance in place for each and every claim rather than on an aggregate basis or, alternatively, undertake that should you be </w:t>
            </w:r>
            <w:r w:rsidR="00391B8E">
              <w:rPr>
                <w:color w:val="000000"/>
              </w:rPr>
              <w:t>successful,</w:t>
            </w:r>
            <w:r w:rsidRPr="005D3614">
              <w:rPr>
                <w:color w:val="000000"/>
              </w:rPr>
              <w:t xml:space="preserve"> that such levels of insurance will be available to you and that you undertake to maintain these levels of insurance for the duration of </w:t>
            </w:r>
            <w:r w:rsidR="00391B8E">
              <w:rPr>
                <w:color w:val="000000"/>
              </w:rPr>
              <w:t>the requirement.</w:t>
            </w:r>
          </w:p>
          <w:p w:rsidR="001049E9" w:rsidRPr="001409D5" w:rsidRDefault="001049E9" w:rsidP="001049E9">
            <w:r w:rsidRPr="0087073A">
              <w:rPr>
                <w:rFonts w:eastAsia="Arial" w:cs="Arial"/>
                <w:b/>
              </w:rPr>
              <w:t>Fail</w:t>
            </w:r>
            <w:r>
              <w:rPr>
                <w:rFonts w:eastAsia="Arial" w:cs="Arial"/>
              </w:rPr>
              <w:t xml:space="preserve"> – </w:t>
            </w:r>
            <w:r>
              <w:t>If you cannot make such a commitment, your bid will fail in its entirety.</w:t>
            </w:r>
          </w:p>
        </w:tc>
      </w:tr>
    </w:tbl>
    <w:p w:rsidR="00E82136" w:rsidRDefault="00E82136" w:rsidP="00E82136">
      <w:pPr>
        <w:pStyle w:val="Heading3"/>
        <w:numPr>
          <w:ilvl w:val="0"/>
          <w:numId w:val="0"/>
        </w:numPr>
        <w:ind w:left="861"/>
      </w:pPr>
    </w:p>
    <w:p w:rsidR="00E82136" w:rsidRDefault="00D3042D" w:rsidP="00D3042D">
      <w:pPr>
        <w:pStyle w:val="Heading3"/>
      </w:pPr>
      <w:r>
        <w:t>Not Applicable</w:t>
      </w:r>
    </w:p>
    <w:p w:rsidR="00E82136" w:rsidRDefault="00B63A04" w:rsidP="00B63A04">
      <w:pPr>
        <w:pStyle w:val="Heading3"/>
      </w:pPr>
      <w:r>
        <w:t>Not Applicable</w:t>
      </w:r>
    </w:p>
    <w:p w:rsidR="005E2B4A" w:rsidRDefault="00E82136" w:rsidP="0036689C">
      <w:pPr>
        <w:pStyle w:val="Heading3"/>
      </w:pPr>
      <w:r>
        <w:br w:type="page"/>
      </w:r>
      <w:r w:rsidR="0036689C">
        <w:lastRenderedPageBreak/>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0"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437"/>
        <w:gridCol w:w="9735"/>
      </w:tblGrid>
      <w:tr w:rsidR="007D1EDC" w:rsidRPr="005246B7" w:rsidTr="007D1EDC">
        <w:trPr>
          <w:trHeight w:val="1313"/>
        </w:trPr>
        <w:tc>
          <w:tcPr>
            <w:tcW w:w="498" w:type="dxa"/>
          </w:tcPr>
          <w:p w:rsidR="007D1EDC" w:rsidRPr="00EE794E" w:rsidRDefault="007D1EDC" w:rsidP="007937E2">
            <w:r w:rsidRPr="00EE794E">
              <w:t>1</w:t>
            </w:r>
          </w:p>
        </w:tc>
        <w:tc>
          <w:tcPr>
            <w:tcW w:w="0" w:type="auto"/>
          </w:tcPr>
          <w:p w:rsidR="007D1EDC" w:rsidRDefault="007D1EDC" w:rsidP="007D1EDC">
            <w:pPr>
              <w:numPr>
                <w:ilvl w:val="0"/>
                <w:numId w:val="45"/>
              </w:numPr>
              <w:spacing w:before="120" w:line="240" w:lineRule="atLeast"/>
            </w:pPr>
            <w:r>
              <w:t>Does your organisation have a written health and safety policy? AND</w:t>
            </w:r>
          </w:p>
          <w:p w:rsidR="007D1EDC" w:rsidRDefault="007D1EDC" w:rsidP="007D1EDC">
            <w:pPr>
              <w:numPr>
                <w:ilvl w:val="0"/>
                <w:numId w:val="45"/>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3C19EB" w:rsidRDefault="007D1EDC" w:rsidP="007937E2">
            <w:pPr>
              <w:rPr>
                <w:b/>
                <w:color w:val="006600"/>
              </w:rPr>
            </w:pPr>
            <w:r w:rsidRPr="003C19EB">
              <w:rPr>
                <w:b/>
                <w:color w:val="006600"/>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605"/>
        <w:gridCol w:w="71"/>
        <w:gridCol w:w="2498"/>
        <w:gridCol w:w="3329"/>
        <w:gridCol w:w="1632"/>
        <w:gridCol w:w="2003"/>
      </w:tblGrid>
      <w:tr w:rsidR="008104D3" w:rsidRPr="009E5141" w:rsidTr="00073E39">
        <w:trPr>
          <w:trHeight w:val="774"/>
        </w:trPr>
        <w:tc>
          <w:tcPr>
            <w:tcW w:w="298" w:type="pct"/>
          </w:tcPr>
          <w:p w:rsidR="008104D3" w:rsidRPr="009E5141" w:rsidRDefault="008104D3" w:rsidP="00073E39">
            <w:pPr>
              <w:rPr>
                <w:snapToGrid w:val="0"/>
              </w:rPr>
            </w:pPr>
            <w:r w:rsidRPr="009E5141">
              <w:rPr>
                <w:snapToGrid w:val="0"/>
              </w:rPr>
              <w:t>2a)</w:t>
            </w:r>
          </w:p>
        </w:tc>
        <w:tc>
          <w:tcPr>
            <w:tcW w:w="4702" w:type="pct"/>
            <w:gridSpan w:val="5"/>
          </w:tcPr>
          <w:p w:rsidR="008104D3" w:rsidRPr="009E5141" w:rsidRDefault="00AA6C9A" w:rsidP="00AA6C9A">
            <w:pPr>
              <w:rPr>
                <w:snapToGrid w:val="0"/>
              </w:rPr>
            </w:pPr>
            <w:r>
              <w:rPr>
                <w:snapToGrid w:val="0"/>
              </w:rPr>
              <w:t xml:space="preserve">The FC requires confirmation that this </w:t>
            </w:r>
            <w:r w:rsidRPr="001610A1">
              <w:rPr>
                <w:snapToGrid w:val="0"/>
              </w:rPr>
              <w:t>contract</w:t>
            </w:r>
            <w:r w:rsidRPr="00093B5A">
              <w:rPr>
                <w:snapToGrid w:val="0"/>
                <w:color w:val="365F91"/>
              </w:rPr>
              <w:t xml:space="preserve"> </w:t>
            </w:r>
            <w:r>
              <w:rPr>
                <w:snapToGrid w:val="0"/>
              </w:rPr>
              <w:t xml:space="preserve"> will be carried out by personnel (individuals, staff or sub-contractors) with the pre-requisite Health and Safety certifications / qualifications.  Bidders are required to complete the table below with reference to their delivery team </w:t>
            </w:r>
            <w:r w:rsidRPr="001610A1">
              <w:rPr>
                <w:snapToGrid w:val="0"/>
              </w:rPr>
              <w:t>for this contract.</w:t>
            </w:r>
          </w:p>
        </w:tc>
      </w:tr>
      <w:tr w:rsidR="008104D3" w:rsidRPr="009E5141" w:rsidTr="00073E39">
        <w:trPr>
          <w:trHeight w:val="514"/>
        </w:trPr>
        <w:tc>
          <w:tcPr>
            <w:tcW w:w="1565" w:type="pct"/>
            <w:gridSpan w:val="3"/>
          </w:tcPr>
          <w:p w:rsidR="008104D3" w:rsidRPr="009E5141" w:rsidRDefault="008104D3" w:rsidP="00073E39">
            <w:pPr>
              <w:rPr>
                <w:snapToGrid w:val="0"/>
              </w:rPr>
            </w:pPr>
            <w:r w:rsidRPr="009E5141">
              <w:rPr>
                <w:snapToGrid w:val="0"/>
              </w:rPr>
              <w:t>Certification / Qualification</w:t>
            </w:r>
          </w:p>
        </w:tc>
        <w:tc>
          <w:tcPr>
            <w:tcW w:w="1642" w:type="pct"/>
          </w:tcPr>
          <w:p w:rsidR="008104D3" w:rsidRPr="009E5141" w:rsidRDefault="008104D3" w:rsidP="00073E39">
            <w:pPr>
              <w:pStyle w:val="FCGBBodyText"/>
              <w:spacing w:line="240" w:lineRule="auto"/>
              <w:rPr>
                <w:snapToGrid w:val="0"/>
              </w:rPr>
            </w:pPr>
            <w:r w:rsidRPr="009E5141">
              <w:rPr>
                <w:snapToGrid w:val="0"/>
              </w:rPr>
              <w:t>Number of personnel with certification / qualification</w:t>
            </w:r>
          </w:p>
        </w:tc>
        <w:tc>
          <w:tcPr>
            <w:tcW w:w="805" w:type="pct"/>
          </w:tcPr>
          <w:p w:rsidR="008104D3" w:rsidRPr="009E5141" w:rsidRDefault="008104D3" w:rsidP="00073E39">
            <w:pPr>
              <w:rPr>
                <w:snapToGrid w:val="0"/>
              </w:rPr>
            </w:pPr>
            <w:r w:rsidRPr="009E5141">
              <w:rPr>
                <w:snapToGrid w:val="0"/>
              </w:rPr>
              <w:t>Qualification Provider</w:t>
            </w:r>
          </w:p>
        </w:tc>
        <w:tc>
          <w:tcPr>
            <w:tcW w:w="988" w:type="pct"/>
          </w:tcPr>
          <w:p w:rsidR="008104D3" w:rsidRPr="009E5141" w:rsidRDefault="008104D3" w:rsidP="00073E39">
            <w:pPr>
              <w:rPr>
                <w:snapToGrid w:val="0"/>
              </w:rPr>
            </w:pPr>
            <w:r w:rsidRPr="009E5141">
              <w:rPr>
                <w:snapToGrid w:val="0"/>
              </w:rPr>
              <w:t>Frequency of Update training</w:t>
            </w:r>
          </w:p>
        </w:tc>
      </w:tr>
      <w:tr w:rsidR="008104D3" w:rsidRPr="009E5141" w:rsidTr="00073E39">
        <w:trPr>
          <w:trHeight w:val="514"/>
        </w:trPr>
        <w:tc>
          <w:tcPr>
            <w:tcW w:w="1565" w:type="pct"/>
            <w:gridSpan w:val="3"/>
          </w:tcPr>
          <w:p w:rsidR="008104D3" w:rsidRPr="00FF5B07" w:rsidRDefault="00AA6C9A" w:rsidP="001610A1">
            <w:pPr>
              <w:rPr>
                <w:snapToGrid w:val="0"/>
              </w:rPr>
            </w:pPr>
            <w:r w:rsidRPr="00FF5B07">
              <w:rPr>
                <w:snapToGrid w:val="0"/>
              </w:rPr>
              <w:t>First Aid at work or Emergency First Aid at Work</w:t>
            </w:r>
          </w:p>
        </w:tc>
        <w:tc>
          <w:tcPr>
            <w:tcW w:w="1642" w:type="pct"/>
          </w:tcPr>
          <w:p w:rsidR="008104D3" w:rsidRPr="009E5141" w:rsidRDefault="008104D3" w:rsidP="00073E39">
            <w:pPr>
              <w:pStyle w:val="FCGBBodyText"/>
              <w:spacing w:line="240" w:lineRule="auto"/>
              <w:rPr>
                <w:b/>
                <w:snapToGrid w:val="0"/>
                <w:color w:val="FF0000"/>
              </w:rPr>
            </w:pPr>
          </w:p>
        </w:tc>
        <w:tc>
          <w:tcPr>
            <w:tcW w:w="805" w:type="pct"/>
          </w:tcPr>
          <w:p w:rsidR="008104D3" w:rsidRPr="009E5141" w:rsidRDefault="008104D3" w:rsidP="00073E39">
            <w:pPr>
              <w:rPr>
                <w:b/>
                <w:snapToGrid w:val="0"/>
                <w:color w:val="FF0000"/>
              </w:rPr>
            </w:pPr>
          </w:p>
        </w:tc>
        <w:tc>
          <w:tcPr>
            <w:tcW w:w="988" w:type="pct"/>
          </w:tcPr>
          <w:p w:rsidR="008104D3" w:rsidRPr="009E5141" w:rsidRDefault="008104D3" w:rsidP="00073E39">
            <w:pPr>
              <w:rPr>
                <w:b/>
                <w:snapToGrid w:val="0"/>
                <w:color w:val="FF0000"/>
              </w:rPr>
            </w:pPr>
          </w:p>
        </w:tc>
      </w:tr>
      <w:tr w:rsidR="008104D3" w:rsidRPr="009E5141" w:rsidTr="00073E39">
        <w:trPr>
          <w:trHeight w:val="529"/>
        </w:trPr>
        <w:tc>
          <w:tcPr>
            <w:tcW w:w="1565" w:type="pct"/>
            <w:gridSpan w:val="3"/>
          </w:tcPr>
          <w:p w:rsidR="008104D3" w:rsidRPr="009E5141" w:rsidRDefault="008104D3" w:rsidP="00073E39">
            <w:pPr>
              <w:rPr>
                <w:snapToGrid w:val="0"/>
                <w:color w:val="FF0000"/>
              </w:rPr>
            </w:pP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8104D3" w:rsidRPr="009E5141" w:rsidTr="00073E39">
        <w:trPr>
          <w:trHeight w:val="529"/>
        </w:trPr>
        <w:tc>
          <w:tcPr>
            <w:tcW w:w="1565" w:type="pct"/>
            <w:gridSpan w:val="3"/>
          </w:tcPr>
          <w:p w:rsidR="008104D3" w:rsidRPr="009E5141" w:rsidRDefault="008104D3" w:rsidP="00073E39">
            <w:pPr>
              <w:rPr>
                <w:snapToGrid w:val="0"/>
                <w:color w:val="FF0000"/>
              </w:rPr>
            </w:pP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8104D3" w:rsidRPr="009E5141" w:rsidTr="00073E39">
        <w:trPr>
          <w:trHeight w:val="529"/>
        </w:trPr>
        <w:tc>
          <w:tcPr>
            <w:tcW w:w="1565" w:type="pct"/>
            <w:gridSpan w:val="3"/>
          </w:tcPr>
          <w:p w:rsidR="008104D3" w:rsidRPr="005D3614" w:rsidRDefault="008104D3" w:rsidP="00073E39">
            <w:pPr>
              <w:rPr>
                <w:snapToGrid w:val="0"/>
                <w:color w:val="365F91"/>
              </w:rPr>
            </w:pP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AA6C9A" w:rsidRPr="009E5141" w:rsidTr="00AA6C9A">
        <w:trPr>
          <w:trHeight w:val="529"/>
        </w:trPr>
        <w:tc>
          <w:tcPr>
            <w:tcW w:w="333" w:type="pct"/>
            <w:gridSpan w:val="2"/>
          </w:tcPr>
          <w:p w:rsidR="00AA6C9A" w:rsidRPr="00AA6C9A" w:rsidRDefault="00AA6C9A" w:rsidP="00073E39">
            <w:pPr>
              <w:rPr>
                <w:snapToGrid w:val="0"/>
              </w:rPr>
            </w:pPr>
            <w:r w:rsidRPr="00AA6C9A">
              <w:rPr>
                <w:snapToGrid w:val="0"/>
              </w:rPr>
              <w:t>2b)</w:t>
            </w:r>
          </w:p>
        </w:tc>
        <w:tc>
          <w:tcPr>
            <w:tcW w:w="4667" w:type="pct"/>
            <w:gridSpan w:val="4"/>
          </w:tcPr>
          <w:p w:rsidR="00AA6C9A" w:rsidRDefault="00AA6C9A" w:rsidP="00AA6C9A">
            <w:pPr>
              <w:rPr>
                <w:snapToGrid w:val="0"/>
              </w:rPr>
            </w:pPr>
            <w:r>
              <w:rPr>
                <w:snapToGrid w:val="0"/>
              </w:rPr>
              <w:t xml:space="preserve">If the appropriate personnel who will deliver the </w:t>
            </w:r>
            <w:r w:rsidR="00CD33C3" w:rsidRPr="001610A1">
              <w:rPr>
                <w:rFonts w:eastAsia="Arial"/>
              </w:rPr>
              <w:t>contract</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w:t>
            </w:r>
            <w:r w:rsidRPr="001610A1">
              <w:rPr>
                <w:snapToGrid w:val="0"/>
              </w:rPr>
              <w:t xml:space="preserve"> </w:t>
            </w:r>
            <w:r w:rsidR="00CD33C3" w:rsidRPr="001610A1">
              <w:rPr>
                <w:rFonts w:eastAsia="Arial"/>
              </w:rPr>
              <w:t>contract</w:t>
            </w:r>
            <w:r>
              <w:rPr>
                <w:snapToGrid w:val="0"/>
              </w:rPr>
              <w:t xml:space="preserve"> commencement.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lastRenderedPageBreak/>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lastRenderedPageBreak/>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9619"/>
      </w:tblGrid>
      <w:tr w:rsidR="008104D3" w:rsidRPr="009E5141" w:rsidTr="00073E39">
        <w:trPr>
          <w:trHeight w:val="1266"/>
        </w:trPr>
        <w:tc>
          <w:tcPr>
            <w:tcW w:w="256" w:type="pct"/>
          </w:tcPr>
          <w:p w:rsidR="008104D3" w:rsidRPr="009E5141" w:rsidRDefault="008104D3" w:rsidP="00073E39">
            <w:pPr>
              <w:rPr>
                <w:snapToGrid w:val="0"/>
              </w:rPr>
            </w:pPr>
            <w:r w:rsidRPr="009E5141">
              <w:rPr>
                <w:snapToGrid w:val="0"/>
              </w:rPr>
              <w:t>3</w:t>
            </w:r>
            <w:r w:rsidR="000D2254">
              <w:rPr>
                <w:snapToGrid w:val="0"/>
              </w:rPr>
              <w:t>)</w:t>
            </w:r>
          </w:p>
        </w:tc>
        <w:tc>
          <w:tcPr>
            <w:tcW w:w="4744"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550"/>
      </w:tblGrid>
      <w:tr w:rsidR="008104D3" w:rsidRPr="009E5141" w:rsidTr="00073E39">
        <w:trPr>
          <w:trHeight w:val="698"/>
        </w:trPr>
        <w:tc>
          <w:tcPr>
            <w:tcW w:w="256" w:type="pct"/>
          </w:tcPr>
          <w:p w:rsidR="008104D3" w:rsidRPr="009E5141" w:rsidRDefault="008104D3" w:rsidP="00073E39">
            <w:pPr>
              <w:rPr>
                <w:snapToGrid w:val="0"/>
              </w:rPr>
            </w:pPr>
            <w:r w:rsidRPr="009E5141">
              <w:rPr>
                <w:snapToGrid w:val="0"/>
              </w:rPr>
              <w:t>4a)</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B78E7" w:rsidRDefault="008B78E7"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8"/>
        <w:gridCol w:w="9537"/>
      </w:tblGrid>
      <w:tr w:rsidR="008B78E7" w:rsidRPr="009E5141" w:rsidTr="008B78E7">
        <w:trPr>
          <w:trHeight w:val="1407"/>
        </w:trPr>
        <w:tc>
          <w:tcPr>
            <w:tcW w:w="292" w:type="pct"/>
            <w:gridSpan w:val="2"/>
            <w:tcBorders>
              <w:top w:val="single" w:sz="4" w:space="0" w:color="auto"/>
              <w:left w:val="single" w:sz="4" w:space="0" w:color="auto"/>
              <w:bottom w:val="single" w:sz="4" w:space="0" w:color="auto"/>
              <w:right w:val="single" w:sz="4" w:space="0" w:color="auto"/>
            </w:tcBorders>
          </w:tcPr>
          <w:p w:rsidR="008B78E7" w:rsidRPr="008B78E7" w:rsidRDefault="008B78E7" w:rsidP="00B766BA">
            <w:pPr>
              <w:rPr>
                <w:snapToGrid w:val="0"/>
              </w:rPr>
            </w:pPr>
            <w:r w:rsidRPr="008B78E7">
              <w:rPr>
                <w:snapToGrid w:val="0"/>
              </w:rPr>
              <w:lastRenderedPageBreak/>
              <w:t>4b)</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3"/>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gridSpan w:val="2"/>
          </w:tcPr>
          <w:p w:rsidR="008104D3" w:rsidRPr="008B78E7" w:rsidRDefault="008104D3" w:rsidP="008B78E7">
            <w:pPr>
              <w:rPr>
                <w:snapToGrid w:val="0"/>
              </w:rPr>
            </w:pPr>
            <w:r w:rsidRPr="008B78E7">
              <w:rPr>
                <w:snapToGrid w:val="0"/>
              </w:rPr>
              <w:t>4</w:t>
            </w:r>
            <w:r w:rsidR="008B78E7">
              <w:rPr>
                <w:snapToGrid w:val="0"/>
              </w:rPr>
              <w:t>c</w:t>
            </w:r>
            <w:r w:rsidRPr="008B78E7">
              <w:rPr>
                <w:snapToGrid w:val="0"/>
              </w:rPr>
              <w:t>)</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3"/>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8104D3" w:rsidP="008B78E7">
            <w:pPr>
              <w:rPr>
                <w:snapToGrid w:val="0"/>
              </w:rPr>
            </w:pPr>
            <w:r w:rsidRPr="009E5141">
              <w:rPr>
                <w:snapToGrid w:val="0"/>
              </w:rPr>
              <w:t>4</w:t>
            </w:r>
            <w:r w:rsidR="008B78E7">
              <w:rPr>
                <w:snapToGrid w:val="0"/>
              </w:rPr>
              <w:t>d</w:t>
            </w:r>
            <w:r w:rsidRPr="009E5141">
              <w:rPr>
                <w:snapToGrid w:val="0"/>
              </w:rPr>
              <w:t>)</w:t>
            </w:r>
          </w:p>
        </w:tc>
        <w:tc>
          <w:tcPr>
            <w:tcW w:w="4717" w:type="pct"/>
            <w:gridSpan w:val="2"/>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3"/>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9551"/>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8B78E7">
              <w:rPr>
                <w:snapToGrid w:val="0"/>
              </w:rPr>
              <w:t>e</w:t>
            </w:r>
            <w:r w:rsidRPr="009E5141">
              <w:rPr>
                <w:snapToGrid w:val="0"/>
              </w:rPr>
              <w:t>)</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9604"/>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8B78E7">
              <w:rPr>
                <w:snapToGrid w:val="0"/>
              </w:rPr>
              <w:t>f</w:t>
            </w:r>
            <w:r w:rsidRPr="009E5141">
              <w:rPr>
                <w:snapToGrid w:val="0"/>
              </w:rPr>
              <w:t>)</w:t>
            </w:r>
          </w:p>
        </w:tc>
        <w:tc>
          <w:tcPr>
            <w:tcW w:w="4744" w:type="pct"/>
          </w:tcPr>
          <w:p w:rsidR="00B26CC8" w:rsidRDefault="00B26CC8" w:rsidP="00B26CC8">
            <w:pPr>
              <w:numPr>
                <w:ilvl w:val="0"/>
                <w:numId w:val="37"/>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B26CC8">
            <w:pPr>
              <w:numPr>
                <w:ilvl w:val="0"/>
                <w:numId w:val="37"/>
              </w:numPr>
              <w:spacing w:before="120" w:line="240" w:lineRule="auto"/>
              <w:rPr>
                <w:snapToGrid w:val="0"/>
              </w:rPr>
            </w:pPr>
            <w:r>
              <w:rPr>
                <w:snapToGrid w:val="0"/>
              </w:rPr>
              <w:t>Support your response with one example where this is available;</w:t>
            </w:r>
          </w:p>
          <w:p w:rsidR="008104D3" w:rsidRPr="009E5141" w:rsidRDefault="00B26CC8" w:rsidP="00B26CC8">
            <w:pPr>
              <w:numPr>
                <w:ilvl w:val="0"/>
                <w:numId w:val="37"/>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9619"/>
      </w:tblGrid>
      <w:tr w:rsidR="008104D3" w:rsidRPr="009E5141" w:rsidTr="00073E39">
        <w:trPr>
          <w:trHeight w:val="840"/>
        </w:trPr>
        <w:tc>
          <w:tcPr>
            <w:tcW w:w="256" w:type="pct"/>
          </w:tcPr>
          <w:p w:rsidR="008104D3" w:rsidRPr="009E5141" w:rsidRDefault="008104D3" w:rsidP="00073E39">
            <w:pPr>
              <w:rPr>
                <w:snapToGrid w:val="0"/>
              </w:rPr>
            </w:pPr>
            <w:r w:rsidRPr="009E5141">
              <w:rPr>
                <w:snapToGrid w:val="0"/>
              </w:rPr>
              <w:t>5</w:t>
            </w:r>
            <w:r w:rsidR="00073E39">
              <w:rPr>
                <w:snapToGrid w:val="0"/>
              </w:rPr>
              <w:t>)</w:t>
            </w:r>
          </w:p>
        </w:tc>
        <w:tc>
          <w:tcPr>
            <w:tcW w:w="4744" w:type="pct"/>
          </w:tcPr>
          <w:p w:rsidR="00B26CC8" w:rsidRPr="00AF4CBF" w:rsidRDefault="00B26CC8" w:rsidP="00B26CC8">
            <w:pPr>
              <w:spacing w:before="120"/>
              <w:rPr>
                <w:snapToGrid w:val="0"/>
              </w:rPr>
            </w:pPr>
            <w:r w:rsidRPr="00AF4CBF">
              <w:rPr>
                <w:snapToGrid w:val="0"/>
              </w:rPr>
              <w:t>Provide a short explanation of your process for Inspection and Testing of Machinery and Equipment providing certificates and completed checklists to support your response.</w:t>
            </w:r>
          </w:p>
          <w:p w:rsidR="008104D3" w:rsidRPr="009E5141" w:rsidRDefault="00B26CC8" w:rsidP="00B26CC8">
            <w:pPr>
              <w:rPr>
                <w:snapToGrid w:val="0"/>
              </w:rPr>
            </w:pPr>
            <w:r w:rsidRPr="00AF4CBF">
              <w:rPr>
                <w:snapToGrid w:val="0"/>
              </w:rPr>
              <w:t>Your answer should show an understanding of the Provision and Use of Work Equipment Regulations 1998 (PUWER) and Lifting Operations and Lifting Equipment Regulations 1998 (LOLER), where relevant.</w:t>
            </w:r>
          </w:p>
        </w:tc>
      </w:tr>
      <w:tr w:rsidR="008104D3" w:rsidRPr="009E5141" w:rsidTr="00073E39">
        <w:trPr>
          <w:trHeight w:val="306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7C59D0" w:rsidRDefault="008104D3" w:rsidP="008104D3">
      <w:pPr>
        <w:keepNext/>
        <w:tabs>
          <w:tab w:val="left" w:pos="1134"/>
        </w:tabs>
        <w:spacing w:before="240" w:after="60"/>
        <w:ind w:right="567"/>
        <w:outlineLvl w:val="1"/>
        <w:rPr>
          <w:rFonts w:cs="Arial"/>
          <w:snapToGrid w:val="0"/>
          <w:color w:val="003300"/>
          <w:sz w:val="28"/>
          <w:szCs w:val="28"/>
          <w:lang w:val="en-US"/>
        </w:rPr>
      </w:pPr>
      <w:r w:rsidRPr="007C59D0">
        <w:rPr>
          <w:rFonts w:cs="Arial"/>
          <w:snapToGrid w:val="0"/>
          <w:color w:val="003300"/>
          <w:sz w:val="28"/>
          <w:szCs w:val="28"/>
          <w:lang w:val="en-US"/>
        </w:rPr>
        <w:t xml:space="preserve">Evaluation Matrix for </w:t>
      </w:r>
      <w:r w:rsidR="00073E39" w:rsidRPr="007C59D0">
        <w:rPr>
          <w:rFonts w:cs="Arial"/>
          <w:snapToGrid w:val="0"/>
          <w:color w:val="003300"/>
          <w:sz w:val="28"/>
          <w:szCs w:val="28"/>
          <w:lang w:val="en-US"/>
        </w:rPr>
        <w:t>Section 4.7.5</w:t>
      </w:r>
    </w:p>
    <w:p w:rsidR="008104D3" w:rsidRPr="009E5141" w:rsidRDefault="008104D3" w:rsidP="008104D3">
      <w:r w:rsidRPr="009E5141">
        <w:t xml:space="preserve">Responses to the questions </w:t>
      </w:r>
      <w:r w:rsidR="007C59D0">
        <w:t>in this section</w:t>
      </w:r>
      <w:r w:rsidRPr="009E5141">
        <w:t xml:space="preserve"> will be scored on the basis of the marking criteria detailed in the table below.  Any bidder that receives a ‘Fail’ against any of the health and safety questions will not be considered further in relation to this </w:t>
      </w:r>
      <w:r w:rsidR="00391B8E">
        <w:t>ITT</w:t>
      </w:r>
      <w:r w:rsidRPr="009E5141">
        <w:t>.</w:t>
      </w:r>
    </w:p>
    <w:p w:rsidR="008104D3" w:rsidRDefault="008104D3" w:rsidP="008104D3">
      <w:pPr>
        <w:spacing w:after="120"/>
        <w:rPr>
          <w:b/>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764"/>
        <w:gridCol w:w="274"/>
        <w:gridCol w:w="984"/>
        <w:gridCol w:w="235"/>
        <w:gridCol w:w="5561"/>
      </w:tblGrid>
      <w:tr w:rsidR="00B26CC8" w:rsidTr="008B78E7">
        <w:tc>
          <w:tcPr>
            <w:tcW w:w="1320" w:type="dxa"/>
            <w:shd w:val="clear" w:color="auto" w:fill="auto"/>
          </w:tcPr>
          <w:p w:rsidR="00B26CC8" w:rsidRPr="00E50F9A" w:rsidRDefault="00B26CC8" w:rsidP="00F61F52">
            <w:pPr>
              <w:spacing w:before="120" w:line="240" w:lineRule="atLeast"/>
              <w:rPr>
                <w:b/>
              </w:rPr>
            </w:pPr>
            <w:r w:rsidRPr="00E50F9A">
              <w:rPr>
                <w:b/>
              </w:rPr>
              <w:t>Question</w:t>
            </w:r>
          </w:p>
        </w:tc>
        <w:tc>
          <w:tcPr>
            <w:tcW w:w="1764" w:type="dxa"/>
            <w:shd w:val="clear" w:color="auto" w:fill="auto"/>
          </w:tcPr>
          <w:p w:rsidR="00B26CC8" w:rsidRPr="00E50F9A" w:rsidRDefault="00B26CC8" w:rsidP="00F61F52">
            <w:pPr>
              <w:spacing w:before="120" w:line="240" w:lineRule="atLeast"/>
              <w:rPr>
                <w:b/>
              </w:rPr>
            </w:pPr>
            <w:r w:rsidRPr="00E50F9A">
              <w:rPr>
                <w:b/>
              </w:rPr>
              <w:t>Description</w:t>
            </w:r>
          </w:p>
        </w:tc>
        <w:tc>
          <w:tcPr>
            <w:tcW w:w="1258" w:type="dxa"/>
            <w:gridSpan w:val="2"/>
            <w:shd w:val="clear" w:color="auto" w:fill="auto"/>
          </w:tcPr>
          <w:p w:rsidR="00B26CC8" w:rsidRPr="00E50F9A" w:rsidRDefault="00B26CC8" w:rsidP="00F61F52">
            <w:pPr>
              <w:spacing w:before="120" w:line="240" w:lineRule="atLeast"/>
              <w:rPr>
                <w:b/>
              </w:rPr>
            </w:pPr>
            <w:r w:rsidRPr="00E50F9A">
              <w:rPr>
                <w:b/>
              </w:rPr>
              <w:t>Marking Method</w:t>
            </w:r>
          </w:p>
        </w:tc>
        <w:tc>
          <w:tcPr>
            <w:tcW w:w="5796" w:type="dxa"/>
            <w:gridSpan w:val="2"/>
            <w:shd w:val="clear" w:color="auto" w:fill="auto"/>
          </w:tcPr>
          <w:p w:rsidR="00B26CC8" w:rsidRPr="00E50F9A" w:rsidRDefault="00B26CC8" w:rsidP="00F61F52">
            <w:pPr>
              <w:spacing w:before="120" w:line="240" w:lineRule="atLeast"/>
              <w:rPr>
                <w:b/>
              </w:rPr>
            </w:pPr>
            <w:r w:rsidRPr="00E50F9A">
              <w:rPr>
                <w:b/>
              </w:rPr>
              <w:t>Marking Criteria</w:t>
            </w:r>
          </w:p>
        </w:tc>
      </w:tr>
      <w:tr w:rsidR="000A4B10" w:rsidTr="008B78E7">
        <w:tc>
          <w:tcPr>
            <w:tcW w:w="1320" w:type="dxa"/>
            <w:shd w:val="clear" w:color="auto" w:fill="auto"/>
          </w:tcPr>
          <w:p w:rsidR="000A4B10" w:rsidRDefault="000A4B10" w:rsidP="006753EA">
            <w:pPr>
              <w:spacing w:before="120" w:line="240" w:lineRule="atLeast"/>
            </w:pPr>
            <w:r>
              <w:t>1)</w:t>
            </w:r>
          </w:p>
        </w:tc>
        <w:tc>
          <w:tcPr>
            <w:tcW w:w="1764" w:type="dxa"/>
            <w:shd w:val="clear" w:color="auto" w:fill="auto"/>
          </w:tcPr>
          <w:p w:rsidR="000A4B10" w:rsidRDefault="000A4B10" w:rsidP="006753EA">
            <w:pPr>
              <w:spacing w:before="120" w:line="240" w:lineRule="atLeast"/>
            </w:pPr>
            <w:r>
              <w:t>Health &amp; Safety Policy</w:t>
            </w:r>
          </w:p>
        </w:tc>
        <w:tc>
          <w:tcPr>
            <w:tcW w:w="1258" w:type="dxa"/>
            <w:gridSpan w:val="2"/>
            <w:shd w:val="clear" w:color="auto" w:fill="auto"/>
          </w:tcPr>
          <w:p w:rsidR="000A4B10" w:rsidRDefault="000A4B10" w:rsidP="006753EA">
            <w:pPr>
              <w:spacing w:before="120" w:line="240" w:lineRule="atLeast"/>
            </w:pPr>
            <w:r>
              <w:t>Pass or Fail</w:t>
            </w:r>
          </w:p>
        </w:tc>
        <w:tc>
          <w:tcPr>
            <w:tcW w:w="5796" w:type="dxa"/>
            <w:gridSpan w:val="2"/>
            <w:shd w:val="clear" w:color="auto" w:fill="auto"/>
          </w:tcPr>
          <w:p w:rsidR="000A4B10" w:rsidRDefault="000A4B10" w:rsidP="006753EA">
            <w:pPr>
              <w:spacing w:before="120" w:line="240" w:lineRule="atLeast"/>
            </w:pPr>
            <w:r w:rsidRPr="00E50F9A">
              <w:rPr>
                <w:b/>
              </w:rPr>
              <w:t>Pass</w:t>
            </w:r>
            <w:r>
              <w:t xml:space="preserve"> – Organisation has a health and safety policy which has been reviewed in the last two years.</w:t>
            </w:r>
          </w:p>
          <w:p w:rsidR="000A4B10" w:rsidRPr="00F04361" w:rsidRDefault="000A4B10" w:rsidP="006753EA">
            <w:pPr>
              <w:spacing w:before="120" w:line="240" w:lineRule="atLeast"/>
              <w:rPr>
                <w:b/>
              </w:rPr>
            </w:pPr>
            <w:r w:rsidRPr="00F04361">
              <w:rPr>
                <w:b/>
              </w:rPr>
              <w:t xml:space="preserve">Fail – Organisation does not have a health and safety policy </w:t>
            </w:r>
            <w:r w:rsidRPr="00F04361">
              <w:rPr>
                <w:b/>
                <w:u w:val="single"/>
              </w:rPr>
              <w:t>OR</w:t>
            </w:r>
            <w:r w:rsidRPr="00F04361">
              <w:rPr>
                <w:b/>
              </w:rPr>
              <w:t xml:space="preserve"> Organisation does have </w:t>
            </w:r>
            <w:r w:rsidRPr="00F04361">
              <w:rPr>
                <w:b/>
              </w:rPr>
              <w:lastRenderedPageBreak/>
              <w:t>a health and safety policy but bidder has provided no evidence of policy being reviewed in last two years.</w:t>
            </w:r>
          </w:p>
        </w:tc>
      </w:tr>
      <w:tr w:rsidR="00B26CC8" w:rsidTr="008B78E7">
        <w:tc>
          <w:tcPr>
            <w:tcW w:w="1320" w:type="dxa"/>
            <w:shd w:val="clear" w:color="auto" w:fill="auto"/>
          </w:tcPr>
          <w:p w:rsidR="00B26CC8" w:rsidRDefault="00B26CC8" w:rsidP="00F61F52">
            <w:pPr>
              <w:spacing w:before="120" w:line="240" w:lineRule="atLeast"/>
            </w:pPr>
            <w:r>
              <w:lastRenderedPageBreak/>
              <w:t>2a) &amp; b)</w:t>
            </w:r>
          </w:p>
        </w:tc>
        <w:tc>
          <w:tcPr>
            <w:tcW w:w="1764" w:type="dxa"/>
            <w:shd w:val="clear" w:color="auto" w:fill="auto"/>
          </w:tcPr>
          <w:p w:rsidR="00B26CC8" w:rsidRDefault="00B26CC8" w:rsidP="00F61F52">
            <w:pPr>
              <w:spacing w:before="120" w:line="240" w:lineRule="atLeast"/>
            </w:pPr>
            <w:r>
              <w:t>Certifications / Qualifications</w:t>
            </w:r>
          </w:p>
        </w:tc>
        <w:tc>
          <w:tcPr>
            <w:tcW w:w="1258" w:type="dxa"/>
            <w:gridSpan w:val="2"/>
            <w:shd w:val="clear" w:color="auto" w:fill="auto"/>
          </w:tcPr>
          <w:p w:rsidR="00B26CC8" w:rsidRDefault="00B26CC8" w:rsidP="00F61F52">
            <w:pPr>
              <w:spacing w:before="120" w:line="240" w:lineRule="atLeast"/>
            </w:pPr>
            <w:r>
              <w:t>Pass or Fail</w:t>
            </w:r>
          </w:p>
        </w:tc>
        <w:tc>
          <w:tcPr>
            <w:tcW w:w="5796" w:type="dxa"/>
            <w:gridSpan w:val="2"/>
            <w:shd w:val="clear" w:color="auto" w:fill="auto"/>
          </w:tcPr>
          <w:p w:rsidR="00B26CC8" w:rsidRDefault="00B26CC8" w:rsidP="00F61F52">
            <w:pPr>
              <w:spacing w:before="120" w:line="240" w:lineRule="atLeast"/>
            </w:pPr>
            <w:r w:rsidRPr="00E50F9A">
              <w:rPr>
                <w:b/>
              </w:rPr>
              <w:t>Pass</w:t>
            </w:r>
            <w:r>
              <w:t xml:space="preserve"> – Bidder has stated they have all the certifications/qualifications required to undertake the work in response to part a of the question; </w:t>
            </w:r>
            <w:r w:rsidRPr="00F04361">
              <w:rPr>
                <w:b/>
                <w:u w:val="single"/>
              </w:rPr>
              <w:t>OR</w:t>
            </w:r>
            <w:r>
              <w:t xml:space="preserve"> Bidder has not confirmed that all certifications/qualifications are currently held in response to part a), but has provided a response to part b of the question which gives assurance that the necessary certifications/qualifications will be secured in advance of contract commencement.</w:t>
            </w:r>
          </w:p>
          <w:p w:rsidR="00B26CC8" w:rsidRPr="00F04361" w:rsidRDefault="00B26CC8" w:rsidP="00F61F52">
            <w:pPr>
              <w:spacing w:before="120" w:line="240" w:lineRule="atLeast"/>
              <w:rPr>
                <w:b/>
              </w:rPr>
            </w:pPr>
            <w:r w:rsidRPr="00F04361">
              <w:rPr>
                <w:b/>
              </w:rPr>
              <w:t>Fail – Bidder has not provided the necessary assurance that all certifications/qualifications will be secured in advance of contract commencement in response to either part a) and/or part b) of the question.</w:t>
            </w:r>
          </w:p>
        </w:tc>
      </w:tr>
      <w:tr w:rsidR="00B26CC8" w:rsidTr="008B78E7">
        <w:tc>
          <w:tcPr>
            <w:tcW w:w="1320" w:type="dxa"/>
            <w:shd w:val="clear" w:color="auto" w:fill="auto"/>
          </w:tcPr>
          <w:p w:rsidR="00B26CC8" w:rsidRDefault="00B26CC8" w:rsidP="00F61F52">
            <w:pPr>
              <w:spacing w:before="120" w:line="240" w:lineRule="atLeast"/>
            </w:pPr>
            <w:r>
              <w:t>3</w:t>
            </w:r>
          </w:p>
        </w:tc>
        <w:tc>
          <w:tcPr>
            <w:tcW w:w="1764" w:type="dxa"/>
            <w:shd w:val="clear" w:color="auto" w:fill="auto"/>
          </w:tcPr>
          <w:p w:rsidR="00B26CC8" w:rsidRDefault="00B26CC8" w:rsidP="00F61F52">
            <w:pPr>
              <w:spacing w:before="120" w:line="240" w:lineRule="atLeast"/>
            </w:pPr>
            <w:r>
              <w:t>Sub-contractor Selection Process</w:t>
            </w:r>
          </w:p>
        </w:tc>
        <w:tc>
          <w:tcPr>
            <w:tcW w:w="1258" w:type="dxa"/>
            <w:gridSpan w:val="2"/>
            <w:shd w:val="clear" w:color="auto" w:fill="auto"/>
          </w:tcPr>
          <w:p w:rsidR="00B26CC8" w:rsidRDefault="00B26CC8" w:rsidP="00F61F52">
            <w:pPr>
              <w:spacing w:before="120" w:line="240" w:lineRule="atLeast"/>
            </w:pPr>
            <w:r>
              <w:t>Pass or Fail</w:t>
            </w:r>
          </w:p>
        </w:tc>
        <w:tc>
          <w:tcPr>
            <w:tcW w:w="5796" w:type="dxa"/>
            <w:gridSpan w:val="2"/>
            <w:shd w:val="clear" w:color="auto" w:fill="auto"/>
          </w:tcPr>
          <w:p w:rsidR="00B26CC8" w:rsidRDefault="00B26CC8" w:rsidP="00F61F52">
            <w:pPr>
              <w:spacing w:before="120" w:line="240" w:lineRule="atLeast"/>
            </w:pPr>
            <w:r w:rsidRPr="00E50F9A">
              <w:rPr>
                <w:b/>
              </w:rPr>
              <w:t>Pass</w:t>
            </w:r>
            <w:r>
              <w:t xml:space="preserve"> – Bidder has described their process for sub-contractor selection.  The process explains all the aspects requested in the question and provides assurance that sub-contractors will be assessed thoroughly in this respect to meet the minimum health and safety requirements of the contract.</w:t>
            </w:r>
          </w:p>
          <w:p w:rsidR="00B26CC8" w:rsidRPr="00F04361" w:rsidRDefault="00B26CC8" w:rsidP="00F61F52">
            <w:pPr>
              <w:spacing w:before="120" w:line="240" w:lineRule="atLeast"/>
              <w:rPr>
                <w:b/>
              </w:rPr>
            </w:pPr>
            <w:r w:rsidRPr="00F04361">
              <w:rPr>
                <w:b/>
              </w:rPr>
              <w:t>Fail – 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B26CC8" w:rsidTr="008B78E7">
        <w:tc>
          <w:tcPr>
            <w:tcW w:w="10138" w:type="dxa"/>
            <w:gridSpan w:val="6"/>
            <w:shd w:val="clear" w:color="auto" w:fill="auto"/>
          </w:tcPr>
          <w:p w:rsidR="00B26CC8" w:rsidRPr="001F538E" w:rsidRDefault="00B26CC8" w:rsidP="00F61F52">
            <w:pPr>
              <w:spacing w:before="120" w:line="240" w:lineRule="atLeast"/>
              <w:rPr>
                <w:b/>
              </w:rPr>
            </w:pPr>
            <w:r w:rsidRPr="001F538E">
              <w:rPr>
                <w:b/>
              </w:rPr>
              <w:t>Responses to the component parts of question 4 will be scored as detailed in the marking criteria column below.  In order to pass this question, bidders will need to achieve a pass mark which is equal to or greater than 11 out of 17.  Any bidder scoring below 11 will fail this section.  Note: bidders can also automatically fail certain sections of question 4 if their responses are inadequate as detailed below; in such cases, failure of one component part would constitute an overall failure of the section and their entire bid.</w:t>
            </w:r>
          </w:p>
        </w:tc>
      </w:tr>
      <w:tr w:rsidR="00B26CC8" w:rsidTr="008B78E7">
        <w:tc>
          <w:tcPr>
            <w:tcW w:w="1320" w:type="dxa"/>
            <w:shd w:val="clear" w:color="auto" w:fill="auto"/>
          </w:tcPr>
          <w:p w:rsidR="00B26CC8" w:rsidRDefault="00B26CC8" w:rsidP="00F61F52">
            <w:pPr>
              <w:spacing w:before="120" w:line="240" w:lineRule="atLeast"/>
            </w:pPr>
            <w:r>
              <w:t>4a)</w:t>
            </w:r>
          </w:p>
        </w:tc>
        <w:tc>
          <w:tcPr>
            <w:tcW w:w="2038" w:type="dxa"/>
            <w:gridSpan w:val="2"/>
            <w:shd w:val="clear" w:color="auto" w:fill="auto"/>
          </w:tcPr>
          <w:p w:rsidR="00B26CC8" w:rsidRDefault="00B26CC8" w:rsidP="00F61F52">
            <w:pPr>
              <w:spacing w:before="120" w:line="240" w:lineRule="atLeast"/>
            </w:pPr>
            <w:r>
              <w:t>Updating of H&amp;S</w:t>
            </w:r>
          </w:p>
        </w:tc>
        <w:tc>
          <w:tcPr>
            <w:tcW w:w="1219" w:type="dxa"/>
            <w:gridSpan w:val="2"/>
            <w:shd w:val="clear" w:color="auto" w:fill="auto"/>
          </w:tcPr>
          <w:p w:rsidR="00B26CC8" w:rsidRDefault="00B26CC8" w:rsidP="00F61F52">
            <w:pPr>
              <w:spacing w:before="120" w:line="240" w:lineRule="atLeast"/>
            </w:pPr>
            <w:r>
              <w:t>Scored Question</w:t>
            </w:r>
          </w:p>
        </w:tc>
        <w:tc>
          <w:tcPr>
            <w:tcW w:w="5561" w:type="dxa"/>
            <w:shd w:val="clear" w:color="auto" w:fill="auto"/>
          </w:tcPr>
          <w:p w:rsidR="00B26CC8" w:rsidRDefault="00B26CC8" w:rsidP="00F61F52">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w:t>
            </w:r>
            <w:r>
              <w:lastRenderedPageBreak/>
              <w:t>of site inductions, training, newsletters, meetings, site visits etc.</w:t>
            </w:r>
          </w:p>
          <w:p w:rsidR="00B26CC8" w:rsidRDefault="00B26CC8" w:rsidP="00F61F52">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B26CC8" w:rsidRPr="00E50F9A" w:rsidRDefault="00B26CC8" w:rsidP="00F61F52">
            <w:pPr>
              <w:spacing w:before="120" w:line="240" w:lineRule="atLeast"/>
              <w:rPr>
                <w:b/>
              </w:rPr>
            </w:pPr>
            <w:r w:rsidRPr="00E50F9A">
              <w:rPr>
                <w:b/>
              </w:rPr>
              <w:t xml:space="preserve">Score of 0 – </w:t>
            </w:r>
            <w:r w:rsidRPr="00DF7383">
              <w:t>No response provided or inadequate response</w:t>
            </w:r>
            <w:r>
              <w:t xml:space="preserve"> provided.</w:t>
            </w:r>
          </w:p>
        </w:tc>
      </w:tr>
      <w:tr w:rsidR="00B26CC8" w:rsidTr="008B78E7">
        <w:tc>
          <w:tcPr>
            <w:tcW w:w="1320" w:type="dxa"/>
            <w:shd w:val="clear" w:color="auto" w:fill="auto"/>
          </w:tcPr>
          <w:p w:rsidR="00B26CC8" w:rsidRDefault="00B26CC8" w:rsidP="00F61F52">
            <w:pPr>
              <w:spacing w:before="120" w:line="240" w:lineRule="atLeast"/>
            </w:pPr>
            <w:r>
              <w:lastRenderedPageBreak/>
              <w:t>4b)</w:t>
            </w:r>
          </w:p>
        </w:tc>
        <w:tc>
          <w:tcPr>
            <w:tcW w:w="2038" w:type="dxa"/>
            <w:gridSpan w:val="2"/>
            <w:shd w:val="clear" w:color="auto" w:fill="auto"/>
          </w:tcPr>
          <w:p w:rsidR="00B26CC8" w:rsidRDefault="00B26CC8" w:rsidP="00F61F52">
            <w:pPr>
              <w:spacing w:before="120" w:line="240" w:lineRule="atLeast"/>
            </w:pPr>
            <w:r>
              <w:t>Risk Assessment Process</w:t>
            </w:r>
            <w:r w:rsidR="008B78E7">
              <w:t xml:space="preserve"> – Part i</w:t>
            </w:r>
          </w:p>
        </w:tc>
        <w:tc>
          <w:tcPr>
            <w:tcW w:w="1219" w:type="dxa"/>
            <w:gridSpan w:val="2"/>
            <w:shd w:val="clear" w:color="auto" w:fill="auto"/>
          </w:tcPr>
          <w:p w:rsidR="00B26CC8" w:rsidRDefault="00B26CC8" w:rsidP="00F61F52">
            <w:pPr>
              <w:spacing w:before="120" w:line="240" w:lineRule="atLeast"/>
            </w:pPr>
            <w:r>
              <w:t>Scored Question</w:t>
            </w:r>
          </w:p>
        </w:tc>
        <w:tc>
          <w:tcPr>
            <w:tcW w:w="5561" w:type="dxa"/>
            <w:shd w:val="clear" w:color="auto" w:fill="auto"/>
          </w:tcPr>
          <w:p w:rsidR="00B26CC8" w:rsidRPr="00932B6A" w:rsidRDefault="00B26CC8" w:rsidP="00F61F52">
            <w:pPr>
              <w:spacing w:before="120" w:line="240" w:lineRule="atLeast"/>
              <w:rPr>
                <w:b/>
                <w:u w:val="single"/>
              </w:rPr>
            </w:pPr>
            <w:r w:rsidRPr="00932B6A">
              <w:rPr>
                <w:b/>
                <w:u w:val="single"/>
              </w:rPr>
              <w:t>Scoring Part i)</w:t>
            </w:r>
          </w:p>
          <w:p w:rsidR="00B26CC8" w:rsidRDefault="00B26CC8" w:rsidP="00F61F52">
            <w:pPr>
              <w:spacing w:before="120" w:line="240" w:lineRule="atLeast"/>
            </w:pPr>
            <w:r w:rsidRPr="00E50F9A">
              <w:rPr>
                <w:b/>
              </w:rPr>
              <w:t>Score of 4</w:t>
            </w:r>
            <w:r>
              <w:t xml:space="preserve"> – Relevant site specific risk assessment from previous contract has been provided in response to Part i).  This shows appropriate hazards and controls, demonstrating competence in application of this process.</w:t>
            </w:r>
          </w:p>
          <w:p w:rsidR="00B26CC8" w:rsidRDefault="00B26CC8" w:rsidP="00F61F52">
            <w:pPr>
              <w:spacing w:before="120" w:line="240" w:lineRule="atLeast"/>
            </w:pPr>
            <w:r w:rsidRPr="00E50F9A">
              <w:rPr>
                <w:b/>
              </w:rPr>
              <w:t>Score of 3</w:t>
            </w:r>
            <w:r>
              <w:t xml:space="preserve"> – Description of risk assessment process has been provided along with generic or hypothetical risk assessment in response to Part i).  This shows an understanding of the process and provides confidence that the bidder would be able to apply the principles in a real situation.</w:t>
            </w:r>
          </w:p>
          <w:p w:rsidR="00B26CC8" w:rsidRDefault="00B26CC8" w:rsidP="00F61F52">
            <w:pPr>
              <w:spacing w:before="120" w:line="240" w:lineRule="atLeast"/>
            </w:pPr>
            <w:r w:rsidRPr="00E50F9A">
              <w:rPr>
                <w:b/>
              </w:rPr>
              <w:t>Score of 2</w:t>
            </w:r>
            <w:r>
              <w:t xml:space="preserve"> – Description of risk assessment process has been provided without any examples in response to Part i) OR generic or hypothetical risk assessment in response to Part i) has been provided, with no further information of the process applied.</w:t>
            </w:r>
          </w:p>
          <w:p w:rsidR="00B26CC8" w:rsidRPr="008B78E7" w:rsidRDefault="00B26CC8" w:rsidP="00F61F52">
            <w:pPr>
              <w:spacing w:before="120" w:line="240" w:lineRule="atLeast"/>
              <w:rPr>
                <w:b/>
              </w:rPr>
            </w:pPr>
            <w:r w:rsidRPr="00E50F9A">
              <w:rPr>
                <w:b/>
              </w:rPr>
              <w:t xml:space="preserve">Fail – Inadequate </w:t>
            </w:r>
            <w:r w:rsidR="008B78E7">
              <w:rPr>
                <w:b/>
              </w:rPr>
              <w:t>process or no response provided</w:t>
            </w:r>
            <w:r>
              <w:t xml:space="preserve"> </w:t>
            </w:r>
          </w:p>
        </w:tc>
      </w:tr>
      <w:tr w:rsidR="008B78E7" w:rsidTr="008B78E7">
        <w:tc>
          <w:tcPr>
            <w:tcW w:w="1320" w:type="dxa"/>
            <w:shd w:val="clear" w:color="auto" w:fill="auto"/>
          </w:tcPr>
          <w:p w:rsidR="008B78E7" w:rsidRDefault="008B78E7" w:rsidP="00B766BA">
            <w:pPr>
              <w:spacing w:before="120" w:line="240" w:lineRule="atLeast"/>
            </w:pPr>
            <w:r>
              <w:t>4c)</w:t>
            </w:r>
          </w:p>
        </w:tc>
        <w:tc>
          <w:tcPr>
            <w:tcW w:w="2038" w:type="dxa"/>
            <w:gridSpan w:val="2"/>
            <w:shd w:val="clear" w:color="auto" w:fill="auto"/>
          </w:tcPr>
          <w:p w:rsidR="008B78E7" w:rsidRDefault="008B78E7" w:rsidP="00B766BA">
            <w:pPr>
              <w:spacing w:before="120" w:line="240" w:lineRule="atLeast"/>
            </w:pPr>
            <w:r>
              <w:t>Risk Assessment Process – Part ii</w:t>
            </w:r>
          </w:p>
        </w:tc>
        <w:tc>
          <w:tcPr>
            <w:tcW w:w="1219" w:type="dxa"/>
            <w:gridSpan w:val="2"/>
            <w:shd w:val="clear" w:color="auto" w:fill="auto"/>
          </w:tcPr>
          <w:p w:rsidR="008B78E7" w:rsidRDefault="008B78E7" w:rsidP="00B766BA">
            <w:pPr>
              <w:spacing w:before="120" w:line="240" w:lineRule="atLeast"/>
            </w:pPr>
            <w:r>
              <w:t>Scored Question</w:t>
            </w:r>
          </w:p>
        </w:tc>
        <w:tc>
          <w:tcPr>
            <w:tcW w:w="5561" w:type="dxa"/>
            <w:shd w:val="clear" w:color="auto" w:fill="auto"/>
          </w:tcPr>
          <w:p w:rsidR="008B78E7" w:rsidRDefault="008B78E7" w:rsidP="00B766BA">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8B78E7" w:rsidRDefault="008B78E7" w:rsidP="00B766BA">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w:t>
            </w:r>
            <w:r>
              <w:lastRenderedPageBreak/>
              <w:t xml:space="preserve">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8B78E7" w:rsidRDefault="008B78E7" w:rsidP="00B766BA">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8B78E7" w:rsidTr="008B78E7">
        <w:tc>
          <w:tcPr>
            <w:tcW w:w="1320" w:type="dxa"/>
            <w:shd w:val="clear" w:color="auto" w:fill="auto"/>
          </w:tcPr>
          <w:p w:rsidR="008B78E7" w:rsidRDefault="008B78E7" w:rsidP="00B766BA">
            <w:pPr>
              <w:spacing w:before="120" w:line="240" w:lineRule="atLeast"/>
            </w:pPr>
            <w:r>
              <w:lastRenderedPageBreak/>
              <w:t>4d)</w:t>
            </w:r>
          </w:p>
        </w:tc>
        <w:tc>
          <w:tcPr>
            <w:tcW w:w="2038" w:type="dxa"/>
            <w:gridSpan w:val="2"/>
            <w:shd w:val="clear" w:color="auto" w:fill="auto"/>
          </w:tcPr>
          <w:p w:rsidR="008B78E7" w:rsidRDefault="008B78E7" w:rsidP="00F61F52">
            <w:pPr>
              <w:spacing w:before="120" w:line="240" w:lineRule="atLeast"/>
            </w:pPr>
            <w:r>
              <w:t>Lone Working Process</w:t>
            </w:r>
          </w:p>
        </w:tc>
        <w:tc>
          <w:tcPr>
            <w:tcW w:w="1219" w:type="dxa"/>
            <w:gridSpan w:val="2"/>
            <w:shd w:val="clear" w:color="auto" w:fill="auto"/>
          </w:tcPr>
          <w:p w:rsidR="008B78E7" w:rsidRDefault="008B78E7" w:rsidP="00F61F52">
            <w:pPr>
              <w:spacing w:before="120" w:line="240" w:lineRule="atLeast"/>
            </w:pPr>
            <w:r>
              <w:t>Scored Question</w:t>
            </w:r>
          </w:p>
        </w:tc>
        <w:tc>
          <w:tcPr>
            <w:tcW w:w="5561" w:type="dxa"/>
            <w:shd w:val="clear" w:color="auto" w:fill="auto"/>
          </w:tcPr>
          <w:p w:rsidR="008B78E7" w:rsidRDefault="008B78E7" w:rsidP="00F61F52">
            <w:pPr>
              <w:spacing w:before="120" w:line="240" w:lineRule="atLeast"/>
            </w:pPr>
            <w:r w:rsidRPr="00E50F9A">
              <w:rPr>
                <w:b/>
              </w:rPr>
              <w:t>Score of 4</w:t>
            </w:r>
            <w:r>
              <w:t xml:space="preserve"> - Supplier does not allow lone working.</w:t>
            </w:r>
          </w:p>
          <w:p w:rsidR="008B78E7" w:rsidRDefault="008B78E7" w:rsidP="00F61F52">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8B78E7" w:rsidRDefault="008B78E7" w:rsidP="00F61F52">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8B78E7" w:rsidRDefault="008B78E7" w:rsidP="00F61F52">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8B78E7" w:rsidTr="008B78E7">
        <w:tc>
          <w:tcPr>
            <w:tcW w:w="1320" w:type="dxa"/>
            <w:shd w:val="clear" w:color="auto" w:fill="auto"/>
          </w:tcPr>
          <w:p w:rsidR="008B78E7" w:rsidRDefault="008B78E7" w:rsidP="00B766BA">
            <w:pPr>
              <w:spacing w:before="120" w:line="240" w:lineRule="atLeast"/>
            </w:pPr>
            <w:r>
              <w:t>4e)</w:t>
            </w:r>
          </w:p>
        </w:tc>
        <w:tc>
          <w:tcPr>
            <w:tcW w:w="2038" w:type="dxa"/>
            <w:gridSpan w:val="2"/>
            <w:shd w:val="clear" w:color="auto" w:fill="auto"/>
          </w:tcPr>
          <w:p w:rsidR="008B78E7" w:rsidRDefault="008B78E7" w:rsidP="00F61F52">
            <w:pPr>
              <w:spacing w:before="120" w:line="240" w:lineRule="atLeast"/>
            </w:pPr>
            <w:r>
              <w:t>Health &amp; Safety Advice</w:t>
            </w:r>
          </w:p>
        </w:tc>
        <w:tc>
          <w:tcPr>
            <w:tcW w:w="1219" w:type="dxa"/>
            <w:gridSpan w:val="2"/>
            <w:shd w:val="clear" w:color="auto" w:fill="auto"/>
          </w:tcPr>
          <w:p w:rsidR="008B78E7" w:rsidRDefault="008B78E7" w:rsidP="00F61F52">
            <w:pPr>
              <w:spacing w:before="120" w:line="240" w:lineRule="atLeast"/>
            </w:pPr>
            <w:r>
              <w:t>Scored Question</w:t>
            </w:r>
          </w:p>
        </w:tc>
        <w:tc>
          <w:tcPr>
            <w:tcW w:w="5561" w:type="dxa"/>
            <w:shd w:val="clear" w:color="auto" w:fill="auto"/>
          </w:tcPr>
          <w:p w:rsidR="008B78E7" w:rsidRPr="001F6004" w:rsidRDefault="008B78E7" w:rsidP="00F61F52">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8B78E7" w:rsidRDefault="008B78E7" w:rsidP="00F61F52">
            <w:pPr>
              <w:spacing w:before="120" w:line="240" w:lineRule="atLeast"/>
            </w:pPr>
            <w:r w:rsidRPr="00E50F9A">
              <w:rPr>
                <w:b/>
              </w:rPr>
              <w:t>Score of 0</w:t>
            </w:r>
            <w:r w:rsidRPr="001F6004">
              <w:t xml:space="preserve"> - Response not provided or inadequate</w:t>
            </w:r>
            <w:r>
              <w:t>.</w:t>
            </w:r>
          </w:p>
        </w:tc>
      </w:tr>
      <w:tr w:rsidR="008B78E7" w:rsidTr="008B78E7">
        <w:tc>
          <w:tcPr>
            <w:tcW w:w="1320" w:type="dxa"/>
            <w:shd w:val="clear" w:color="auto" w:fill="auto"/>
          </w:tcPr>
          <w:p w:rsidR="008B78E7" w:rsidRDefault="008B78E7" w:rsidP="00F61F52">
            <w:pPr>
              <w:spacing w:before="120" w:line="240" w:lineRule="atLeast"/>
            </w:pPr>
            <w:r>
              <w:t>4f)</w:t>
            </w:r>
          </w:p>
        </w:tc>
        <w:tc>
          <w:tcPr>
            <w:tcW w:w="2038" w:type="dxa"/>
            <w:gridSpan w:val="2"/>
            <w:shd w:val="clear" w:color="auto" w:fill="auto"/>
          </w:tcPr>
          <w:p w:rsidR="008B78E7" w:rsidRDefault="008B78E7" w:rsidP="00F61F52">
            <w:pPr>
              <w:spacing w:before="120" w:line="240" w:lineRule="atLeast"/>
            </w:pPr>
            <w:r>
              <w:t>Accidents / Near Misses and RIDDOR</w:t>
            </w:r>
          </w:p>
        </w:tc>
        <w:tc>
          <w:tcPr>
            <w:tcW w:w="1219" w:type="dxa"/>
            <w:gridSpan w:val="2"/>
            <w:shd w:val="clear" w:color="auto" w:fill="auto"/>
          </w:tcPr>
          <w:p w:rsidR="008B78E7" w:rsidRDefault="008B78E7" w:rsidP="00F61F52">
            <w:pPr>
              <w:spacing w:before="120" w:line="240" w:lineRule="atLeast"/>
            </w:pPr>
            <w:r>
              <w:t>Scored Question</w:t>
            </w:r>
          </w:p>
        </w:tc>
        <w:tc>
          <w:tcPr>
            <w:tcW w:w="5561" w:type="dxa"/>
            <w:shd w:val="clear" w:color="auto" w:fill="auto"/>
          </w:tcPr>
          <w:p w:rsidR="008B78E7" w:rsidRPr="00E50F9A" w:rsidRDefault="008B78E7" w:rsidP="00F61F52">
            <w:pPr>
              <w:spacing w:before="120" w:line="240" w:lineRule="atLeast"/>
              <w:rPr>
                <w:b/>
              </w:rPr>
            </w:pPr>
            <w:r w:rsidRPr="00E50F9A">
              <w:rPr>
                <w:b/>
              </w:rPr>
              <w:t>1 point allocated for each of the following (maximum score achievable is 3):</w:t>
            </w:r>
          </w:p>
          <w:p w:rsidR="008B78E7" w:rsidRPr="0050325F" w:rsidRDefault="008B78E7" w:rsidP="00B26CC8">
            <w:pPr>
              <w:numPr>
                <w:ilvl w:val="0"/>
                <w:numId w:val="38"/>
              </w:numPr>
              <w:spacing w:before="120" w:line="240" w:lineRule="atLeast"/>
            </w:pPr>
            <w:r w:rsidRPr="0050325F">
              <w:t xml:space="preserve">Relevant accident reporting process described along with any post-accident actions to prevent recurrence – </w:t>
            </w:r>
            <w:r w:rsidRPr="00E50F9A">
              <w:rPr>
                <w:b/>
              </w:rPr>
              <w:t>Score 1 point</w:t>
            </w:r>
          </w:p>
          <w:p w:rsidR="008B78E7" w:rsidRPr="0050325F" w:rsidRDefault="008B78E7" w:rsidP="00B26CC8">
            <w:pPr>
              <w:numPr>
                <w:ilvl w:val="0"/>
                <w:numId w:val="38"/>
              </w:numPr>
              <w:spacing w:before="120" w:line="240" w:lineRule="atLeast"/>
            </w:pPr>
            <w:r w:rsidRPr="0050325F">
              <w:t xml:space="preserve">Examples provided are relevant and demonstrate process being put into practice – </w:t>
            </w:r>
            <w:r w:rsidRPr="00E50F9A">
              <w:rPr>
                <w:b/>
              </w:rPr>
              <w:t>Score 1 point</w:t>
            </w:r>
          </w:p>
          <w:p w:rsidR="008B78E7" w:rsidRPr="00B63A04" w:rsidRDefault="008B78E7" w:rsidP="00B26CC8">
            <w:pPr>
              <w:numPr>
                <w:ilvl w:val="0"/>
                <w:numId w:val="38"/>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p w:rsidR="00B63A04" w:rsidRPr="0050325F" w:rsidRDefault="00B63A04" w:rsidP="00B63A04">
            <w:pPr>
              <w:spacing w:before="120" w:line="240" w:lineRule="atLeast"/>
              <w:ind w:left="720"/>
            </w:pPr>
          </w:p>
        </w:tc>
      </w:tr>
      <w:tr w:rsidR="008B78E7" w:rsidTr="008B78E7">
        <w:tc>
          <w:tcPr>
            <w:tcW w:w="1320" w:type="dxa"/>
            <w:shd w:val="clear" w:color="auto" w:fill="auto"/>
          </w:tcPr>
          <w:p w:rsidR="008B78E7" w:rsidRPr="00AF4CBF" w:rsidRDefault="008B78E7" w:rsidP="00F61F52">
            <w:pPr>
              <w:spacing w:before="120" w:line="240" w:lineRule="atLeast"/>
            </w:pPr>
            <w:r w:rsidRPr="00AF4CBF">
              <w:lastRenderedPageBreak/>
              <w:t>5</w:t>
            </w:r>
          </w:p>
        </w:tc>
        <w:tc>
          <w:tcPr>
            <w:tcW w:w="2038" w:type="dxa"/>
            <w:gridSpan w:val="2"/>
            <w:shd w:val="clear" w:color="auto" w:fill="auto"/>
          </w:tcPr>
          <w:p w:rsidR="008B78E7" w:rsidRPr="00AF4CBF" w:rsidRDefault="008B78E7" w:rsidP="00F61F52">
            <w:pPr>
              <w:spacing w:before="120" w:line="240" w:lineRule="atLeast"/>
            </w:pPr>
            <w:r w:rsidRPr="00AF4CBF">
              <w:t>Inspection and Testing of Machinery and Equipment</w:t>
            </w:r>
          </w:p>
        </w:tc>
        <w:tc>
          <w:tcPr>
            <w:tcW w:w="1219" w:type="dxa"/>
            <w:gridSpan w:val="2"/>
            <w:shd w:val="clear" w:color="auto" w:fill="auto"/>
          </w:tcPr>
          <w:p w:rsidR="008B78E7" w:rsidRPr="00AF4CBF" w:rsidRDefault="008B78E7" w:rsidP="00F61F52">
            <w:pPr>
              <w:spacing w:before="120" w:line="240" w:lineRule="atLeast"/>
            </w:pPr>
            <w:r w:rsidRPr="00AF4CBF">
              <w:t>Pass or Fail</w:t>
            </w:r>
          </w:p>
        </w:tc>
        <w:tc>
          <w:tcPr>
            <w:tcW w:w="5561" w:type="dxa"/>
            <w:shd w:val="clear" w:color="auto" w:fill="auto"/>
          </w:tcPr>
          <w:p w:rsidR="008B78E7" w:rsidRPr="00AF4CBF" w:rsidRDefault="008B78E7" w:rsidP="00F61F52">
            <w:pPr>
              <w:spacing w:before="120" w:line="240" w:lineRule="atLeast"/>
            </w:pPr>
            <w:r w:rsidRPr="00AF4CBF">
              <w:rPr>
                <w:b/>
              </w:rPr>
              <w:t>Pass</w:t>
            </w:r>
            <w:r w:rsidRPr="00AF4CBF">
              <w:t xml:space="preserve"> - Sufficient explanation of process provided along with evidence of internal and external checks being carried out.  </w:t>
            </w:r>
            <w:r w:rsidRPr="00AF4CBF">
              <w:rPr>
                <w:snapToGrid w:val="0"/>
              </w:rPr>
              <w:t>Response demonstrates an understanding of PUWER and LOLER (where relevant).</w:t>
            </w:r>
          </w:p>
          <w:p w:rsidR="008B78E7" w:rsidRPr="00AF4CBF" w:rsidRDefault="008B78E7" w:rsidP="00F61F52">
            <w:pPr>
              <w:spacing w:before="120" w:line="240" w:lineRule="atLeast"/>
              <w:rPr>
                <w:b/>
              </w:rPr>
            </w:pPr>
            <w:r w:rsidRPr="00AF4CBF">
              <w:rPr>
                <w:b/>
              </w:rPr>
              <w:t>Fail - Lack of evidence or understanding provided and or inadequate checking process demonstrated</w:t>
            </w:r>
          </w:p>
        </w:tc>
      </w:tr>
    </w:tbl>
    <w:p w:rsidR="00B26CC8" w:rsidRDefault="00B26CC8" w:rsidP="008104D3">
      <w:pPr>
        <w:spacing w:after="120"/>
        <w:rPr>
          <w:b/>
          <w:color w:val="FF0000"/>
          <w:u w:val="single"/>
        </w:rPr>
      </w:pPr>
    </w:p>
    <w:p w:rsidR="00955AFA" w:rsidRPr="00672D28" w:rsidRDefault="00E82136" w:rsidP="00955AFA">
      <w:pPr>
        <w:pStyle w:val="Heading1"/>
        <w:numPr>
          <w:ilvl w:val="0"/>
          <w:numId w:val="0"/>
        </w:numPr>
        <w:ind w:left="432" w:hanging="432"/>
        <w:rPr>
          <w:u w:val="single"/>
        </w:rPr>
      </w:pPr>
      <w:r>
        <w:rPr>
          <w:u w:val="single"/>
        </w:rPr>
        <w:br w:type="page"/>
      </w:r>
      <w:r w:rsidR="00955AFA" w:rsidRPr="00672D28">
        <w:rPr>
          <w:u w:val="single"/>
        </w:rPr>
        <w:lastRenderedPageBreak/>
        <w:t>Award Criteria</w:t>
      </w:r>
    </w:p>
    <w:p w:rsidR="00955AFA" w:rsidRDefault="00955AFA" w:rsidP="00955AFA">
      <w:pPr>
        <w:pStyle w:val="Heading2"/>
      </w:pPr>
      <w: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241"/>
      </w:tblGrid>
      <w:tr w:rsidR="00955AFA" w:rsidRPr="005D3614" w:rsidTr="005D3614">
        <w:tc>
          <w:tcPr>
            <w:tcW w:w="675" w:type="dxa"/>
            <w:shd w:val="clear" w:color="auto" w:fill="auto"/>
          </w:tcPr>
          <w:p w:rsidR="00955AFA" w:rsidRPr="005D3614" w:rsidRDefault="00955AFA" w:rsidP="00073E39">
            <w:pPr>
              <w:pStyle w:val="FCGBBodyText"/>
              <w:rPr>
                <w:b/>
                <w:color w:val="0D0D0D"/>
              </w:rPr>
            </w:pPr>
            <w:r w:rsidRPr="005D3614">
              <w:rPr>
                <w:b/>
                <w:color w:val="0D0D0D"/>
              </w:rPr>
              <w:t>No.</w:t>
            </w:r>
          </w:p>
        </w:tc>
        <w:tc>
          <w:tcPr>
            <w:tcW w:w="8222"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1241"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5D3614">
        <w:tc>
          <w:tcPr>
            <w:tcW w:w="675" w:type="dxa"/>
            <w:shd w:val="clear" w:color="auto" w:fill="auto"/>
          </w:tcPr>
          <w:p w:rsidR="00955AFA" w:rsidRPr="00131E57" w:rsidRDefault="00131E57" w:rsidP="00073E39">
            <w:pPr>
              <w:pStyle w:val="FCGBBodyText"/>
            </w:pPr>
            <w:r w:rsidRPr="00131E57">
              <w:t>1</w:t>
            </w:r>
          </w:p>
        </w:tc>
        <w:tc>
          <w:tcPr>
            <w:tcW w:w="8222" w:type="dxa"/>
            <w:shd w:val="clear" w:color="auto" w:fill="auto"/>
          </w:tcPr>
          <w:p w:rsidR="00955AFA" w:rsidRPr="00131E57" w:rsidRDefault="00131E57" w:rsidP="00565FFE">
            <w:pPr>
              <w:pStyle w:val="FCGBBodyText"/>
            </w:pPr>
            <w:r w:rsidRPr="00131E57">
              <w:t>Describe how you will meet the specification</w:t>
            </w:r>
            <w:r>
              <w:t xml:space="preserve"> for the public in the arena</w:t>
            </w:r>
            <w:r w:rsidRPr="00131E57">
              <w:t xml:space="preserve">. What type of units </w:t>
            </w:r>
            <w:r w:rsidR="00565FFE">
              <w:t xml:space="preserve">you propose to </w:t>
            </w:r>
            <w:r w:rsidRPr="00131E57">
              <w:t>use</w:t>
            </w:r>
            <w:r w:rsidR="003B5D8F">
              <w:t xml:space="preserve"> and in what combination?</w:t>
            </w:r>
            <w:r w:rsidRPr="00131E57">
              <w:t xml:space="preserve"> How will you ensure the units are kept clean and well serviced?</w:t>
            </w:r>
          </w:p>
        </w:tc>
        <w:tc>
          <w:tcPr>
            <w:tcW w:w="1241" w:type="dxa"/>
            <w:shd w:val="clear" w:color="auto" w:fill="auto"/>
          </w:tcPr>
          <w:p w:rsidR="00955AFA" w:rsidRPr="00B652D0" w:rsidRDefault="00B652D0" w:rsidP="00073E39">
            <w:pPr>
              <w:pStyle w:val="FCGBBodyText"/>
              <w:rPr>
                <w:b/>
                <w:color w:val="0D0D0D"/>
              </w:rPr>
            </w:pPr>
            <w:r w:rsidRPr="00B652D0">
              <w:rPr>
                <w:b/>
                <w:color w:val="0D0D0D"/>
              </w:rPr>
              <w:t>20%</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B63A04" w:rsidRPr="005D3614" w:rsidRDefault="00B63A04" w:rsidP="00073E39">
            <w:pPr>
              <w:pStyle w:val="FCGBBodyText"/>
              <w:rPr>
                <w:color w:val="0D0D0D"/>
              </w:rPr>
            </w:pPr>
          </w:p>
        </w:tc>
      </w:tr>
      <w:tr w:rsidR="00955AFA" w:rsidRPr="005D3614" w:rsidTr="005D3614">
        <w:tc>
          <w:tcPr>
            <w:tcW w:w="675" w:type="dxa"/>
            <w:shd w:val="clear" w:color="auto" w:fill="auto"/>
          </w:tcPr>
          <w:p w:rsidR="00955AFA" w:rsidRPr="005D3614" w:rsidRDefault="00955AFA" w:rsidP="00073E39">
            <w:pPr>
              <w:pStyle w:val="FCGBBodyText"/>
              <w:rPr>
                <w:b/>
                <w:color w:val="0D0D0D"/>
              </w:rPr>
            </w:pPr>
            <w:r w:rsidRPr="005D3614">
              <w:rPr>
                <w:b/>
                <w:color w:val="0D0D0D"/>
              </w:rPr>
              <w:t>No.</w:t>
            </w:r>
          </w:p>
        </w:tc>
        <w:tc>
          <w:tcPr>
            <w:tcW w:w="8222"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1241" w:type="dxa"/>
            <w:shd w:val="clear" w:color="auto" w:fill="auto"/>
          </w:tcPr>
          <w:p w:rsidR="00955AFA" w:rsidRPr="005D3614" w:rsidRDefault="00955AFA" w:rsidP="00073E39">
            <w:pPr>
              <w:pStyle w:val="FCGBBodyText"/>
              <w:rPr>
                <w:b/>
                <w:color w:val="0D0D0D"/>
              </w:rPr>
            </w:pPr>
            <w:r w:rsidRPr="005D3614">
              <w:rPr>
                <w:b/>
                <w:color w:val="0D0D0D"/>
              </w:rPr>
              <w:t>Weight %</w:t>
            </w:r>
          </w:p>
        </w:tc>
      </w:tr>
      <w:tr w:rsidR="00131E57" w:rsidRPr="005D3614" w:rsidTr="005D3614">
        <w:tc>
          <w:tcPr>
            <w:tcW w:w="675" w:type="dxa"/>
            <w:shd w:val="clear" w:color="auto" w:fill="auto"/>
          </w:tcPr>
          <w:p w:rsidR="00131E57" w:rsidRPr="00131E57" w:rsidRDefault="00131E57" w:rsidP="00073E39">
            <w:pPr>
              <w:pStyle w:val="FCGBBodyText"/>
              <w:rPr>
                <w:color w:val="0D0D0D"/>
              </w:rPr>
            </w:pPr>
            <w:r w:rsidRPr="00131E57">
              <w:rPr>
                <w:color w:val="0D0D0D"/>
              </w:rPr>
              <w:t>2</w:t>
            </w:r>
          </w:p>
        </w:tc>
        <w:tc>
          <w:tcPr>
            <w:tcW w:w="8222" w:type="dxa"/>
            <w:shd w:val="clear" w:color="auto" w:fill="auto"/>
          </w:tcPr>
          <w:p w:rsidR="00131E57" w:rsidRPr="00131E57" w:rsidRDefault="00131E57" w:rsidP="00131E57">
            <w:pPr>
              <w:pStyle w:val="FCGBBodyText"/>
              <w:rPr>
                <w:color w:val="0D0D0D"/>
              </w:rPr>
            </w:pPr>
            <w:r w:rsidRPr="00131E57">
              <w:rPr>
                <w:color w:val="0D0D0D"/>
              </w:rPr>
              <w:t xml:space="preserve">Describe </w:t>
            </w:r>
            <w:r>
              <w:rPr>
                <w:color w:val="0D0D0D"/>
              </w:rPr>
              <w:t>how your</w:t>
            </w:r>
            <w:r w:rsidRPr="00131E57">
              <w:rPr>
                <w:color w:val="0D0D0D"/>
              </w:rPr>
              <w:t xml:space="preserve"> VIP toilet and shower facilities</w:t>
            </w:r>
            <w:r>
              <w:rPr>
                <w:color w:val="0D0D0D"/>
              </w:rPr>
              <w:t xml:space="preserve"> meet the specification</w:t>
            </w:r>
            <w:r w:rsidRPr="00131E57">
              <w:rPr>
                <w:color w:val="0D0D0D"/>
              </w:rPr>
              <w:t>. Include a photograph of each</w:t>
            </w:r>
            <w:r w:rsidR="00CB2652">
              <w:rPr>
                <w:color w:val="0D0D0D"/>
              </w:rPr>
              <w:t xml:space="preserve"> (or plans/ drawings if units are still to be constructed)</w:t>
            </w:r>
            <w:r w:rsidRPr="00131E57">
              <w:rPr>
                <w:color w:val="0D0D0D"/>
              </w:rPr>
              <w:t xml:space="preserve">. </w:t>
            </w:r>
          </w:p>
        </w:tc>
        <w:tc>
          <w:tcPr>
            <w:tcW w:w="1241" w:type="dxa"/>
            <w:shd w:val="clear" w:color="auto" w:fill="auto"/>
          </w:tcPr>
          <w:p w:rsidR="00131E57" w:rsidRPr="005D3614" w:rsidRDefault="00B652D0" w:rsidP="00073E39">
            <w:pPr>
              <w:pStyle w:val="FCGBBodyText"/>
              <w:rPr>
                <w:b/>
                <w:color w:val="0D0D0D"/>
              </w:rPr>
            </w:pPr>
            <w:r>
              <w:rPr>
                <w:b/>
                <w:color w:val="0D0D0D"/>
              </w:rPr>
              <w:t>20%</w:t>
            </w:r>
          </w:p>
        </w:tc>
      </w:tr>
      <w:tr w:rsidR="00131E57" w:rsidRPr="005D3614" w:rsidTr="00F61F52">
        <w:tc>
          <w:tcPr>
            <w:tcW w:w="10138" w:type="dxa"/>
            <w:gridSpan w:val="3"/>
            <w:shd w:val="clear" w:color="auto" w:fill="auto"/>
          </w:tcPr>
          <w:p w:rsidR="00131E57" w:rsidRPr="005D3614" w:rsidRDefault="00131E57" w:rsidP="00131E57">
            <w:pPr>
              <w:pStyle w:val="FCGBBodyText"/>
              <w:rPr>
                <w:color w:val="0D0D0D"/>
              </w:rPr>
            </w:pPr>
            <w:r w:rsidRPr="005D3614">
              <w:rPr>
                <w:color w:val="0D0D0D"/>
              </w:rPr>
              <w:t>Response:</w:t>
            </w:r>
          </w:p>
          <w:p w:rsidR="00131E57" w:rsidRPr="005D3614" w:rsidRDefault="00131E57" w:rsidP="00131E57">
            <w:pPr>
              <w:pStyle w:val="FCGBBodyText"/>
              <w:rPr>
                <w:color w:val="0D0D0D"/>
              </w:rPr>
            </w:pPr>
          </w:p>
          <w:p w:rsidR="00131E57" w:rsidRDefault="00131E57" w:rsidP="00131E57">
            <w:pPr>
              <w:pStyle w:val="FCGBBodyText"/>
              <w:rPr>
                <w:color w:val="0D0D0D"/>
              </w:rPr>
            </w:pPr>
          </w:p>
          <w:p w:rsidR="00B63A04" w:rsidRPr="005D3614" w:rsidRDefault="00B63A04" w:rsidP="00131E57">
            <w:pPr>
              <w:pStyle w:val="FCGBBodyText"/>
              <w:rPr>
                <w:color w:val="0D0D0D"/>
              </w:rPr>
            </w:pPr>
          </w:p>
        </w:tc>
      </w:tr>
      <w:tr w:rsidR="00B652D0" w:rsidRPr="005D3614" w:rsidTr="00B652D0">
        <w:tc>
          <w:tcPr>
            <w:tcW w:w="675" w:type="dxa"/>
            <w:shd w:val="clear" w:color="auto" w:fill="auto"/>
          </w:tcPr>
          <w:p w:rsidR="00B652D0" w:rsidRPr="005D3614" w:rsidRDefault="00B652D0" w:rsidP="00D3042D">
            <w:pPr>
              <w:pStyle w:val="FCGBBodyText"/>
              <w:rPr>
                <w:b/>
                <w:color w:val="0D0D0D"/>
              </w:rPr>
            </w:pPr>
            <w:r w:rsidRPr="005D3614">
              <w:rPr>
                <w:b/>
                <w:color w:val="0D0D0D"/>
              </w:rPr>
              <w:t>No.</w:t>
            </w:r>
          </w:p>
        </w:tc>
        <w:tc>
          <w:tcPr>
            <w:tcW w:w="8222" w:type="dxa"/>
            <w:shd w:val="clear" w:color="auto" w:fill="auto"/>
          </w:tcPr>
          <w:p w:rsidR="00B652D0" w:rsidRPr="005D3614" w:rsidRDefault="00B652D0" w:rsidP="00D3042D">
            <w:pPr>
              <w:pStyle w:val="FCGBBodyText"/>
              <w:rPr>
                <w:b/>
                <w:color w:val="0D0D0D"/>
              </w:rPr>
            </w:pPr>
            <w:r w:rsidRPr="005D3614">
              <w:rPr>
                <w:b/>
                <w:color w:val="0D0D0D"/>
              </w:rPr>
              <w:t>Question</w:t>
            </w:r>
          </w:p>
        </w:tc>
        <w:tc>
          <w:tcPr>
            <w:tcW w:w="1241" w:type="dxa"/>
            <w:shd w:val="clear" w:color="auto" w:fill="auto"/>
          </w:tcPr>
          <w:p w:rsidR="00B652D0" w:rsidRPr="005D3614" w:rsidRDefault="00B652D0" w:rsidP="00D3042D">
            <w:pPr>
              <w:pStyle w:val="FCGBBodyText"/>
              <w:rPr>
                <w:b/>
                <w:color w:val="0D0D0D"/>
              </w:rPr>
            </w:pPr>
            <w:r w:rsidRPr="005D3614">
              <w:rPr>
                <w:b/>
                <w:color w:val="0D0D0D"/>
              </w:rPr>
              <w:t>Weight %</w:t>
            </w:r>
          </w:p>
        </w:tc>
      </w:tr>
      <w:tr w:rsidR="00B652D0" w:rsidRPr="005D3614" w:rsidTr="00B652D0">
        <w:tc>
          <w:tcPr>
            <w:tcW w:w="675" w:type="dxa"/>
            <w:shd w:val="clear" w:color="auto" w:fill="auto"/>
          </w:tcPr>
          <w:p w:rsidR="00B652D0" w:rsidRPr="00131E57" w:rsidRDefault="00B652D0" w:rsidP="00D3042D">
            <w:pPr>
              <w:pStyle w:val="FCGBBodyText"/>
              <w:rPr>
                <w:color w:val="0D0D0D"/>
              </w:rPr>
            </w:pPr>
            <w:r>
              <w:rPr>
                <w:color w:val="0D0D0D"/>
              </w:rPr>
              <w:t>3</w:t>
            </w:r>
          </w:p>
        </w:tc>
        <w:tc>
          <w:tcPr>
            <w:tcW w:w="8222" w:type="dxa"/>
            <w:shd w:val="clear" w:color="auto" w:fill="auto"/>
          </w:tcPr>
          <w:p w:rsidR="00B652D0" w:rsidRPr="00131E57" w:rsidRDefault="00B652D0" w:rsidP="00D3042D">
            <w:pPr>
              <w:pStyle w:val="FCGBBodyText"/>
              <w:rPr>
                <w:color w:val="0D0D0D"/>
              </w:rPr>
            </w:pPr>
            <w:r>
              <w:rPr>
                <w:color w:val="0D0D0D"/>
              </w:rPr>
              <w:t>Describe your staff team who would be present on site at the events. How many people? In addition to cleaning and servicing can they undertake minor repairs? How will they stay in contact with the concert management team?</w:t>
            </w:r>
          </w:p>
        </w:tc>
        <w:tc>
          <w:tcPr>
            <w:tcW w:w="1241" w:type="dxa"/>
            <w:shd w:val="clear" w:color="auto" w:fill="auto"/>
          </w:tcPr>
          <w:p w:rsidR="00B652D0" w:rsidRPr="005D3614" w:rsidRDefault="00B652D0" w:rsidP="00D3042D">
            <w:pPr>
              <w:pStyle w:val="FCGBBodyText"/>
              <w:rPr>
                <w:b/>
                <w:color w:val="0D0D0D"/>
              </w:rPr>
            </w:pPr>
            <w:r>
              <w:rPr>
                <w:b/>
                <w:color w:val="0D0D0D"/>
              </w:rPr>
              <w:t>10%</w:t>
            </w:r>
          </w:p>
        </w:tc>
      </w:tr>
      <w:tr w:rsidR="00B652D0" w:rsidRPr="005D3614" w:rsidTr="00F61F52">
        <w:tc>
          <w:tcPr>
            <w:tcW w:w="10138" w:type="dxa"/>
            <w:gridSpan w:val="3"/>
            <w:shd w:val="clear" w:color="auto" w:fill="auto"/>
          </w:tcPr>
          <w:p w:rsidR="00B652D0" w:rsidRPr="005D3614" w:rsidRDefault="00B652D0" w:rsidP="00D3042D">
            <w:pPr>
              <w:pStyle w:val="FCGBBodyText"/>
              <w:rPr>
                <w:color w:val="0D0D0D"/>
              </w:rPr>
            </w:pPr>
            <w:r w:rsidRPr="005D3614">
              <w:rPr>
                <w:color w:val="0D0D0D"/>
              </w:rPr>
              <w:t>Response:</w:t>
            </w:r>
          </w:p>
          <w:p w:rsidR="00B652D0" w:rsidRPr="005D3614" w:rsidRDefault="00B652D0" w:rsidP="00D3042D">
            <w:pPr>
              <w:pStyle w:val="FCGBBodyText"/>
              <w:rPr>
                <w:color w:val="0D0D0D"/>
              </w:rPr>
            </w:pPr>
          </w:p>
          <w:p w:rsidR="00B652D0" w:rsidRPr="005D3614" w:rsidRDefault="00B652D0" w:rsidP="00D3042D">
            <w:pPr>
              <w:pStyle w:val="FCGBBodyText"/>
              <w:rPr>
                <w:color w:val="0D0D0D"/>
              </w:rPr>
            </w:pPr>
          </w:p>
        </w:tc>
      </w:tr>
    </w:tbl>
    <w:p w:rsidR="000D2254" w:rsidRPr="00391B8E" w:rsidRDefault="00672D28" w:rsidP="000D2254">
      <w:pPr>
        <w:pStyle w:val="Heading2"/>
        <w:numPr>
          <w:ilvl w:val="0"/>
          <w:numId w:val="0"/>
        </w:numPr>
        <w:ind w:left="576" w:hanging="576"/>
        <w:rPr>
          <w:sz w:val="28"/>
        </w:rPr>
      </w:pPr>
      <w:r w:rsidRPr="00391B8E">
        <w:rPr>
          <w:sz w:val="28"/>
        </w:rPr>
        <w:t>Evaluation Matrix for Section 4.8</w:t>
      </w:r>
    </w:p>
    <w:p w:rsidR="000D2254" w:rsidRDefault="000D2254" w:rsidP="00672D28">
      <w:pPr>
        <w:pStyle w:val="FCGBBodyText"/>
        <w:rPr>
          <w:b/>
          <w:color w:val="0D0D0D"/>
        </w:rPr>
      </w:pPr>
      <w:r w:rsidRPr="009E5141">
        <w:t xml:space="preserve">Responses to the questions </w:t>
      </w:r>
      <w:r w:rsidR="007C59D0">
        <w:t>in this section</w:t>
      </w:r>
      <w:r w:rsidRPr="009E5141">
        <w:t xml:space="preserve"> will be scored on the basis of the marking criteria detailed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903"/>
      </w:tblGrid>
      <w:tr w:rsidR="00672D28" w:rsidRPr="005D3614" w:rsidTr="005D3614">
        <w:tc>
          <w:tcPr>
            <w:tcW w:w="675" w:type="dxa"/>
            <w:shd w:val="clear" w:color="auto" w:fill="auto"/>
          </w:tcPr>
          <w:p w:rsidR="00672D28" w:rsidRPr="005D3614" w:rsidRDefault="00672D28" w:rsidP="00073E39">
            <w:pPr>
              <w:pStyle w:val="FCGBBodyText"/>
              <w:rPr>
                <w:b/>
                <w:color w:val="0D0D0D"/>
              </w:rPr>
            </w:pPr>
            <w:r w:rsidRPr="005D3614">
              <w:rPr>
                <w:b/>
                <w:color w:val="0D0D0D"/>
              </w:rPr>
              <w:t>No.</w:t>
            </w:r>
          </w:p>
        </w:tc>
        <w:tc>
          <w:tcPr>
            <w:tcW w:w="1560" w:type="dxa"/>
            <w:shd w:val="clear" w:color="auto" w:fill="auto"/>
          </w:tcPr>
          <w:p w:rsidR="00672D28" w:rsidRPr="005D3614" w:rsidRDefault="00672D28" w:rsidP="00073E39">
            <w:pPr>
              <w:pStyle w:val="FCGBBodyText"/>
              <w:rPr>
                <w:b/>
                <w:color w:val="0D0D0D"/>
              </w:rPr>
            </w:pPr>
            <w:r w:rsidRPr="005D3614">
              <w:rPr>
                <w:b/>
                <w:color w:val="0D0D0D"/>
              </w:rPr>
              <w:t>Weighting</w:t>
            </w:r>
          </w:p>
        </w:tc>
        <w:tc>
          <w:tcPr>
            <w:tcW w:w="7903" w:type="dxa"/>
            <w:shd w:val="clear" w:color="auto" w:fill="auto"/>
          </w:tcPr>
          <w:p w:rsidR="00672D28" w:rsidRPr="005D3614" w:rsidRDefault="00672D28" w:rsidP="00073E39">
            <w:pPr>
              <w:pStyle w:val="FCGBBodyText"/>
              <w:rPr>
                <w:b/>
                <w:color w:val="0D0D0D"/>
              </w:rPr>
            </w:pPr>
            <w:r w:rsidRPr="005D3614">
              <w:rPr>
                <w:b/>
                <w:color w:val="0D0D0D"/>
              </w:rPr>
              <w:t>Marking Criteria</w:t>
            </w:r>
          </w:p>
        </w:tc>
      </w:tr>
      <w:tr w:rsidR="00672D28" w:rsidRPr="005D3614" w:rsidTr="005D3614">
        <w:tc>
          <w:tcPr>
            <w:tcW w:w="675" w:type="dxa"/>
            <w:shd w:val="clear" w:color="auto" w:fill="auto"/>
          </w:tcPr>
          <w:p w:rsidR="00672D28" w:rsidRDefault="00672D28" w:rsidP="00073E39">
            <w:pPr>
              <w:pStyle w:val="FCGBBodyText"/>
              <w:rPr>
                <w:color w:val="0D0D0D"/>
              </w:rPr>
            </w:pPr>
          </w:p>
          <w:p w:rsidR="00B63A04" w:rsidRDefault="00B63A04" w:rsidP="00073E39">
            <w:pPr>
              <w:pStyle w:val="FCGBBodyText"/>
              <w:rPr>
                <w:color w:val="0D0D0D"/>
              </w:rPr>
            </w:pPr>
            <w:r>
              <w:rPr>
                <w:color w:val="0D0D0D"/>
              </w:rPr>
              <w:t>1</w:t>
            </w:r>
          </w:p>
          <w:p w:rsidR="00B63A04" w:rsidRDefault="00B63A04" w:rsidP="00073E39">
            <w:pPr>
              <w:pStyle w:val="FCGBBodyText"/>
              <w:rPr>
                <w:color w:val="0D0D0D"/>
              </w:rPr>
            </w:pPr>
          </w:p>
          <w:p w:rsidR="00B63A04" w:rsidRDefault="00B63A04" w:rsidP="00073E39">
            <w:pPr>
              <w:pStyle w:val="FCGBBodyText"/>
              <w:rPr>
                <w:color w:val="0D0D0D"/>
              </w:rPr>
            </w:pPr>
            <w:r>
              <w:rPr>
                <w:color w:val="0D0D0D"/>
              </w:rPr>
              <w:t>2</w:t>
            </w:r>
          </w:p>
          <w:p w:rsidR="00B63A04" w:rsidRDefault="00B63A04" w:rsidP="00073E39">
            <w:pPr>
              <w:pStyle w:val="FCGBBodyText"/>
              <w:rPr>
                <w:color w:val="0D0D0D"/>
              </w:rPr>
            </w:pPr>
          </w:p>
          <w:p w:rsidR="00B63A04" w:rsidRPr="005D3614" w:rsidRDefault="00B63A04" w:rsidP="00073E39">
            <w:pPr>
              <w:pStyle w:val="FCGBBodyText"/>
              <w:rPr>
                <w:color w:val="0D0D0D"/>
              </w:rPr>
            </w:pPr>
            <w:r>
              <w:rPr>
                <w:color w:val="0D0D0D"/>
              </w:rPr>
              <w:lastRenderedPageBreak/>
              <w:t>3</w:t>
            </w:r>
          </w:p>
        </w:tc>
        <w:tc>
          <w:tcPr>
            <w:tcW w:w="1560" w:type="dxa"/>
            <w:shd w:val="clear" w:color="auto" w:fill="auto"/>
          </w:tcPr>
          <w:p w:rsidR="00672D28" w:rsidRDefault="00672D28" w:rsidP="00073E39">
            <w:pPr>
              <w:pStyle w:val="FCGBBodyText"/>
              <w:rPr>
                <w:color w:val="0D0D0D"/>
              </w:rPr>
            </w:pPr>
          </w:p>
          <w:p w:rsidR="00B63A04" w:rsidRDefault="00B63A04" w:rsidP="00073E39">
            <w:pPr>
              <w:pStyle w:val="FCGBBodyText"/>
              <w:rPr>
                <w:color w:val="0D0D0D"/>
              </w:rPr>
            </w:pPr>
            <w:r>
              <w:rPr>
                <w:color w:val="0D0D0D"/>
              </w:rPr>
              <w:t>20%</w:t>
            </w:r>
          </w:p>
          <w:p w:rsidR="00B63A04" w:rsidRDefault="00B63A04" w:rsidP="00073E39">
            <w:pPr>
              <w:pStyle w:val="FCGBBodyText"/>
              <w:rPr>
                <w:color w:val="0D0D0D"/>
              </w:rPr>
            </w:pPr>
          </w:p>
          <w:p w:rsidR="00B63A04" w:rsidRDefault="00B63A04" w:rsidP="00073E39">
            <w:pPr>
              <w:pStyle w:val="FCGBBodyText"/>
              <w:rPr>
                <w:color w:val="0D0D0D"/>
              </w:rPr>
            </w:pPr>
            <w:r>
              <w:rPr>
                <w:color w:val="0D0D0D"/>
              </w:rPr>
              <w:t>20%</w:t>
            </w:r>
          </w:p>
          <w:p w:rsidR="00B63A04" w:rsidRDefault="00B63A04" w:rsidP="00073E39">
            <w:pPr>
              <w:pStyle w:val="FCGBBodyText"/>
              <w:rPr>
                <w:color w:val="0D0D0D"/>
              </w:rPr>
            </w:pPr>
          </w:p>
          <w:p w:rsidR="00B63A04" w:rsidRPr="005D3614" w:rsidRDefault="00B63A04" w:rsidP="00073E39">
            <w:pPr>
              <w:pStyle w:val="FCGBBodyText"/>
              <w:rPr>
                <w:color w:val="0D0D0D"/>
              </w:rPr>
            </w:pPr>
            <w:r>
              <w:rPr>
                <w:color w:val="0D0D0D"/>
              </w:rPr>
              <w:lastRenderedPageBreak/>
              <w:t>10%</w:t>
            </w:r>
          </w:p>
        </w:tc>
        <w:tc>
          <w:tcPr>
            <w:tcW w:w="7903" w:type="dxa"/>
            <w:shd w:val="clear" w:color="auto" w:fill="auto"/>
          </w:tcPr>
          <w:p w:rsidR="00672D28" w:rsidRPr="00672D28" w:rsidRDefault="00672D28" w:rsidP="00073E39">
            <w:pPr>
              <w:pStyle w:val="FCGBBodyText"/>
            </w:pPr>
            <w:r w:rsidRPr="00672D28">
              <w:lastRenderedPageBreak/>
              <w:t>The following evaluation system will be applied</w:t>
            </w:r>
            <w:r>
              <w:t xml:space="preserve"> to this section</w:t>
            </w:r>
            <w:r w:rsidRPr="00672D28">
              <w:t>:</w:t>
            </w:r>
          </w:p>
          <w:p w:rsidR="00672D28" w:rsidRPr="00672D28" w:rsidRDefault="00672D28" w:rsidP="00073E39">
            <w:pPr>
              <w:pStyle w:val="FCGBBodyText"/>
            </w:pPr>
          </w:p>
          <w:p w:rsidR="00672D28" w:rsidRPr="005D3614" w:rsidRDefault="00672D28" w:rsidP="00073E39">
            <w:pPr>
              <w:pStyle w:val="FCGBBodyText"/>
              <w:rPr>
                <w:b/>
              </w:rPr>
            </w:pPr>
            <w:r w:rsidRPr="005D3614">
              <w:rPr>
                <w:b/>
              </w:rPr>
              <w:t>0 – No response or totally inadequate</w:t>
            </w:r>
          </w:p>
          <w:p w:rsidR="00672D28" w:rsidRPr="00672D28" w:rsidRDefault="00672D28" w:rsidP="00073E39">
            <w:pPr>
              <w:pStyle w:val="FCGBBodyText"/>
            </w:pPr>
            <w:r w:rsidRPr="00672D28">
              <w:t>No response or an inadequate response.</w:t>
            </w:r>
          </w:p>
          <w:p w:rsidR="00672D28" w:rsidRPr="00672D28" w:rsidRDefault="00672D28" w:rsidP="00073E39">
            <w:pPr>
              <w:pStyle w:val="FCGBBodyText"/>
            </w:pPr>
          </w:p>
          <w:p w:rsidR="00672D28" w:rsidRPr="005D3614" w:rsidRDefault="00672D28" w:rsidP="00073E39">
            <w:pPr>
              <w:pStyle w:val="FCGBBodyText"/>
              <w:rPr>
                <w:b/>
              </w:rPr>
            </w:pPr>
            <w:r w:rsidRPr="005D3614">
              <w:rPr>
                <w:b/>
              </w:rPr>
              <w:lastRenderedPageBreak/>
              <w:t>1 – Major Reservations / Constraints</w:t>
            </w:r>
          </w:p>
          <w:p w:rsidR="00672D28" w:rsidRPr="00672D28" w:rsidRDefault="00672D28" w:rsidP="00073E39">
            <w:pPr>
              <w:pStyle w:val="FCGBBodyText"/>
            </w:pPr>
            <w:r w:rsidRPr="00672D28">
              <w:t>The response simply states that the supplier can meet some of the requirements set out in the question or Specification of Requirements, but have not given information or detail on how they will do this.</w:t>
            </w:r>
          </w:p>
          <w:p w:rsidR="00672D28" w:rsidRPr="00672D28" w:rsidRDefault="00672D28" w:rsidP="00073E39">
            <w:pPr>
              <w:pStyle w:val="FCGBBodyText"/>
            </w:pPr>
          </w:p>
          <w:p w:rsidR="00672D28" w:rsidRPr="005D3614" w:rsidRDefault="00672D28" w:rsidP="00073E39">
            <w:pPr>
              <w:pStyle w:val="FCGBBodyText"/>
              <w:rPr>
                <w:b/>
              </w:rPr>
            </w:pPr>
            <w:r w:rsidRPr="005D3614">
              <w:rPr>
                <w:b/>
              </w:rPr>
              <w:t>2 – Some Reservations/Constraints</w:t>
            </w:r>
          </w:p>
          <w:p w:rsidR="00672D28" w:rsidRPr="00672D28" w:rsidRDefault="00672D28" w:rsidP="00073E39">
            <w:pPr>
              <w:pStyle w:val="FCGBBodyText"/>
            </w:pPr>
            <w:r w:rsidRPr="00672D28">
              <w:t>Bidder has provided some information about how they propose to meet most of the requirements as set out in the question or Specification of Requirements.  There is some doubt in their ability to consistently meet the full range of requirements.</w:t>
            </w:r>
          </w:p>
          <w:p w:rsidR="00672D28" w:rsidRPr="00672D28" w:rsidRDefault="00672D28" w:rsidP="00073E39">
            <w:pPr>
              <w:pStyle w:val="FCGBBodyText"/>
            </w:pPr>
          </w:p>
          <w:p w:rsidR="00672D28" w:rsidRPr="005D3614" w:rsidRDefault="00672D28" w:rsidP="00073E39">
            <w:pPr>
              <w:pStyle w:val="FCGBBodyText"/>
              <w:rPr>
                <w:b/>
              </w:rPr>
            </w:pPr>
            <w:r w:rsidRPr="005D3614">
              <w:rPr>
                <w:b/>
              </w:rPr>
              <w:t>3 – Fully Compliant</w:t>
            </w:r>
          </w:p>
          <w:p w:rsidR="00672D28" w:rsidRPr="00672D28" w:rsidRDefault="00672D28" w:rsidP="00073E39">
            <w:pPr>
              <w:pStyle w:val="FCGBBodyText"/>
            </w:pPr>
            <w:r w:rsidRPr="00672D28">
              <w:t>Bidder has provided detailed information covering all elements of the question, detailing how they propose to meet all the requirements as set out in the question or Specification of Requirements.  This gives full confidence in their ability to meet the full range of our requirements.</w:t>
            </w:r>
          </w:p>
          <w:p w:rsidR="00672D28" w:rsidRPr="00672D28" w:rsidRDefault="00672D28" w:rsidP="00073E39">
            <w:pPr>
              <w:pStyle w:val="FCGBBodyText"/>
            </w:pPr>
          </w:p>
          <w:p w:rsidR="00672D28" w:rsidRPr="005D3614" w:rsidRDefault="00672D28" w:rsidP="00073E39">
            <w:pPr>
              <w:pStyle w:val="FCGBBodyText"/>
              <w:rPr>
                <w:b/>
              </w:rPr>
            </w:pPr>
            <w:r w:rsidRPr="005D3614">
              <w:rPr>
                <w:b/>
              </w:rPr>
              <w:t>4 – Exceeds Requirements</w:t>
            </w:r>
          </w:p>
          <w:p w:rsidR="00672D28" w:rsidRPr="005D3614" w:rsidRDefault="00672D28" w:rsidP="00073E39">
            <w:pPr>
              <w:pStyle w:val="FCGBBodyText"/>
              <w:rPr>
                <w:color w:val="365F91"/>
              </w:rPr>
            </w:pPr>
            <w:r w:rsidRPr="00672D28">
              <w:t xml:space="preserve">Bidder meets the required standard in all respects and exceeds some or all of the major requirements, which in turn leads to added value </w:t>
            </w:r>
            <w:r w:rsidRPr="00B652D0">
              <w:t xml:space="preserve">within the </w:t>
            </w:r>
            <w:r w:rsidR="00CD33C3" w:rsidRPr="00B652D0">
              <w:rPr>
                <w:rFonts w:eastAsia="Arial"/>
              </w:rPr>
              <w:t>contract</w:t>
            </w:r>
            <w:r w:rsidRPr="00B652D0">
              <w:t>.</w:t>
            </w:r>
          </w:p>
          <w:p w:rsidR="00672D28" w:rsidRPr="005D3614" w:rsidRDefault="00672D28" w:rsidP="00073E39">
            <w:pPr>
              <w:pStyle w:val="FCGBBodyText"/>
              <w:rPr>
                <w:color w:val="0D0D0D"/>
              </w:rPr>
            </w:pPr>
          </w:p>
        </w:tc>
      </w:tr>
    </w:tbl>
    <w:p w:rsidR="00E82136" w:rsidRDefault="00E82136" w:rsidP="00E82136">
      <w:pPr>
        <w:pStyle w:val="Heading2"/>
        <w:numPr>
          <w:ilvl w:val="0"/>
          <w:numId w:val="0"/>
        </w:numPr>
        <w:ind w:left="576"/>
      </w:pPr>
    </w:p>
    <w:p w:rsidR="000967EA" w:rsidRDefault="00E82136" w:rsidP="000967EA">
      <w:pPr>
        <w:pStyle w:val="Heading2"/>
      </w:pPr>
      <w:r>
        <w:br w:type="page"/>
      </w:r>
      <w:r w:rsidR="000967EA">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5310DA" w:rsidRDefault="00DE4069" w:rsidP="00F61F52">
            <w:pPr>
              <w:rPr>
                <w:b/>
              </w:rPr>
            </w:pPr>
          </w:p>
        </w:tc>
        <w:tc>
          <w:tcPr>
            <w:tcW w:w="1187" w:type="dxa"/>
            <w:shd w:val="clear" w:color="auto" w:fill="auto"/>
          </w:tcPr>
          <w:p w:rsidR="00DE4069" w:rsidRPr="005310DA" w:rsidRDefault="00DE4069" w:rsidP="00F61F52">
            <w:pPr>
              <w:jc w:val="center"/>
              <w:rPr>
                <w:b/>
              </w:rPr>
            </w:pPr>
            <w:r w:rsidRPr="005310DA">
              <w:rPr>
                <w:b/>
                <w:i/>
              </w:rPr>
              <w:t>Weight %</w:t>
            </w:r>
          </w:p>
        </w:tc>
      </w:tr>
      <w:tr w:rsidR="00DE4069" w:rsidRPr="00093B5A" w:rsidTr="00F61F52">
        <w:trPr>
          <w:trHeight w:val="348"/>
        </w:trPr>
        <w:tc>
          <w:tcPr>
            <w:tcW w:w="8798" w:type="dxa"/>
            <w:shd w:val="clear" w:color="auto" w:fill="auto"/>
          </w:tcPr>
          <w:p w:rsidR="00DE4069" w:rsidRPr="005310DA" w:rsidRDefault="00DE4069" w:rsidP="00F61F52">
            <w:r w:rsidRPr="005310DA">
              <w:t>Please provide details of your pricing in the schedule provided below</w:t>
            </w:r>
          </w:p>
          <w:p w:rsidR="00DE4069" w:rsidRPr="005310DA" w:rsidRDefault="00DE4069" w:rsidP="00F61F52">
            <w:pPr>
              <w:rPr>
                <w:b/>
              </w:rPr>
            </w:pPr>
          </w:p>
        </w:tc>
        <w:tc>
          <w:tcPr>
            <w:tcW w:w="1187" w:type="dxa"/>
            <w:shd w:val="clear" w:color="auto" w:fill="auto"/>
          </w:tcPr>
          <w:p w:rsidR="00DE4069" w:rsidRPr="005310DA" w:rsidRDefault="005310DA" w:rsidP="00F61F52">
            <w:pPr>
              <w:jc w:val="center"/>
            </w:pPr>
            <w:r w:rsidRPr="005310DA">
              <w:t>50</w:t>
            </w:r>
            <w:r w:rsidR="00AE353B">
              <w:t>%</w:t>
            </w:r>
          </w:p>
          <w:p w:rsidR="00DE4069" w:rsidRPr="005310DA" w:rsidRDefault="00DE4069" w:rsidP="00F61F52">
            <w:pPr>
              <w:jc w:val="center"/>
            </w:pPr>
          </w:p>
        </w:tc>
      </w:tr>
    </w:tbl>
    <w:p w:rsidR="00391B8E" w:rsidRPr="009E5141" w:rsidRDefault="00391B8E" w:rsidP="00391B8E">
      <w:pPr>
        <w:rPr>
          <w:b/>
          <w:color w:val="008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6554"/>
        <w:gridCol w:w="2670"/>
      </w:tblGrid>
      <w:tr w:rsidR="00DE4069" w:rsidRPr="00093B5A" w:rsidTr="00B63A04">
        <w:trPr>
          <w:trHeight w:val="348"/>
        </w:trPr>
        <w:tc>
          <w:tcPr>
            <w:tcW w:w="784" w:type="dxa"/>
            <w:shd w:val="clear" w:color="auto" w:fill="auto"/>
          </w:tcPr>
          <w:p w:rsidR="00391B8E" w:rsidRPr="00AF4CBF" w:rsidRDefault="00AF4CBF" w:rsidP="00F61F52">
            <w:pPr>
              <w:rPr>
                <w:b/>
              </w:rPr>
            </w:pPr>
            <w:r w:rsidRPr="00AF4CBF">
              <w:rPr>
                <w:b/>
              </w:rPr>
              <w:t>Lot</w:t>
            </w:r>
          </w:p>
        </w:tc>
        <w:tc>
          <w:tcPr>
            <w:tcW w:w="6554" w:type="dxa"/>
            <w:shd w:val="clear" w:color="auto" w:fill="auto"/>
          </w:tcPr>
          <w:p w:rsidR="00391B8E" w:rsidRPr="00AE353B" w:rsidRDefault="00AE353B" w:rsidP="00F61F52">
            <w:pPr>
              <w:rPr>
                <w:b/>
              </w:rPr>
            </w:pPr>
            <w:r w:rsidRPr="00AE353B">
              <w:rPr>
                <w:rFonts w:cs="Verdana"/>
                <w:b/>
                <w:bCs/>
                <w:lang w:eastAsia="en-GB"/>
              </w:rPr>
              <w:t xml:space="preserve">Price for </w:t>
            </w:r>
            <w:r>
              <w:rPr>
                <w:rFonts w:cs="Verdana"/>
                <w:b/>
                <w:bCs/>
                <w:lang w:eastAsia="en-GB"/>
              </w:rPr>
              <w:t xml:space="preserve">supplying </w:t>
            </w:r>
            <w:r w:rsidRPr="00AE353B">
              <w:rPr>
                <w:rFonts w:cs="Verdana"/>
                <w:b/>
                <w:bCs/>
                <w:lang w:eastAsia="en-GB"/>
              </w:rPr>
              <w:t xml:space="preserve">complete service </w:t>
            </w:r>
            <w:r>
              <w:rPr>
                <w:rFonts w:cs="Verdana"/>
                <w:b/>
                <w:bCs/>
                <w:lang w:eastAsia="en-GB"/>
              </w:rPr>
              <w:t xml:space="preserve">in 2016 </w:t>
            </w:r>
            <w:r w:rsidRPr="00AE353B">
              <w:rPr>
                <w:rFonts w:cs="Verdana"/>
                <w:b/>
                <w:bCs/>
                <w:lang w:eastAsia="en-GB"/>
              </w:rPr>
              <w:t xml:space="preserve">including </w:t>
            </w:r>
            <w:r>
              <w:rPr>
                <w:rFonts w:cs="Verdana"/>
                <w:b/>
                <w:bCs/>
                <w:lang w:eastAsia="en-GB"/>
              </w:rPr>
              <w:t xml:space="preserve">all </w:t>
            </w:r>
            <w:r w:rsidRPr="00AE353B">
              <w:rPr>
                <w:rFonts w:cs="Verdana"/>
                <w:b/>
                <w:bCs/>
                <w:lang w:eastAsia="en-GB"/>
              </w:rPr>
              <w:t>units, delivery and collection, cleanin</w:t>
            </w:r>
            <w:r>
              <w:rPr>
                <w:rFonts w:cs="Verdana"/>
                <w:b/>
                <w:bCs/>
                <w:lang w:eastAsia="en-GB"/>
              </w:rPr>
              <w:t xml:space="preserve">g, staffing and gulley services </w:t>
            </w:r>
          </w:p>
          <w:p w:rsidR="00391B8E" w:rsidRPr="00AF4CBF" w:rsidRDefault="00391B8E" w:rsidP="00F61F52">
            <w:pPr>
              <w:rPr>
                <w:b/>
              </w:rPr>
            </w:pPr>
          </w:p>
        </w:tc>
        <w:tc>
          <w:tcPr>
            <w:tcW w:w="2670" w:type="dxa"/>
            <w:shd w:val="clear" w:color="auto" w:fill="auto"/>
          </w:tcPr>
          <w:p w:rsidR="00391B8E" w:rsidRPr="00AF4CBF" w:rsidRDefault="00B63A04" w:rsidP="00B63A04">
            <w:pPr>
              <w:jc w:val="center"/>
              <w:rPr>
                <w:b/>
              </w:rPr>
            </w:pPr>
            <w:r>
              <w:rPr>
                <w:b/>
              </w:rPr>
              <w:t xml:space="preserve">Price excluding VAT </w:t>
            </w:r>
            <w:r w:rsidR="00391B8E" w:rsidRPr="00AF4CBF">
              <w:rPr>
                <w:b/>
              </w:rPr>
              <w:t>(£)</w:t>
            </w:r>
          </w:p>
        </w:tc>
      </w:tr>
      <w:tr w:rsidR="00AF4CBF" w:rsidRPr="00093B5A" w:rsidTr="00B63A04">
        <w:trPr>
          <w:trHeight w:val="413"/>
        </w:trPr>
        <w:tc>
          <w:tcPr>
            <w:tcW w:w="784" w:type="dxa"/>
            <w:shd w:val="clear" w:color="auto" w:fill="auto"/>
          </w:tcPr>
          <w:p w:rsidR="00AF4CBF" w:rsidRPr="00AF4CBF" w:rsidRDefault="00AF4CBF" w:rsidP="00F61F52">
            <w:r w:rsidRPr="00AF4CBF">
              <w:t>1</w:t>
            </w:r>
          </w:p>
        </w:tc>
        <w:tc>
          <w:tcPr>
            <w:tcW w:w="6554" w:type="dxa"/>
            <w:shd w:val="clear" w:color="auto" w:fill="auto"/>
          </w:tcPr>
          <w:p w:rsidR="00AF4CBF" w:rsidRPr="00AF4CBF" w:rsidRDefault="00AF4CBF" w:rsidP="00FF5B07">
            <w:r w:rsidRPr="00AF4CBF">
              <w:t>Westonbirt Arboretum, Glos, GL8 8QS</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2</w:t>
            </w:r>
          </w:p>
        </w:tc>
        <w:tc>
          <w:tcPr>
            <w:tcW w:w="6554" w:type="dxa"/>
            <w:shd w:val="clear" w:color="auto" w:fill="auto"/>
          </w:tcPr>
          <w:p w:rsidR="00AF4CBF" w:rsidRPr="00AF4CBF" w:rsidRDefault="00AF4CBF" w:rsidP="00FF5B07">
            <w:r w:rsidRPr="00AF4CBF">
              <w:t>Bedgebury Pinetum, Kent, TN17 2SJ</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3</w:t>
            </w:r>
          </w:p>
        </w:tc>
        <w:tc>
          <w:tcPr>
            <w:tcW w:w="6554" w:type="dxa"/>
            <w:shd w:val="clear" w:color="auto" w:fill="auto"/>
          </w:tcPr>
          <w:p w:rsidR="00AF4CBF" w:rsidRPr="00AF4CBF" w:rsidRDefault="00AF4CBF" w:rsidP="00FF5B07">
            <w:r w:rsidRPr="00AF4CBF">
              <w:t>Dalby Forest, N. Yorks, YO18 7LR</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4</w:t>
            </w:r>
          </w:p>
        </w:tc>
        <w:tc>
          <w:tcPr>
            <w:tcW w:w="6554" w:type="dxa"/>
            <w:shd w:val="clear" w:color="auto" w:fill="auto"/>
          </w:tcPr>
          <w:p w:rsidR="00AF4CBF" w:rsidRPr="00AF4CBF" w:rsidRDefault="00AF4CBF" w:rsidP="00FF5B07">
            <w:r w:rsidRPr="00AF4CBF">
              <w:t>Sherwood Pines, Notts, NG21 9JL</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5</w:t>
            </w:r>
          </w:p>
        </w:tc>
        <w:tc>
          <w:tcPr>
            <w:tcW w:w="6554" w:type="dxa"/>
            <w:shd w:val="clear" w:color="auto" w:fill="auto"/>
          </w:tcPr>
          <w:p w:rsidR="00AF4CBF" w:rsidRPr="00AF4CBF" w:rsidRDefault="00AF4CBF" w:rsidP="00FF5B07">
            <w:r w:rsidRPr="00AF4CBF">
              <w:t>Thetford Forest, Suffolk, IP27 0AF</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6</w:t>
            </w:r>
          </w:p>
        </w:tc>
        <w:tc>
          <w:tcPr>
            <w:tcW w:w="6554" w:type="dxa"/>
            <w:shd w:val="clear" w:color="auto" w:fill="auto"/>
          </w:tcPr>
          <w:p w:rsidR="00AF4CBF" w:rsidRPr="00AF4CBF" w:rsidRDefault="00AF4CBF" w:rsidP="00FF5B07">
            <w:r w:rsidRPr="00AF4CBF">
              <w:t>Delamere Forest, Cheshire, CW8 2JD</w:t>
            </w:r>
          </w:p>
        </w:tc>
        <w:tc>
          <w:tcPr>
            <w:tcW w:w="2670" w:type="dxa"/>
            <w:shd w:val="clear" w:color="auto" w:fill="auto"/>
          </w:tcPr>
          <w:p w:rsidR="00AF4CBF" w:rsidRPr="00AF4CBF" w:rsidRDefault="00AF4CBF" w:rsidP="00F61F52">
            <w:pPr>
              <w:jc w:val="center"/>
            </w:pPr>
          </w:p>
        </w:tc>
      </w:tr>
      <w:tr w:rsidR="00AF4CBF" w:rsidRPr="00093B5A" w:rsidTr="00B63A04">
        <w:trPr>
          <w:trHeight w:val="348"/>
        </w:trPr>
        <w:tc>
          <w:tcPr>
            <w:tcW w:w="784" w:type="dxa"/>
            <w:shd w:val="clear" w:color="auto" w:fill="auto"/>
          </w:tcPr>
          <w:p w:rsidR="00AF4CBF" w:rsidRPr="00AF4CBF" w:rsidRDefault="00AF4CBF" w:rsidP="00F61F52">
            <w:r w:rsidRPr="00AF4CBF">
              <w:t>7</w:t>
            </w:r>
          </w:p>
        </w:tc>
        <w:tc>
          <w:tcPr>
            <w:tcW w:w="6554" w:type="dxa"/>
            <w:shd w:val="clear" w:color="auto" w:fill="auto"/>
          </w:tcPr>
          <w:p w:rsidR="00AF4CBF" w:rsidRPr="00AF4CBF" w:rsidRDefault="00AF4CBF" w:rsidP="00FF5B07">
            <w:r w:rsidRPr="00AF4CBF">
              <w:t>Cannock Chase, Staffs, WS15 2UQ</w:t>
            </w:r>
          </w:p>
        </w:tc>
        <w:tc>
          <w:tcPr>
            <w:tcW w:w="2670" w:type="dxa"/>
            <w:shd w:val="clear" w:color="auto" w:fill="auto"/>
          </w:tcPr>
          <w:p w:rsidR="00AF4CBF" w:rsidRPr="00AF4CBF" w:rsidRDefault="00AF4CBF" w:rsidP="00F61F52">
            <w:pPr>
              <w:jc w:val="center"/>
            </w:pPr>
          </w:p>
        </w:tc>
      </w:tr>
    </w:tbl>
    <w:p w:rsidR="00AE353B" w:rsidRDefault="00AE353B" w:rsidP="00391B8E">
      <w:pPr>
        <w:pStyle w:val="Heading2"/>
        <w:numPr>
          <w:ilvl w:val="0"/>
          <w:numId w:val="0"/>
        </w:numPr>
        <w:rPr>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6554"/>
        <w:gridCol w:w="2670"/>
      </w:tblGrid>
      <w:tr w:rsidR="00AE353B" w:rsidRPr="00093B5A" w:rsidTr="00700496">
        <w:trPr>
          <w:trHeight w:val="348"/>
        </w:trPr>
        <w:tc>
          <w:tcPr>
            <w:tcW w:w="784" w:type="dxa"/>
            <w:shd w:val="clear" w:color="auto" w:fill="auto"/>
          </w:tcPr>
          <w:p w:rsidR="00AE353B" w:rsidRPr="00AF4CBF" w:rsidRDefault="00AE353B" w:rsidP="00700496">
            <w:pPr>
              <w:rPr>
                <w:b/>
              </w:rPr>
            </w:pPr>
          </w:p>
        </w:tc>
        <w:tc>
          <w:tcPr>
            <w:tcW w:w="6554" w:type="dxa"/>
            <w:shd w:val="clear" w:color="auto" w:fill="auto"/>
          </w:tcPr>
          <w:p w:rsidR="00AE353B" w:rsidRPr="00AF4CBF" w:rsidRDefault="00AE353B" w:rsidP="00AE353B">
            <w:pPr>
              <w:rPr>
                <w:b/>
              </w:rPr>
            </w:pPr>
            <w:r>
              <w:rPr>
                <w:rFonts w:cs="Verdana"/>
                <w:b/>
                <w:bCs/>
                <w:lang w:eastAsia="en-GB"/>
              </w:rPr>
              <w:t xml:space="preserve">For information only and to inform any changes </w:t>
            </w:r>
          </w:p>
        </w:tc>
        <w:tc>
          <w:tcPr>
            <w:tcW w:w="2670" w:type="dxa"/>
            <w:shd w:val="clear" w:color="auto" w:fill="auto"/>
          </w:tcPr>
          <w:p w:rsidR="00AE353B" w:rsidRPr="00AF4CBF" w:rsidRDefault="00AE353B" w:rsidP="00700496">
            <w:pPr>
              <w:jc w:val="center"/>
              <w:rPr>
                <w:b/>
              </w:rPr>
            </w:pPr>
            <w:r>
              <w:rPr>
                <w:b/>
              </w:rPr>
              <w:t xml:space="preserve">Price excluding VAT </w:t>
            </w:r>
            <w:r w:rsidRPr="00AF4CBF">
              <w:rPr>
                <w:b/>
              </w:rPr>
              <w:t>(£)</w:t>
            </w:r>
          </w:p>
        </w:tc>
      </w:tr>
      <w:tr w:rsidR="00AE353B" w:rsidRPr="00093B5A" w:rsidTr="00700496">
        <w:trPr>
          <w:trHeight w:val="413"/>
        </w:trPr>
        <w:tc>
          <w:tcPr>
            <w:tcW w:w="784" w:type="dxa"/>
            <w:shd w:val="clear" w:color="auto" w:fill="auto"/>
          </w:tcPr>
          <w:p w:rsidR="00AE353B" w:rsidRPr="00AF4CBF" w:rsidRDefault="00AE353B" w:rsidP="00700496">
            <w:r w:rsidRPr="00AF4CBF">
              <w:t>1</w:t>
            </w:r>
          </w:p>
        </w:tc>
        <w:tc>
          <w:tcPr>
            <w:tcW w:w="6554" w:type="dxa"/>
            <w:shd w:val="clear" w:color="auto" w:fill="auto"/>
          </w:tcPr>
          <w:p w:rsidR="00AE353B" w:rsidRPr="00AF4CBF" w:rsidRDefault="00AE353B" w:rsidP="00700496">
            <w:r>
              <w:t>Weekly hire of single toilet pod unit including delivery and collection.</w:t>
            </w:r>
          </w:p>
        </w:tc>
        <w:tc>
          <w:tcPr>
            <w:tcW w:w="2670" w:type="dxa"/>
            <w:shd w:val="clear" w:color="auto" w:fill="auto"/>
          </w:tcPr>
          <w:p w:rsidR="00AE353B" w:rsidRPr="00AF4CBF" w:rsidRDefault="00AE353B" w:rsidP="00700496">
            <w:pPr>
              <w:jc w:val="center"/>
            </w:pPr>
          </w:p>
        </w:tc>
      </w:tr>
    </w:tbl>
    <w:p w:rsidR="00AE353B" w:rsidRPr="00AE353B" w:rsidRDefault="00AE353B" w:rsidP="00AE353B">
      <w:pPr>
        <w:pStyle w:val="FCGBBodyText"/>
      </w:pPr>
    </w:p>
    <w:p w:rsidR="000D2254" w:rsidRPr="00391B8E" w:rsidRDefault="000D2254" w:rsidP="00391B8E">
      <w:pPr>
        <w:pStyle w:val="Heading2"/>
        <w:numPr>
          <w:ilvl w:val="0"/>
          <w:numId w:val="0"/>
        </w:numPr>
        <w:rPr>
          <w:sz w:val="28"/>
        </w:rPr>
      </w:pPr>
      <w:r w:rsidRPr="00391B8E">
        <w:rPr>
          <w:sz w:val="28"/>
        </w:rPr>
        <w:t>Evaluation Matrix for Section 4.9</w:t>
      </w:r>
    </w:p>
    <w:p w:rsidR="000D2254" w:rsidRDefault="0080305C" w:rsidP="000D2254">
      <w:pPr>
        <w:pStyle w:val="FCGBBodyText"/>
      </w:pPr>
      <w:r>
        <w:t>Responses to this section</w:t>
      </w:r>
      <w:r w:rsidR="000D2254" w:rsidRPr="009E5141">
        <w:t xml:space="preserve"> will be scored on the basis of the marking criteria detailed in the table below.</w:t>
      </w:r>
    </w:p>
    <w:p w:rsidR="0080305C" w:rsidRDefault="0080305C" w:rsidP="000D2254">
      <w:pPr>
        <w:pStyle w:val="FCGBBodyText"/>
        <w:rPr>
          <w:b/>
          <w:color w:val="0D0D0D"/>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80305C" w:rsidRPr="009E5141" w:rsidTr="0080305C">
        <w:tc>
          <w:tcPr>
            <w:tcW w:w="619" w:type="pct"/>
            <w:shd w:val="clear" w:color="auto" w:fill="auto"/>
          </w:tcPr>
          <w:p w:rsidR="0080305C" w:rsidRPr="009E5141" w:rsidRDefault="0080305C" w:rsidP="005D3614">
            <w:pPr>
              <w:jc w:val="center"/>
              <w:rPr>
                <w:b/>
                <w:color w:val="003300"/>
              </w:rPr>
            </w:pPr>
            <w:r w:rsidRPr="009E5141">
              <w:rPr>
                <w:b/>
                <w:color w:val="003300"/>
              </w:rPr>
              <w:t>Weight</w:t>
            </w:r>
          </w:p>
        </w:tc>
        <w:tc>
          <w:tcPr>
            <w:tcW w:w="4381" w:type="pct"/>
            <w:shd w:val="clear" w:color="auto" w:fill="auto"/>
          </w:tcPr>
          <w:p w:rsidR="0080305C" w:rsidRPr="009E5141" w:rsidRDefault="0080305C" w:rsidP="005D3614">
            <w:pPr>
              <w:spacing w:line="240" w:lineRule="auto"/>
              <w:rPr>
                <w:b/>
                <w:color w:val="003300"/>
              </w:rPr>
            </w:pPr>
            <w:r w:rsidRPr="009E5141">
              <w:rPr>
                <w:b/>
                <w:color w:val="003300"/>
              </w:rPr>
              <w:t>Agreed Marking Criteria</w:t>
            </w:r>
          </w:p>
        </w:tc>
      </w:tr>
      <w:tr w:rsidR="0080305C" w:rsidRPr="009E5141" w:rsidTr="0080305C">
        <w:tc>
          <w:tcPr>
            <w:tcW w:w="619" w:type="pct"/>
            <w:shd w:val="clear" w:color="auto" w:fill="auto"/>
          </w:tcPr>
          <w:p w:rsidR="0080305C" w:rsidRPr="009E5141" w:rsidRDefault="0080305C" w:rsidP="005D3614">
            <w:r w:rsidRPr="009E5141">
              <w:t>%</w:t>
            </w:r>
          </w:p>
          <w:p w:rsidR="0080305C" w:rsidRPr="009E5141" w:rsidRDefault="0080305C" w:rsidP="005D3614"/>
        </w:tc>
        <w:tc>
          <w:tcPr>
            <w:tcW w:w="4381" w:type="pct"/>
            <w:shd w:val="clear" w:color="auto" w:fill="auto"/>
          </w:tcPr>
          <w:p w:rsidR="00AF4CBF" w:rsidRPr="00AF4CBF" w:rsidRDefault="00607193" w:rsidP="00AF4CBF">
            <w:pPr>
              <w:spacing w:after="200" w:line="276" w:lineRule="auto"/>
              <w:rPr>
                <w:snapToGrid w:val="0"/>
              </w:rPr>
            </w:pPr>
            <w:r>
              <w:rPr>
                <w:rFonts w:eastAsia="Calibri" w:cs="Verdana"/>
                <w:lang w:eastAsia="en-GB"/>
              </w:rPr>
              <w:t xml:space="preserve">Each Lot will be scored and evaluated separately.  </w:t>
            </w:r>
            <w:r w:rsidR="0080305C" w:rsidRPr="00AF4CBF">
              <w:rPr>
                <w:rFonts w:eastAsia="Calibri" w:cs="Verdana"/>
                <w:lang w:eastAsia="en-GB"/>
              </w:rPr>
              <w:t>Price will be evaluated using the ‘standard differential method’ – each bidder receives 100% of the available marks less the percentage by which their tender is more expensive than the lowest; with 4 being the maximum score achievable</w:t>
            </w:r>
            <w:r w:rsidR="00AF4CBF" w:rsidRPr="00AF4CBF">
              <w:rPr>
                <w:rFonts w:eastAsia="Calibri" w:cs="Verdana"/>
                <w:lang w:eastAsia="en-GB"/>
              </w:rPr>
              <w:t>.</w:t>
            </w:r>
          </w:p>
          <w:p w:rsidR="0080305C" w:rsidRPr="009E5141" w:rsidRDefault="0080305C" w:rsidP="005D3614">
            <w:pPr>
              <w:rPr>
                <w:snapToGrid w:val="0"/>
                <w:color w:val="FF0000"/>
              </w:rPr>
            </w:pPr>
          </w:p>
        </w:tc>
      </w:tr>
    </w:tbl>
    <w:p w:rsidR="00E82136" w:rsidRDefault="00E82136" w:rsidP="00E82136">
      <w:pPr>
        <w:pStyle w:val="Heading2"/>
        <w:numPr>
          <w:ilvl w:val="0"/>
          <w:numId w:val="0"/>
        </w:numPr>
        <w:ind w:left="576"/>
      </w:pPr>
    </w:p>
    <w:p w:rsidR="00DE4069" w:rsidRDefault="00E82136" w:rsidP="00B96813">
      <w:pPr>
        <w:pStyle w:val="Heading2"/>
      </w:pPr>
      <w:r>
        <w:br w:type="page"/>
      </w:r>
      <w:r w:rsidR="00DE4069">
        <w:lastRenderedPageBreak/>
        <w:t>ITT – Template for Appendices</w:t>
      </w:r>
    </w:p>
    <w:p w:rsidR="00DE4069" w:rsidRDefault="00DE4069" w:rsidP="00DE4069">
      <w:r>
        <w:t>Please use the following form for each appendix you are providing.  If, for formatting purposes you are not able to use this appendix form, please ensure you clearly number the appendix, along with the section and question it relates to.</w:t>
      </w:r>
    </w:p>
    <w:p w:rsidR="00DE4069" w:rsidRPr="00DE4069" w:rsidRDefault="00DE4069" w:rsidP="00DE40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DE4069" w:rsidTr="00093B5A">
        <w:tc>
          <w:tcPr>
            <w:tcW w:w="10138" w:type="dxa"/>
            <w:shd w:val="clear" w:color="auto" w:fill="auto"/>
          </w:tcPr>
          <w:p w:rsidR="00DE4069" w:rsidRDefault="00DE4069" w:rsidP="00DE4069">
            <w:pPr>
              <w:pStyle w:val="FCGBBodyText"/>
            </w:pPr>
            <w:r w:rsidRPr="00093B5A">
              <w:rPr>
                <w:b/>
              </w:rPr>
              <w:t>Appendix Number</w:t>
            </w:r>
            <w:r>
              <w:t xml:space="preserve"> - </w:t>
            </w:r>
          </w:p>
        </w:tc>
      </w:tr>
      <w:tr w:rsidR="00DE4069" w:rsidTr="00093B5A">
        <w:tc>
          <w:tcPr>
            <w:tcW w:w="10138" w:type="dxa"/>
            <w:shd w:val="clear" w:color="auto" w:fill="auto"/>
          </w:tcPr>
          <w:p w:rsidR="00DE4069" w:rsidRDefault="00DE4069" w:rsidP="00DE4069">
            <w:pPr>
              <w:pStyle w:val="FCGBBodyText"/>
            </w:pPr>
            <w:r w:rsidRPr="00093B5A">
              <w:rPr>
                <w:b/>
              </w:rPr>
              <w:t>ITT Section</w:t>
            </w:r>
            <w:r>
              <w:t xml:space="preserve"> - </w:t>
            </w:r>
          </w:p>
        </w:tc>
      </w:tr>
      <w:tr w:rsidR="00DE4069" w:rsidTr="00093B5A">
        <w:tc>
          <w:tcPr>
            <w:tcW w:w="10138" w:type="dxa"/>
            <w:shd w:val="clear" w:color="auto" w:fill="auto"/>
          </w:tcPr>
          <w:p w:rsidR="00DE4069" w:rsidRDefault="00DE4069" w:rsidP="00DE4069">
            <w:pPr>
              <w:pStyle w:val="FCGBBodyText"/>
            </w:pPr>
            <w:r w:rsidRPr="00093B5A">
              <w:rPr>
                <w:b/>
              </w:rPr>
              <w:t>Question Number</w:t>
            </w:r>
            <w:r>
              <w:t xml:space="preserve"> - </w:t>
            </w:r>
          </w:p>
        </w:tc>
      </w:tr>
      <w:tr w:rsidR="00DE4069" w:rsidTr="00093B5A">
        <w:tc>
          <w:tcPr>
            <w:tcW w:w="10138" w:type="dxa"/>
            <w:shd w:val="clear" w:color="auto" w:fill="auto"/>
          </w:tcPr>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tc>
      </w:tr>
    </w:tbl>
    <w:p w:rsidR="00E82136" w:rsidRDefault="00E82136" w:rsidP="00E82136">
      <w:pPr>
        <w:pStyle w:val="Heading2"/>
        <w:numPr>
          <w:ilvl w:val="0"/>
          <w:numId w:val="0"/>
        </w:numPr>
        <w:ind w:left="576"/>
      </w:pPr>
    </w:p>
    <w:p w:rsidR="00B96813" w:rsidRDefault="00E82136" w:rsidP="00B96813">
      <w:pPr>
        <w:pStyle w:val="Heading2"/>
      </w:pPr>
      <w:r>
        <w:br w:type="page"/>
      </w:r>
      <w:r w:rsidR="00B96813">
        <w:lastRenderedPageBreak/>
        <w:t>Terms and Conditions</w:t>
      </w:r>
    </w:p>
    <w:p w:rsidR="0080305C" w:rsidRPr="009E5141" w:rsidRDefault="0080305C" w:rsidP="0080305C">
      <w:r w:rsidRPr="009E5141">
        <w:t xml:space="preserve">This ITT, and any </w:t>
      </w:r>
      <w:r w:rsidRPr="00D3042D">
        <w:t xml:space="preserve">contract arising </w:t>
      </w:r>
      <w:r w:rsidRPr="009E5141">
        <w:t xml:space="preserve">from it, will be subject to the latest version our </w:t>
      </w:r>
      <w:hyperlink r:id="rId11" w:history="1">
        <w:r w:rsidRPr="009E5141">
          <w:rPr>
            <w:rStyle w:val="Hyperlink"/>
          </w:rPr>
          <w:t>terms and conditions</w:t>
        </w:r>
      </w:hyperlink>
      <w:r w:rsidRPr="009E5141">
        <w:t xml:space="preserve"> for </w:t>
      </w:r>
      <w:r w:rsidR="00AF4CBF">
        <w:t xml:space="preserve">a </w:t>
      </w:r>
      <w:r w:rsidR="00AF4CBF" w:rsidRPr="00AF4CBF">
        <w:rPr>
          <w:b/>
        </w:rPr>
        <w:t>non operational service contract.</w:t>
      </w:r>
    </w:p>
    <w:p w:rsidR="0080305C" w:rsidRPr="009E5141" w:rsidRDefault="0080305C" w:rsidP="0080305C">
      <w:r w:rsidRPr="009E5141">
        <w:t xml:space="preserve">The successful Tenderer’s usual terms and conditions are not, and will not, become terms and conditions </w:t>
      </w:r>
      <w:r w:rsidRPr="00D3042D">
        <w:t xml:space="preserve">of any contract </w:t>
      </w:r>
      <w:r w:rsidRPr="009E5141">
        <w:t>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7C59D0" w:rsidRPr="00B26CC8" w:rsidRDefault="007C59D0" w:rsidP="00F61F52">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4.1</w:t>
      </w:r>
      <w:r w:rsidR="005953FA">
        <w:rPr>
          <w:rFonts w:cs="Arial"/>
          <w:snapToGrid w:val="0"/>
          <w:color w:val="003300"/>
          <w:sz w:val="28"/>
          <w:szCs w:val="28"/>
          <w:lang w:val="en-US"/>
        </w:rPr>
        <w:t>1</w:t>
      </w:r>
    </w:p>
    <w:p w:rsidR="007C59D0" w:rsidRPr="009E5141" w:rsidRDefault="007C59D0" w:rsidP="007C59D0">
      <w:r w:rsidRPr="009E5141">
        <w:t xml:space="preserve">Responses to the questions </w:t>
      </w:r>
      <w:r>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80305C" w:rsidRPr="009E5141" w:rsidTr="0080305C">
        <w:tc>
          <w:tcPr>
            <w:tcW w:w="819" w:type="pct"/>
            <w:shd w:val="clear" w:color="auto" w:fill="auto"/>
          </w:tcPr>
          <w:p w:rsidR="0080305C" w:rsidRPr="009E5141" w:rsidRDefault="0080305C" w:rsidP="005D3614">
            <w:pPr>
              <w:jc w:val="center"/>
              <w:rPr>
                <w:b/>
                <w:color w:val="003300"/>
              </w:rPr>
            </w:pPr>
            <w:r w:rsidRPr="009E5141">
              <w:rPr>
                <w:b/>
                <w:color w:val="003300"/>
              </w:rPr>
              <w:t>Weight</w:t>
            </w:r>
          </w:p>
        </w:tc>
        <w:tc>
          <w:tcPr>
            <w:tcW w:w="4181" w:type="pct"/>
            <w:shd w:val="clear" w:color="auto" w:fill="auto"/>
          </w:tcPr>
          <w:p w:rsidR="0080305C" w:rsidRPr="009E5141" w:rsidRDefault="0080305C" w:rsidP="005D3614">
            <w:pPr>
              <w:spacing w:line="240" w:lineRule="auto"/>
              <w:rPr>
                <w:b/>
                <w:color w:val="003300"/>
              </w:rPr>
            </w:pPr>
            <w:r w:rsidRPr="009E5141">
              <w:rPr>
                <w:b/>
                <w:color w:val="003300"/>
              </w:rPr>
              <w:t>Agreed Marking Criteria</w:t>
            </w:r>
          </w:p>
        </w:tc>
      </w:tr>
      <w:tr w:rsidR="0080305C" w:rsidRPr="009E5141" w:rsidTr="0080305C">
        <w:tc>
          <w:tcPr>
            <w:tcW w:w="819" w:type="pct"/>
            <w:shd w:val="clear" w:color="auto" w:fill="auto"/>
          </w:tcPr>
          <w:p w:rsidR="0080305C" w:rsidRPr="009E5141" w:rsidRDefault="0080305C" w:rsidP="005D3614">
            <w:r w:rsidRPr="009E5141">
              <w:t xml:space="preserve">Pass/Fail </w:t>
            </w:r>
          </w:p>
        </w:tc>
        <w:tc>
          <w:tcPr>
            <w:tcW w:w="4181" w:type="pct"/>
            <w:shd w:val="clear" w:color="auto" w:fill="auto"/>
          </w:tcPr>
          <w:p w:rsidR="00DE4069" w:rsidRDefault="00DE4069" w:rsidP="00DE4069">
            <w:r w:rsidRPr="00DE4069">
              <w:rPr>
                <w:b/>
              </w:rPr>
              <w:t>Pass</w:t>
            </w:r>
            <w:r>
              <w:t>: T</w:t>
            </w:r>
            <w:r w:rsidR="0080305C" w:rsidRPr="009E5141">
              <w:t xml:space="preserve">erms and </w:t>
            </w:r>
            <w:r>
              <w:t>C</w:t>
            </w:r>
            <w:r w:rsidR="0080305C" w:rsidRPr="009E5141">
              <w:t>onditions</w:t>
            </w:r>
            <w:r>
              <w:t xml:space="preserve"> have been accepted without any exceptions, or exceptions are minor and can be accommodated</w:t>
            </w:r>
            <w:r w:rsidR="0080305C" w:rsidRPr="009E5141">
              <w:t>.</w:t>
            </w:r>
          </w:p>
          <w:p w:rsidR="0080305C" w:rsidRPr="001409D5" w:rsidRDefault="00DE4069" w:rsidP="00DE4069">
            <w:r w:rsidRPr="00DE4069">
              <w:rPr>
                <w:b/>
              </w:rPr>
              <w:t>Fail</w:t>
            </w:r>
            <w:r>
              <w:t xml:space="preserve">: Exceptions noted have been </w:t>
            </w:r>
            <w:r w:rsidR="0080305C" w:rsidRPr="009E5141">
              <w:t>discuss</w:t>
            </w:r>
            <w:r>
              <w:t>ed</w:t>
            </w:r>
            <w:r w:rsidR="0080305C" w:rsidRPr="009E5141">
              <w:t xml:space="preserve"> </w:t>
            </w:r>
            <w:r>
              <w:t>and are unable to be accommodated</w:t>
            </w:r>
            <w:r w:rsidR="0080305C">
              <w:t>.</w:t>
            </w:r>
          </w:p>
        </w:tc>
      </w:tr>
    </w:tbl>
    <w:p w:rsidR="0080305C" w:rsidRDefault="0080305C" w:rsidP="0080305C">
      <w:pPr>
        <w:pStyle w:val="FCGBBodyText"/>
      </w:pPr>
    </w:p>
    <w:p w:rsidR="005953FA" w:rsidRDefault="00E82136" w:rsidP="005953FA">
      <w:pPr>
        <w:pStyle w:val="Heading2"/>
      </w:pPr>
      <w:r>
        <w:br w:type="page"/>
      </w:r>
      <w:r w:rsidR="005953FA">
        <w:lastRenderedPageBreak/>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rsidR="005953FA" w:rsidRDefault="005953FA" w:rsidP="005953FA"/>
    <w:p w:rsidR="005953FA" w:rsidRDefault="005953FA" w:rsidP="005953FA">
      <w: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5953FA" w:rsidRDefault="005953FA" w:rsidP="005953FA"/>
    <w:p w:rsidR="005953FA" w:rsidRPr="00351226" w:rsidRDefault="005953FA" w:rsidP="005953FA">
      <w:r w:rsidRPr="00606665">
        <w:t xml:space="preserve">The essence of selective tendering is that the </w:t>
      </w:r>
      <w:r w:rsidR="00351226">
        <w:t>authority</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351226">
      <w:pPr>
        <w:numPr>
          <w:ilvl w:val="0"/>
          <w:numId w:val="43"/>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351226">
      <w:pPr>
        <w:numPr>
          <w:ilvl w:val="0"/>
          <w:numId w:val="43"/>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351226">
      <w:pPr>
        <w:numPr>
          <w:ilvl w:val="0"/>
          <w:numId w:val="43"/>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I also declare that there is no conflict of interest in relation to the authority’s requirement.</w:t>
      </w:r>
    </w:p>
    <w:p w:rsidR="002C4BFE" w:rsidRDefault="002C4BFE" w:rsidP="005953FA"/>
    <w:p w:rsidR="002C4BFE" w:rsidRDefault="002C4BFE" w:rsidP="005953FA">
      <w:r>
        <w:t>The following appendices form part of our submission;</w:t>
      </w:r>
    </w:p>
    <w:p w:rsidR="002C4BFE" w:rsidRDefault="002C4BFE" w:rsidP="00595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2C4BFE" w:rsidTr="00093B5A">
        <w:tc>
          <w:tcPr>
            <w:tcW w:w="2943" w:type="dxa"/>
            <w:shd w:val="clear" w:color="auto" w:fill="auto"/>
          </w:tcPr>
          <w:p w:rsidR="002C4BFE" w:rsidRPr="00093B5A" w:rsidRDefault="002C4BFE" w:rsidP="005953FA">
            <w:pPr>
              <w:rPr>
                <w:b/>
              </w:rPr>
            </w:pPr>
            <w:r w:rsidRPr="00093B5A">
              <w:rPr>
                <w:b/>
              </w:rPr>
              <w:lastRenderedPageBreak/>
              <w:t>Section of ITT</w:t>
            </w:r>
          </w:p>
        </w:tc>
        <w:tc>
          <w:tcPr>
            <w:tcW w:w="3261" w:type="dxa"/>
            <w:shd w:val="clear" w:color="auto" w:fill="auto"/>
          </w:tcPr>
          <w:p w:rsidR="002C4BFE" w:rsidRPr="00093B5A" w:rsidRDefault="002C4BFE" w:rsidP="005953FA">
            <w:pPr>
              <w:rPr>
                <w:b/>
              </w:rPr>
            </w:pPr>
            <w:r w:rsidRPr="00093B5A">
              <w:rPr>
                <w:b/>
              </w:rPr>
              <w:t>Appendix Number</w:t>
            </w:r>
          </w:p>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bl>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305C" w:rsidRPr="009E5141" w:rsidRDefault="0080305C" w:rsidP="0080305C">
      <w:pPr>
        <w:pBdr>
          <w:bottom w:val="single" w:sz="4" w:space="1" w:color="000000"/>
        </w:pBdr>
        <w:tabs>
          <w:tab w:val="left" w:pos="1384"/>
        </w:tabs>
      </w:pPr>
      <w:r>
        <w:tab/>
      </w:r>
    </w:p>
    <w:p w:rsidR="002C4BFE" w:rsidRPr="00B26CC8" w:rsidRDefault="002C4BFE" w:rsidP="002C4BFE">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4.12</w:t>
      </w:r>
    </w:p>
    <w:p w:rsidR="002C4BFE" w:rsidRPr="009E5141" w:rsidRDefault="002C4BFE" w:rsidP="002C4BFE">
      <w:r w:rsidRPr="009E5141">
        <w:t xml:space="preserve">Responses to </w:t>
      </w:r>
      <w:r>
        <w:t>this section</w:t>
      </w:r>
      <w:r w:rsidRPr="009E5141">
        <w:t xml:space="preserve"> will be </w:t>
      </w:r>
      <w:r>
        <w:t>evaluated</w:t>
      </w:r>
      <w:r w:rsidRPr="009E5141">
        <w:t xml:space="preserve">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2C4BFE" w:rsidRPr="009E5141" w:rsidTr="00F61F52">
        <w:tc>
          <w:tcPr>
            <w:tcW w:w="819" w:type="pct"/>
            <w:shd w:val="clear" w:color="auto" w:fill="auto"/>
          </w:tcPr>
          <w:p w:rsidR="002C4BFE" w:rsidRPr="009E5141" w:rsidRDefault="002C4BFE" w:rsidP="00F61F52">
            <w:pPr>
              <w:jc w:val="center"/>
              <w:rPr>
                <w:b/>
                <w:color w:val="003300"/>
              </w:rPr>
            </w:pPr>
            <w:r w:rsidRPr="009E5141">
              <w:rPr>
                <w:b/>
                <w:color w:val="003300"/>
              </w:rPr>
              <w:t>Weight</w:t>
            </w:r>
          </w:p>
        </w:tc>
        <w:tc>
          <w:tcPr>
            <w:tcW w:w="4181" w:type="pct"/>
            <w:shd w:val="clear" w:color="auto" w:fill="auto"/>
          </w:tcPr>
          <w:p w:rsidR="002C4BFE" w:rsidRPr="009E5141" w:rsidRDefault="002C4BFE" w:rsidP="00F61F52">
            <w:pPr>
              <w:spacing w:line="240" w:lineRule="auto"/>
              <w:rPr>
                <w:b/>
                <w:color w:val="003300"/>
              </w:rPr>
            </w:pPr>
            <w:r w:rsidRPr="009E5141">
              <w:rPr>
                <w:b/>
                <w:color w:val="003300"/>
              </w:rPr>
              <w:t>Agreed Marking Criteria</w:t>
            </w:r>
          </w:p>
        </w:tc>
      </w:tr>
      <w:tr w:rsidR="002C4BFE" w:rsidRPr="009E5141" w:rsidTr="00F61F52">
        <w:tc>
          <w:tcPr>
            <w:tcW w:w="819" w:type="pct"/>
            <w:shd w:val="clear" w:color="auto" w:fill="auto"/>
          </w:tcPr>
          <w:p w:rsidR="002C4BFE" w:rsidRPr="009E5141" w:rsidRDefault="002C4BFE" w:rsidP="00F61F52">
            <w:r w:rsidRPr="009E5141">
              <w:t xml:space="preserve">Pass/Fail </w:t>
            </w:r>
          </w:p>
        </w:tc>
        <w:tc>
          <w:tcPr>
            <w:tcW w:w="4181" w:type="pct"/>
            <w:shd w:val="clear" w:color="auto" w:fill="auto"/>
          </w:tcPr>
          <w:p w:rsidR="002C4BFE" w:rsidRDefault="002C4BFE" w:rsidP="00F61F52">
            <w:r w:rsidRPr="00DE4069">
              <w:rPr>
                <w:b/>
              </w:rPr>
              <w:t>Pass</w:t>
            </w:r>
            <w:r>
              <w:t>: Completed, signed declaration has been provided with all relevant appendices listed</w:t>
            </w:r>
            <w:r w:rsidRPr="009E5141">
              <w:t>.</w:t>
            </w:r>
          </w:p>
          <w:p w:rsidR="002C4BFE" w:rsidRPr="001409D5" w:rsidRDefault="002C4BFE" w:rsidP="006F15FE">
            <w:r w:rsidRPr="00DE4069">
              <w:rPr>
                <w:b/>
              </w:rPr>
              <w:t>Fail</w:t>
            </w:r>
            <w:r>
              <w:t xml:space="preserve">: </w:t>
            </w:r>
            <w:r w:rsidR="006F15FE">
              <w:t>Declaration has not been signed or provided, or exceptions have been noted which cannot be accepted</w:t>
            </w:r>
            <w:r>
              <w:t>.</w:t>
            </w:r>
          </w:p>
        </w:tc>
      </w:tr>
    </w:tbl>
    <w:p w:rsidR="00994B1A" w:rsidRPr="00782D72" w:rsidRDefault="00994B1A" w:rsidP="00E54294"/>
    <w:sectPr w:rsidR="00994B1A" w:rsidRPr="00782D72" w:rsidSect="008B033E">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40" w:rsidRDefault="00840D40">
      <w:r>
        <w:separator/>
      </w:r>
    </w:p>
    <w:p w:rsidR="00840D40" w:rsidRDefault="00840D40"/>
  </w:endnote>
  <w:endnote w:type="continuationSeparator" w:id="0">
    <w:p w:rsidR="00840D40" w:rsidRDefault="00840D40">
      <w:r>
        <w:continuationSeparator/>
      </w:r>
    </w:p>
    <w:p w:rsidR="00840D40" w:rsidRDefault="00840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pPr>
      <w:pStyle w:val="Footer"/>
    </w:pPr>
  </w:p>
  <w:p w:rsidR="00840D40" w:rsidRDefault="00840D40"/>
  <w:p w:rsidR="00840D40" w:rsidRDefault="00840D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03D0D">
      <w:rPr>
        <w:rStyle w:val="PageNumber"/>
        <w:noProof/>
        <w:lang w:val="en-US"/>
      </w:rPr>
      <w:t>52</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ITT Toilets for Forest Live concerts v2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Rachael Miller</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19 Nov 2015</w:t>
    </w:r>
  </w:p>
  <w:p w:rsidR="00840D40" w:rsidRDefault="00840D40" w:rsidP="004040E8">
    <w:pPr>
      <w:pStyle w:val="Footer"/>
    </w:pPr>
  </w:p>
  <w:p w:rsidR="00840D40" w:rsidRDefault="00840D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03D0D">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ITT Toilets for Forest Live concerts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Rachael Miller</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903D0D">
      <w:rPr>
        <w:rStyle w:val="PageNumber"/>
        <w:noProof/>
      </w:rPr>
      <w:t>23/11/2015</w:t>
    </w:r>
    <w:r>
      <w:rPr>
        <w:rStyle w:val="PageNumber"/>
      </w:rPr>
      <w:fldChar w:fldCharType="end"/>
    </w:r>
  </w:p>
  <w:p w:rsidR="00840D40" w:rsidRDefault="00840D40" w:rsidP="004040E8">
    <w:pPr>
      <w:pStyle w:val="Footer"/>
    </w:pPr>
  </w:p>
  <w:p w:rsidR="00840D40" w:rsidRDefault="00840D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40" w:rsidRDefault="00840D40">
      <w:r>
        <w:separator/>
      </w:r>
    </w:p>
    <w:p w:rsidR="00840D40" w:rsidRDefault="00840D40"/>
  </w:footnote>
  <w:footnote w:type="continuationSeparator" w:id="0">
    <w:p w:rsidR="00840D40" w:rsidRDefault="00840D40">
      <w:r>
        <w:continuationSeparator/>
      </w:r>
    </w:p>
    <w:p w:rsidR="00840D40" w:rsidRDefault="00840D40"/>
  </w:footnote>
  <w:footnote w:id="1">
    <w:p w:rsidR="00840D40" w:rsidRDefault="00840D40" w:rsidP="00323316">
      <w:pPr>
        <w:spacing w:line="240" w:lineRule="auto"/>
      </w:pPr>
      <w:r>
        <w:rPr>
          <w:rStyle w:val="FootnoteReference"/>
        </w:rPr>
        <w:footnoteRef/>
      </w:r>
      <w:r>
        <w:rPr>
          <w:rFonts w:ascii="Times New Roman" w:hAnsi="Times New Roman"/>
          <w:sz w:val="20"/>
        </w:rPr>
        <w:t xml:space="preserve"> </w:t>
      </w:r>
      <w:r>
        <w:rPr>
          <w:sz w:val="18"/>
        </w:rPr>
        <w:t xml:space="preserve">See EU definition of SME: </w:t>
      </w:r>
      <w:hyperlink r:id="rId1" w:history="1">
        <w:r w:rsidRPr="005B4A7B">
          <w:rPr>
            <w:rStyle w:val="Hyperlink"/>
            <w:sz w:val="18"/>
          </w:rPr>
          <w:t>http://ec.europa.eu/enterprise/policies/sme/facts-figures-analysis/sme-definition/</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pPr>
      <w:pStyle w:val="Header"/>
    </w:pPr>
  </w:p>
  <w:p w:rsidR="00840D40" w:rsidRDefault="00840D40"/>
  <w:p w:rsidR="00840D40" w:rsidRDefault="00840D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simplePos x="0" y="0"/>
          <wp:positionH relativeFrom="page">
            <wp:posOffset>180340</wp:posOffset>
          </wp:positionH>
          <wp:positionV relativeFrom="page">
            <wp:posOffset>180340</wp:posOffset>
          </wp:positionV>
          <wp:extent cx="7191375" cy="1200150"/>
          <wp:effectExtent l="1905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srcRect/>
                  <a:stretch>
                    <a:fillRect/>
                  </a:stretch>
                </pic:blipFill>
                <pic:spPr bwMode="auto">
                  <a:xfrm>
                    <a:off x="0" y="0"/>
                    <a:ext cx="7191375" cy="1200150"/>
                  </a:xfrm>
                  <a:prstGeom prst="rect">
                    <a:avLst/>
                  </a:prstGeom>
                  <a:noFill/>
                  <a:ln w="9525">
                    <a:noFill/>
                    <a:miter lim="800000"/>
                    <a:headEnd/>
                    <a:tailEnd/>
                  </a:ln>
                </pic:spPr>
              </pic:pic>
            </a:graphicData>
          </a:graphic>
        </wp:anchor>
      </w:drawing>
    </w:r>
  </w:p>
  <w:p w:rsidR="00840D40" w:rsidRDefault="00840D40" w:rsidP="005C34E6">
    <w:pPr>
      <w:pStyle w:val="RunningTitle"/>
      <w:numPr>
        <w:ilvl w:val="0"/>
        <w:numId w:val="0"/>
      </w:numPr>
    </w:pPr>
    <w:r>
      <w:t xml:space="preserve">ITT </w:t>
    </w:r>
  </w:p>
  <w:p w:rsidR="00840D40" w:rsidRDefault="00840D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40" w:rsidRDefault="00840D40">
    <w:pPr>
      <w:pStyle w:val="Header"/>
    </w:pPr>
    <w:r>
      <w:rPr>
        <w:noProof/>
        <w:lang w:eastAsia="en-GB"/>
      </w:rPr>
      <w:drawing>
        <wp:anchor distT="0" distB="0" distL="114300" distR="114300" simplePos="0" relativeHeight="251658752" behindDoc="1" locked="0" layoutInCell="1" allowOverlap="1">
          <wp:simplePos x="0" y="0"/>
          <wp:positionH relativeFrom="page">
            <wp:posOffset>158115</wp:posOffset>
          </wp:positionH>
          <wp:positionV relativeFrom="page">
            <wp:posOffset>182880</wp:posOffset>
          </wp:positionV>
          <wp:extent cx="7221855" cy="1200785"/>
          <wp:effectExtent l="1905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srcRect/>
                  <a:stretch>
                    <a:fillRect/>
                  </a:stretch>
                </pic:blipFill>
                <pic:spPr bwMode="auto">
                  <a:xfrm>
                    <a:off x="0" y="0"/>
                    <a:ext cx="7221855" cy="1200785"/>
                  </a:xfrm>
                  <a:prstGeom prst="rect">
                    <a:avLst/>
                  </a:prstGeom>
                  <a:noFill/>
                  <a:ln w="9525">
                    <a:noFill/>
                    <a:miter lim="800000"/>
                    <a:headEnd/>
                    <a:tailEnd/>
                  </a:ln>
                </pic:spPr>
              </pic:pic>
            </a:graphicData>
          </a:graphic>
        </wp:anchor>
      </w:drawing>
    </w:r>
    <w:r w:rsidR="00E74A81">
      <w:rPr>
        <w:noProof/>
        <w:lang w:eastAsia="en-GB"/>
      </w:rPr>
      <mc:AlternateContent>
        <mc:Choice Requires="wps">
          <w:drawing>
            <wp:anchor distT="0" distB="0" distL="114300" distR="114300" simplePos="0" relativeHeight="251656704" behindDoc="0" locked="1" layoutInCell="1" allowOverlap="1">
              <wp:simplePos x="0" y="0"/>
              <wp:positionH relativeFrom="page">
                <wp:posOffset>3366770</wp:posOffset>
              </wp:positionH>
              <wp:positionV relativeFrom="page">
                <wp:posOffset>396240</wp:posOffset>
              </wp:positionV>
              <wp:extent cx="360934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D40" w:rsidRPr="00661478" w:rsidRDefault="00840D40"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KMsAIAALkFAAAOAAAAZHJzL2Uyb0RvYy54bWysVG1vmzAQ/j5p/8HydwqkzguopGpDmCZ1&#10;L1K7H+AYE6yBzWwn0E377zubJE1bTZq28cGyfefn7rl7uKvroW3QnmsjlMxwfBFhxCVTpZDbDH95&#10;KIIFRsZSWdJGSZ7hR27w9fLtm6u+S/lE1aopuUYAIk3adxmure3SMDSs5i01F6rjEoyV0i21cNTb&#10;sNS0B/S2CSdRNAt7pctOK8aNgdt8NOKlx68qzuynqjLcoibDkJv1q/brxq3h8oqmW027WrBDGvQv&#10;smipkBD0BJVTS9FOi1dQrWBaGVXZC6baUFWVYNxzADZx9ILNfU077rlAcUx3KpP5f7Ds4/6zRqKE&#10;3mEkaQsteuCDRbdqQLGrTt+ZFJzuO3CzA1w7T8fUdHeKfTVIqlVN5ZbfaK36mtMSsvMvw7OnI45x&#10;IJv+gyohDN1Z5YGGSrcOEIqBAB269HjqjEuFweXlLEouCZgY2Mh0Dq13yYU0Pb7utLHvuGqR22RY&#10;Q+c9Ot3fGTu6Hl1cMKkK0TS++418dgGY4w3EhqfO5rLwzfyRRMl6sV6QgExm64BEeR7cFCsSzIp4&#10;Ps0v89Uqj3+6uDFJa1GWXLowR2HF5M8ad5D4KImTtIxqROngXEpGbzerRqM9BWEX/jsU5MwtfJ6G&#10;rxdweUEpnpDodpIExWwxD0hBpkEyjxZBFCe3ySwiCcmL55TuhOT/Tgn1GU6mk+kopt9yi/z3mhtN&#10;W2FhdDSizfDi5ERTJ8G1LH1rLRXNuD8rhUv/qRTQ7mOjvWCdRke12mEzAIpT8UaVjyBdrUBZIEKY&#10;d7Cplf6OUQ+zI8Pm245qjlHzXoL8k5g4rVp/8GrFSJ9bNucWKhlAZdhiNG5XdhxQu06LbQ2Rxh9O&#10;qhv4ZSrh1fyUFVBxB5gPntRhlrkBdH72Xk8Td/kLAAD//wMAUEsDBBQABgAIAAAAIQCt0Da93wAA&#10;AAsBAAAPAAAAZHJzL2Rvd25yZXYueG1sTI9NT8MwDIbvSPyHyJO4sWRdV22l6YRAXEEbHxK3rPHa&#10;isapmmwt/x7vNG62/Oj18xbbyXXijENoPWlYzBUIpMrblmoNH+8v92sQIRqypvOEGn4xwLa8vSlM&#10;bv1IOzzvYy04hEJuNDQx9rmUoWrQmTD3PRLfjn5wJvI61NIOZuRw18lEqUw60xJ/aEyPTw1WP/uT&#10;0/D5evz+StVb/exW/egnJcltpNZ3s+nxAUTEKV5huOizOpTsdPAnskF0GlZLlTCqIUtSEBdAbdYZ&#10;iANPyzQFWRbyf4fyDwAA//8DAFBLAQItABQABgAIAAAAIQC2gziS/gAAAOEBAAATAAAAAAAAAAAA&#10;AAAAAAAAAABbQ29udGVudF9UeXBlc10ueG1sUEsBAi0AFAAGAAgAAAAhADj9If/WAAAAlAEAAAsA&#10;AAAAAAAAAAAAAAAALwEAAF9yZWxzLy5yZWxzUEsBAi0AFAAGAAgAAAAhAMTFwoywAgAAuQUAAA4A&#10;AAAAAAAAAAAAAAAALgIAAGRycy9lMm9Eb2MueG1sUEsBAi0AFAAGAAgAAAAhAK3QNr3fAAAACwEA&#10;AA8AAAAAAAAAAAAAAAAACgUAAGRycy9kb3ducmV2LnhtbFBLBQYAAAAABAAEAPMAAAAWBgAAAAA=&#10;" filled="f" stroked="f">
              <v:textbox>
                <w:txbxContent>
                  <w:p w:rsidR="00840D40" w:rsidRPr="00661478" w:rsidRDefault="00840D40" w:rsidP="00952BF0">
                    <w:pPr>
                      <w:pStyle w:val="ParentTitle"/>
                    </w:pPr>
                  </w:p>
                </w:txbxContent>
              </v:textbox>
              <w10:wrap anchorx="page" anchory="page"/>
              <w10:anchorlock/>
            </v:shape>
          </w:pict>
        </mc:Fallback>
      </mc:AlternateContent>
    </w:r>
  </w:p>
  <w:p w:rsidR="00840D40" w:rsidRDefault="00840D40"/>
  <w:p w:rsidR="00840D40" w:rsidRDefault="00840D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FE80D2"/>
    <w:lvl w:ilvl="0">
      <w:start w:val="1"/>
      <w:numFmt w:val="decimal"/>
      <w:lvlText w:val="%1."/>
      <w:lvlJc w:val="left"/>
      <w:pPr>
        <w:tabs>
          <w:tab w:val="num" w:pos="1492"/>
        </w:tabs>
        <w:ind w:left="1492" w:hanging="360"/>
      </w:pPr>
    </w:lvl>
  </w:abstractNum>
  <w:abstractNum w:abstractNumId="1">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66509E7"/>
    <w:multiLevelType w:val="hybridMultilevel"/>
    <w:tmpl w:val="1A70A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DA5D96"/>
    <w:multiLevelType w:val="multilevel"/>
    <w:tmpl w:val="FC56FC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8">
    <w:nsid w:val="11F466FD"/>
    <w:multiLevelType w:val="hybridMultilevel"/>
    <w:tmpl w:val="831AE2AC"/>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F6571C"/>
    <w:multiLevelType w:val="multilevel"/>
    <w:tmpl w:val="91A4DC56"/>
    <w:lvl w:ilvl="0">
      <w:start w:val="1"/>
      <w:numFmt w:val="decimal"/>
      <w:pStyle w:val="Heading1"/>
      <w:lvlText w:val="%1"/>
      <w:lvlJc w:val="left"/>
      <w:pPr>
        <w:ind w:left="432" w:hanging="432"/>
      </w:pPr>
      <w:rPr>
        <w:i w:val="0"/>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8361C"/>
    <w:multiLevelType w:val="hybridMultilevel"/>
    <w:tmpl w:val="3C2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62B26"/>
    <w:multiLevelType w:val="hybridMultilevel"/>
    <w:tmpl w:val="2A0C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A03D3E"/>
    <w:multiLevelType w:val="hybridMultilevel"/>
    <w:tmpl w:val="4AD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E724DB"/>
    <w:multiLevelType w:val="multilevel"/>
    <w:tmpl w:val="5666F8F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1B77B0"/>
    <w:multiLevelType w:val="hybridMultilevel"/>
    <w:tmpl w:val="C2467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3861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C7448B6"/>
    <w:multiLevelType w:val="hybridMultilevel"/>
    <w:tmpl w:val="66D8ED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BA3432"/>
    <w:multiLevelType w:val="hybridMultilevel"/>
    <w:tmpl w:val="04AE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29">
    <w:nsid w:val="56780EFC"/>
    <w:multiLevelType w:val="hybridMultilevel"/>
    <w:tmpl w:val="53A6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6F743B"/>
    <w:multiLevelType w:val="hybridMultilevel"/>
    <w:tmpl w:val="B432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FCB39C5"/>
    <w:multiLevelType w:val="multilevel"/>
    <w:tmpl w:val="E25A307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nsid w:val="618216D5"/>
    <w:multiLevelType w:val="hybridMultilevel"/>
    <w:tmpl w:val="3C862C04"/>
    <w:lvl w:ilvl="0" w:tplc="79809F2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2510774"/>
    <w:multiLevelType w:val="hybridMultilevel"/>
    <w:tmpl w:val="1B783400"/>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AB13D5"/>
    <w:multiLevelType w:val="hybridMultilevel"/>
    <w:tmpl w:val="11203E2A"/>
    <w:lvl w:ilvl="0" w:tplc="63C84774">
      <w:start w:val="1"/>
      <w:numFmt w:val="bullet"/>
      <w:lvlText w:val=""/>
      <w:lvlJc w:val="left"/>
      <w:pPr>
        <w:tabs>
          <w:tab w:val="num" w:pos="720"/>
        </w:tabs>
        <w:ind w:left="7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E06D36"/>
    <w:multiLevelType w:val="multilevel"/>
    <w:tmpl w:val="227EA79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7">
    <w:nsid w:val="6A5929DD"/>
    <w:multiLevelType w:val="hybridMultilevel"/>
    <w:tmpl w:val="FC70FC86"/>
    <w:lvl w:ilvl="0" w:tplc="DFECDBF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C3321BC"/>
    <w:multiLevelType w:val="multilevel"/>
    <w:tmpl w:val="E4308E38"/>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9">
    <w:nsid w:val="6FF66F61"/>
    <w:multiLevelType w:val="hybridMultilevel"/>
    <w:tmpl w:val="C8FAAD8A"/>
    <w:lvl w:ilvl="0" w:tplc="F4E822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3862039"/>
    <w:multiLevelType w:val="multilevel"/>
    <w:tmpl w:val="EAA6915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42">
    <w:nsid w:val="778C07F5"/>
    <w:multiLevelType w:val="multilevel"/>
    <w:tmpl w:val="FF9EE26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3">
    <w:nsid w:val="7B81535F"/>
    <w:multiLevelType w:val="multilevel"/>
    <w:tmpl w:val="318081A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4">
    <w:nsid w:val="7BBD4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8"/>
  </w:num>
  <w:num w:numId="3">
    <w:abstractNumId w:val="9"/>
  </w:num>
  <w:num w:numId="4">
    <w:abstractNumId w:val="0"/>
  </w:num>
  <w:num w:numId="5">
    <w:abstractNumId w:val="4"/>
  </w:num>
  <w:num w:numId="6">
    <w:abstractNumId w:val="3"/>
  </w:num>
  <w:num w:numId="7">
    <w:abstractNumId w:val="2"/>
  </w:num>
  <w:num w:numId="8">
    <w:abstractNumId w:val="1"/>
  </w:num>
  <w:num w:numId="9">
    <w:abstractNumId w:val="23"/>
  </w:num>
  <w:num w:numId="10">
    <w:abstractNumId w:val="4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8"/>
  </w:num>
  <w:num w:numId="14">
    <w:abstractNumId w:val="32"/>
  </w:num>
  <w:num w:numId="15">
    <w:abstractNumId w:val="36"/>
  </w:num>
  <w:num w:numId="16">
    <w:abstractNumId w:val="7"/>
  </w:num>
  <w:num w:numId="17">
    <w:abstractNumId w:val="19"/>
  </w:num>
  <w:num w:numId="18">
    <w:abstractNumId w:val="41"/>
  </w:num>
  <w:num w:numId="19">
    <w:abstractNumId w:val="42"/>
  </w:num>
  <w:num w:numId="20">
    <w:abstractNumId w:val="28"/>
  </w:num>
  <w:num w:numId="21">
    <w:abstractNumId w:val="10"/>
  </w:num>
  <w:num w:numId="22">
    <w:abstractNumId w:val="20"/>
  </w:num>
  <w:num w:numId="23">
    <w:abstractNumId w:val="34"/>
  </w:num>
  <w:num w:numId="24">
    <w:abstractNumId w:val="8"/>
  </w:num>
  <w:num w:numId="25">
    <w:abstractNumId w:val="16"/>
  </w:num>
  <w:num w:numId="26">
    <w:abstractNumId w:val="17"/>
  </w:num>
  <w:num w:numId="27">
    <w:abstractNumId w:val="5"/>
  </w:num>
  <w:num w:numId="28">
    <w:abstractNumId w:val="27"/>
  </w:num>
  <w:num w:numId="29">
    <w:abstractNumId w:val="21"/>
  </w:num>
  <w:num w:numId="30">
    <w:abstractNumId w:val="37"/>
  </w:num>
  <w:num w:numId="31">
    <w:abstractNumId w:val="22"/>
  </w:num>
  <w:num w:numId="32">
    <w:abstractNumId w:val="25"/>
  </w:num>
  <w:num w:numId="33">
    <w:abstractNumId w:val="14"/>
  </w:num>
  <w:num w:numId="34">
    <w:abstractNumId w:val="15"/>
  </w:num>
  <w:num w:numId="35">
    <w:abstractNumId w:val="33"/>
  </w:num>
  <w:num w:numId="36">
    <w:abstractNumId w:val="6"/>
  </w:num>
  <w:num w:numId="37">
    <w:abstractNumId w:val="40"/>
  </w:num>
  <w:num w:numId="38">
    <w:abstractNumId w:val="12"/>
  </w:num>
  <w:num w:numId="39">
    <w:abstractNumId w:val="35"/>
  </w:num>
  <w:num w:numId="40">
    <w:abstractNumId w:val="26"/>
  </w:num>
  <w:num w:numId="41">
    <w:abstractNumId w:val="29"/>
  </w:num>
  <w:num w:numId="42">
    <w:abstractNumId w:val="30"/>
  </w:num>
  <w:num w:numId="43">
    <w:abstractNumId w:val="31"/>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06"/>
    <w:rsid w:val="00003FC7"/>
    <w:rsid w:val="00022C50"/>
    <w:rsid w:val="00023730"/>
    <w:rsid w:val="00043CE9"/>
    <w:rsid w:val="00051F4F"/>
    <w:rsid w:val="00052364"/>
    <w:rsid w:val="00073E39"/>
    <w:rsid w:val="000749D3"/>
    <w:rsid w:val="0008527A"/>
    <w:rsid w:val="00093B5A"/>
    <w:rsid w:val="000967EA"/>
    <w:rsid w:val="00097827"/>
    <w:rsid w:val="0009784B"/>
    <w:rsid w:val="000A4B10"/>
    <w:rsid w:val="000D0DD0"/>
    <w:rsid w:val="000D2254"/>
    <w:rsid w:val="001049E9"/>
    <w:rsid w:val="00126D0B"/>
    <w:rsid w:val="00131E57"/>
    <w:rsid w:val="001610A1"/>
    <w:rsid w:val="0016319B"/>
    <w:rsid w:val="00171943"/>
    <w:rsid w:val="00190506"/>
    <w:rsid w:val="00193552"/>
    <w:rsid w:val="00197A10"/>
    <w:rsid w:val="001A151A"/>
    <w:rsid w:val="001E0039"/>
    <w:rsid w:val="001F7EA0"/>
    <w:rsid w:val="002078BE"/>
    <w:rsid w:val="002117DB"/>
    <w:rsid w:val="00223D85"/>
    <w:rsid w:val="00226860"/>
    <w:rsid w:val="002337F5"/>
    <w:rsid w:val="00240C6C"/>
    <w:rsid w:val="002455A9"/>
    <w:rsid w:val="00246D42"/>
    <w:rsid w:val="00252A87"/>
    <w:rsid w:val="00277241"/>
    <w:rsid w:val="00281E1A"/>
    <w:rsid w:val="002845B3"/>
    <w:rsid w:val="002A76A4"/>
    <w:rsid w:val="002A7708"/>
    <w:rsid w:val="002C363E"/>
    <w:rsid w:val="002C4BFE"/>
    <w:rsid w:val="002D666D"/>
    <w:rsid w:val="002E09AD"/>
    <w:rsid w:val="002E4041"/>
    <w:rsid w:val="002E609B"/>
    <w:rsid w:val="002F6640"/>
    <w:rsid w:val="003106F6"/>
    <w:rsid w:val="0031108F"/>
    <w:rsid w:val="00323316"/>
    <w:rsid w:val="003277A8"/>
    <w:rsid w:val="00340B62"/>
    <w:rsid w:val="00350EBA"/>
    <w:rsid w:val="00351226"/>
    <w:rsid w:val="00364BDA"/>
    <w:rsid w:val="0036689C"/>
    <w:rsid w:val="00367C48"/>
    <w:rsid w:val="00375320"/>
    <w:rsid w:val="00380E65"/>
    <w:rsid w:val="003854DE"/>
    <w:rsid w:val="00391B8E"/>
    <w:rsid w:val="00394881"/>
    <w:rsid w:val="003B5D8F"/>
    <w:rsid w:val="003C2EB2"/>
    <w:rsid w:val="003C7FFA"/>
    <w:rsid w:val="003D3BCE"/>
    <w:rsid w:val="003F30B3"/>
    <w:rsid w:val="004040E8"/>
    <w:rsid w:val="00410EDA"/>
    <w:rsid w:val="00413628"/>
    <w:rsid w:val="00414458"/>
    <w:rsid w:val="00415AE7"/>
    <w:rsid w:val="00416884"/>
    <w:rsid w:val="00421D85"/>
    <w:rsid w:val="00437391"/>
    <w:rsid w:val="00446741"/>
    <w:rsid w:val="004616BC"/>
    <w:rsid w:val="004944AB"/>
    <w:rsid w:val="004B2470"/>
    <w:rsid w:val="004D6959"/>
    <w:rsid w:val="004D76FD"/>
    <w:rsid w:val="004E69BB"/>
    <w:rsid w:val="004F2F4F"/>
    <w:rsid w:val="00502CAF"/>
    <w:rsid w:val="005310DA"/>
    <w:rsid w:val="00545FCC"/>
    <w:rsid w:val="00555277"/>
    <w:rsid w:val="0055758D"/>
    <w:rsid w:val="00565FFE"/>
    <w:rsid w:val="00570F56"/>
    <w:rsid w:val="00576B8A"/>
    <w:rsid w:val="005906DE"/>
    <w:rsid w:val="00591CD9"/>
    <w:rsid w:val="005953FA"/>
    <w:rsid w:val="005A2ADC"/>
    <w:rsid w:val="005C34E6"/>
    <w:rsid w:val="005C5D33"/>
    <w:rsid w:val="005D3614"/>
    <w:rsid w:val="005E2B4A"/>
    <w:rsid w:val="005F596F"/>
    <w:rsid w:val="00607193"/>
    <w:rsid w:val="00627B01"/>
    <w:rsid w:val="00644DFB"/>
    <w:rsid w:val="00646B17"/>
    <w:rsid w:val="00654668"/>
    <w:rsid w:val="00655F95"/>
    <w:rsid w:val="00661478"/>
    <w:rsid w:val="00661BD3"/>
    <w:rsid w:val="00672D28"/>
    <w:rsid w:val="006753EA"/>
    <w:rsid w:val="006A09DD"/>
    <w:rsid w:val="006B03A6"/>
    <w:rsid w:val="006B5BF3"/>
    <w:rsid w:val="006B5C94"/>
    <w:rsid w:val="006B6D75"/>
    <w:rsid w:val="006C0F90"/>
    <w:rsid w:val="006C5B8F"/>
    <w:rsid w:val="006E2996"/>
    <w:rsid w:val="006F15FE"/>
    <w:rsid w:val="006F745D"/>
    <w:rsid w:val="00700496"/>
    <w:rsid w:val="007367FA"/>
    <w:rsid w:val="00736E3A"/>
    <w:rsid w:val="007419F1"/>
    <w:rsid w:val="00741C57"/>
    <w:rsid w:val="00767726"/>
    <w:rsid w:val="00781E67"/>
    <w:rsid w:val="00782D72"/>
    <w:rsid w:val="0078442A"/>
    <w:rsid w:val="00792A49"/>
    <w:rsid w:val="007937E2"/>
    <w:rsid w:val="00797DD4"/>
    <w:rsid w:val="007B30B5"/>
    <w:rsid w:val="007C286C"/>
    <w:rsid w:val="007C4820"/>
    <w:rsid w:val="007C59D0"/>
    <w:rsid w:val="007D0859"/>
    <w:rsid w:val="007D1EDC"/>
    <w:rsid w:val="007E0FAD"/>
    <w:rsid w:val="007F4B1C"/>
    <w:rsid w:val="007F54D4"/>
    <w:rsid w:val="0080305C"/>
    <w:rsid w:val="008104D3"/>
    <w:rsid w:val="00812931"/>
    <w:rsid w:val="00826ACF"/>
    <w:rsid w:val="00840201"/>
    <w:rsid w:val="00840B7A"/>
    <w:rsid w:val="00840D40"/>
    <w:rsid w:val="0085117F"/>
    <w:rsid w:val="00863C19"/>
    <w:rsid w:val="0087073A"/>
    <w:rsid w:val="00874391"/>
    <w:rsid w:val="008873D6"/>
    <w:rsid w:val="00897CB3"/>
    <w:rsid w:val="008B033E"/>
    <w:rsid w:val="008B78E7"/>
    <w:rsid w:val="008D6685"/>
    <w:rsid w:val="008F4F14"/>
    <w:rsid w:val="00902C1C"/>
    <w:rsid w:val="00903D0D"/>
    <w:rsid w:val="009118DF"/>
    <w:rsid w:val="00952BF0"/>
    <w:rsid w:val="00955AFA"/>
    <w:rsid w:val="00956066"/>
    <w:rsid w:val="009668BE"/>
    <w:rsid w:val="00971F49"/>
    <w:rsid w:val="00994B1A"/>
    <w:rsid w:val="009B5B6A"/>
    <w:rsid w:val="009C0BE9"/>
    <w:rsid w:val="009E18DD"/>
    <w:rsid w:val="009E1EDF"/>
    <w:rsid w:val="009E5462"/>
    <w:rsid w:val="00A14FE9"/>
    <w:rsid w:val="00A15A13"/>
    <w:rsid w:val="00A24D8D"/>
    <w:rsid w:val="00A57510"/>
    <w:rsid w:val="00A666ED"/>
    <w:rsid w:val="00A94D87"/>
    <w:rsid w:val="00AA6C9A"/>
    <w:rsid w:val="00AB1EAD"/>
    <w:rsid w:val="00AB6F28"/>
    <w:rsid w:val="00AE04D4"/>
    <w:rsid w:val="00AE353B"/>
    <w:rsid w:val="00AF4CBF"/>
    <w:rsid w:val="00B12CF2"/>
    <w:rsid w:val="00B26CC8"/>
    <w:rsid w:val="00B4146C"/>
    <w:rsid w:val="00B63A04"/>
    <w:rsid w:val="00B652D0"/>
    <w:rsid w:val="00B71737"/>
    <w:rsid w:val="00B766BA"/>
    <w:rsid w:val="00B854CA"/>
    <w:rsid w:val="00B858E2"/>
    <w:rsid w:val="00B8694B"/>
    <w:rsid w:val="00B96813"/>
    <w:rsid w:val="00BA0A21"/>
    <w:rsid w:val="00BA28AF"/>
    <w:rsid w:val="00BB2E25"/>
    <w:rsid w:val="00BC3CCC"/>
    <w:rsid w:val="00BE0288"/>
    <w:rsid w:val="00BF4CC6"/>
    <w:rsid w:val="00C26503"/>
    <w:rsid w:val="00C643AD"/>
    <w:rsid w:val="00C72469"/>
    <w:rsid w:val="00C83704"/>
    <w:rsid w:val="00C83F50"/>
    <w:rsid w:val="00CA1784"/>
    <w:rsid w:val="00CA27B9"/>
    <w:rsid w:val="00CB2652"/>
    <w:rsid w:val="00CB2D76"/>
    <w:rsid w:val="00CB2F2A"/>
    <w:rsid w:val="00CC6687"/>
    <w:rsid w:val="00CD33C3"/>
    <w:rsid w:val="00CD5CA3"/>
    <w:rsid w:val="00D001D5"/>
    <w:rsid w:val="00D3042D"/>
    <w:rsid w:val="00D42055"/>
    <w:rsid w:val="00D42F99"/>
    <w:rsid w:val="00D50496"/>
    <w:rsid w:val="00D84FB2"/>
    <w:rsid w:val="00D85C95"/>
    <w:rsid w:val="00DB7375"/>
    <w:rsid w:val="00DE4069"/>
    <w:rsid w:val="00E05D6D"/>
    <w:rsid w:val="00E16C6A"/>
    <w:rsid w:val="00E537D1"/>
    <w:rsid w:val="00E54294"/>
    <w:rsid w:val="00E74A81"/>
    <w:rsid w:val="00E82136"/>
    <w:rsid w:val="00EB18CF"/>
    <w:rsid w:val="00EB5C17"/>
    <w:rsid w:val="00ED4A92"/>
    <w:rsid w:val="00ED7E2C"/>
    <w:rsid w:val="00EE09B6"/>
    <w:rsid w:val="00F004F5"/>
    <w:rsid w:val="00F04FC0"/>
    <w:rsid w:val="00F146E6"/>
    <w:rsid w:val="00F30AD3"/>
    <w:rsid w:val="00F3642B"/>
    <w:rsid w:val="00F4118E"/>
    <w:rsid w:val="00F61F52"/>
    <w:rsid w:val="00F774F9"/>
    <w:rsid w:val="00F80A65"/>
    <w:rsid w:val="00F925DB"/>
    <w:rsid w:val="00F92BDA"/>
    <w:rsid w:val="00FD606C"/>
    <w:rsid w:val="00FD7297"/>
    <w:rsid w:val="00FE07CD"/>
    <w:rsid w:val="00FF4698"/>
    <w:rsid w:val="00FF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B854CA"/>
    <w:pPr>
      <w:keepNext/>
      <w:numPr>
        <w:ilvl w:val="1"/>
        <w:numId w:val="21"/>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27B01"/>
    <w:pPr>
      <w:spacing w:before="120" w:after="120" w:line="240" w:lineRule="atLeast"/>
    </w:pPr>
    <w:rPr>
      <w:bCs/>
      <w:color w:val="006600"/>
      <w:sz w:val="24"/>
      <w:szCs w:val="20"/>
    </w:rPr>
  </w:style>
  <w:style w:type="paragraph" w:styleId="CommentSubject">
    <w:name w:val="annotation subject"/>
    <w:basedOn w:val="CommentText"/>
    <w:next w:val="CommentText"/>
    <w:link w:val="CommentSubjectChar"/>
    <w:rsid w:val="002D666D"/>
    <w:pPr>
      <w:spacing w:before="0" w:line="240" w:lineRule="auto"/>
    </w:pPr>
    <w:rPr>
      <w:b/>
      <w:bCs/>
    </w:rPr>
  </w:style>
  <w:style w:type="character" w:customStyle="1" w:styleId="CommentSubjectChar">
    <w:name w:val="Comment Subject Char"/>
    <w:basedOn w:val="CommentTextChar"/>
    <w:link w:val="CommentSubject"/>
    <w:rsid w:val="002D666D"/>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B854CA"/>
    <w:pPr>
      <w:keepNext/>
      <w:numPr>
        <w:ilvl w:val="1"/>
        <w:numId w:val="21"/>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27B01"/>
    <w:pPr>
      <w:spacing w:before="120" w:after="120" w:line="240" w:lineRule="atLeast"/>
    </w:pPr>
    <w:rPr>
      <w:bCs/>
      <w:color w:val="006600"/>
      <w:sz w:val="24"/>
      <w:szCs w:val="20"/>
    </w:rPr>
  </w:style>
  <w:style w:type="paragraph" w:styleId="CommentSubject">
    <w:name w:val="annotation subject"/>
    <w:basedOn w:val="CommentText"/>
    <w:next w:val="CommentText"/>
    <w:link w:val="CommentSubjectChar"/>
    <w:rsid w:val="002D666D"/>
    <w:pPr>
      <w:spacing w:before="0" w:line="240" w:lineRule="auto"/>
    </w:pPr>
    <w:rPr>
      <w:b/>
      <w:bCs/>
    </w:rPr>
  </w:style>
  <w:style w:type="character" w:customStyle="1" w:styleId="CommentSubjectChar">
    <w:name w:val="Comment Subject Char"/>
    <w:basedOn w:val="CommentTextChar"/>
    <w:link w:val="CommentSubject"/>
    <w:rsid w:val="002D666D"/>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stry.gov.uk/website/forestry.nsf/byunique/infd-8xtkx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restry.gov.uk/musi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11710</Words>
  <Characters>66752</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78306</CharactersWithSpaces>
  <SharedDoc>false</SharedDoc>
  <HLinks>
    <vt:vector size="42" baseType="variant">
      <vt:variant>
        <vt:i4>4390980</vt:i4>
      </vt:variant>
      <vt:variant>
        <vt:i4>15</vt:i4>
      </vt:variant>
      <vt:variant>
        <vt:i4>0</vt:i4>
      </vt:variant>
      <vt:variant>
        <vt:i4>5</vt:i4>
      </vt:variant>
      <vt:variant>
        <vt:lpwstr>http://www.forestry.gov.uk/website/forestry.nsf/byunique/infd-8xtkx5</vt:lpwstr>
      </vt:variant>
      <vt:variant>
        <vt:lpwstr/>
      </vt:variant>
      <vt:variant>
        <vt:i4>3276835</vt:i4>
      </vt:variant>
      <vt:variant>
        <vt:i4>12</vt:i4>
      </vt:variant>
      <vt:variant>
        <vt:i4>0</vt:i4>
      </vt:variant>
      <vt:variant>
        <vt:i4>5</vt:i4>
      </vt:variant>
      <vt:variant>
        <vt:lpwstr>http://www.forestry.gov.uk/forestry/infd-8wpmpq</vt:lpwstr>
      </vt:variant>
      <vt:variant>
        <vt:lpwstr/>
      </vt:variant>
      <vt:variant>
        <vt:i4>7143463</vt:i4>
      </vt:variant>
      <vt:variant>
        <vt:i4>9</vt:i4>
      </vt:variant>
      <vt:variant>
        <vt:i4>0</vt:i4>
      </vt:variant>
      <vt:variant>
        <vt:i4>5</vt:i4>
      </vt:variant>
      <vt:variant>
        <vt:lpwstr>http://www.hse.gov.uk/</vt:lpwstr>
      </vt:variant>
      <vt:variant>
        <vt:lpwstr/>
      </vt:variant>
      <vt:variant>
        <vt:i4>2359418</vt:i4>
      </vt:variant>
      <vt:variant>
        <vt:i4>6</vt:i4>
      </vt:variant>
      <vt:variant>
        <vt:i4>0</vt:i4>
      </vt:variant>
      <vt:variant>
        <vt:i4>5</vt:i4>
      </vt:variant>
      <vt:variant>
        <vt:lpwstr>http://www.forestry.gov.uk/selltous</vt:lpwstr>
      </vt:variant>
      <vt:variant>
        <vt:lpwstr/>
      </vt:variant>
      <vt:variant>
        <vt:i4>2359418</vt:i4>
      </vt:variant>
      <vt:variant>
        <vt:i4>3</vt:i4>
      </vt:variant>
      <vt:variant>
        <vt:i4>0</vt:i4>
      </vt:variant>
      <vt:variant>
        <vt:i4>5</vt:i4>
      </vt:variant>
      <vt:variant>
        <vt:lpwstr>http://www.forestry.gov.uk/selltous</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Joanne</dc:creator>
  <cp:lastModifiedBy>Callender, Ellen</cp:lastModifiedBy>
  <cp:revision>2</cp:revision>
  <dcterms:created xsi:type="dcterms:W3CDTF">2015-11-23T09:43:00Z</dcterms:created>
  <dcterms:modified xsi:type="dcterms:W3CDTF">2015-11-23T09:43:00Z</dcterms:modified>
</cp:coreProperties>
</file>