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459" w:type="dxa"/>
        <w:tblLook w:val="00A0" w:firstRow="1" w:lastRow="0" w:firstColumn="1" w:lastColumn="0" w:noHBand="0" w:noVBand="0"/>
      </w:tblPr>
      <w:tblGrid>
        <w:gridCol w:w="5846"/>
        <w:gridCol w:w="4472"/>
      </w:tblGrid>
      <w:tr w:rsidR="00496908" w:rsidRPr="00386291" w14:paraId="585CB166" w14:textId="77777777" w:rsidTr="00490BBF">
        <w:trPr>
          <w:trHeight w:val="2697"/>
        </w:trPr>
        <w:tc>
          <w:tcPr>
            <w:tcW w:w="5846" w:type="dxa"/>
            <w:tcBorders>
              <w:top w:val="nil"/>
              <w:left w:val="nil"/>
              <w:bottom w:val="nil"/>
              <w:right w:val="nil"/>
            </w:tcBorders>
            <w:shd w:val="clear" w:color="auto" w:fill="auto"/>
          </w:tcPr>
          <w:p w14:paraId="585CB161" w14:textId="77777777" w:rsidR="00496908" w:rsidRPr="00490BBF" w:rsidRDefault="00CA3C2B"/>
        </w:tc>
        <w:tc>
          <w:tcPr>
            <w:tcW w:w="4472" w:type="dxa"/>
            <w:tcBorders>
              <w:top w:val="nil"/>
              <w:left w:val="nil"/>
              <w:bottom w:val="nil"/>
              <w:right w:val="nil"/>
            </w:tcBorders>
            <w:shd w:val="clear" w:color="auto" w:fill="auto"/>
          </w:tcPr>
          <w:p w14:paraId="585CB162" w14:textId="77777777" w:rsidR="009713B9" w:rsidRPr="00490BBF" w:rsidRDefault="00CA3C2B" w:rsidP="009713B9">
            <w:pPr>
              <w:spacing w:after="120" w:line="360" w:lineRule="auto"/>
              <w:ind w:left="-113" w:right="-113"/>
              <w:rPr>
                <w:b/>
                <w:spacing w:val="-2"/>
                <w:sz w:val="4"/>
              </w:rPr>
            </w:pPr>
          </w:p>
          <w:p w14:paraId="7A6D4E4A" w14:textId="77777777" w:rsidR="0095607C" w:rsidRDefault="0095607C" w:rsidP="00192B21">
            <w:pPr>
              <w:spacing w:after="0" w:line="240" w:lineRule="auto"/>
              <w:ind w:left="-113" w:right="-113"/>
              <w:rPr>
                <w:spacing w:val="-2"/>
                <w:sz w:val="20"/>
              </w:rPr>
            </w:pPr>
            <w:r w:rsidRPr="0095607C">
              <w:rPr>
                <w:spacing w:val="-2"/>
                <w:sz w:val="20"/>
              </w:rPr>
              <w:t>Mrs Sarah Younger</w:t>
            </w:r>
          </w:p>
          <w:p w14:paraId="0B85CC9A" w14:textId="77777777" w:rsidR="0095607C" w:rsidRDefault="0095607C" w:rsidP="00192B21">
            <w:pPr>
              <w:spacing w:after="0" w:line="240" w:lineRule="auto"/>
              <w:ind w:left="-113" w:right="-113"/>
              <w:rPr>
                <w:spacing w:val="-2"/>
                <w:sz w:val="20"/>
              </w:rPr>
            </w:pPr>
          </w:p>
          <w:p w14:paraId="2A73DF28" w14:textId="4E617301" w:rsidR="00490BBF" w:rsidRPr="00490BBF" w:rsidRDefault="00FA216B" w:rsidP="00192B21">
            <w:pPr>
              <w:spacing w:after="0" w:line="240" w:lineRule="auto"/>
              <w:ind w:left="-113" w:right="-113"/>
              <w:rPr>
                <w:spacing w:val="-2"/>
                <w:sz w:val="20"/>
              </w:rPr>
            </w:pPr>
            <w:r w:rsidRPr="00490BBF">
              <w:rPr>
                <w:spacing w:val="-2"/>
                <w:sz w:val="20"/>
              </w:rPr>
              <w:t xml:space="preserve"> </w:t>
            </w:r>
            <w:r w:rsidR="00490BBF" w:rsidRPr="00490BBF">
              <w:rPr>
                <w:spacing w:val="-2"/>
                <w:sz w:val="20"/>
              </w:rPr>
              <w:t xml:space="preserve">Ministry of Defence                                                 </w:t>
            </w:r>
          </w:p>
          <w:p w14:paraId="3A44B9CE" w14:textId="77777777" w:rsidR="00490BBF" w:rsidRPr="00490BBF" w:rsidRDefault="00490BBF" w:rsidP="00192B21">
            <w:pPr>
              <w:spacing w:after="0" w:line="240" w:lineRule="auto"/>
              <w:ind w:left="-113" w:right="-113"/>
              <w:rPr>
                <w:spacing w:val="-2"/>
                <w:sz w:val="20"/>
              </w:rPr>
            </w:pPr>
            <w:r w:rsidRPr="00490BBF">
              <w:rPr>
                <w:spacing w:val="-2"/>
                <w:sz w:val="20"/>
              </w:rPr>
              <w:t>Army Commercial, Zone 8 (IDL 437)</w:t>
            </w:r>
          </w:p>
          <w:p w14:paraId="7998D71E" w14:textId="77777777" w:rsidR="00490BBF" w:rsidRPr="00490BBF" w:rsidRDefault="00490BBF" w:rsidP="00192B21">
            <w:pPr>
              <w:spacing w:after="0" w:line="240" w:lineRule="auto"/>
              <w:ind w:left="-113" w:right="-113"/>
              <w:rPr>
                <w:spacing w:val="-2"/>
                <w:sz w:val="20"/>
              </w:rPr>
            </w:pPr>
            <w:r w:rsidRPr="00490BBF">
              <w:rPr>
                <w:spacing w:val="-2"/>
                <w:sz w:val="20"/>
              </w:rPr>
              <w:t>2nd Floor, Ramillies Building,</w:t>
            </w:r>
          </w:p>
          <w:p w14:paraId="77819E72" w14:textId="77777777" w:rsidR="00490BBF" w:rsidRPr="00490BBF" w:rsidRDefault="00490BBF" w:rsidP="00192B21">
            <w:pPr>
              <w:spacing w:after="0" w:line="240" w:lineRule="auto"/>
              <w:ind w:left="-113" w:right="-113"/>
              <w:rPr>
                <w:spacing w:val="-2"/>
                <w:sz w:val="20"/>
              </w:rPr>
            </w:pPr>
            <w:r w:rsidRPr="00490BBF">
              <w:rPr>
                <w:spacing w:val="-2"/>
                <w:sz w:val="20"/>
              </w:rPr>
              <w:t xml:space="preserve">Marlborough Lines, </w:t>
            </w:r>
          </w:p>
          <w:p w14:paraId="42A861B1" w14:textId="77777777" w:rsidR="00490BBF" w:rsidRPr="00490BBF" w:rsidRDefault="00490BBF" w:rsidP="00192B21">
            <w:pPr>
              <w:spacing w:after="0" w:line="240" w:lineRule="auto"/>
              <w:ind w:left="-113" w:right="-113"/>
              <w:rPr>
                <w:spacing w:val="-2"/>
                <w:sz w:val="20"/>
              </w:rPr>
            </w:pPr>
            <w:r w:rsidRPr="00490BBF">
              <w:rPr>
                <w:spacing w:val="-2"/>
                <w:sz w:val="20"/>
              </w:rPr>
              <w:t>Monxton Road,</w:t>
            </w:r>
          </w:p>
          <w:p w14:paraId="50B89AE4" w14:textId="77777777" w:rsidR="00490BBF" w:rsidRPr="00490BBF" w:rsidRDefault="00490BBF" w:rsidP="00192B21">
            <w:pPr>
              <w:spacing w:after="0" w:line="240" w:lineRule="auto"/>
              <w:ind w:left="-113" w:right="-113"/>
              <w:rPr>
                <w:spacing w:val="-2"/>
                <w:sz w:val="20"/>
              </w:rPr>
            </w:pPr>
            <w:r w:rsidRPr="00490BBF">
              <w:rPr>
                <w:spacing w:val="-2"/>
                <w:sz w:val="20"/>
              </w:rPr>
              <w:t>Andover,</w:t>
            </w:r>
          </w:p>
          <w:p w14:paraId="551B03A1" w14:textId="77777777" w:rsidR="00490BBF" w:rsidRPr="00490BBF" w:rsidRDefault="00490BBF" w:rsidP="00192B21">
            <w:pPr>
              <w:spacing w:after="0" w:line="240" w:lineRule="auto"/>
              <w:ind w:left="-113" w:right="-113"/>
              <w:rPr>
                <w:spacing w:val="-2"/>
                <w:sz w:val="20"/>
              </w:rPr>
            </w:pPr>
            <w:r w:rsidRPr="00490BBF">
              <w:rPr>
                <w:spacing w:val="-2"/>
                <w:sz w:val="20"/>
              </w:rPr>
              <w:t>Hampshire,</w:t>
            </w:r>
          </w:p>
          <w:p w14:paraId="585CB164" w14:textId="0867196C" w:rsidR="00FA216B" w:rsidRPr="00490BBF" w:rsidRDefault="00490BBF" w:rsidP="00192B21">
            <w:pPr>
              <w:spacing w:after="0" w:line="240" w:lineRule="auto"/>
              <w:ind w:left="-113" w:right="-113"/>
              <w:rPr>
                <w:sz w:val="20"/>
                <w:lang w:val="fr-FR"/>
              </w:rPr>
            </w:pPr>
            <w:r w:rsidRPr="00490BBF">
              <w:rPr>
                <w:spacing w:val="-2"/>
                <w:sz w:val="20"/>
              </w:rPr>
              <w:t>SP11 8HJ</w:t>
            </w:r>
          </w:p>
          <w:p w14:paraId="585CB165" w14:textId="77777777" w:rsidR="00496908" w:rsidRPr="00490BBF" w:rsidRDefault="00CA3C2B" w:rsidP="005A18BF">
            <w:pPr>
              <w:spacing w:after="120"/>
              <w:ind w:left="-113" w:right="-113"/>
              <w:rPr>
                <w:b/>
                <w:sz w:val="20"/>
                <w:lang w:val="fr-FR"/>
              </w:rPr>
            </w:pPr>
          </w:p>
        </w:tc>
      </w:tr>
    </w:tbl>
    <w:p w14:paraId="585CB168" w14:textId="3D2F00C6" w:rsidR="00386291" w:rsidRPr="00FA216B" w:rsidRDefault="0009480B" w:rsidP="00527BF3">
      <w:pPr>
        <w:pStyle w:val="BasicParagraph"/>
        <w:spacing w:before="60" w:after="60"/>
        <w:ind w:right="888"/>
        <w:jc w:val="both"/>
        <w:rPr>
          <w:rFonts w:ascii="Arial" w:hAnsi="Arial" w:cs="Arial"/>
          <w:sz w:val="20"/>
          <w:szCs w:val="20"/>
          <w:highlight w:val="yellow"/>
        </w:rPr>
      </w:pPr>
      <w:bookmarkStart w:id="0" w:name="_Hlk90543086"/>
      <w:r w:rsidRPr="0009480B">
        <w:rPr>
          <w:rFonts w:ascii="Arial" w:hAnsi="Arial" w:cs="Arial"/>
          <w:sz w:val="20"/>
          <w:szCs w:val="20"/>
        </w:rPr>
        <w:t>Centerprise International</w:t>
      </w:r>
      <w:r>
        <w:rPr>
          <w:rFonts w:ascii="Arial" w:hAnsi="Arial" w:cs="Arial"/>
          <w:sz w:val="20"/>
          <w:szCs w:val="20"/>
        </w:rPr>
        <w:t xml:space="preserve"> Limited</w:t>
      </w:r>
    </w:p>
    <w:bookmarkEnd w:id="0"/>
    <w:p w14:paraId="27B3FBB2" w14:textId="77777777" w:rsidR="0009480B" w:rsidRDefault="00AF7B74" w:rsidP="00527BF3">
      <w:pPr>
        <w:pStyle w:val="BasicParagraph"/>
        <w:ind w:right="888"/>
        <w:jc w:val="both"/>
        <w:rPr>
          <w:rFonts w:ascii="Arial" w:hAnsi="Arial" w:cs="ArialMT"/>
          <w:sz w:val="20"/>
          <w:szCs w:val="20"/>
        </w:rPr>
      </w:pPr>
      <w:r w:rsidRPr="00AF7B74">
        <w:rPr>
          <w:rFonts w:ascii="Arial" w:hAnsi="Arial" w:cs="ArialMT"/>
          <w:sz w:val="20"/>
          <w:szCs w:val="20"/>
        </w:rPr>
        <w:t>Hampshire International Business Park,</w:t>
      </w:r>
    </w:p>
    <w:p w14:paraId="4AA53BFC" w14:textId="77777777" w:rsidR="0009480B" w:rsidRDefault="00AF7B74" w:rsidP="00527BF3">
      <w:pPr>
        <w:pStyle w:val="BasicParagraph"/>
        <w:ind w:right="888"/>
        <w:jc w:val="both"/>
        <w:rPr>
          <w:rFonts w:ascii="Arial" w:hAnsi="Arial" w:cs="ArialMT"/>
          <w:sz w:val="20"/>
          <w:szCs w:val="20"/>
        </w:rPr>
      </w:pPr>
      <w:r w:rsidRPr="00AF7B74">
        <w:rPr>
          <w:rFonts w:ascii="Arial" w:hAnsi="Arial" w:cs="ArialMT"/>
          <w:sz w:val="20"/>
          <w:szCs w:val="20"/>
        </w:rPr>
        <w:t xml:space="preserve">Lime Tree Way, </w:t>
      </w:r>
    </w:p>
    <w:p w14:paraId="1D7B9F1D" w14:textId="77777777" w:rsidR="0009480B" w:rsidRDefault="00AF7B74" w:rsidP="00527BF3">
      <w:pPr>
        <w:pStyle w:val="BasicParagraph"/>
        <w:ind w:right="888"/>
        <w:jc w:val="both"/>
        <w:rPr>
          <w:rFonts w:ascii="Arial" w:hAnsi="Arial" w:cs="ArialMT"/>
          <w:sz w:val="20"/>
          <w:szCs w:val="20"/>
        </w:rPr>
      </w:pPr>
      <w:r w:rsidRPr="00AF7B74">
        <w:rPr>
          <w:rFonts w:ascii="Arial" w:hAnsi="Arial" w:cs="ArialMT"/>
          <w:sz w:val="20"/>
          <w:szCs w:val="20"/>
        </w:rPr>
        <w:t xml:space="preserve">Basingstoke, </w:t>
      </w:r>
    </w:p>
    <w:p w14:paraId="04C9C8A2" w14:textId="77777777" w:rsidR="0009480B" w:rsidRDefault="00AF7B74" w:rsidP="00527BF3">
      <w:pPr>
        <w:pStyle w:val="BasicParagraph"/>
        <w:ind w:right="888"/>
        <w:jc w:val="both"/>
        <w:rPr>
          <w:rFonts w:ascii="Arial" w:hAnsi="Arial" w:cs="ArialMT"/>
          <w:sz w:val="20"/>
          <w:szCs w:val="20"/>
        </w:rPr>
      </w:pPr>
      <w:r w:rsidRPr="00AF7B74">
        <w:rPr>
          <w:rFonts w:ascii="Arial" w:hAnsi="Arial" w:cs="ArialMT"/>
          <w:sz w:val="20"/>
          <w:szCs w:val="20"/>
        </w:rPr>
        <w:t xml:space="preserve">Hampshire, </w:t>
      </w:r>
    </w:p>
    <w:p w14:paraId="585CB16A" w14:textId="2A93D7C7" w:rsidR="00386291" w:rsidRDefault="00AF7B74" w:rsidP="00527BF3">
      <w:pPr>
        <w:pStyle w:val="BasicParagraph"/>
        <w:ind w:right="888"/>
        <w:jc w:val="both"/>
        <w:rPr>
          <w:rFonts w:ascii="Arial" w:hAnsi="Arial" w:cs="ArialMT"/>
          <w:sz w:val="20"/>
          <w:szCs w:val="20"/>
          <w:highlight w:val="yellow"/>
        </w:rPr>
      </w:pPr>
      <w:r w:rsidRPr="00AF7B74">
        <w:rPr>
          <w:rFonts w:ascii="Arial" w:hAnsi="Arial" w:cs="ArialMT"/>
          <w:sz w:val="20"/>
          <w:szCs w:val="20"/>
        </w:rPr>
        <w:t>RG24 8GQ</w:t>
      </w:r>
    </w:p>
    <w:p w14:paraId="51DED2EC" w14:textId="77777777" w:rsidR="009E596E" w:rsidRPr="00FA216B" w:rsidRDefault="009E596E" w:rsidP="00527BF3">
      <w:pPr>
        <w:pStyle w:val="BasicParagraph"/>
        <w:ind w:right="888"/>
        <w:jc w:val="both"/>
        <w:rPr>
          <w:rFonts w:ascii="Arial" w:hAnsi="Arial" w:cs="ArialMT"/>
          <w:sz w:val="20"/>
          <w:szCs w:val="20"/>
          <w:highlight w:val="yellow"/>
        </w:rPr>
      </w:pPr>
    </w:p>
    <w:p w14:paraId="585CB16C" w14:textId="5B94DA6C" w:rsidR="00386291" w:rsidRPr="00192B21" w:rsidRDefault="00A61D6E" w:rsidP="00527BF3">
      <w:pPr>
        <w:pStyle w:val="BasicParagraph"/>
        <w:ind w:right="888"/>
        <w:jc w:val="both"/>
        <w:rPr>
          <w:rFonts w:ascii="Arial" w:hAnsi="Arial" w:cs="ArialMT"/>
          <w:b/>
          <w:bCs/>
          <w:sz w:val="20"/>
          <w:szCs w:val="20"/>
        </w:rPr>
      </w:pPr>
      <w:bookmarkStart w:id="1" w:name="_Hlk90543404"/>
      <w:r w:rsidRPr="00192B21">
        <w:rPr>
          <w:rFonts w:ascii="Arial" w:hAnsi="Arial" w:cs="ArialMT"/>
          <w:sz w:val="20"/>
          <w:szCs w:val="20"/>
        </w:rPr>
        <w:t>16</w:t>
      </w:r>
      <w:r w:rsidRPr="00192B21">
        <w:rPr>
          <w:rFonts w:ascii="Arial" w:hAnsi="Arial" w:cs="ArialMT"/>
          <w:sz w:val="20"/>
          <w:szCs w:val="20"/>
          <w:vertAlign w:val="superscript"/>
        </w:rPr>
        <w:t>th</w:t>
      </w:r>
      <w:r w:rsidRPr="00192B21">
        <w:rPr>
          <w:rFonts w:ascii="Arial" w:hAnsi="Arial" w:cs="ArialMT"/>
          <w:sz w:val="20"/>
          <w:szCs w:val="20"/>
        </w:rPr>
        <w:t xml:space="preserve"> December 2021</w:t>
      </w:r>
      <w:r w:rsidR="00192B21" w:rsidRPr="00192B21">
        <w:rPr>
          <w:rFonts w:ascii="Arial" w:hAnsi="Arial" w:cs="ArialMT"/>
          <w:sz w:val="20"/>
          <w:szCs w:val="20"/>
        </w:rPr>
        <w:tab/>
      </w:r>
      <w:r w:rsidR="00192B21" w:rsidRPr="00192B21">
        <w:rPr>
          <w:rFonts w:ascii="Arial" w:hAnsi="Arial" w:cs="ArialMT"/>
          <w:sz w:val="20"/>
          <w:szCs w:val="20"/>
        </w:rPr>
        <w:tab/>
      </w:r>
      <w:r w:rsidR="00192B21" w:rsidRPr="00192B21">
        <w:rPr>
          <w:rFonts w:ascii="Arial" w:hAnsi="Arial" w:cs="ArialMT"/>
          <w:sz w:val="20"/>
          <w:szCs w:val="20"/>
        </w:rPr>
        <w:tab/>
      </w:r>
      <w:r w:rsidR="00192B21" w:rsidRPr="00192B21">
        <w:rPr>
          <w:rFonts w:ascii="Arial" w:hAnsi="Arial" w:cs="ArialMT"/>
          <w:sz w:val="20"/>
          <w:szCs w:val="20"/>
        </w:rPr>
        <w:tab/>
      </w:r>
      <w:r w:rsidR="00192B21" w:rsidRPr="00192B21">
        <w:rPr>
          <w:rFonts w:ascii="Arial" w:hAnsi="Arial" w:cs="ArialMT"/>
          <w:sz w:val="20"/>
          <w:szCs w:val="20"/>
        </w:rPr>
        <w:tab/>
      </w:r>
      <w:r w:rsidR="00192B21" w:rsidRPr="00192B21">
        <w:rPr>
          <w:rFonts w:ascii="Arial" w:hAnsi="Arial" w:cs="ArialMT"/>
          <w:sz w:val="20"/>
          <w:szCs w:val="20"/>
        </w:rPr>
        <w:tab/>
      </w:r>
      <w:r w:rsidR="00192B21">
        <w:rPr>
          <w:rFonts w:ascii="Arial" w:hAnsi="Arial" w:cs="ArialMT"/>
          <w:sz w:val="20"/>
          <w:szCs w:val="20"/>
        </w:rPr>
        <w:t>O</w:t>
      </w:r>
      <w:r w:rsidR="00192B21" w:rsidRPr="00192B21">
        <w:rPr>
          <w:rFonts w:ascii="Arial" w:hAnsi="Arial" w:cs="ArialMT"/>
          <w:sz w:val="20"/>
          <w:szCs w:val="20"/>
        </w:rPr>
        <w:t xml:space="preserve">ur Ref: </w:t>
      </w:r>
      <w:r w:rsidRPr="00192B21">
        <w:rPr>
          <w:rFonts w:ascii="Arial" w:hAnsi="Arial" w:cs="ArialMT"/>
          <w:b/>
          <w:bCs/>
          <w:sz w:val="20"/>
          <w:szCs w:val="20"/>
        </w:rPr>
        <w:t>701575574</w:t>
      </w:r>
    </w:p>
    <w:bookmarkEnd w:id="1"/>
    <w:p w14:paraId="795D2D7A" w14:textId="77777777" w:rsidR="00E5567C" w:rsidRDefault="00E5567C" w:rsidP="002542FD">
      <w:pPr>
        <w:pStyle w:val="BasicParagraph"/>
        <w:spacing w:after="240"/>
        <w:ind w:right="890"/>
        <w:jc w:val="both"/>
        <w:rPr>
          <w:rFonts w:ascii="Arial" w:hAnsi="Arial" w:cs="ArialMT"/>
          <w:sz w:val="20"/>
          <w:szCs w:val="20"/>
        </w:rPr>
      </w:pPr>
    </w:p>
    <w:p w14:paraId="1E335196" w14:textId="4753EAA2" w:rsidR="009E596E" w:rsidRPr="00192B21" w:rsidRDefault="00527BF3" w:rsidP="002542FD">
      <w:pPr>
        <w:pStyle w:val="BasicParagraph"/>
        <w:spacing w:after="240"/>
        <w:ind w:right="890"/>
        <w:jc w:val="both"/>
        <w:rPr>
          <w:rFonts w:ascii="Arial" w:hAnsi="Arial" w:cs="ArialMT"/>
          <w:sz w:val="20"/>
          <w:szCs w:val="20"/>
        </w:rPr>
      </w:pPr>
      <w:r w:rsidRPr="00FA216B">
        <w:rPr>
          <w:rFonts w:ascii="Arial" w:hAnsi="Arial" w:cs="ArialMT"/>
          <w:sz w:val="20"/>
          <w:szCs w:val="20"/>
        </w:rPr>
        <w:t xml:space="preserve">Dear </w:t>
      </w:r>
      <w:r w:rsidR="009E596E" w:rsidRPr="00192B21">
        <w:rPr>
          <w:rFonts w:ascii="Arial" w:hAnsi="Arial" w:cs="ArialMT"/>
          <w:sz w:val="20"/>
          <w:szCs w:val="20"/>
        </w:rPr>
        <w:t xml:space="preserve">Sir/Madam, </w:t>
      </w:r>
    </w:p>
    <w:p w14:paraId="585CB16F" w14:textId="66F12593" w:rsidR="00386291" w:rsidRPr="009E596E" w:rsidRDefault="009E596E" w:rsidP="002542FD">
      <w:pPr>
        <w:pStyle w:val="BasicParagraph"/>
        <w:spacing w:after="240"/>
        <w:ind w:right="890"/>
        <w:jc w:val="both"/>
        <w:rPr>
          <w:rFonts w:ascii="Arial" w:hAnsi="Arial" w:cs="Arial-BoldMT"/>
          <w:b/>
          <w:bCs/>
          <w:sz w:val="20"/>
          <w:szCs w:val="20"/>
          <w:u w:val="single"/>
        </w:rPr>
      </w:pPr>
      <w:r w:rsidRPr="009E596E">
        <w:rPr>
          <w:rFonts w:ascii="Arial" w:hAnsi="Arial" w:cs="Arial-BoldMT"/>
          <w:b/>
          <w:bCs/>
          <w:sz w:val="20"/>
          <w:szCs w:val="20"/>
          <w:u w:val="single"/>
        </w:rPr>
        <w:t xml:space="preserve">Award of contract for </w:t>
      </w:r>
      <w:bookmarkStart w:id="2" w:name="_Hlk90543424"/>
      <w:r w:rsidRPr="009E596E">
        <w:rPr>
          <w:rFonts w:ascii="Arial" w:hAnsi="Arial" w:cs="Arial-BoldMT"/>
          <w:b/>
          <w:bCs/>
          <w:sz w:val="20"/>
          <w:szCs w:val="20"/>
          <w:u w:val="single"/>
        </w:rPr>
        <w:t xml:space="preserve">the </w:t>
      </w:r>
      <w:bookmarkStart w:id="3" w:name="_Hlk90544805"/>
      <w:r w:rsidR="00A61D6E" w:rsidRPr="00A61D6E">
        <w:rPr>
          <w:rFonts w:ascii="Arial" w:hAnsi="Arial" w:cs="Arial-BoldMT"/>
          <w:b/>
          <w:bCs/>
          <w:sz w:val="20"/>
          <w:szCs w:val="20"/>
          <w:u w:val="single"/>
        </w:rPr>
        <w:t>Provision of Audio-Visual Equipment at Worthy Down for DCLPA under PROJECT WELLESLEY</w:t>
      </w:r>
    </w:p>
    <w:bookmarkEnd w:id="2"/>
    <w:bookmarkEnd w:id="3"/>
    <w:p w14:paraId="585CB170" w14:textId="64DD7F22" w:rsidR="00386291" w:rsidRPr="00FA216B" w:rsidRDefault="00386291" w:rsidP="002542FD">
      <w:pPr>
        <w:pStyle w:val="BasicParagraph"/>
        <w:tabs>
          <w:tab w:val="left" w:pos="5670"/>
        </w:tabs>
        <w:spacing w:after="240" w:line="240" w:lineRule="auto"/>
        <w:ind w:right="890"/>
        <w:jc w:val="both"/>
        <w:rPr>
          <w:rFonts w:ascii="Arial" w:hAnsi="Arial" w:cs="ArialMT"/>
          <w:sz w:val="20"/>
          <w:szCs w:val="20"/>
        </w:rPr>
      </w:pPr>
      <w:r w:rsidRPr="00FA216B">
        <w:rPr>
          <w:rFonts w:ascii="Arial" w:hAnsi="Arial" w:cs="ArialMT"/>
          <w:sz w:val="20"/>
          <w:szCs w:val="20"/>
        </w:rPr>
        <w:t xml:space="preserve">Further to your recent submission of a </w:t>
      </w:r>
      <w:r w:rsidR="009E596E">
        <w:rPr>
          <w:rFonts w:ascii="Arial" w:hAnsi="Arial" w:cs="ArialMT"/>
          <w:sz w:val="20"/>
          <w:szCs w:val="20"/>
        </w:rPr>
        <w:t xml:space="preserve">tender for the above further competition </w:t>
      </w:r>
      <w:r w:rsidR="007F22F3">
        <w:rPr>
          <w:rFonts w:ascii="Arial" w:hAnsi="Arial" w:cs="ArialMT"/>
          <w:sz w:val="20"/>
          <w:szCs w:val="20"/>
        </w:rPr>
        <w:t>carried out under the Crown C</w:t>
      </w:r>
      <w:r w:rsidR="00036569">
        <w:rPr>
          <w:rFonts w:ascii="Arial" w:hAnsi="Arial" w:cs="ArialMT"/>
          <w:sz w:val="20"/>
          <w:szCs w:val="20"/>
        </w:rPr>
        <w:t xml:space="preserve">ommercial Service Technology Products </w:t>
      </w:r>
      <w:r w:rsidR="008A0D5D">
        <w:rPr>
          <w:rFonts w:ascii="Arial" w:hAnsi="Arial" w:cs="ArialMT"/>
          <w:sz w:val="20"/>
          <w:szCs w:val="20"/>
        </w:rPr>
        <w:t xml:space="preserve">and Associated Services </w:t>
      </w:r>
      <w:r w:rsidR="00036569">
        <w:rPr>
          <w:rFonts w:ascii="Arial" w:hAnsi="Arial" w:cs="ArialMT"/>
          <w:sz w:val="20"/>
          <w:szCs w:val="20"/>
        </w:rPr>
        <w:t>(</w:t>
      </w:r>
      <w:r w:rsidR="008A0D5D">
        <w:rPr>
          <w:rFonts w:ascii="Arial" w:hAnsi="Arial" w:cs="ArialMT"/>
          <w:sz w:val="20"/>
          <w:szCs w:val="20"/>
        </w:rPr>
        <w:t>TePAS)</w:t>
      </w:r>
      <w:r w:rsidR="00036569">
        <w:rPr>
          <w:rFonts w:ascii="Arial" w:hAnsi="Arial" w:cs="ArialMT"/>
          <w:sz w:val="20"/>
          <w:szCs w:val="20"/>
        </w:rPr>
        <w:t xml:space="preserve"> framework</w:t>
      </w:r>
      <w:r w:rsidR="00FA216B">
        <w:rPr>
          <w:rFonts w:ascii="Arial" w:hAnsi="Arial" w:cs="ArialMT"/>
          <w:sz w:val="20"/>
          <w:szCs w:val="20"/>
        </w:rPr>
        <w:t xml:space="preserve">, </w:t>
      </w:r>
      <w:r w:rsidRPr="00FA216B">
        <w:rPr>
          <w:rFonts w:ascii="Arial" w:hAnsi="Arial" w:cs="ArialMT"/>
          <w:sz w:val="20"/>
          <w:szCs w:val="20"/>
        </w:rPr>
        <w:t xml:space="preserve">I am writing to advise that the </w:t>
      </w:r>
      <w:r w:rsidR="00FA216B">
        <w:rPr>
          <w:rFonts w:ascii="Arial" w:hAnsi="Arial" w:cs="ArialMT"/>
          <w:sz w:val="20"/>
          <w:szCs w:val="20"/>
        </w:rPr>
        <w:t xml:space="preserve">Further Competition </w:t>
      </w:r>
      <w:r w:rsidRPr="00FA216B">
        <w:rPr>
          <w:rFonts w:ascii="Arial" w:hAnsi="Arial" w:cs="ArialMT"/>
          <w:sz w:val="20"/>
          <w:szCs w:val="20"/>
        </w:rPr>
        <w:t>is now complete.</w:t>
      </w:r>
    </w:p>
    <w:p w14:paraId="585CB171" w14:textId="08184741" w:rsidR="00FA216B" w:rsidRPr="00FA216B" w:rsidRDefault="00386291" w:rsidP="00FA216B">
      <w:pPr>
        <w:pStyle w:val="BasicParagraph"/>
        <w:spacing w:after="240" w:line="240" w:lineRule="auto"/>
        <w:ind w:right="890"/>
        <w:jc w:val="both"/>
        <w:rPr>
          <w:rFonts w:ascii="Arial" w:hAnsi="Arial" w:cs="ArialMT"/>
          <w:sz w:val="20"/>
          <w:szCs w:val="20"/>
        </w:rPr>
      </w:pPr>
      <w:r w:rsidRPr="00FA216B">
        <w:rPr>
          <w:rFonts w:ascii="Arial" w:hAnsi="Arial" w:cs="ArialMT"/>
          <w:sz w:val="20"/>
          <w:szCs w:val="20"/>
        </w:rPr>
        <w:t xml:space="preserve">I am pleased to inform you that your company ranked first in our evaluation and therefore we would like to award the </w:t>
      </w:r>
      <w:r w:rsidR="009E596E">
        <w:rPr>
          <w:rFonts w:ascii="Arial" w:hAnsi="Arial" w:cs="Arial-BoldMT"/>
          <w:bCs/>
          <w:sz w:val="20"/>
          <w:szCs w:val="20"/>
        </w:rPr>
        <w:t xml:space="preserve">contract </w:t>
      </w:r>
      <w:r w:rsidRPr="00FA216B">
        <w:rPr>
          <w:rFonts w:ascii="Arial" w:hAnsi="Arial" w:cs="ArialMT"/>
          <w:sz w:val="20"/>
          <w:szCs w:val="20"/>
        </w:rPr>
        <w:t>to you</w:t>
      </w:r>
      <w:r w:rsidR="00B7575E">
        <w:rPr>
          <w:rFonts w:ascii="Arial" w:hAnsi="Arial" w:cs="ArialMT"/>
          <w:sz w:val="20"/>
          <w:szCs w:val="20"/>
        </w:rPr>
        <w:t xml:space="preserve"> (Option 2).</w:t>
      </w:r>
    </w:p>
    <w:p w14:paraId="585CB172" w14:textId="04AEEB83" w:rsidR="00FA216B" w:rsidRDefault="00FA216B" w:rsidP="00FA216B">
      <w:pPr>
        <w:spacing w:after="0" w:line="288" w:lineRule="auto"/>
        <w:rPr>
          <w:bCs/>
          <w:sz w:val="20"/>
          <w:szCs w:val="20"/>
        </w:rPr>
      </w:pPr>
      <w:bookmarkStart w:id="4" w:name="_Hlk90543509"/>
      <w:r w:rsidRPr="00192B21">
        <w:rPr>
          <w:bCs/>
          <w:sz w:val="20"/>
          <w:szCs w:val="20"/>
        </w:rPr>
        <w:t xml:space="preserve">We are holding a </w:t>
      </w:r>
      <w:r w:rsidR="00A61D6E" w:rsidRPr="00192B21">
        <w:rPr>
          <w:bCs/>
          <w:sz w:val="20"/>
          <w:szCs w:val="20"/>
        </w:rPr>
        <w:t>10-day</w:t>
      </w:r>
      <w:r w:rsidRPr="00192B21">
        <w:rPr>
          <w:bCs/>
          <w:sz w:val="20"/>
          <w:szCs w:val="20"/>
        </w:rPr>
        <w:t xml:space="preserve"> standstill period for this Further Competition, therefore you are strongly advised not to incur any expense or enter into any binding arrangements </w:t>
      </w:r>
      <w:r w:rsidR="004227D7" w:rsidRPr="00192B21">
        <w:rPr>
          <w:bCs/>
          <w:sz w:val="20"/>
          <w:szCs w:val="20"/>
        </w:rPr>
        <w:t xml:space="preserve">during </w:t>
      </w:r>
      <w:r w:rsidR="009E596E" w:rsidRPr="00192B21">
        <w:rPr>
          <w:bCs/>
          <w:sz w:val="20"/>
          <w:szCs w:val="20"/>
        </w:rPr>
        <w:t xml:space="preserve">this pre-contract period from </w:t>
      </w:r>
      <w:r w:rsidR="00A61D6E" w:rsidRPr="00192B21">
        <w:rPr>
          <w:bCs/>
          <w:sz w:val="20"/>
          <w:szCs w:val="20"/>
        </w:rPr>
        <w:t>17</w:t>
      </w:r>
      <w:r w:rsidR="00A61D6E" w:rsidRPr="00192B21">
        <w:rPr>
          <w:bCs/>
          <w:sz w:val="20"/>
          <w:szCs w:val="20"/>
          <w:vertAlign w:val="superscript"/>
        </w:rPr>
        <w:t>th</w:t>
      </w:r>
      <w:r w:rsidR="00A61D6E" w:rsidRPr="00192B21">
        <w:rPr>
          <w:bCs/>
          <w:sz w:val="20"/>
          <w:szCs w:val="20"/>
        </w:rPr>
        <w:t xml:space="preserve"> Dece</w:t>
      </w:r>
      <w:r w:rsidR="00A61D6E">
        <w:rPr>
          <w:bCs/>
          <w:sz w:val="20"/>
          <w:szCs w:val="20"/>
        </w:rPr>
        <w:t>mber 2021 – 31</w:t>
      </w:r>
      <w:r w:rsidR="00A61D6E" w:rsidRPr="00A61D6E">
        <w:rPr>
          <w:bCs/>
          <w:sz w:val="20"/>
          <w:szCs w:val="20"/>
          <w:vertAlign w:val="superscript"/>
        </w:rPr>
        <w:t>st</w:t>
      </w:r>
      <w:r w:rsidR="00A61D6E">
        <w:rPr>
          <w:bCs/>
          <w:sz w:val="20"/>
          <w:szCs w:val="20"/>
        </w:rPr>
        <w:t xml:space="preserve"> December 2021. </w:t>
      </w:r>
      <w:r w:rsidR="00A61D6E" w:rsidRPr="00A61D6E">
        <w:rPr>
          <w:bCs/>
          <w:sz w:val="20"/>
          <w:szCs w:val="20"/>
        </w:rPr>
        <w:t>Should the Authority be required to extend the standstill period, you will immediately be notified of when revised period ends.</w:t>
      </w:r>
    </w:p>
    <w:bookmarkEnd w:id="4"/>
    <w:p w14:paraId="458DBAA9" w14:textId="693EB677" w:rsidR="00A61D6E" w:rsidRDefault="00A61D6E" w:rsidP="00FA216B">
      <w:pPr>
        <w:spacing w:after="0" w:line="288" w:lineRule="auto"/>
        <w:rPr>
          <w:bCs/>
          <w:sz w:val="20"/>
          <w:szCs w:val="20"/>
        </w:rPr>
      </w:pPr>
    </w:p>
    <w:p w14:paraId="25EAE19A" w14:textId="2AAC3532" w:rsidR="00A61D6E" w:rsidRPr="00FA216B" w:rsidRDefault="00A61D6E" w:rsidP="00FA216B">
      <w:pPr>
        <w:spacing w:after="0" w:line="288" w:lineRule="auto"/>
        <w:rPr>
          <w:bCs/>
          <w:sz w:val="20"/>
          <w:szCs w:val="20"/>
        </w:rPr>
      </w:pPr>
      <w:r w:rsidRPr="00A61D6E">
        <w:rPr>
          <w:bCs/>
          <w:sz w:val="20"/>
          <w:szCs w:val="20"/>
        </w:rPr>
        <w:t>Your attention is drawn to your obligation to hold your Tender open for acceptance during the period up to the contract start date.</w:t>
      </w:r>
    </w:p>
    <w:p w14:paraId="585CB173" w14:textId="77777777" w:rsidR="00FA216B" w:rsidRPr="00FA216B" w:rsidRDefault="00FA216B" w:rsidP="00FA216B">
      <w:pPr>
        <w:spacing w:after="0" w:line="288" w:lineRule="auto"/>
        <w:rPr>
          <w:rFonts w:cs="Arial"/>
          <w:sz w:val="20"/>
          <w:szCs w:val="20"/>
        </w:rPr>
      </w:pPr>
    </w:p>
    <w:p w14:paraId="585CB174" w14:textId="78889765" w:rsidR="00FA216B" w:rsidRPr="00FA216B" w:rsidRDefault="00FA216B" w:rsidP="00FA216B">
      <w:pPr>
        <w:spacing w:after="0" w:line="288" w:lineRule="auto"/>
        <w:rPr>
          <w:rFonts w:cs="Arial"/>
          <w:sz w:val="20"/>
          <w:szCs w:val="20"/>
        </w:rPr>
      </w:pPr>
      <w:r w:rsidRPr="00FA216B">
        <w:rPr>
          <w:rFonts w:cs="Arial"/>
          <w:sz w:val="20"/>
          <w:szCs w:val="20"/>
        </w:rPr>
        <w:t>You are requested not to make any press announcemen</w:t>
      </w:r>
      <w:r w:rsidR="009E596E">
        <w:rPr>
          <w:rFonts w:cs="Arial"/>
          <w:sz w:val="20"/>
          <w:szCs w:val="20"/>
        </w:rPr>
        <w:t>ts regarding the award of this further c</w:t>
      </w:r>
      <w:r w:rsidRPr="00FA216B">
        <w:rPr>
          <w:rFonts w:cs="Arial"/>
          <w:sz w:val="20"/>
          <w:szCs w:val="20"/>
        </w:rPr>
        <w:t>ompetition until the contract has been signed by both parties.</w:t>
      </w:r>
    </w:p>
    <w:p w14:paraId="585CB175" w14:textId="77777777" w:rsidR="00FA216B" w:rsidRPr="00FA216B" w:rsidRDefault="00FA216B" w:rsidP="00FA216B">
      <w:pPr>
        <w:spacing w:after="0" w:line="288" w:lineRule="auto"/>
        <w:rPr>
          <w:rFonts w:cs="Arial"/>
          <w:sz w:val="20"/>
          <w:szCs w:val="20"/>
        </w:rPr>
      </w:pPr>
    </w:p>
    <w:p w14:paraId="585CB176" w14:textId="2B24E685" w:rsidR="00386291" w:rsidRPr="00FA216B" w:rsidRDefault="00386291" w:rsidP="002542FD">
      <w:pPr>
        <w:pStyle w:val="BasicParagraph"/>
        <w:tabs>
          <w:tab w:val="left" w:pos="5670"/>
        </w:tabs>
        <w:spacing w:after="240" w:line="240" w:lineRule="auto"/>
        <w:ind w:right="890"/>
        <w:jc w:val="both"/>
        <w:rPr>
          <w:rFonts w:ascii="Arial" w:hAnsi="Arial" w:cs="ArialMT"/>
          <w:sz w:val="20"/>
          <w:szCs w:val="20"/>
        </w:rPr>
      </w:pPr>
      <w:r w:rsidRPr="00FA216B">
        <w:rPr>
          <w:rFonts w:ascii="Arial" w:hAnsi="Arial" w:cs="ArialMT"/>
          <w:sz w:val="20"/>
          <w:szCs w:val="20"/>
        </w:rPr>
        <w:t xml:space="preserve">A copy of the completed </w:t>
      </w:r>
      <w:r w:rsidR="008D3505">
        <w:rPr>
          <w:rFonts w:ascii="Arial" w:hAnsi="Arial" w:cs="ArialMT"/>
          <w:sz w:val="20"/>
          <w:szCs w:val="20"/>
        </w:rPr>
        <w:t>Order Form</w:t>
      </w:r>
      <w:r w:rsidRPr="00FA216B">
        <w:rPr>
          <w:rFonts w:ascii="Arial" w:hAnsi="Arial" w:cs="ArialMT"/>
          <w:sz w:val="20"/>
          <w:szCs w:val="20"/>
        </w:rPr>
        <w:t xml:space="preserve"> will be forwarded to you shortly for your signature and return. </w:t>
      </w:r>
    </w:p>
    <w:p w14:paraId="585CB177" w14:textId="3F0EDB85" w:rsidR="00386291" w:rsidRPr="00FA216B" w:rsidRDefault="00386291" w:rsidP="002542FD">
      <w:pPr>
        <w:spacing w:after="240" w:line="240" w:lineRule="auto"/>
        <w:ind w:right="890"/>
        <w:jc w:val="both"/>
        <w:rPr>
          <w:bCs/>
          <w:sz w:val="20"/>
          <w:szCs w:val="20"/>
        </w:rPr>
      </w:pPr>
      <w:r w:rsidRPr="00FA216B">
        <w:rPr>
          <w:bCs/>
          <w:sz w:val="20"/>
          <w:szCs w:val="20"/>
        </w:rPr>
        <w:t>For your informatio</w:t>
      </w:r>
      <w:r w:rsidR="00D85F16">
        <w:rPr>
          <w:bCs/>
          <w:sz w:val="20"/>
          <w:szCs w:val="20"/>
        </w:rPr>
        <w:t>n, please also find attached a debrief r</w:t>
      </w:r>
      <w:r w:rsidRPr="00FA216B">
        <w:rPr>
          <w:bCs/>
          <w:sz w:val="20"/>
          <w:szCs w:val="20"/>
        </w:rPr>
        <w:t xml:space="preserve">eport which sets out the scores achieved by your company during the evaluation. </w:t>
      </w:r>
    </w:p>
    <w:p w14:paraId="585CB178" w14:textId="77777777" w:rsidR="00386291" w:rsidRPr="00FA216B" w:rsidRDefault="00386291" w:rsidP="002542FD">
      <w:pPr>
        <w:pStyle w:val="BasicParagraph"/>
        <w:spacing w:after="240"/>
        <w:ind w:right="890"/>
        <w:jc w:val="both"/>
        <w:rPr>
          <w:rFonts w:ascii="Arial" w:hAnsi="Arial" w:cs="ArialMT"/>
          <w:sz w:val="20"/>
          <w:szCs w:val="20"/>
        </w:rPr>
      </w:pPr>
      <w:r w:rsidRPr="00FA216B">
        <w:rPr>
          <w:rFonts w:ascii="Arial" w:hAnsi="Arial" w:cs="ArialMT"/>
          <w:sz w:val="20"/>
          <w:szCs w:val="20"/>
        </w:rPr>
        <w:t>Yours sincerely</w:t>
      </w:r>
    </w:p>
    <w:p w14:paraId="585CB17A" w14:textId="5CC4FB4B" w:rsidR="00386291" w:rsidRDefault="0095607C" w:rsidP="00386291">
      <w:pPr>
        <w:pStyle w:val="BasicParagraph"/>
        <w:tabs>
          <w:tab w:val="left" w:pos="567"/>
        </w:tabs>
        <w:rPr>
          <w:rFonts w:ascii="Arial" w:hAnsi="Arial" w:cs="Arial-BoldMT"/>
          <w:bCs/>
          <w:sz w:val="20"/>
          <w:szCs w:val="20"/>
        </w:rPr>
      </w:pPr>
      <w:r w:rsidRPr="0095607C">
        <w:rPr>
          <w:rFonts w:ascii="Arial" w:hAnsi="Arial" w:cs="Arial-BoldMT"/>
          <w:bCs/>
          <w:sz w:val="20"/>
          <w:szCs w:val="20"/>
        </w:rPr>
        <w:t>Mrs Sarah Younger</w:t>
      </w:r>
    </w:p>
    <w:p w14:paraId="0BE963C3" w14:textId="1E64B436" w:rsidR="0095607C" w:rsidRDefault="00215EEB" w:rsidP="00386291">
      <w:pPr>
        <w:pStyle w:val="BasicParagraph"/>
        <w:tabs>
          <w:tab w:val="left" w:pos="567"/>
        </w:tabs>
        <w:rPr>
          <w:lang w:val="fr-FR"/>
        </w:rPr>
      </w:pPr>
      <w:r>
        <w:rPr>
          <w:rFonts w:ascii="Arial" w:hAnsi="Arial" w:cs="Arial-BoldMT"/>
          <w:bCs/>
          <w:sz w:val="20"/>
          <w:szCs w:val="20"/>
        </w:rPr>
        <w:t xml:space="preserve">On behalf of the </w:t>
      </w:r>
      <w:r w:rsidR="0095607C">
        <w:rPr>
          <w:rFonts w:ascii="Arial" w:hAnsi="Arial" w:cs="Arial-BoldMT"/>
          <w:bCs/>
          <w:sz w:val="20"/>
          <w:szCs w:val="20"/>
        </w:rPr>
        <w:t>Head of Commercial</w:t>
      </w:r>
    </w:p>
    <w:p w14:paraId="585CB17B" w14:textId="77777777" w:rsidR="00FA216B" w:rsidRDefault="00FA216B" w:rsidP="00386291">
      <w:pPr>
        <w:pStyle w:val="BasicParagraph"/>
        <w:tabs>
          <w:tab w:val="left" w:pos="567"/>
        </w:tabs>
        <w:rPr>
          <w:lang w:val="fr-FR"/>
        </w:rPr>
      </w:pPr>
    </w:p>
    <w:p w14:paraId="585CB182" w14:textId="77777777" w:rsidR="00FA216B" w:rsidRPr="00386291" w:rsidRDefault="00FA216B" w:rsidP="00386291">
      <w:pPr>
        <w:pStyle w:val="BasicParagraph"/>
        <w:tabs>
          <w:tab w:val="left" w:pos="567"/>
        </w:tabs>
        <w:rPr>
          <w:lang w:val="fr-FR"/>
        </w:rPr>
      </w:pPr>
    </w:p>
    <w:tbl>
      <w:tblPr>
        <w:tblStyle w:val="TableGrid"/>
        <w:tblpPr w:leftFromText="180" w:rightFromText="180" w:vertAnchor="text" w:horzAnchor="margin" w:tblpY="130"/>
        <w:tblW w:w="0" w:type="auto"/>
        <w:tblLook w:val="04A0" w:firstRow="1" w:lastRow="0" w:firstColumn="1" w:lastColumn="0" w:noHBand="0" w:noVBand="1"/>
      </w:tblPr>
      <w:tblGrid>
        <w:gridCol w:w="2122"/>
        <w:gridCol w:w="7091"/>
      </w:tblGrid>
      <w:tr w:rsidR="00E1165A" w:rsidRPr="000F4D9C" w14:paraId="0FAD8452" w14:textId="77777777" w:rsidTr="00E1165A">
        <w:tc>
          <w:tcPr>
            <w:tcW w:w="9213" w:type="dxa"/>
            <w:gridSpan w:val="2"/>
          </w:tcPr>
          <w:p w14:paraId="19092A6E" w14:textId="524572C1" w:rsidR="00E1165A" w:rsidRPr="00512F43" w:rsidRDefault="00D85F16" w:rsidP="00E1165A">
            <w:pPr>
              <w:pStyle w:val="BasicParagraph"/>
              <w:spacing w:before="60" w:after="60"/>
              <w:jc w:val="right"/>
              <w:rPr>
                <w:rFonts w:ascii="Arial" w:hAnsi="Arial" w:cs="ArialMT"/>
                <w:b/>
                <w:sz w:val="20"/>
                <w:szCs w:val="20"/>
              </w:rPr>
            </w:pPr>
            <w:r>
              <w:rPr>
                <w:rFonts w:ascii="Arial" w:hAnsi="Arial" w:cs="ArialMT"/>
                <w:b/>
                <w:sz w:val="20"/>
                <w:szCs w:val="20"/>
              </w:rPr>
              <w:t>Debrief report</w:t>
            </w:r>
          </w:p>
        </w:tc>
      </w:tr>
      <w:tr w:rsidR="00E1165A" w:rsidRPr="003E06B1" w14:paraId="239EE5E3" w14:textId="77777777" w:rsidTr="00E1165A">
        <w:tc>
          <w:tcPr>
            <w:tcW w:w="2122" w:type="dxa"/>
            <w:shd w:val="clear" w:color="auto" w:fill="D9D9D9" w:themeFill="background1" w:themeFillShade="D9"/>
            <w:vAlign w:val="center"/>
          </w:tcPr>
          <w:p w14:paraId="0EBA06C6" w14:textId="77777777" w:rsidR="00E1165A" w:rsidRPr="00512F43" w:rsidRDefault="00E1165A" w:rsidP="00E1165A">
            <w:pPr>
              <w:adjustRightInd w:val="0"/>
              <w:spacing w:before="60" w:after="60" w:line="240" w:lineRule="auto"/>
              <w:jc w:val="center"/>
              <w:rPr>
                <w:rFonts w:eastAsia="STZhongsong" w:cs="Times New Roman"/>
                <w:b/>
                <w:sz w:val="20"/>
                <w:szCs w:val="20"/>
                <w:lang w:eastAsia="zh-CN"/>
              </w:rPr>
            </w:pPr>
            <w:r w:rsidRPr="00512F43">
              <w:rPr>
                <w:rFonts w:eastAsia="STZhongsong" w:cs="Times New Roman"/>
                <w:b/>
                <w:sz w:val="20"/>
                <w:szCs w:val="20"/>
                <w:lang w:eastAsia="zh-CN"/>
              </w:rPr>
              <w:t>Score</w:t>
            </w:r>
          </w:p>
        </w:tc>
        <w:tc>
          <w:tcPr>
            <w:tcW w:w="7091" w:type="dxa"/>
            <w:shd w:val="clear" w:color="auto" w:fill="D9D9D9" w:themeFill="background1" w:themeFillShade="D9"/>
            <w:vAlign w:val="center"/>
          </w:tcPr>
          <w:p w14:paraId="11A28A43" w14:textId="77777777" w:rsidR="00E1165A" w:rsidRPr="00512F43" w:rsidRDefault="00E1165A" w:rsidP="00E1165A">
            <w:pPr>
              <w:adjustRightInd w:val="0"/>
              <w:spacing w:before="60" w:after="60" w:line="240" w:lineRule="auto"/>
              <w:jc w:val="center"/>
              <w:rPr>
                <w:rFonts w:eastAsia="STZhongsong" w:cs="Times New Roman"/>
                <w:b/>
                <w:sz w:val="20"/>
                <w:szCs w:val="20"/>
                <w:lang w:eastAsia="zh-CN"/>
              </w:rPr>
            </w:pPr>
            <w:r w:rsidRPr="00512F43">
              <w:rPr>
                <w:rFonts w:eastAsia="STZhongsong" w:cs="Times New Roman"/>
                <w:b/>
                <w:sz w:val="20"/>
                <w:szCs w:val="20"/>
                <w:lang w:eastAsia="zh-CN"/>
              </w:rPr>
              <w:t>Rationale</w:t>
            </w:r>
          </w:p>
        </w:tc>
      </w:tr>
      <w:tr w:rsidR="00E1165A" w:rsidRPr="000F4D9C" w14:paraId="0F06161E" w14:textId="77777777" w:rsidTr="00E1165A">
        <w:tc>
          <w:tcPr>
            <w:tcW w:w="9213" w:type="dxa"/>
            <w:gridSpan w:val="2"/>
            <w:shd w:val="clear" w:color="auto" w:fill="000000" w:themeFill="text1"/>
          </w:tcPr>
          <w:p w14:paraId="21E5FC20" w14:textId="77777777" w:rsidR="00E1165A" w:rsidRPr="00512F43" w:rsidRDefault="00E1165A" w:rsidP="00E1165A">
            <w:pPr>
              <w:pStyle w:val="BasicParagraph"/>
              <w:spacing w:before="60" w:after="60"/>
              <w:rPr>
                <w:rFonts w:ascii="Arial" w:hAnsi="Arial" w:cs="ArialMT"/>
                <w:sz w:val="20"/>
                <w:szCs w:val="20"/>
              </w:rPr>
            </w:pPr>
            <w:r w:rsidRPr="00512F43">
              <w:rPr>
                <w:rFonts w:ascii="Arial" w:hAnsi="Arial" w:cs="ArialMT"/>
                <w:b/>
                <w:color w:val="FFFFFF" w:themeColor="background1"/>
                <w:sz w:val="20"/>
                <w:szCs w:val="20"/>
              </w:rPr>
              <w:t>Q1 Question (%)</w:t>
            </w:r>
          </w:p>
        </w:tc>
      </w:tr>
      <w:tr w:rsidR="00E1165A" w:rsidRPr="000F4D9C" w14:paraId="1D37D0EB" w14:textId="77777777" w:rsidTr="00E1165A">
        <w:tc>
          <w:tcPr>
            <w:tcW w:w="2122" w:type="dxa"/>
          </w:tcPr>
          <w:p w14:paraId="778B431A" w14:textId="24B7BFE3" w:rsidR="00E1165A"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Provision of the Procurement of Audio-Visual (AV).</w:t>
            </w:r>
          </w:p>
        </w:tc>
        <w:tc>
          <w:tcPr>
            <w:tcW w:w="7091" w:type="dxa"/>
          </w:tcPr>
          <w:p w14:paraId="349A4437" w14:textId="599E773B" w:rsidR="00E1165A"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evident with the bidders showing a comprehensive understanding of the requirement by, for example having a single point of contact; providing a delivery timeline with key personnel; supporting evidence to overcome milestones of the project; prevalent to MoD procedures and JSPs.     </w:t>
            </w:r>
          </w:p>
        </w:tc>
      </w:tr>
      <w:tr w:rsidR="00E1165A" w:rsidRPr="003E06B1" w14:paraId="6E7FBF52" w14:textId="77777777" w:rsidTr="00E1165A">
        <w:tc>
          <w:tcPr>
            <w:tcW w:w="9213" w:type="dxa"/>
            <w:gridSpan w:val="2"/>
            <w:shd w:val="clear" w:color="auto" w:fill="000000" w:themeFill="text1"/>
          </w:tcPr>
          <w:p w14:paraId="0156802C" w14:textId="77777777" w:rsidR="00E1165A" w:rsidRPr="00512F43" w:rsidRDefault="00E1165A" w:rsidP="00E1165A">
            <w:pPr>
              <w:pStyle w:val="BasicParagraph"/>
              <w:spacing w:before="60" w:after="60"/>
              <w:rPr>
                <w:rFonts w:ascii="Arial" w:hAnsi="Arial" w:cs="ArialMT"/>
                <w:b/>
                <w:color w:val="FFFFFF" w:themeColor="background1"/>
                <w:sz w:val="20"/>
                <w:szCs w:val="20"/>
              </w:rPr>
            </w:pPr>
            <w:r w:rsidRPr="00512F43">
              <w:rPr>
                <w:rFonts w:ascii="Arial" w:hAnsi="Arial" w:cs="ArialMT"/>
                <w:b/>
                <w:color w:val="FFFFFF" w:themeColor="background1"/>
                <w:sz w:val="20"/>
                <w:szCs w:val="20"/>
              </w:rPr>
              <w:t>Q2 Question (%)</w:t>
            </w:r>
          </w:p>
        </w:tc>
      </w:tr>
      <w:tr w:rsidR="00E1165A" w:rsidRPr="000F4D9C" w14:paraId="7B525023" w14:textId="77777777" w:rsidTr="00E1165A">
        <w:tc>
          <w:tcPr>
            <w:tcW w:w="2122" w:type="dxa"/>
          </w:tcPr>
          <w:p w14:paraId="35DB947E" w14:textId="1F076C70" w:rsidR="00E1165A"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Supply and installation of the requirement to British and MOD Standards.</w:t>
            </w:r>
          </w:p>
        </w:tc>
        <w:tc>
          <w:tcPr>
            <w:tcW w:w="7091" w:type="dxa"/>
          </w:tcPr>
          <w:p w14:paraId="43DC73C6" w14:textId="49F1CE7A" w:rsidR="00E1165A"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minimal support from the Authority.  This is evident with the bidders</w:t>
            </w:r>
            <w:r>
              <w:rPr>
                <w:rFonts w:ascii="Arial" w:hAnsi="Arial" w:cs="ArialMT"/>
                <w:sz w:val="20"/>
                <w:szCs w:val="20"/>
              </w:rPr>
              <w:t>’</w:t>
            </w:r>
            <w:r w:rsidRPr="00963EEB">
              <w:rPr>
                <w:rFonts w:ascii="Arial" w:hAnsi="Arial" w:cs="ArialMT"/>
                <w:sz w:val="20"/>
                <w:szCs w:val="20"/>
              </w:rPr>
              <w:t xml:space="preserve"> comprehensive presentation of accreditations/certificates; understanding MoD procedures (JSPs) and the SCIDA process; and may require minimal support from the Authority with the utilisation of a approved 'Contract Safe' subcontractor to ensure the Authority's vision is fully understood.</w:t>
            </w:r>
          </w:p>
        </w:tc>
      </w:tr>
      <w:tr w:rsidR="00E1165A" w:rsidRPr="003E06B1" w14:paraId="6E7BE1B4" w14:textId="77777777" w:rsidTr="00E1165A">
        <w:tc>
          <w:tcPr>
            <w:tcW w:w="9213" w:type="dxa"/>
            <w:gridSpan w:val="2"/>
            <w:shd w:val="clear" w:color="auto" w:fill="000000" w:themeFill="text1"/>
          </w:tcPr>
          <w:p w14:paraId="1FD94D6C" w14:textId="77777777" w:rsidR="00E1165A" w:rsidRPr="00512F43" w:rsidRDefault="00E1165A" w:rsidP="00E1165A">
            <w:pPr>
              <w:pStyle w:val="BasicParagraph"/>
              <w:spacing w:before="60" w:after="60"/>
              <w:rPr>
                <w:rFonts w:ascii="Arial" w:hAnsi="Arial" w:cs="ArialMT"/>
                <w:b/>
                <w:color w:val="FFFFFF" w:themeColor="background1"/>
                <w:sz w:val="20"/>
                <w:szCs w:val="20"/>
              </w:rPr>
            </w:pPr>
            <w:r w:rsidRPr="00512F43">
              <w:rPr>
                <w:rFonts w:ascii="Arial" w:hAnsi="Arial" w:cs="ArialMT"/>
                <w:b/>
                <w:color w:val="FFFFFF" w:themeColor="background1"/>
                <w:sz w:val="20"/>
                <w:szCs w:val="20"/>
              </w:rPr>
              <w:t>Q3 Question (%)</w:t>
            </w:r>
          </w:p>
        </w:tc>
      </w:tr>
      <w:tr w:rsidR="00E1165A" w:rsidRPr="000F4D9C" w14:paraId="691F861E" w14:textId="77777777" w:rsidTr="00E1165A">
        <w:tc>
          <w:tcPr>
            <w:tcW w:w="2122" w:type="dxa"/>
          </w:tcPr>
          <w:p w14:paraId="218E9C72" w14:textId="1FFBFEBF" w:rsidR="00E1165A"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Specification – Sound and Quality.</w:t>
            </w:r>
          </w:p>
        </w:tc>
        <w:tc>
          <w:tcPr>
            <w:tcW w:w="7091" w:type="dxa"/>
          </w:tcPr>
          <w:p w14:paraId="7714842C" w14:textId="29735E35" w:rsidR="00E1165A"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evident with the bidder providing comprehensive technical specifications for each projection equipment type.</w:t>
            </w:r>
          </w:p>
        </w:tc>
      </w:tr>
      <w:tr w:rsidR="00E1165A" w:rsidRPr="003E06B1" w14:paraId="4DA74D29" w14:textId="77777777" w:rsidTr="00E1165A">
        <w:tc>
          <w:tcPr>
            <w:tcW w:w="9213" w:type="dxa"/>
            <w:gridSpan w:val="2"/>
            <w:shd w:val="clear" w:color="auto" w:fill="000000" w:themeFill="text1"/>
          </w:tcPr>
          <w:p w14:paraId="796909BB" w14:textId="77777777" w:rsidR="00E1165A" w:rsidRPr="00512F43" w:rsidRDefault="00E1165A" w:rsidP="00E1165A">
            <w:pPr>
              <w:pStyle w:val="BasicParagraph"/>
              <w:spacing w:before="60" w:after="60"/>
              <w:rPr>
                <w:rFonts w:ascii="Arial" w:hAnsi="Arial" w:cs="ArialMT"/>
                <w:b/>
                <w:color w:val="FFFFFF" w:themeColor="background1"/>
                <w:sz w:val="20"/>
                <w:szCs w:val="20"/>
              </w:rPr>
            </w:pPr>
            <w:r w:rsidRPr="00512F43">
              <w:rPr>
                <w:rFonts w:ascii="Arial" w:hAnsi="Arial" w:cs="ArialMT"/>
                <w:b/>
                <w:color w:val="FFFFFF" w:themeColor="background1"/>
                <w:sz w:val="20"/>
                <w:szCs w:val="20"/>
              </w:rPr>
              <w:t>Q4 Question (%)</w:t>
            </w:r>
          </w:p>
        </w:tc>
      </w:tr>
      <w:tr w:rsidR="00E1165A" w:rsidRPr="000F4D9C" w14:paraId="5497548A" w14:textId="77777777" w:rsidTr="00E1165A">
        <w:tc>
          <w:tcPr>
            <w:tcW w:w="2122" w:type="dxa"/>
          </w:tcPr>
          <w:p w14:paraId="2647EC0C" w14:textId="3B33BDD2" w:rsidR="00E1165A"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Specification – Picture and Quality.</w:t>
            </w:r>
          </w:p>
        </w:tc>
        <w:tc>
          <w:tcPr>
            <w:tcW w:w="7091" w:type="dxa"/>
          </w:tcPr>
          <w:p w14:paraId="30374D25" w14:textId="1C2A9A6F" w:rsidR="00E1165A"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evident with the bidder providing comprehensive technical specifications for each projection equipment type.</w:t>
            </w:r>
          </w:p>
        </w:tc>
      </w:tr>
      <w:tr w:rsidR="00D74643" w:rsidRPr="000F4D9C" w14:paraId="49602921" w14:textId="77777777" w:rsidTr="00D74643">
        <w:tc>
          <w:tcPr>
            <w:tcW w:w="2122" w:type="dxa"/>
            <w:shd w:val="clear" w:color="auto" w:fill="000000" w:themeFill="text1"/>
          </w:tcPr>
          <w:p w14:paraId="3E3073B4" w14:textId="20D5C6DF" w:rsidR="00D74643" w:rsidRPr="00D74643" w:rsidRDefault="00D74643" w:rsidP="00E1165A">
            <w:pPr>
              <w:pStyle w:val="BasicParagraph"/>
              <w:spacing w:before="60" w:after="60"/>
              <w:rPr>
                <w:rFonts w:ascii="Arial" w:hAnsi="Arial" w:cs="ArialMT"/>
                <w:b/>
                <w:bCs/>
                <w:color w:val="FFFFFF" w:themeColor="background1"/>
                <w:sz w:val="20"/>
                <w:szCs w:val="20"/>
              </w:rPr>
            </w:pPr>
            <w:r w:rsidRPr="00D74643">
              <w:rPr>
                <w:rFonts w:ascii="Arial" w:hAnsi="Arial" w:cs="ArialMT"/>
                <w:b/>
                <w:bCs/>
                <w:color w:val="FFFFFF" w:themeColor="background1"/>
                <w:sz w:val="20"/>
                <w:szCs w:val="20"/>
              </w:rPr>
              <w:t>Q5 Question (%)</w:t>
            </w:r>
          </w:p>
        </w:tc>
        <w:tc>
          <w:tcPr>
            <w:tcW w:w="7091" w:type="dxa"/>
            <w:shd w:val="clear" w:color="auto" w:fill="000000" w:themeFill="text1"/>
          </w:tcPr>
          <w:p w14:paraId="63D3A4A5" w14:textId="77777777" w:rsidR="00D74643" w:rsidRPr="00D74643" w:rsidRDefault="00D74643" w:rsidP="00E1165A">
            <w:pPr>
              <w:pStyle w:val="BasicParagraph"/>
              <w:spacing w:before="60" w:after="60"/>
              <w:rPr>
                <w:rFonts w:ascii="Arial" w:hAnsi="Arial" w:cs="ArialMT"/>
                <w:color w:val="FFFFFF" w:themeColor="background1"/>
                <w:sz w:val="20"/>
                <w:szCs w:val="20"/>
              </w:rPr>
            </w:pPr>
          </w:p>
        </w:tc>
      </w:tr>
      <w:tr w:rsidR="00D74643" w:rsidRPr="000F4D9C" w14:paraId="2A57A9B9" w14:textId="77777777" w:rsidTr="00E1165A">
        <w:tc>
          <w:tcPr>
            <w:tcW w:w="2122" w:type="dxa"/>
          </w:tcPr>
          <w:p w14:paraId="418CFABD" w14:textId="20BFE931" w:rsidR="00D746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Specification – Hardware.</w:t>
            </w:r>
          </w:p>
        </w:tc>
        <w:tc>
          <w:tcPr>
            <w:tcW w:w="7091" w:type="dxa"/>
          </w:tcPr>
          <w:p w14:paraId="587C0EFB" w14:textId="054AA863"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evident with the bidder providing comprehensive technical specifications for each projection equipment type.</w:t>
            </w:r>
          </w:p>
        </w:tc>
      </w:tr>
      <w:tr w:rsidR="00D74643" w:rsidRPr="000F4D9C" w14:paraId="334DD603" w14:textId="77777777" w:rsidTr="00D74643">
        <w:tc>
          <w:tcPr>
            <w:tcW w:w="2122" w:type="dxa"/>
            <w:shd w:val="clear" w:color="auto" w:fill="000000" w:themeFill="text1"/>
          </w:tcPr>
          <w:p w14:paraId="636A413C" w14:textId="2D516FEC" w:rsidR="00D74643" w:rsidRPr="00D74643" w:rsidRDefault="00D74643" w:rsidP="00E1165A">
            <w:pPr>
              <w:pStyle w:val="BasicParagraph"/>
              <w:spacing w:before="60" w:after="60"/>
              <w:rPr>
                <w:rFonts w:ascii="Arial" w:hAnsi="Arial" w:cs="ArialMT"/>
                <w:b/>
                <w:bCs/>
                <w:color w:val="FFFFFF" w:themeColor="background1"/>
                <w:sz w:val="20"/>
                <w:szCs w:val="20"/>
              </w:rPr>
            </w:pPr>
            <w:r w:rsidRPr="00D74643">
              <w:rPr>
                <w:rFonts w:ascii="Arial" w:hAnsi="Arial" w:cs="ArialMT"/>
                <w:b/>
                <w:bCs/>
                <w:color w:val="FFFFFF" w:themeColor="background1"/>
                <w:sz w:val="20"/>
                <w:szCs w:val="20"/>
              </w:rPr>
              <w:t>Q6 Question (%)</w:t>
            </w:r>
          </w:p>
        </w:tc>
        <w:tc>
          <w:tcPr>
            <w:tcW w:w="7091" w:type="dxa"/>
            <w:shd w:val="clear" w:color="auto" w:fill="000000" w:themeFill="text1"/>
          </w:tcPr>
          <w:p w14:paraId="7E558EA2" w14:textId="77777777" w:rsidR="00D74643" w:rsidRPr="00D74643" w:rsidRDefault="00D74643" w:rsidP="00E1165A">
            <w:pPr>
              <w:pStyle w:val="BasicParagraph"/>
              <w:spacing w:before="60" w:after="60"/>
              <w:rPr>
                <w:rFonts w:ascii="Arial" w:hAnsi="Arial" w:cs="ArialMT"/>
                <w:color w:val="FFFFFF" w:themeColor="background1"/>
                <w:sz w:val="20"/>
                <w:szCs w:val="20"/>
              </w:rPr>
            </w:pPr>
          </w:p>
        </w:tc>
      </w:tr>
      <w:tr w:rsidR="00D74643" w:rsidRPr="000F4D9C" w14:paraId="24F643DF" w14:textId="77777777" w:rsidTr="00E1165A">
        <w:tc>
          <w:tcPr>
            <w:tcW w:w="2122" w:type="dxa"/>
          </w:tcPr>
          <w:p w14:paraId="16ED31B9" w14:textId="6F3B9043"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Support Management Plan – Repair or replace supplied equipment within acceptable parameters when faulty.</w:t>
            </w:r>
          </w:p>
        </w:tc>
        <w:tc>
          <w:tcPr>
            <w:tcW w:w="7091" w:type="dxa"/>
          </w:tcPr>
          <w:p w14:paraId="24993796" w14:textId="72FA3EDD"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evident with the bidder providing a comprehensive explanation of the Support Management Plan presenting an understanding of what the Authority requires in accordance with Appendix 3 to the SoR, 1st and 2nd Line of Support.  </w:t>
            </w:r>
          </w:p>
        </w:tc>
      </w:tr>
      <w:tr w:rsidR="00D74643" w:rsidRPr="000F4D9C" w14:paraId="4C999B86" w14:textId="77777777" w:rsidTr="00D74643">
        <w:tc>
          <w:tcPr>
            <w:tcW w:w="2122" w:type="dxa"/>
            <w:shd w:val="clear" w:color="auto" w:fill="000000" w:themeFill="text1"/>
          </w:tcPr>
          <w:p w14:paraId="41D60E7C" w14:textId="25DF9BAB" w:rsidR="00D74643" w:rsidRPr="00D74643" w:rsidRDefault="00D74643" w:rsidP="00E1165A">
            <w:pPr>
              <w:pStyle w:val="BasicParagraph"/>
              <w:spacing w:before="60" w:after="60"/>
              <w:rPr>
                <w:rFonts w:ascii="Arial" w:hAnsi="Arial" w:cs="ArialMT"/>
                <w:b/>
                <w:bCs/>
                <w:color w:val="FFFFFF" w:themeColor="background1"/>
                <w:sz w:val="20"/>
                <w:szCs w:val="20"/>
              </w:rPr>
            </w:pPr>
            <w:r w:rsidRPr="00D74643">
              <w:rPr>
                <w:rFonts w:ascii="Arial" w:hAnsi="Arial" w:cs="ArialMT"/>
                <w:b/>
                <w:bCs/>
                <w:color w:val="FFFFFF" w:themeColor="background1"/>
                <w:sz w:val="20"/>
                <w:szCs w:val="20"/>
              </w:rPr>
              <w:t>Q7 Question (%)</w:t>
            </w:r>
          </w:p>
        </w:tc>
        <w:tc>
          <w:tcPr>
            <w:tcW w:w="7091" w:type="dxa"/>
            <w:shd w:val="clear" w:color="auto" w:fill="000000" w:themeFill="text1"/>
          </w:tcPr>
          <w:p w14:paraId="4BF68D5A" w14:textId="77777777" w:rsidR="00D74643" w:rsidRPr="00D74643" w:rsidRDefault="00D74643" w:rsidP="00E1165A">
            <w:pPr>
              <w:pStyle w:val="BasicParagraph"/>
              <w:spacing w:before="60" w:after="60"/>
              <w:rPr>
                <w:rFonts w:ascii="Arial" w:hAnsi="Arial" w:cs="ArialMT"/>
                <w:b/>
                <w:bCs/>
                <w:color w:val="FFFFFF" w:themeColor="background1"/>
                <w:sz w:val="20"/>
                <w:szCs w:val="20"/>
              </w:rPr>
            </w:pPr>
          </w:p>
        </w:tc>
      </w:tr>
      <w:tr w:rsidR="00D74643" w:rsidRPr="000F4D9C" w14:paraId="4C04912C" w14:textId="77777777" w:rsidTr="00E1165A">
        <w:tc>
          <w:tcPr>
            <w:tcW w:w="2122" w:type="dxa"/>
          </w:tcPr>
          <w:p w14:paraId="4550F28F" w14:textId="482B9EC4"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 xml:space="preserve">SQEP and TTLS for the duration of the </w:t>
            </w:r>
            <w:r w:rsidRPr="00963EEB">
              <w:rPr>
                <w:rFonts w:ascii="Arial" w:hAnsi="Arial" w:cs="ArialMT"/>
                <w:sz w:val="20"/>
                <w:szCs w:val="20"/>
              </w:rPr>
              <w:lastRenderedPageBreak/>
              <w:t>contract.</w:t>
            </w:r>
          </w:p>
        </w:tc>
        <w:tc>
          <w:tcPr>
            <w:tcW w:w="7091" w:type="dxa"/>
          </w:tcPr>
          <w:p w14:paraId="4D763CBA" w14:textId="7D9C5F20"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lastRenderedPageBreak/>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w:t>
            </w:r>
            <w:r w:rsidRPr="00963EEB">
              <w:rPr>
                <w:rFonts w:ascii="Arial" w:hAnsi="Arial" w:cs="ArialMT"/>
                <w:sz w:val="20"/>
                <w:szCs w:val="20"/>
              </w:rPr>
              <w:lastRenderedPageBreak/>
              <w:t xml:space="preserve">evident with the bidder providing a comprehensive TTLS Support Plan for the duration of the Contract; recognition of on-site training for end-users; and a clear demonstration of the experienced SQEP in order to support all TTLS activities.        </w:t>
            </w:r>
          </w:p>
        </w:tc>
      </w:tr>
      <w:tr w:rsidR="00D74643" w:rsidRPr="000F4D9C" w14:paraId="2490FD93" w14:textId="77777777" w:rsidTr="00D74643">
        <w:tc>
          <w:tcPr>
            <w:tcW w:w="2122" w:type="dxa"/>
            <w:shd w:val="clear" w:color="auto" w:fill="000000" w:themeFill="text1"/>
          </w:tcPr>
          <w:p w14:paraId="425D721D" w14:textId="1FB7D560" w:rsidR="00D74643" w:rsidRPr="00D74643" w:rsidRDefault="00D74643" w:rsidP="00E1165A">
            <w:pPr>
              <w:pStyle w:val="BasicParagraph"/>
              <w:spacing w:before="60" w:after="60"/>
              <w:rPr>
                <w:rFonts w:ascii="Arial" w:hAnsi="Arial" w:cs="ArialMT"/>
                <w:b/>
                <w:bCs/>
                <w:sz w:val="20"/>
                <w:szCs w:val="20"/>
              </w:rPr>
            </w:pPr>
            <w:r w:rsidRPr="00D74643">
              <w:rPr>
                <w:rFonts w:ascii="Arial" w:hAnsi="Arial" w:cs="ArialMT"/>
                <w:b/>
                <w:bCs/>
                <w:color w:val="FFFFFF" w:themeColor="background1"/>
                <w:sz w:val="20"/>
                <w:szCs w:val="20"/>
              </w:rPr>
              <w:lastRenderedPageBreak/>
              <w:t>Q8 Question (%)</w:t>
            </w:r>
          </w:p>
        </w:tc>
        <w:tc>
          <w:tcPr>
            <w:tcW w:w="7091" w:type="dxa"/>
            <w:shd w:val="clear" w:color="auto" w:fill="000000" w:themeFill="text1"/>
          </w:tcPr>
          <w:p w14:paraId="15EF9E1A" w14:textId="77777777" w:rsidR="00D74643" w:rsidRPr="00512F43" w:rsidRDefault="00D74643" w:rsidP="00E1165A">
            <w:pPr>
              <w:pStyle w:val="BasicParagraph"/>
              <w:spacing w:before="60" w:after="60"/>
              <w:rPr>
                <w:rFonts w:ascii="Arial" w:hAnsi="Arial" w:cs="ArialMT"/>
                <w:sz w:val="20"/>
                <w:szCs w:val="20"/>
              </w:rPr>
            </w:pPr>
          </w:p>
        </w:tc>
      </w:tr>
      <w:tr w:rsidR="00D74643" w:rsidRPr="000F4D9C" w14:paraId="42E00D81" w14:textId="77777777" w:rsidTr="00E1165A">
        <w:tc>
          <w:tcPr>
            <w:tcW w:w="2122" w:type="dxa"/>
          </w:tcPr>
          <w:p w14:paraId="464F206C" w14:textId="72A0FB5B"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Security</w:t>
            </w:r>
          </w:p>
        </w:tc>
        <w:tc>
          <w:tcPr>
            <w:tcW w:w="7091" w:type="dxa"/>
          </w:tcPr>
          <w:p w14:paraId="649BAA45" w14:textId="683898FE"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evident with the bidder providing a comprehensive background to in-house security procedures (HMG BPSS) and utilisation of the DBS-UKSV to manage staff vetting; comprehensive list of security cleared personnel assigned to this project.   </w:t>
            </w:r>
          </w:p>
        </w:tc>
      </w:tr>
      <w:tr w:rsidR="00D74643" w:rsidRPr="000F4D9C" w14:paraId="2B7B17B1" w14:textId="77777777" w:rsidTr="00D74643">
        <w:tc>
          <w:tcPr>
            <w:tcW w:w="2122" w:type="dxa"/>
            <w:shd w:val="clear" w:color="auto" w:fill="000000" w:themeFill="text1"/>
          </w:tcPr>
          <w:p w14:paraId="1569B914" w14:textId="083356AD" w:rsidR="00D74643" w:rsidRPr="00D74643" w:rsidRDefault="00D74643" w:rsidP="00E1165A">
            <w:pPr>
              <w:pStyle w:val="BasicParagraph"/>
              <w:spacing w:before="60" w:after="60"/>
              <w:rPr>
                <w:rFonts w:ascii="Arial" w:hAnsi="Arial" w:cs="ArialMT"/>
                <w:b/>
                <w:bCs/>
                <w:color w:val="FFFFFF" w:themeColor="background1"/>
                <w:sz w:val="20"/>
                <w:szCs w:val="20"/>
              </w:rPr>
            </w:pPr>
            <w:r w:rsidRPr="00D74643">
              <w:rPr>
                <w:rFonts w:ascii="Arial" w:hAnsi="Arial" w:cs="ArialMT"/>
                <w:b/>
                <w:bCs/>
                <w:color w:val="FFFFFF" w:themeColor="background1"/>
                <w:sz w:val="20"/>
                <w:szCs w:val="20"/>
              </w:rPr>
              <w:t>Q9 Question (%)</w:t>
            </w:r>
          </w:p>
        </w:tc>
        <w:tc>
          <w:tcPr>
            <w:tcW w:w="7091" w:type="dxa"/>
            <w:shd w:val="clear" w:color="auto" w:fill="000000" w:themeFill="text1"/>
          </w:tcPr>
          <w:p w14:paraId="13EDF921" w14:textId="77777777" w:rsidR="00D74643" w:rsidRPr="00512F43" w:rsidRDefault="00D74643" w:rsidP="00E1165A">
            <w:pPr>
              <w:pStyle w:val="BasicParagraph"/>
              <w:spacing w:before="60" w:after="60"/>
              <w:rPr>
                <w:rFonts w:ascii="Arial" w:hAnsi="Arial" w:cs="ArialMT"/>
                <w:sz w:val="20"/>
                <w:szCs w:val="20"/>
              </w:rPr>
            </w:pPr>
          </w:p>
        </w:tc>
      </w:tr>
      <w:tr w:rsidR="00D74643" w:rsidRPr="000F4D9C" w14:paraId="65E81154" w14:textId="77777777" w:rsidTr="00E1165A">
        <w:tc>
          <w:tcPr>
            <w:tcW w:w="2122" w:type="dxa"/>
          </w:tcPr>
          <w:p w14:paraId="60C54D57" w14:textId="48449026"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Risk Management</w:t>
            </w:r>
          </w:p>
        </w:tc>
        <w:tc>
          <w:tcPr>
            <w:tcW w:w="7091" w:type="dxa"/>
          </w:tcPr>
          <w:p w14:paraId="0C34F001" w14:textId="6939C49D"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evident with the bidder comprehensively providing examples of assumptions and dependencies and how the bidder with continuously mitigate against any such risk(s) throughout the delivery of this project.</w:t>
            </w:r>
          </w:p>
        </w:tc>
      </w:tr>
      <w:tr w:rsidR="00D74643" w:rsidRPr="000F4D9C" w14:paraId="34FF956F" w14:textId="77777777" w:rsidTr="00D74643">
        <w:tc>
          <w:tcPr>
            <w:tcW w:w="2122" w:type="dxa"/>
            <w:shd w:val="clear" w:color="auto" w:fill="000000" w:themeFill="text1"/>
          </w:tcPr>
          <w:p w14:paraId="1BEBBEB9" w14:textId="5995BDD2" w:rsidR="00D74643" w:rsidRPr="00D74643" w:rsidRDefault="00D74643" w:rsidP="00E1165A">
            <w:pPr>
              <w:pStyle w:val="BasicParagraph"/>
              <w:spacing w:before="60" w:after="60"/>
              <w:rPr>
                <w:rFonts w:ascii="Arial" w:hAnsi="Arial" w:cs="ArialMT"/>
                <w:b/>
                <w:bCs/>
                <w:sz w:val="20"/>
                <w:szCs w:val="20"/>
              </w:rPr>
            </w:pPr>
            <w:r w:rsidRPr="00D74643">
              <w:rPr>
                <w:rFonts w:ascii="Arial" w:hAnsi="Arial" w:cs="ArialMT"/>
                <w:b/>
                <w:bCs/>
                <w:color w:val="FFFFFF" w:themeColor="background1"/>
                <w:sz w:val="20"/>
                <w:szCs w:val="20"/>
              </w:rPr>
              <w:t>Q10 Question (%)</w:t>
            </w:r>
          </w:p>
        </w:tc>
        <w:tc>
          <w:tcPr>
            <w:tcW w:w="7091" w:type="dxa"/>
            <w:shd w:val="clear" w:color="auto" w:fill="000000" w:themeFill="text1"/>
          </w:tcPr>
          <w:p w14:paraId="3E00851E" w14:textId="77777777" w:rsidR="00D74643" w:rsidRPr="00512F43" w:rsidRDefault="00D74643" w:rsidP="00E1165A">
            <w:pPr>
              <w:pStyle w:val="BasicParagraph"/>
              <w:spacing w:before="60" w:after="60"/>
              <w:rPr>
                <w:rFonts w:ascii="Arial" w:hAnsi="Arial" w:cs="ArialMT"/>
                <w:sz w:val="20"/>
                <w:szCs w:val="20"/>
              </w:rPr>
            </w:pPr>
          </w:p>
        </w:tc>
      </w:tr>
      <w:tr w:rsidR="00D74643" w:rsidRPr="000F4D9C" w14:paraId="3AB91360" w14:textId="77777777" w:rsidTr="00E1165A">
        <w:tc>
          <w:tcPr>
            <w:tcW w:w="2122" w:type="dxa"/>
          </w:tcPr>
          <w:p w14:paraId="0FC9364B" w14:textId="6FBE937F" w:rsidR="00D74643" w:rsidRPr="00D746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Contract Management</w:t>
            </w:r>
          </w:p>
        </w:tc>
        <w:tc>
          <w:tcPr>
            <w:tcW w:w="7091" w:type="dxa"/>
          </w:tcPr>
          <w:p w14:paraId="35348402" w14:textId="288DF697"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Although the supplier exceeded two sides of A4, the bidder has however provided a comprehensive methodology and metrics of monitoring SLAs/Performance Measures by detailing compliancy and monitoring processes to ensure customer satisfaction and continuous service improvements methods with Authority engagement.     </w:t>
            </w:r>
          </w:p>
        </w:tc>
      </w:tr>
      <w:tr w:rsidR="00D74643" w:rsidRPr="000F4D9C" w14:paraId="176246BD" w14:textId="77777777" w:rsidTr="00D74643">
        <w:tc>
          <w:tcPr>
            <w:tcW w:w="2122" w:type="dxa"/>
            <w:shd w:val="clear" w:color="auto" w:fill="000000" w:themeFill="text1"/>
          </w:tcPr>
          <w:p w14:paraId="450F0D63" w14:textId="54D84845" w:rsidR="00D74643" w:rsidRPr="00D74643" w:rsidRDefault="00D74643" w:rsidP="00E1165A">
            <w:pPr>
              <w:pStyle w:val="BasicParagraph"/>
              <w:spacing w:before="60" w:after="60"/>
              <w:rPr>
                <w:rFonts w:ascii="Arial" w:hAnsi="Arial" w:cs="ArialMT"/>
                <w:b/>
                <w:bCs/>
                <w:color w:val="FFFFFF" w:themeColor="background1"/>
                <w:sz w:val="20"/>
                <w:szCs w:val="20"/>
              </w:rPr>
            </w:pPr>
            <w:r w:rsidRPr="00D74643">
              <w:rPr>
                <w:rFonts w:ascii="Arial" w:hAnsi="Arial" w:cs="ArialMT"/>
                <w:b/>
                <w:bCs/>
                <w:color w:val="FFFFFF" w:themeColor="background1"/>
                <w:sz w:val="20"/>
                <w:szCs w:val="20"/>
              </w:rPr>
              <w:t>Q11 Question (%)</w:t>
            </w:r>
          </w:p>
        </w:tc>
        <w:tc>
          <w:tcPr>
            <w:tcW w:w="7091" w:type="dxa"/>
            <w:shd w:val="clear" w:color="auto" w:fill="000000" w:themeFill="text1"/>
          </w:tcPr>
          <w:p w14:paraId="6D81608F" w14:textId="77777777" w:rsidR="00D74643" w:rsidRPr="00512F43" w:rsidRDefault="00D74643" w:rsidP="00E1165A">
            <w:pPr>
              <w:pStyle w:val="BasicParagraph"/>
              <w:spacing w:before="60" w:after="60"/>
              <w:rPr>
                <w:rFonts w:ascii="Arial" w:hAnsi="Arial" w:cs="ArialMT"/>
                <w:sz w:val="20"/>
                <w:szCs w:val="20"/>
              </w:rPr>
            </w:pPr>
          </w:p>
        </w:tc>
      </w:tr>
      <w:tr w:rsidR="00D74643" w:rsidRPr="000F4D9C" w14:paraId="6ADFF600" w14:textId="77777777" w:rsidTr="00E1165A">
        <w:tc>
          <w:tcPr>
            <w:tcW w:w="2122" w:type="dxa"/>
          </w:tcPr>
          <w:p w14:paraId="46EFB580" w14:textId="6682D596" w:rsidR="00D74643" w:rsidRPr="00D746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Social Value</w:t>
            </w:r>
          </w:p>
        </w:tc>
        <w:tc>
          <w:tcPr>
            <w:tcW w:w="7091" w:type="dxa"/>
          </w:tcPr>
          <w:p w14:paraId="7512BCC0" w14:textId="6CEBAE63" w:rsidR="00D74643" w:rsidRPr="00512F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Based on the evidence provided the bidder demonstrated an ability to the meet the requirement in full</w:t>
            </w:r>
            <w:r w:rsidR="00832858">
              <w:rPr>
                <w:rFonts w:ascii="Arial" w:hAnsi="Arial" w:cs="ArialMT"/>
                <w:sz w:val="20"/>
                <w:szCs w:val="20"/>
              </w:rPr>
              <w:t>,</w:t>
            </w:r>
            <w:r w:rsidRPr="00963EEB">
              <w:rPr>
                <w:rFonts w:ascii="Arial" w:hAnsi="Arial" w:cs="ArialMT"/>
                <w:sz w:val="20"/>
                <w:szCs w:val="20"/>
              </w:rPr>
              <w:t xml:space="preserve"> with no support from the Authority.  This is evident with the bidder providing comprehensive examples of supported/ing social values, specifically for local communities; environmental conscious and COVID-19 Recovery.</w:t>
            </w:r>
          </w:p>
        </w:tc>
      </w:tr>
      <w:tr w:rsidR="00D74643" w:rsidRPr="000F4D9C" w14:paraId="252225FC" w14:textId="77777777" w:rsidTr="00D74643">
        <w:tc>
          <w:tcPr>
            <w:tcW w:w="2122" w:type="dxa"/>
            <w:shd w:val="clear" w:color="auto" w:fill="000000" w:themeFill="text1"/>
          </w:tcPr>
          <w:p w14:paraId="116487A6" w14:textId="389125D6" w:rsidR="00D74643" w:rsidRPr="00D74643" w:rsidRDefault="00963EEB" w:rsidP="00E1165A">
            <w:pPr>
              <w:pStyle w:val="BasicParagraph"/>
              <w:spacing w:before="60" w:after="60"/>
              <w:rPr>
                <w:rFonts w:ascii="Arial" w:hAnsi="Arial" w:cs="ArialMT"/>
                <w:b/>
                <w:bCs/>
                <w:color w:val="FFFFFF" w:themeColor="background1"/>
                <w:sz w:val="20"/>
                <w:szCs w:val="20"/>
              </w:rPr>
            </w:pPr>
            <w:r w:rsidRPr="00963EEB">
              <w:rPr>
                <w:rFonts w:ascii="Arial" w:hAnsi="Arial" w:cs="ArialMT"/>
                <w:b/>
                <w:bCs/>
                <w:color w:val="FFFFFF" w:themeColor="background1"/>
                <w:sz w:val="20"/>
                <w:szCs w:val="20"/>
              </w:rPr>
              <w:t>Appendix 1 Mandatory Questionnaire (%)</w:t>
            </w:r>
          </w:p>
        </w:tc>
        <w:tc>
          <w:tcPr>
            <w:tcW w:w="7091" w:type="dxa"/>
            <w:shd w:val="clear" w:color="auto" w:fill="000000" w:themeFill="text1"/>
          </w:tcPr>
          <w:p w14:paraId="58B4A4C6" w14:textId="77777777" w:rsidR="00D74643" w:rsidRPr="00512F43" w:rsidRDefault="00D74643" w:rsidP="00E1165A">
            <w:pPr>
              <w:pStyle w:val="BasicParagraph"/>
              <w:spacing w:before="60" w:after="60"/>
              <w:rPr>
                <w:rFonts w:ascii="Arial" w:hAnsi="Arial" w:cs="ArialMT"/>
                <w:sz w:val="20"/>
                <w:szCs w:val="20"/>
              </w:rPr>
            </w:pPr>
          </w:p>
        </w:tc>
      </w:tr>
      <w:tr w:rsidR="00D74643" w:rsidRPr="000F4D9C" w14:paraId="72C83980" w14:textId="77777777" w:rsidTr="00E1165A">
        <w:tc>
          <w:tcPr>
            <w:tcW w:w="2122" w:type="dxa"/>
          </w:tcPr>
          <w:p w14:paraId="275545D6" w14:textId="659F6DC1" w:rsidR="00D74643" w:rsidRPr="00D74643" w:rsidRDefault="00963EEB" w:rsidP="00E1165A">
            <w:pPr>
              <w:pStyle w:val="BasicParagraph"/>
              <w:spacing w:before="60" w:after="60"/>
              <w:rPr>
                <w:rFonts w:ascii="Arial" w:hAnsi="Arial" w:cs="ArialMT"/>
                <w:sz w:val="20"/>
                <w:szCs w:val="20"/>
              </w:rPr>
            </w:pPr>
            <w:r w:rsidRPr="00963EEB">
              <w:rPr>
                <w:rFonts w:ascii="Arial" w:hAnsi="Arial" w:cs="ArialMT"/>
                <w:sz w:val="20"/>
                <w:szCs w:val="20"/>
              </w:rPr>
              <w:t>Pass/Fail</w:t>
            </w:r>
          </w:p>
        </w:tc>
        <w:tc>
          <w:tcPr>
            <w:tcW w:w="7091" w:type="dxa"/>
          </w:tcPr>
          <w:p w14:paraId="0D64E595" w14:textId="55ADB4DB" w:rsidR="00D74643" w:rsidRPr="00512F43" w:rsidRDefault="00963EEB" w:rsidP="00E1165A">
            <w:pPr>
              <w:pStyle w:val="BasicParagraph"/>
              <w:spacing w:before="60" w:after="60"/>
              <w:rPr>
                <w:rFonts w:ascii="Arial" w:hAnsi="Arial" w:cs="ArialMT"/>
                <w:sz w:val="20"/>
                <w:szCs w:val="20"/>
              </w:rPr>
            </w:pPr>
            <w:r>
              <w:rPr>
                <w:rFonts w:ascii="Arial" w:hAnsi="Arial" w:cs="ArialMT"/>
                <w:sz w:val="20"/>
                <w:szCs w:val="20"/>
              </w:rPr>
              <w:t>Pass</w:t>
            </w:r>
          </w:p>
        </w:tc>
      </w:tr>
    </w:tbl>
    <w:p w14:paraId="585CB183" w14:textId="77777777" w:rsidR="00386291" w:rsidRPr="00CC2C9C" w:rsidRDefault="00386291" w:rsidP="00386291">
      <w:pPr>
        <w:pStyle w:val="BasicParagraph"/>
        <w:rPr>
          <w:sz w:val="20"/>
          <w:szCs w:val="20"/>
          <w:lang w:val="fr-FR"/>
        </w:rPr>
      </w:pPr>
    </w:p>
    <w:p w14:paraId="585CB19D" w14:textId="77777777" w:rsidR="00FA216B" w:rsidRDefault="00FA216B" w:rsidP="00386291">
      <w:pPr>
        <w:pStyle w:val="BasicParagraph"/>
        <w:spacing w:before="60" w:after="60"/>
        <w:rPr>
          <w:rFonts w:ascii="Arial" w:hAnsi="Arial" w:cs="ArialMT"/>
          <w:sz w:val="22"/>
          <w:szCs w:val="22"/>
          <w:lang w:val="fr-FR"/>
        </w:rPr>
      </w:pPr>
    </w:p>
    <w:p w14:paraId="585CB19E" w14:textId="77777777" w:rsidR="00FA216B" w:rsidRDefault="00FA216B" w:rsidP="00FA216B">
      <w:pPr>
        <w:rPr>
          <w:lang w:val="fr-FR"/>
        </w:rPr>
      </w:pPr>
    </w:p>
    <w:p w14:paraId="585CB19F" w14:textId="77777777" w:rsidR="000E62A5" w:rsidRPr="00FA216B" w:rsidRDefault="00FA216B" w:rsidP="00FA216B">
      <w:pPr>
        <w:tabs>
          <w:tab w:val="left" w:pos="1545"/>
        </w:tabs>
      </w:pPr>
      <w:r>
        <w:rPr>
          <w:lang w:val="fr-FR"/>
        </w:rPr>
        <w:tab/>
      </w:r>
    </w:p>
    <w:sectPr w:rsidR="000E62A5" w:rsidRPr="00FA216B" w:rsidSect="009713B9">
      <w:footerReference w:type="default" r:id="rId10"/>
      <w:pgSz w:w="12240" w:h="15840"/>
      <w:pgMar w:top="680" w:right="720" w:bottom="720" w:left="1418"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4BB89" w14:textId="77777777" w:rsidR="00CA3C2B" w:rsidRDefault="00CA3C2B" w:rsidP="000E62A5">
      <w:pPr>
        <w:spacing w:after="0" w:line="240" w:lineRule="auto"/>
      </w:pPr>
      <w:r>
        <w:separator/>
      </w:r>
    </w:p>
  </w:endnote>
  <w:endnote w:type="continuationSeparator" w:id="0">
    <w:p w14:paraId="368CFAE6" w14:textId="77777777" w:rsidR="00CA3C2B" w:rsidRDefault="00CA3C2B" w:rsidP="000E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CB1A4" w14:textId="77777777" w:rsidR="000E62A5" w:rsidRDefault="00CA3C2B">
    <w:pPr>
      <w:pStyle w:val="Footer"/>
    </w:pPr>
  </w:p>
  <w:p w14:paraId="585CB1A5" w14:textId="77777777" w:rsidR="000E62A5" w:rsidRDefault="00CA3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AD5CB" w14:textId="77777777" w:rsidR="00CA3C2B" w:rsidRDefault="00CA3C2B" w:rsidP="000E62A5">
      <w:pPr>
        <w:spacing w:after="0" w:line="240" w:lineRule="auto"/>
      </w:pPr>
      <w:r>
        <w:separator/>
      </w:r>
    </w:p>
  </w:footnote>
  <w:footnote w:type="continuationSeparator" w:id="0">
    <w:p w14:paraId="0D860A56" w14:textId="77777777" w:rsidR="00CA3C2B" w:rsidRDefault="00CA3C2B" w:rsidP="000E62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04"/>
    <w:rsid w:val="00036569"/>
    <w:rsid w:val="0009480B"/>
    <w:rsid w:val="00103E49"/>
    <w:rsid w:val="00106613"/>
    <w:rsid w:val="00107934"/>
    <w:rsid w:val="00130612"/>
    <w:rsid w:val="00192B21"/>
    <w:rsid w:val="001C5EF9"/>
    <w:rsid w:val="00215EEB"/>
    <w:rsid w:val="002542FD"/>
    <w:rsid w:val="00271748"/>
    <w:rsid w:val="00334B67"/>
    <w:rsid w:val="00386291"/>
    <w:rsid w:val="003F3273"/>
    <w:rsid w:val="004227D7"/>
    <w:rsid w:val="00490BBF"/>
    <w:rsid w:val="004C278F"/>
    <w:rsid w:val="00527BF3"/>
    <w:rsid w:val="0061224B"/>
    <w:rsid w:val="006316CE"/>
    <w:rsid w:val="00795C4B"/>
    <w:rsid w:val="007F22F3"/>
    <w:rsid w:val="00832858"/>
    <w:rsid w:val="00894F66"/>
    <w:rsid w:val="008A0D5D"/>
    <w:rsid w:val="008D3505"/>
    <w:rsid w:val="008D651A"/>
    <w:rsid w:val="0095607C"/>
    <w:rsid w:val="00963EEB"/>
    <w:rsid w:val="00984025"/>
    <w:rsid w:val="009D5F5F"/>
    <w:rsid w:val="009E596E"/>
    <w:rsid w:val="00A61D6E"/>
    <w:rsid w:val="00AF202E"/>
    <w:rsid w:val="00AF7B74"/>
    <w:rsid w:val="00B7575E"/>
    <w:rsid w:val="00B91704"/>
    <w:rsid w:val="00BF0667"/>
    <w:rsid w:val="00C42A9E"/>
    <w:rsid w:val="00CA3C2B"/>
    <w:rsid w:val="00CE0E89"/>
    <w:rsid w:val="00D3088F"/>
    <w:rsid w:val="00D74643"/>
    <w:rsid w:val="00D85F16"/>
    <w:rsid w:val="00DC3D3D"/>
    <w:rsid w:val="00E1165A"/>
    <w:rsid w:val="00E35C8D"/>
    <w:rsid w:val="00E461B8"/>
    <w:rsid w:val="00E5567C"/>
    <w:rsid w:val="00F22E3A"/>
    <w:rsid w:val="00F25CEE"/>
    <w:rsid w:val="00FA216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85CB161"/>
  <w15:docId w15:val="{3ABC2F21-6D78-4A5C-A353-1C8C1156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08"/>
    <w:pPr>
      <w:spacing w:after="200" w:line="276" w:lineRule="auto"/>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3E06"/>
    <w:rPr>
      <w:rFonts w:ascii="Lucida Grande" w:hAnsi="Lucida Grande"/>
      <w:sz w:val="18"/>
      <w:szCs w:val="18"/>
    </w:rPr>
  </w:style>
  <w:style w:type="table" w:styleId="TableGrid">
    <w:name w:val="Table Grid"/>
    <w:basedOn w:val="TableNormal"/>
    <w:uiPriority w:val="59"/>
    <w:rsid w:val="004969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0E62A5"/>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character" w:styleId="Hyperlink">
    <w:name w:val="Hyperlink"/>
    <w:basedOn w:val="DefaultParagraphFont"/>
    <w:uiPriority w:val="99"/>
    <w:unhideWhenUsed/>
    <w:rsid w:val="000E62A5"/>
    <w:rPr>
      <w:color w:val="0000FF" w:themeColor="hyperlink"/>
      <w:u w:val="single"/>
    </w:rPr>
  </w:style>
  <w:style w:type="paragraph" w:styleId="Header">
    <w:name w:val="header"/>
    <w:basedOn w:val="Normal"/>
    <w:link w:val="HeaderChar"/>
    <w:uiPriority w:val="99"/>
    <w:unhideWhenUsed/>
    <w:rsid w:val="000E6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2A5"/>
    <w:rPr>
      <w:rFonts w:ascii="Arial" w:hAnsi="Arial"/>
      <w:sz w:val="22"/>
      <w:szCs w:val="22"/>
      <w:lang w:val="en-GB"/>
    </w:rPr>
  </w:style>
  <w:style w:type="paragraph" w:styleId="Footer">
    <w:name w:val="footer"/>
    <w:basedOn w:val="Normal"/>
    <w:link w:val="FooterChar"/>
    <w:uiPriority w:val="99"/>
    <w:unhideWhenUsed/>
    <w:rsid w:val="000E6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2A5"/>
    <w:rPr>
      <w:rFonts w:ascii="Arial"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BF3DE243531F41AFAA8998AEB4BA59" ma:contentTypeVersion="0" ma:contentTypeDescription="Create a new document." ma:contentTypeScope="" ma:versionID="97fd3c9f65420a6a3db37f7d3957d64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653D75F-4247-4D9A-88B3-AAD3658DA064}">
  <ds:schemaRefs>
    <ds:schemaRef ds:uri="http://schemas.microsoft.com/office/2006/metadata/properties"/>
  </ds:schemaRefs>
</ds:datastoreItem>
</file>

<file path=customXml/itemProps2.xml><?xml version="1.0" encoding="utf-8"?>
<ds:datastoreItem xmlns:ds="http://schemas.openxmlformats.org/officeDocument/2006/customXml" ds:itemID="{5257BCB0-F0DB-4A98-A2A6-FA318710CFA9}">
  <ds:schemaRefs>
    <ds:schemaRef ds:uri="http://schemas.microsoft.com/sharepoint/v3/contenttype/forms"/>
  </ds:schemaRefs>
</ds:datastoreItem>
</file>

<file path=customXml/itemProps3.xml><?xml version="1.0" encoding="utf-8"?>
<ds:datastoreItem xmlns:ds="http://schemas.openxmlformats.org/officeDocument/2006/customXml" ds:itemID="{5B715491-E1BE-47A1-892E-3EC61F6F699B}">
  <ds:schemaRefs>
    <ds:schemaRef ds:uri="http://schemas.openxmlformats.org/officeDocument/2006/bibliography"/>
  </ds:schemaRefs>
</ds:datastoreItem>
</file>

<file path=customXml/itemProps4.xml><?xml version="1.0" encoding="utf-8"?>
<ds:datastoreItem xmlns:ds="http://schemas.openxmlformats.org/officeDocument/2006/customXml" ds:itemID="{2E57C144-96C2-4F79-B2C3-F79C0637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Buying Solutions</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Dept</dc:creator>
  <cp:lastModifiedBy>Hatchett, Susan D (Army Comrcl-Procure-FA-T2b-D)</cp:lastModifiedBy>
  <cp:revision>7</cp:revision>
  <cp:lastPrinted>2011-09-23T10:04:00Z</cp:lastPrinted>
  <dcterms:created xsi:type="dcterms:W3CDTF">2021-12-16T10:10:00Z</dcterms:created>
  <dcterms:modified xsi:type="dcterms:W3CDTF">2021-12-16T22:02:00Z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0x01010041BF3DE243531F41AFAA8998AEB4BA59</vt:lpwstr>
  </property>
</Properties>
</file>