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42" w:rsidRPr="004469E5" w:rsidRDefault="007B7EAB" w:rsidP="007B7EAB">
      <w:pPr>
        <w:pStyle w:val="Header"/>
        <w:jc w:val="right"/>
        <w:rPr>
          <w:rFonts w:ascii="Arial" w:hAnsi="Arial" w:cs="Arial"/>
          <w:b/>
          <w:sz w:val="22"/>
          <w:szCs w:val="22"/>
          <w:u w:val="single"/>
        </w:rPr>
      </w:pPr>
      <w:r>
        <w:rPr>
          <w:rFonts w:ascii="Arial" w:hAnsi="Arial" w:cs="Arial"/>
          <w:b/>
        </w:rPr>
        <w:tab/>
      </w:r>
      <w:r>
        <w:rPr>
          <w:rFonts w:ascii="Arial" w:hAnsi="Arial" w:cs="Arial"/>
          <w:b/>
        </w:rPr>
        <w:tab/>
      </w:r>
      <w:r w:rsidR="00B77F42" w:rsidRPr="004469E5">
        <w:rPr>
          <w:rFonts w:ascii="Arial" w:hAnsi="Arial" w:cs="Arial"/>
          <w:b/>
          <w:sz w:val="22"/>
          <w:szCs w:val="22"/>
          <w:u w:val="single"/>
        </w:rPr>
        <w:t>ANNEX B TO</w:t>
      </w:r>
    </w:p>
    <w:p w:rsidR="00B77F42" w:rsidRPr="004469E5" w:rsidRDefault="00B77F42" w:rsidP="007B7EAB">
      <w:pPr>
        <w:pStyle w:val="Header"/>
        <w:jc w:val="right"/>
        <w:rPr>
          <w:rFonts w:ascii="Arial" w:hAnsi="Arial" w:cs="Arial"/>
          <w:b/>
          <w:sz w:val="22"/>
          <w:szCs w:val="22"/>
          <w:u w:val="single"/>
        </w:rPr>
      </w:pPr>
      <w:r w:rsidRPr="004469E5">
        <w:rPr>
          <w:rFonts w:ascii="Arial" w:hAnsi="Arial" w:cs="Arial"/>
          <w:b/>
          <w:sz w:val="22"/>
          <w:szCs w:val="22"/>
          <w:u w:val="single"/>
        </w:rPr>
        <w:t>SCHEDULE 3 TO</w:t>
      </w:r>
    </w:p>
    <w:p w:rsidR="00B77F42" w:rsidRPr="004469E5" w:rsidRDefault="00B77F42" w:rsidP="007B7EAB">
      <w:pPr>
        <w:pStyle w:val="Header"/>
        <w:jc w:val="right"/>
        <w:rPr>
          <w:rFonts w:ascii="Arial" w:hAnsi="Arial" w:cs="Arial"/>
          <w:b/>
          <w:sz w:val="22"/>
          <w:szCs w:val="22"/>
          <w:u w:val="single"/>
        </w:rPr>
      </w:pPr>
      <w:r w:rsidRPr="004469E5">
        <w:rPr>
          <w:rFonts w:ascii="Arial" w:hAnsi="Arial" w:cs="Arial"/>
          <w:b/>
          <w:sz w:val="22"/>
          <w:szCs w:val="22"/>
          <w:u w:val="single"/>
        </w:rPr>
        <w:t>ARMYHQ4/00087</w:t>
      </w:r>
    </w:p>
    <w:p w:rsidR="007B7EAB" w:rsidRDefault="007B7EAB" w:rsidP="00B77F42">
      <w:pPr>
        <w:pStyle w:val="Header"/>
        <w:jc w:val="right"/>
        <w:rPr>
          <w:rFonts w:ascii="Arial" w:hAnsi="Arial" w:cs="Arial"/>
          <w:b/>
          <w:u w:val="single"/>
        </w:rPr>
      </w:pPr>
    </w:p>
    <w:p w:rsidR="00B77F42" w:rsidRPr="00CA1F55" w:rsidRDefault="00B77F42" w:rsidP="00B77F42">
      <w:pPr>
        <w:jc w:val="center"/>
        <w:rPr>
          <w:rFonts w:ascii="Arial" w:hAnsi="Arial" w:cs="Arial"/>
          <w:b/>
          <w:u w:val="single"/>
        </w:rPr>
      </w:pPr>
      <w:r w:rsidRPr="00CA1F55">
        <w:rPr>
          <w:rFonts w:ascii="Arial" w:hAnsi="Arial" w:cs="Arial"/>
          <w:b/>
          <w:u w:val="single"/>
        </w:rPr>
        <w:t>Performance Management Regime</w:t>
      </w:r>
    </w:p>
    <w:p w:rsidR="00B77F42" w:rsidRDefault="00B77F42" w:rsidP="00B77F42">
      <w:pPr>
        <w:jc w:val="both"/>
        <w:rPr>
          <w:rFonts w:ascii="Arial" w:hAnsi="Arial" w:cs="Arial"/>
          <w:u w:val="single"/>
        </w:rPr>
      </w:pPr>
    </w:p>
    <w:p w:rsidR="00B77F42" w:rsidRDefault="00B77F42" w:rsidP="00B77F42">
      <w:pPr>
        <w:jc w:val="both"/>
        <w:rPr>
          <w:rFonts w:ascii="Arial" w:hAnsi="Arial" w:cs="Arial"/>
          <w:b/>
          <w:u w:val="single"/>
        </w:rPr>
      </w:pPr>
      <w:r>
        <w:rPr>
          <w:rFonts w:ascii="Arial" w:hAnsi="Arial" w:cs="Arial"/>
          <w:b/>
        </w:rPr>
        <w:t>1.</w:t>
      </w:r>
      <w:r>
        <w:rPr>
          <w:rFonts w:ascii="Arial" w:hAnsi="Arial" w:cs="Arial"/>
          <w:b/>
        </w:rPr>
        <w:tab/>
      </w:r>
      <w:r>
        <w:rPr>
          <w:rFonts w:ascii="Arial" w:hAnsi="Arial" w:cs="Arial"/>
          <w:b/>
          <w:u w:val="single"/>
        </w:rPr>
        <w:t>Key Performance Indicators (KPIs)</w:t>
      </w:r>
    </w:p>
    <w:p w:rsidR="00B77F42" w:rsidRDefault="00B77F42" w:rsidP="00B77F42">
      <w:pPr>
        <w:jc w:val="both"/>
        <w:rPr>
          <w:rFonts w:ascii="Arial" w:hAnsi="Arial" w:cs="Arial"/>
          <w:b/>
          <w:u w:val="single"/>
        </w:rPr>
      </w:pPr>
    </w:p>
    <w:p w:rsidR="00B77F42" w:rsidRDefault="00B77F42" w:rsidP="00B77F42">
      <w:pPr>
        <w:ind w:left="720" w:hanging="720"/>
        <w:jc w:val="both"/>
        <w:rPr>
          <w:rFonts w:ascii="Arial" w:hAnsi="Arial" w:cs="Arial"/>
        </w:rPr>
      </w:pPr>
      <w:r>
        <w:rPr>
          <w:rFonts w:ascii="Arial" w:hAnsi="Arial" w:cs="Arial"/>
        </w:rPr>
        <w:t>1.1</w:t>
      </w:r>
      <w:r>
        <w:rPr>
          <w:rFonts w:ascii="Arial" w:hAnsi="Arial" w:cs="Arial"/>
        </w:rPr>
        <w:tab/>
        <w:t>The Contractor’s performance in providing the requirements of the contract shall be measured on the basis of the following Key Performance Indicators:</w:t>
      </w:r>
    </w:p>
    <w:p w:rsidR="00B77F42" w:rsidRDefault="00B77F42" w:rsidP="00B77F42">
      <w:pPr>
        <w:ind w:left="720" w:hanging="720"/>
        <w:jc w:val="both"/>
        <w:rPr>
          <w:rFonts w:ascii="Arial" w:hAnsi="Arial" w:cs="Arial"/>
        </w:rPr>
      </w:pPr>
      <w:r>
        <w:rPr>
          <w:rFonts w:ascii="Arial" w:hAnsi="Arial" w:cs="Arial"/>
        </w:rPr>
        <w:tab/>
      </w:r>
    </w:p>
    <w:p w:rsidR="00B77F42" w:rsidRDefault="00B77F42" w:rsidP="00B77F42">
      <w:pPr>
        <w:ind w:left="720" w:hanging="720"/>
        <w:jc w:val="both"/>
        <w:rPr>
          <w:rFonts w:ascii="Arial" w:hAnsi="Arial" w:cs="Arial"/>
        </w:rPr>
      </w:pPr>
      <w:r>
        <w:rPr>
          <w:rFonts w:ascii="Arial" w:hAnsi="Arial" w:cs="Arial"/>
        </w:rPr>
        <w:tab/>
        <w:t>1.1.1</w:t>
      </w:r>
      <w:r>
        <w:rPr>
          <w:rFonts w:ascii="Arial" w:hAnsi="Arial" w:cs="Arial"/>
        </w:rPr>
        <w:tab/>
        <w:t>delivery of management services (Management KPI);</w:t>
      </w:r>
    </w:p>
    <w:p w:rsidR="00B77F42" w:rsidRDefault="00B77F42" w:rsidP="00B77F42">
      <w:pPr>
        <w:ind w:left="720" w:hanging="720"/>
        <w:jc w:val="both"/>
        <w:rPr>
          <w:rFonts w:ascii="Arial" w:hAnsi="Arial" w:cs="Arial"/>
        </w:rPr>
      </w:pPr>
    </w:p>
    <w:p w:rsidR="00B77F42" w:rsidRDefault="00F93157" w:rsidP="00B77F42">
      <w:pPr>
        <w:ind w:left="1440" w:hanging="720"/>
        <w:jc w:val="both"/>
        <w:rPr>
          <w:rFonts w:ascii="Arial" w:hAnsi="Arial" w:cs="Arial"/>
        </w:rPr>
      </w:pPr>
      <w:r>
        <w:rPr>
          <w:rFonts w:ascii="Arial" w:hAnsi="Arial" w:cs="Arial"/>
        </w:rPr>
        <w:t>1.1.2</w:t>
      </w:r>
      <w:r>
        <w:rPr>
          <w:rFonts w:ascii="Arial" w:hAnsi="Arial" w:cs="Arial"/>
        </w:rPr>
        <w:tab/>
        <w:t>delivery of Events</w:t>
      </w:r>
      <w:r w:rsidR="00B77F42">
        <w:rPr>
          <w:rFonts w:ascii="Arial" w:hAnsi="Arial" w:cs="Arial"/>
        </w:rPr>
        <w:t xml:space="preserve"> in accordance with the agreed plan (</w:t>
      </w:r>
      <w:r w:rsidR="00F34DD7">
        <w:rPr>
          <w:rFonts w:ascii="Arial" w:hAnsi="Arial" w:cs="Arial"/>
        </w:rPr>
        <w:t>Event</w:t>
      </w:r>
      <w:r w:rsidR="00B77F42">
        <w:rPr>
          <w:rFonts w:ascii="Arial" w:hAnsi="Arial" w:cs="Arial"/>
        </w:rPr>
        <w:t xml:space="preserve"> delivery KPI)</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1.2</w:t>
      </w:r>
      <w:r>
        <w:rPr>
          <w:rFonts w:ascii="Arial" w:hAnsi="Arial" w:cs="Arial"/>
        </w:rPr>
        <w:tab/>
        <w:t>The following areas of the requirement will be measured to indicate the Contractor’s performance in providing the service:</w:t>
      </w:r>
    </w:p>
    <w:p w:rsidR="00B77F42" w:rsidRDefault="00B77F42" w:rsidP="00B77F42">
      <w:pPr>
        <w:ind w:left="72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 xml:space="preserve">1.2.1 </w:t>
      </w:r>
      <w:r>
        <w:rPr>
          <w:rFonts w:ascii="Arial" w:hAnsi="Arial" w:cs="Arial"/>
        </w:rPr>
        <w:tab/>
        <w:t>the provision of initial and updated plans and/or reports in accordance with the SOR;</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1.2.2</w:t>
      </w:r>
      <w:r>
        <w:rPr>
          <w:rFonts w:ascii="Arial" w:hAnsi="Arial" w:cs="Arial"/>
        </w:rPr>
        <w:tab/>
        <w:t>the provision of a point of contact service;</w:t>
      </w:r>
    </w:p>
    <w:p w:rsidR="00B77F42" w:rsidRDefault="00B77F42" w:rsidP="00B77F42">
      <w:pPr>
        <w:ind w:left="72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1.2.3</w:t>
      </w:r>
      <w:r>
        <w:rPr>
          <w:rFonts w:ascii="Arial" w:hAnsi="Arial" w:cs="Arial"/>
        </w:rPr>
        <w:tab/>
        <w:t>the provision of a sufficient and suitably qualified contract management team (CMT);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1.2.4</w:t>
      </w:r>
      <w:r>
        <w:rPr>
          <w:rFonts w:ascii="Arial" w:hAnsi="Arial" w:cs="Arial"/>
        </w:rPr>
        <w:tab/>
        <w:t xml:space="preserve">the provision of SME support to </w:t>
      </w:r>
      <w:r w:rsidR="00F34DD7">
        <w:rPr>
          <w:rFonts w:ascii="Arial" w:hAnsi="Arial" w:cs="Arial"/>
        </w:rPr>
        <w:t>Event</w:t>
      </w:r>
      <w:r>
        <w:rPr>
          <w:rFonts w:ascii="Arial" w:hAnsi="Arial" w:cs="Arial"/>
        </w:rPr>
        <w:t xml:space="preserve"> planning;</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1.2.5</w:t>
      </w:r>
      <w:r>
        <w:rPr>
          <w:rFonts w:ascii="Arial" w:hAnsi="Arial" w:cs="Arial"/>
        </w:rPr>
        <w:tab/>
        <w:t xml:space="preserve">the provision of Technical writers for </w:t>
      </w:r>
      <w:r w:rsidR="00F34DD7">
        <w:rPr>
          <w:rFonts w:ascii="Arial" w:hAnsi="Arial" w:cs="Arial"/>
        </w:rPr>
        <w:t>Event</w:t>
      </w:r>
      <w:r>
        <w:rPr>
          <w:rFonts w:ascii="Arial" w:hAnsi="Arial" w:cs="Arial"/>
        </w:rPr>
        <w:t xml:space="preserve"> planning;</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1.2.6</w:t>
      </w:r>
      <w:r>
        <w:rPr>
          <w:rFonts w:ascii="Arial" w:hAnsi="Arial" w:cs="Arial"/>
        </w:rPr>
        <w:tab/>
        <w:t xml:space="preserve">the provision of management support for all </w:t>
      </w:r>
      <w:r w:rsidR="00F34DD7">
        <w:rPr>
          <w:rFonts w:ascii="Arial" w:hAnsi="Arial" w:cs="Arial"/>
        </w:rPr>
        <w:t>Event</w:t>
      </w:r>
      <w:r>
        <w:rPr>
          <w:rFonts w:ascii="Arial" w:hAnsi="Arial" w:cs="Arial"/>
        </w:rPr>
        <w:t>s;</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1.2.7</w:t>
      </w:r>
      <w:r>
        <w:rPr>
          <w:rFonts w:ascii="Arial" w:hAnsi="Arial" w:cs="Arial"/>
        </w:rPr>
        <w:tab/>
        <w:t xml:space="preserve">the provision of training support to all </w:t>
      </w:r>
      <w:r w:rsidR="00F34DD7">
        <w:rPr>
          <w:rFonts w:ascii="Arial" w:hAnsi="Arial" w:cs="Arial"/>
        </w:rPr>
        <w:t>Event</w:t>
      </w:r>
      <w:r>
        <w:rPr>
          <w:rFonts w:ascii="Arial" w:hAnsi="Arial" w:cs="Arial"/>
        </w:rPr>
        <w:t>s;</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1.2.8</w:t>
      </w:r>
      <w:r>
        <w:rPr>
          <w:rFonts w:ascii="Arial" w:hAnsi="Arial" w:cs="Arial"/>
        </w:rPr>
        <w:tab/>
        <w:t xml:space="preserve">the delivery of </w:t>
      </w:r>
      <w:r w:rsidR="00F34DD7">
        <w:rPr>
          <w:rFonts w:ascii="Arial" w:hAnsi="Arial" w:cs="Arial"/>
        </w:rPr>
        <w:t>Event</w:t>
      </w:r>
      <w:r>
        <w:rPr>
          <w:rFonts w:ascii="Arial" w:hAnsi="Arial" w:cs="Arial"/>
        </w:rPr>
        <w:t>s in accordance with the agreed plan.</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1.3</w:t>
      </w:r>
      <w:r>
        <w:rPr>
          <w:rFonts w:ascii="Arial" w:hAnsi="Arial" w:cs="Arial"/>
        </w:rPr>
        <w:tab/>
        <w:t>The following table sets out which Key Performance Indicators will be applied to each of the areas set out at 1.2 above:</w:t>
      </w:r>
    </w:p>
    <w:p w:rsidR="00B77F42" w:rsidRDefault="00B77F42" w:rsidP="00B77F42">
      <w:pPr>
        <w:ind w:left="720" w:hanging="720"/>
        <w:jc w:val="both"/>
        <w:rPr>
          <w:rFonts w:ascii="Arial" w:hAnsi="Arial" w:cs="Ari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402"/>
        <w:gridCol w:w="2552"/>
      </w:tblGrid>
      <w:tr w:rsidR="00B77F42" w:rsidRPr="00D414AE" w:rsidTr="00BD2F8B">
        <w:trPr>
          <w:trHeight w:val="411"/>
        </w:trPr>
        <w:tc>
          <w:tcPr>
            <w:tcW w:w="3551" w:type="dxa"/>
            <w:vMerge w:val="restart"/>
            <w:shd w:val="clear" w:color="auto" w:fill="D9D9D9"/>
            <w:vAlign w:val="center"/>
          </w:tcPr>
          <w:p w:rsidR="00B77F42" w:rsidRPr="00126D89" w:rsidRDefault="00B77F42" w:rsidP="00BD2F8B">
            <w:pPr>
              <w:spacing w:line="276" w:lineRule="auto"/>
              <w:rPr>
                <w:rFonts w:ascii="Arial" w:hAnsi="Arial" w:cs="Arial"/>
                <w:b/>
                <w:sz w:val="20"/>
                <w:szCs w:val="20"/>
              </w:rPr>
            </w:pPr>
            <w:r w:rsidRPr="00126D89">
              <w:rPr>
                <w:rFonts w:ascii="Arial" w:hAnsi="Arial" w:cs="Arial"/>
                <w:b/>
                <w:sz w:val="20"/>
                <w:szCs w:val="20"/>
              </w:rPr>
              <w:t xml:space="preserve">Service </w:t>
            </w:r>
          </w:p>
        </w:tc>
        <w:tc>
          <w:tcPr>
            <w:tcW w:w="4954" w:type="dxa"/>
            <w:gridSpan w:val="2"/>
            <w:shd w:val="clear" w:color="auto" w:fill="D9D9D9"/>
            <w:vAlign w:val="center"/>
          </w:tcPr>
          <w:p w:rsidR="00B77F42" w:rsidRPr="00126D89" w:rsidRDefault="00B77F42" w:rsidP="00BD2F8B">
            <w:pPr>
              <w:spacing w:line="276" w:lineRule="auto"/>
              <w:jc w:val="center"/>
              <w:rPr>
                <w:rFonts w:ascii="Arial" w:hAnsi="Arial" w:cs="Arial"/>
                <w:b/>
                <w:sz w:val="20"/>
                <w:szCs w:val="20"/>
              </w:rPr>
            </w:pPr>
            <w:r w:rsidRPr="00126D89">
              <w:rPr>
                <w:rFonts w:ascii="Arial" w:hAnsi="Arial" w:cs="Arial"/>
                <w:b/>
                <w:sz w:val="20"/>
                <w:szCs w:val="20"/>
              </w:rPr>
              <w:t>Key Performance Indicators applicable</w:t>
            </w:r>
          </w:p>
        </w:tc>
      </w:tr>
      <w:tr w:rsidR="00B77F42" w:rsidRPr="00D414AE" w:rsidTr="00BD2F8B">
        <w:trPr>
          <w:trHeight w:val="582"/>
        </w:trPr>
        <w:tc>
          <w:tcPr>
            <w:tcW w:w="3551" w:type="dxa"/>
            <w:vMerge/>
            <w:shd w:val="clear" w:color="auto" w:fill="D9D9D9"/>
            <w:vAlign w:val="center"/>
          </w:tcPr>
          <w:p w:rsidR="00B77F42" w:rsidRPr="00126D89" w:rsidRDefault="00B77F42" w:rsidP="00BD2F8B">
            <w:pPr>
              <w:spacing w:line="276" w:lineRule="auto"/>
              <w:rPr>
                <w:rFonts w:ascii="Arial" w:hAnsi="Arial" w:cs="Arial"/>
                <w:b/>
                <w:sz w:val="20"/>
                <w:szCs w:val="20"/>
              </w:rPr>
            </w:pPr>
          </w:p>
        </w:tc>
        <w:tc>
          <w:tcPr>
            <w:tcW w:w="2402" w:type="dxa"/>
            <w:shd w:val="clear" w:color="auto" w:fill="D9D9D9"/>
            <w:vAlign w:val="center"/>
          </w:tcPr>
          <w:p w:rsidR="00B77F42" w:rsidRPr="00126D89" w:rsidRDefault="00B77F42" w:rsidP="00BD2F8B">
            <w:pPr>
              <w:spacing w:line="276" w:lineRule="auto"/>
              <w:jc w:val="center"/>
              <w:rPr>
                <w:rFonts w:ascii="Arial" w:hAnsi="Arial" w:cs="Arial"/>
                <w:b/>
                <w:sz w:val="20"/>
                <w:szCs w:val="20"/>
              </w:rPr>
            </w:pPr>
            <w:r w:rsidRPr="00126D89">
              <w:rPr>
                <w:rFonts w:ascii="Arial" w:hAnsi="Arial" w:cs="Arial"/>
                <w:b/>
                <w:sz w:val="20"/>
                <w:szCs w:val="20"/>
              </w:rPr>
              <w:t>Management KPI</w:t>
            </w:r>
          </w:p>
        </w:tc>
        <w:tc>
          <w:tcPr>
            <w:tcW w:w="2552" w:type="dxa"/>
            <w:shd w:val="clear" w:color="auto" w:fill="D9D9D9"/>
            <w:vAlign w:val="center"/>
          </w:tcPr>
          <w:p w:rsidR="00B77F42" w:rsidRPr="00126D89" w:rsidRDefault="00F34DD7" w:rsidP="00BD2F8B">
            <w:pPr>
              <w:spacing w:line="276" w:lineRule="auto"/>
              <w:jc w:val="center"/>
              <w:rPr>
                <w:rFonts w:ascii="Arial" w:hAnsi="Arial" w:cs="Arial"/>
                <w:b/>
                <w:sz w:val="20"/>
                <w:szCs w:val="20"/>
              </w:rPr>
            </w:pPr>
            <w:r>
              <w:rPr>
                <w:rFonts w:ascii="Arial" w:hAnsi="Arial" w:cs="Arial"/>
                <w:b/>
                <w:sz w:val="20"/>
                <w:szCs w:val="20"/>
              </w:rPr>
              <w:t>Event</w:t>
            </w:r>
            <w:r w:rsidR="00B77F42" w:rsidRPr="00126D89">
              <w:rPr>
                <w:rFonts w:ascii="Arial" w:hAnsi="Arial" w:cs="Arial"/>
                <w:b/>
                <w:sz w:val="20"/>
                <w:szCs w:val="20"/>
              </w:rPr>
              <w:t xml:space="preserve"> Delivery KPI</w:t>
            </w: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initial and updated plans and/or reports</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sidRPr="00126D89">
              <w:rPr>
                <w:rFonts w:ascii="Arial" w:hAnsi="Arial" w:cs="Arial"/>
                <w:sz w:val="20"/>
                <w:szCs w:val="20"/>
              </w:rPr>
              <w:t>X</w:t>
            </w: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point of contact service</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sidRPr="00126D89">
              <w:rPr>
                <w:rFonts w:ascii="Arial" w:hAnsi="Arial" w:cs="Arial"/>
                <w:sz w:val="20"/>
                <w:szCs w:val="20"/>
              </w:rPr>
              <w:t>X</w:t>
            </w: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sufficient and suitably qualified contract management team</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sidRPr="00126D89">
              <w:rPr>
                <w:rFonts w:ascii="Arial" w:hAnsi="Arial" w:cs="Arial"/>
                <w:sz w:val="20"/>
                <w:szCs w:val="20"/>
              </w:rPr>
              <w:t>X</w:t>
            </w: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 xml:space="preserve">SME support to </w:t>
            </w:r>
            <w:r w:rsidR="00F34DD7">
              <w:rPr>
                <w:rFonts w:ascii="Arial" w:hAnsi="Arial" w:cs="Arial"/>
                <w:sz w:val="20"/>
                <w:szCs w:val="20"/>
              </w:rPr>
              <w:t>Event</w:t>
            </w:r>
            <w:r w:rsidRPr="00126D89">
              <w:rPr>
                <w:rFonts w:ascii="Arial" w:hAnsi="Arial" w:cs="Arial"/>
                <w:sz w:val="20"/>
                <w:szCs w:val="20"/>
              </w:rPr>
              <w:t xml:space="preserve"> planning</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sidRPr="00126D89">
              <w:rPr>
                <w:rFonts w:ascii="Arial" w:hAnsi="Arial" w:cs="Arial"/>
                <w:sz w:val="20"/>
                <w:szCs w:val="20"/>
              </w:rPr>
              <w:t>X</w:t>
            </w: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r>
      <w:tr w:rsidR="00B77F42" w:rsidRPr="00D414AE" w:rsidTr="00BD2F8B">
        <w:trPr>
          <w:trHeight w:val="113"/>
        </w:trPr>
        <w:tc>
          <w:tcPr>
            <w:tcW w:w="3551" w:type="dxa"/>
            <w:shd w:val="clear" w:color="auto" w:fill="auto"/>
            <w:vAlign w:val="center"/>
          </w:tcPr>
          <w:p w:rsidR="00B77F42" w:rsidRPr="00126D89" w:rsidRDefault="00B77F42" w:rsidP="00BD2F8B">
            <w:pPr>
              <w:ind w:left="720" w:hanging="720"/>
              <w:rPr>
                <w:rFonts w:ascii="Arial" w:hAnsi="Arial" w:cs="Arial"/>
                <w:sz w:val="20"/>
                <w:szCs w:val="20"/>
              </w:rPr>
            </w:pPr>
            <w:r w:rsidRPr="00126D89">
              <w:rPr>
                <w:rFonts w:ascii="Arial" w:hAnsi="Arial" w:cs="Arial"/>
                <w:sz w:val="20"/>
                <w:szCs w:val="20"/>
              </w:rPr>
              <w:t xml:space="preserve">Technical writers for </w:t>
            </w:r>
            <w:r w:rsidR="00F34DD7">
              <w:rPr>
                <w:rFonts w:ascii="Arial" w:hAnsi="Arial" w:cs="Arial"/>
                <w:sz w:val="20"/>
                <w:szCs w:val="20"/>
              </w:rPr>
              <w:t>Event</w:t>
            </w:r>
            <w:r w:rsidRPr="00126D89">
              <w:rPr>
                <w:rFonts w:ascii="Arial" w:hAnsi="Arial" w:cs="Arial"/>
                <w:sz w:val="20"/>
                <w:szCs w:val="20"/>
              </w:rPr>
              <w:t xml:space="preserve"> </w:t>
            </w:r>
          </w:p>
          <w:p w:rsidR="00B77F42" w:rsidRPr="00126D89" w:rsidRDefault="00B77F42" w:rsidP="00BD2F8B">
            <w:pPr>
              <w:ind w:left="720" w:hanging="720"/>
              <w:rPr>
                <w:rFonts w:ascii="Arial" w:hAnsi="Arial" w:cs="Arial"/>
                <w:sz w:val="20"/>
                <w:szCs w:val="20"/>
              </w:rPr>
            </w:pPr>
            <w:r w:rsidRPr="00126D89">
              <w:rPr>
                <w:rFonts w:ascii="Arial" w:hAnsi="Arial" w:cs="Arial"/>
                <w:sz w:val="20"/>
                <w:szCs w:val="20"/>
              </w:rPr>
              <w:t>planning</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sidRPr="00126D89">
              <w:rPr>
                <w:rFonts w:ascii="Arial" w:hAnsi="Arial" w:cs="Arial"/>
                <w:sz w:val="20"/>
                <w:szCs w:val="20"/>
              </w:rPr>
              <w:t>X</w:t>
            </w: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 xml:space="preserve">management support for all </w:t>
            </w:r>
            <w:r w:rsidR="00F34DD7">
              <w:rPr>
                <w:rFonts w:ascii="Arial" w:hAnsi="Arial" w:cs="Arial"/>
                <w:sz w:val="20"/>
                <w:szCs w:val="20"/>
              </w:rPr>
              <w:t>Event</w:t>
            </w:r>
            <w:r w:rsidRPr="00126D89">
              <w:rPr>
                <w:rFonts w:ascii="Arial" w:hAnsi="Arial" w:cs="Arial"/>
                <w:sz w:val="20"/>
                <w:szCs w:val="20"/>
              </w:rPr>
              <w:t>s</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Pr>
                <w:rFonts w:ascii="Arial" w:hAnsi="Arial" w:cs="Arial"/>
                <w:sz w:val="20"/>
                <w:szCs w:val="20"/>
              </w:rPr>
              <w:t>X</w:t>
            </w: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 xml:space="preserve">training support to all </w:t>
            </w:r>
            <w:r w:rsidR="00F34DD7">
              <w:rPr>
                <w:rFonts w:ascii="Arial" w:hAnsi="Arial" w:cs="Arial"/>
                <w:sz w:val="20"/>
                <w:szCs w:val="20"/>
              </w:rPr>
              <w:t>Event</w:t>
            </w:r>
            <w:r w:rsidRPr="00126D89">
              <w:rPr>
                <w:rFonts w:ascii="Arial" w:hAnsi="Arial" w:cs="Arial"/>
                <w:sz w:val="20"/>
                <w:szCs w:val="20"/>
              </w:rPr>
              <w:t>s</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Pr>
                <w:rFonts w:ascii="Arial" w:hAnsi="Arial" w:cs="Arial"/>
                <w:sz w:val="20"/>
                <w:szCs w:val="20"/>
              </w:rPr>
              <w:t>X</w:t>
            </w:r>
          </w:p>
        </w:tc>
      </w:tr>
      <w:tr w:rsidR="00B77F42" w:rsidRPr="00D414AE" w:rsidTr="00BD2F8B">
        <w:trPr>
          <w:trHeight w:val="113"/>
        </w:trPr>
        <w:tc>
          <w:tcPr>
            <w:tcW w:w="3551" w:type="dxa"/>
            <w:shd w:val="clear" w:color="auto" w:fill="auto"/>
            <w:vAlign w:val="center"/>
          </w:tcPr>
          <w:p w:rsidR="00B77F42" w:rsidRPr="00126D89" w:rsidRDefault="00B77F42" w:rsidP="00BD2F8B">
            <w:pPr>
              <w:spacing w:line="276" w:lineRule="auto"/>
              <w:rPr>
                <w:rFonts w:ascii="Arial" w:hAnsi="Arial" w:cs="Arial"/>
                <w:sz w:val="20"/>
                <w:szCs w:val="20"/>
              </w:rPr>
            </w:pPr>
            <w:r w:rsidRPr="00126D89">
              <w:rPr>
                <w:rFonts w:ascii="Arial" w:hAnsi="Arial" w:cs="Arial"/>
                <w:sz w:val="20"/>
                <w:szCs w:val="20"/>
              </w:rPr>
              <w:t xml:space="preserve">delivery of </w:t>
            </w:r>
            <w:r w:rsidR="00F34DD7">
              <w:rPr>
                <w:rFonts w:ascii="Arial" w:hAnsi="Arial" w:cs="Arial"/>
                <w:sz w:val="20"/>
                <w:szCs w:val="20"/>
              </w:rPr>
              <w:t>Event</w:t>
            </w:r>
            <w:r w:rsidRPr="00126D89">
              <w:rPr>
                <w:rFonts w:ascii="Arial" w:hAnsi="Arial" w:cs="Arial"/>
                <w:sz w:val="20"/>
                <w:szCs w:val="20"/>
              </w:rPr>
              <w:t>s</w:t>
            </w:r>
          </w:p>
        </w:tc>
        <w:tc>
          <w:tcPr>
            <w:tcW w:w="2402" w:type="dxa"/>
            <w:shd w:val="clear" w:color="auto" w:fill="auto"/>
            <w:vAlign w:val="center"/>
          </w:tcPr>
          <w:p w:rsidR="00B77F42" w:rsidRPr="00126D89" w:rsidRDefault="00B77F42" w:rsidP="00BD2F8B">
            <w:pPr>
              <w:spacing w:line="276" w:lineRule="auto"/>
              <w:jc w:val="center"/>
              <w:rPr>
                <w:rFonts w:ascii="Arial" w:hAnsi="Arial" w:cs="Arial"/>
                <w:sz w:val="20"/>
                <w:szCs w:val="20"/>
              </w:rPr>
            </w:pPr>
          </w:p>
        </w:tc>
        <w:tc>
          <w:tcPr>
            <w:tcW w:w="2552" w:type="dxa"/>
            <w:shd w:val="clear" w:color="auto" w:fill="auto"/>
            <w:vAlign w:val="center"/>
          </w:tcPr>
          <w:p w:rsidR="00B77F42" w:rsidRPr="00126D89" w:rsidRDefault="00B77F42" w:rsidP="00BD2F8B">
            <w:pPr>
              <w:spacing w:line="276" w:lineRule="auto"/>
              <w:jc w:val="center"/>
              <w:rPr>
                <w:rFonts w:ascii="Arial" w:hAnsi="Arial" w:cs="Arial"/>
                <w:sz w:val="20"/>
                <w:szCs w:val="20"/>
              </w:rPr>
            </w:pPr>
            <w:r>
              <w:rPr>
                <w:rFonts w:ascii="Arial" w:hAnsi="Arial" w:cs="Arial"/>
                <w:sz w:val="20"/>
                <w:szCs w:val="20"/>
              </w:rPr>
              <w:t>X</w:t>
            </w:r>
          </w:p>
        </w:tc>
      </w:tr>
    </w:tbl>
    <w:p w:rsidR="00B77F42" w:rsidRDefault="00B77F42" w:rsidP="00B77F42">
      <w:pPr>
        <w:ind w:left="720" w:hanging="720"/>
        <w:jc w:val="both"/>
        <w:rPr>
          <w:rFonts w:ascii="Arial" w:hAnsi="Arial" w:cs="Arial"/>
        </w:rPr>
      </w:pPr>
    </w:p>
    <w:p w:rsidR="00B77F42" w:rsidRDefault="00B77F42" w:rsidP="00B77F42">
      <w:pPr>
        <w:jc w:val="both"/>
        <w:rPr>
          <w:rFonts w:ascii="Arial" w:hAnsi="Arial" w:cs="Arial"/>
        </w:rPr>
      </w:pPr>
      <w:r>
        <w:rPr>
          <w:rFonts w:ascii="Arial" w:hAnsi="Arial" w:cs="Arial"/>
          <w:b/>
        </w:rPr>
        <w:t>2.</w:t>
      </w:r>
      <w:r>
        <w:rPr>
          <w:rFonts w:ascii="Arial" w:hAnsi="Arial" w:cs="Arial"/>
          <w:b/>
        </w:rPr>
        <w:tab/>
      </w:r>
      <w:r w:rsidRPr="009E2475">
        <w:rPr>
          <w:rFonts w:ascii="Arial" w:hAnsi="Arial" w:cs="Arial"/>
          <w:b/>
          <w:u w:val="single"/>
        </w:rPr>
        <w:t>Monitoring and Reporting</w:t>
      </w:r>
    </w:p>
    <w:p w:rsidR="00B77F42" w:rsidRDefault="00B77F42" w:rsidP="00B77F42">
      <w:pPr>
        <w:jc w:val="both"/>
        <w:rPr>
          <w:rFonts w:ascii="Arial" w:hAnsi="Arial" w:cs="Arial"/>
        </w:rPr>
      </w:pPr>
    </w:p>
    <w:p w:rsidR="00B77F42" w:rsidRPr="005A5744" w:rsidRDefault="00B77F42" w:rsidP="00B77F42">
      <w:pPr>
        <w:ind w:left="720" w:hanging="720"/>
        <w:jc w:val="both"/>
        <w:rPr>
          <w:rFonts w:ascii="Arial" w:hAnsi="Arial" w:cs="Arial"/>
        </w:rPr>
      </w:pPr>
      <w:r>
        <w:rPr>
          <w:rFonts w:ascii="Arial" w:hAnsi="Arial" w:cs="Arial"/>
        </w:rPr>
        <w:t>2.1</w:t>
      </w:r>
      <w:r>
        <w:rPr>
          <w:rFonts w:ascii="Arial" w:hAnsi="Arial" w:cs="Arial"/>
        </w:rPr>
        <w:tab/>
        <w:t xml:space="preserve">The Contractor shall with the exception of </w:t>
      </w:r>
      <w:r w:rsidR="00F34DD7">
        <w:rPr>
          <w:rFonts w:ascii="Arial" w:hAnsi="Arial" w:cs="Arial"/>
        </w:rPr>
        <w:t>Event</w:t>
      </w:r>
      <w:r>
        <w:rPr>
          <w:rFonts w:ascii="Arial" w:hAnsi="Arial" w:cs="Arial"/>
        </w:rPr>
        <w:t xml:space="preserve">s, monitor its performance of the </w:t>
      </w:r>
      <w:r w:rsidRPr="005A5744">
        <w:rPr>
          <w:rFonts w:ascii="Arial" w:hAnsi="Arial" w:cs="Arial"/>
        </w:rPr>
        <w:t>Contract requirements and shall report its performance against the Key Performance Indicators by within the Monthly Management Status Report to the Monthly</w:t>
      </w:r>
      <w:r w:rsidR="00A62B3F" w:rsidRPr="005A5744">
        <w:rPr>
          <w:rFonts w:ascii="Arial" w:hAnsi="Arial" w:cs="Arial"/>
        </w:rPr>
        <w:t xml:space="preserve"> Performance Management</w:t>
      </w:r>
      <w:r w:rsidRPr="005A5744">
        <w:rPr>
          <w:rFonts w:ascii="Arial" w:hAnsi="Arial" w:cs="Arial"/>
        </w:rPr>
        <w:t xml:space="preserve"> Meeting</w:t>
      </w:r>
    </w:p>
    <w:p w:rsidR="00B77F42" w:rsidRPr="005A5744" w:rsidRDefault="00B77F42" w:rsidP="00B77F42">
      <w:pPr>
        <w:ind w:left="720"/>
        <w:jc w:val="both"/>
        <w:rPr>
          <w:rFonts w:ascii="Arial" w:hAnsi="Arial" w:cs="Arial"/>
        </w:rPr>
      </w:pPr>
    </w:p>
    <w:p w:rsidR="00B77F42" w:rsidRPr="005A5744" w:rsidRDefault="00B77F42" w:rsidP="00B77F42">
      <w:pPr>
        <w:ind w:left="720" w:hanging="720"/>
        <w:jc w:val="both"/>
        <w:rPr>
          <w:rFonts w:ascii="Arial" w:hAnsi="Arial" w:cs="Arial"/>
        </w:rPr>
      </w:pPr>
      <w:r w:rsidRPr="005A5744">
        <w:rPr>
          <w:rFonts w:ascii="Arial" w:hAnsi="Arial" w:cs="Arial"/>
        </w:rPr>
        <w:t>2.2</w:t>
      </w:r>
      <w:r w:rsidRPr="005A5744">
        <w:rPr>
          <w:rFonts w:ascii="Arial" w:hAnsi="Arial" w:cs="Arial"/>
        </w:rPr>
        <w:tab/>
        <w:t xml:space="preserve">The </w:t>
      </w:r>
      <w:r w:rsidR="00A62B3F" w:rsidRPr="005A5744">
        <w:rPr>
          <w:rFonts w:ascii="Arial" w:hAnsi="Arial" w:cs="Arial"/>
        </w:rPr>
        <w:t xml:space="preserve">Monthly Management Status </w:t>
      </w:r>
      <w:r w:rsidRPr="005A5744">
        <w:rPr>
          <w:rFonts w:ascii="Arial" w:hAnsi="Arial" w:cs="Arial"/>
        </w:rPr>
        <w:t>report shall reflect any Authority feedback and any instances of failure to provide the requirements of the contract to the standard required by the KPI’s, which are either identified by the Contractor or by the Designated Officer which relate to each monthly payment period.</w:t>
      </w:r>
    </w:p>
    <w:p w:rsidR="00B77F42" w:rsidRPr="005A5744" w:rsidRDefault="00B77F42" w:rsidP="00B77F42">
      <w:pPr>
        <w:jc w:val="both"/>
        <w:rPr>
          <w:rFonts w:ascii="Arial" w:hAnsi="Arial" w:cs="Arial"/>
        </w:rPr>
      </w:pPr>
    </w:p>
    <w:p w:rsidR="00B77F42" w:rsidRPr="005A5744" w:rsidRDefault="00B77F42" w:rsidP="00B77F42">
      <w:pPr>
        <w:ind w:left="720" w:hanging="720"/>
        <w:jc w:val="both"/>
        <w:rPr>
          <w:rFonts w:ascii="Arial" w:hAnsi="Arial" w:cs="Arial"/>
        </w:rPr>
      </w:pPr>
      <w:r w:rsidRPr="005A5744">
        <w:rPr>
          <w:rFonts w:ascii="Arial" w:hAnsi="Arial" w:cs="Arial"/>
        </w:rPr>
        <w:t>2.3</w:t>
      </w:r>
      <w:r w:rsidRPr="005A5744">
        <w:rPr>
          <w:rFonts w:ascii="Arial" w:hAnsi="Arial" w:cs="Arial"/>
        </w:rPr>
        <w:tab/>
        <w:t xml:space="preserve"> At each Monthly</w:t>
      </w:r>
      <w:r w:rsidR="00A62B3F" w:rsidRPr="005A5744">
        <w:rPr>
          <w:rFonts w:ascii="Arial" w:hAnsi="Arial" w:cs="Arial"/>
        </w:rPr>
        <w:t xml:space="preserve"> Performance Management</w:t>
      </w:r>
      <w:r w:rsidRPr="005A5744">
        <w:rPr>
          <w:rFonts w:ascii="Arial" w:hAnsi="Arial" w:cs="Arial"/>
        </w:rPr>
        <w:t xml:space="preserve"> Meeting:</w:t>
      </w:r>
    </w:p>
    <w:p w:rsidR="00B77F42" w:rsidRDefault="00B77F42" w:rsidP="00B77F42">
      <w:pPr>
        <w:ind w:left="720" w:hanging="720"/>
        <w:jc w:val="both"/>
        <w:rPr>
          <w:rFonts w:ascii="Arial" w:hAnsi="Arial" w:cs="Arial"/>
        </w:rPr>
      </w:pPr>
      <w:bookmarkStart w:id="0" w:name="_GoBack"/>
      <w:bookmarkEnd w:id="0"/>
    </w:p>
    <w:p w:rsidR="00B77F42" w:rsidRDefault="00B77F42" w:rsidP="00B77F42">
      <w:pPr>
        <w:ind w:left="1440" w:hanging="720"/>
        <w:jc w:val="both"/>
        <w:rPr>
          <w:rFonts w:ascii="Arial" w:hAnsi="Arial" w:cs="Arial"/>
        </w:rPr>
      </w:pPr>
      <w:r>
        <w:rPr>
          <w:rFonts w:ascii="Arial" w:hAnsi="Arial" w:cs="Arial"/>
        </w:rPr>
        <w:t>2.3.1</w:t>
      </w:r>
      <w:r>
        <w:rPr>
          <w:rFonts w:ascii="Arial" w:hAnsi="Arial" w:cs="Arial"/>
        </w:rPr>
        <w:tab/>
        <w:t>the Authority shall inform the Contractor of any additional feedback received which has not been included in the Monthly Management Status Report which indicates that the content of the report may be inaccurate;</w:t>
      </w:r>
    </w:p>
    <w:p w:rsidR="00B77F42" w:rsidRDefault="00B77F42" w:rsidP="00B77F42">
      <w:pPr>
        <w:ind w:left="72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2.3.2</w:t>
      </w:r>
      <w:r>
        <w:rPr>
          <w:rFonts w:ascii="Arial" w:hAnsi="Arial" w:cs="Arial"/>
        </w:rPr>
        <w:tab/>
        <w:t>the Authority and the Contractor shall consider and discuss the content of the Report and any additional feedback;</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 xml:space="preserve">2.3.3 </w:t>
      </w:r>
      <w:r>
        <w:rPr>
          <w:rFonts w:ascii="Arial" w:hAnsi="Arial" w:cs="Arial"/>
        </w:rPr>
        <w:tab/>
        <w:t>the Contractor shall update the Report to reflect any additional feedback; and</w:t>
      </w:r>
    </w:p>
    <w:p w:rsidR="00B77F42" w:rsidRDefault="00B77F42" w:rsidP="00B77F42">
      <w:pPr>
        <w:ind w:left="72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2.3.4</w:t>
      </w:r>
      <w:r>
        <w:rPr>
          <w:rFonts w:ascii="Arial" w:hAnsi="Arial" w:cs="Arial"/>
        </w:rPr>
        <w:tab/>
        <w:t>the Authority and the Contractor shall agree any amendments to be made to the Report.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The Authority shall confirm its approval of the Report by signing it.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2.4</w:t>
      </w:r>
      <w:r>
        <w:rPr>
          <w:rFonts w:ascii="Arial" w:hAnsi="Arial" w:cs="Arial"/>
        </w:rPr>
        <w:tab/>
        <w:t xml:space="preserve">Event After Action Questionnaires (AAQ) that have been finalised in accordance with paragraph </w:t>
      </w:r>
      <w:r w:rsidR="008215DC" w:rsidRPr="008215DC">
        <w:rPr>
          <w:rFonts w:ascii="Arial" w:hAnsi="Arial" w:cs="Arial"/>
        </w:rPr>
        <w:t>4.1</w:t>
      </w:r>
      <w:r>
        <w:rPr>
          <w:rFonts w:ascii="Arial" w:hAnsi="Arial" w:cs="Arial"/>
        </w:rPr>
        <w:t xml:space="preserve"> below shall be submitted for consideration to the next Monthly Meeting.</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2.5</w:t>
      </w:r>
      <w:r>
        <w:rPr>
          <w:rFonts w:ascii="Arial" w:hAnsi="Arial" w:cs="Arial"/>
        </w:rPr>
        <w:tab/>
        <w:t xml:space="preserve">The Authority shall review all Management KPI breaches and all AAQ submissions where Event </w:t>
      </w:r>
      <w:r w:rsidR="008215DC">
        <w:rPr>
          <w:rFonts w:ascii="Arial" w:hAnsi="Arial" w:cs="Arial"/>
        </w:rPr>
        <w:t xml:space="preserve">Delivery </w:t>
      </w:r>
      <w:r>
        <w:rPr>
          <w:rFonts w:ascii="Arial" w:hAnsi="Arial" w:cs="Arial"/>
        </w:rPr>
        <w:t>KPI breaches have been identified. The Authority shall have the final decision on where KPI remedies are applied.</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2.6</w:t>
      </w:r>
      <w:r>
        <w:rPr>
          <w:rFonts w:ascii="Arial" w:hAnsi="Arial" w:cs="Arial"/>
        </w:rPr>
        <w:tab/>
      </w:r>
      <w:r w:rsidRPr="004C5691">
        <w:rPr>
          <w:rFonts w:ascii="Arial" w:hAnsi="Arial" w:cs="Arial"/>
        </w:rPr>
        <w:t xml:space="preserve">In the event of disagreement the matter shall be dealt </w:t>
      </w:r>
      <w:r>
        <w:rPr>
          <w:rFonts w:ascii="Arial" w:hAnsi="Arial" w:cs="Arial"/>
        </w:rPr>
        <w:t xml:space="preserve">with </w:t>
      </w:r>
      <w:r w:rsidRPr="004C5691">
        <w:rPr>
          <w:rFonts w:ascii="Arial" w:hAnsi="Arial" w:cs="Arial"/>
        </w:rPr>
        <w:t xml:space="preserve">in accordance with the provisions of DEFCON 530 - Dispute Resolution (English Law).  </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Pr>
          <w:rFonts w:ascii="Arial" w:hAnsi="Arial" w:cs="Arial"/>
          <w:b/>
          <w:u w:val="single"/>
        </w:rPr>
        <w:t>Persistent Breach</w:t>
      </w:r>
    </w:p>
    <w:p w:rsidR="00B77F42" w:rsidRDefault="00B77F42" w:rsidP="00B77F42">
      <w:pPr>
        <w:ind w:left="720" w:hanging="720"/>
        <w:jc w:val="both"/>
        <w:rPr>
          <w:rFonts w:ascii="Arial" w:hAnsi="Arial" w:cs="Arial"/>
        </w:rPr>
      </w:pPr>
    </w:p>
    <w:p w:rsidR="00B77F42" w:rsidRPr="004C5691" w:rsidRDefault="00B77F42" w:rsidP="00B77F42">
      <w:pPr>
        <w:ind w:left="720" w:hanging="720"/>
        <w:jc w:val="both"/>
        <w:rPr>
          <w:rFonts w:ascii="Arial" w:hAnsi="Arial" w:cs="Arial"/>
        </w:rPr>
      </w:pPr>
      <w:r>
        <w:rPr>
          <w:rFonts w:ascii="Arial" w:hAnsi="Arial" w:cs="Arial"/>
        </w:rPr>
        <w:t>2.7</w:t>
      </w:r>
      <w:r>
        <w:rPr>
          <w:rFonts w:ascii="Arial" w:hAnsi="Arial" w:cs="Arial"/>
        </w:rPr>
        <w:tab/>
        <w:t>Where the Contractor is in persistent breach of the KPI’s the contract shall be in default and condition 2.27 (Termination on Contractor Default) of the Contract shall apply</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b/>
          <w:u w:val="single"/>
        </w:rPr>
      </w:pPr>
      <w:r>
        <w:rPr>
          <w:rFonts w:ascii="Arial" w:hAnsi="Arial" w:cs="Arial"/>
          <w:b/>
        </w:rPr>
        <w:t>3.</w:t>
      </w:r>
      <w:r>
        <w:rPr>
          <w:rFonts w:ascii="Arial" w:hAnsi="Arial" w:cs="Arial"/>
          <w:b/>
        </w:rPr>
        <w:tab/>
      </w:r>
      <w:r w:rsidRPr="00C00470">
        <w:rPr>
          <w:rFonts w:ascii="Arial" w:hAnsi="Arial" w:cs="Arial"/>
          <w:b/>
          <w:u w:val="single"/>
        </w:rPr>
        <w:t>Management Key Performance Indicator Failures</w:t>
      </w:r>
    </w:p>
    <w:p w:rsidR="00B77F42" w:rsidRDefault="00B77F42" w:rsidP="00B77F42">
      <w:pPr>
        <w:ind w:left="720" w:hanging="720"/>
        <w:jc w:val="both"/>
        <w:rPr>
          <w:rFonts w:ascii="Arial" w:hAnsi="Arial" w:cs="Arial"/>
          <w:b/>
          <w:u w:val="single"/>
        </w:rPr>
      </w:pPr>
    </w:p>
    <w:p w:rsidR="00B77F42" w:rsidRDefault="00B77F42" w:rsidP="00B77F42">
      <w:pPr>
        <w:ind w:left="720" w:hanging="720"/>
        <w:jc w:val="both"/>
        <w:rPr>
          <w:rFonts w:ascii="Arial" w:hAnsi="Arial" w:cs="Arial"/>
        </w:rPr>
      </w:pPr>
      <w:r>
        <w:rPr>
          <w:rFonts w:ascii="Arial" w:hAnsi="Arial" w:cs="Arial"/>
        </w:rPr>
        <w:t>3.1</w:t>
      </w:r>
      <w:r>
        <w:rPr>
          <w:rFonts w:ascii="Arial" w:hAnsi="Arial" w:cs="Arial"/>
        </w:rPr>
        <w:tab/>
        <w:t>Where the Contractor fails to achieve the Management KPI for any of the areas set out at paragraph 1.2 the remedies set out in this paragraph 3 shall apply.</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Pr>
          <w:rFonts w:ascii="Arial" w:hAnsi="Arial" w:cs="Arial"/>
          <w:b/>
        </w:rPr>
        <w:t>Plans and Reports</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lastRenderedPageBreak/>
        <w:t>3.2</w:t>
      </w:r>
      <w:r>
        <w:rPr>
          <w:rFonts w:ascii="Arial" w:hAnsi="Arial" w:cs="Arial"/>
        </w:rPr>
        <w:tab/>
        <w:t>A breach of the Management KPI will occur in relation to the required Plans and Reports where the contractor has failed to provide a complete and accurate Plan/Report to the Authority by;</w:t>
      </w:r>
    </w:p>
    <w:p w:rsidR="00B77F42" w:rsidRDefault="00B77F42" w:rsidP="00B77F42">
      <w:pPr>
        <w:ind w:left="720" w:hanging="720"/>
        <w:jc w:val="both"/>
        <w:rPr>
          <w:rFonts w:ascii="Arial" w:hAnsi="Arial" w:cs="Arial"/>
        </w:rPr>
      </w:pPr>
      <w:r>
        <w:rPr>
          <w:rFonts w:ascii="Arial" w:hAnsi="Arial" w:cs="Arial"/>
        </w:rPr>
        <w:tab/>
        <w:t xml:space="preserve"> </w:t>
      </w:r>
    </w:p>
    <w:p w:rsidR="00B77F42" w:rsidRDefault="00B77F42" w:rsidP="00B77F42">
      <w:pPr>
        <w:ind w:left="720" w:hanging="720"/>
        <w:jc w:val="both"/>
        <w:rPr>
          <w:rFonts w:ascii="Arial" w:hAnsi="Arial" w:cs="Arial"/>
        </w:rPr>
      </w:pPr>
      <w:r>
        <w:rPr>
          <w:rFonts w:ascii="Arial" w:hAnsi="Arial" w:cs="Arial"/>
        </w:rPr>
        <w:tab/>
        <w:t>3.2.1</w:t>
      </w:r>
      <w:r>
        <w:rPr>
          <w:rFonts w:ascii="Arial" w:hAnsi="Arial" w:cs="Arial"/>
        </w:rPr>
        <w:tab/>
        <w:t>the date on which it was due in accordance with the Contract; or</w:t>
      </w:r>
    </w:p>
    <w:p w:rsidR="00B77F42" w:rsidRDefault="00B77F42" w:rsidP="00B77F42">
      <w:pPr>
        <w:ind w:left="72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3.2.2</w:t>
      </w:r>
      <w:r>
        <w:rPr>
          <w:rFonts w:ascii="Arial" w:hAnsi="Arial" w:cs="Arial"/>
        </w:rPr>
        <w:tab/>
        <w:t>where the Authority has informed the Contractor of a new due date, such due date.</w:t>
      </w:r>
    </w:p>
    <w:p w:rsidR="00B77F42" w:rsidRDefault="00B77F42" w:rsidP="00B77F42">
      <w:pPr>
        <w:ind w:left="144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3.3</w:t>
      </w:r>
      <w:r>
        <w:rPr>
          <w:rFonts w:ascii="Arial" w:hAnsi="Arial" w:cs="Arial"/>
        </w:rPr>
        <w:tab/>
        <w:t>Where a breach of the KPI occurs pursuant to Paragraph 3.2 the Authority shall notify the Contractor of the new due date for the Plan/Report.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Pr>
          <w:rFonts w:ascii="Arial" w:hAnsi="Arial" w:cs="Arial"/>
          <w:b/>
        </w:rPr>
        <w:t>Point of Contact Service</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3.4</w:t>
      </w:r>
      <w:r>
        <w:rPr>
          <w:rFonts w:ascii="Arial" w:hAnsi="Arial" w:cs="Arial"/>
        </w:rPr>
        <w:tab/>
        <w:t>A breach of the Management KPI will occur in relation to the required Point of Contact Service Point of Contact is not available during the times set out within the Statement of Requirement.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Pr>
          <w:rFonts w:ascii="Arial" w:hAnsi="Arial" w:cs="Arial"/>
          <w:b/>
        </w:rPr>
        <w:t>Contract Management Team</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3.5</w:t>
      </w:r>
      <w:r>
        <w:rPr>
          <w:rFonts w:ascii="Arial" w:hAnsi="Arial" w:cs="Arial"/>
        </w:rPr>
        <w:tab/>
        <w:t>A breach of the Management KPI will occur in relation to the Contract Management Team where the contractor has failed to provide;</w:t>
      </w:r>
    </w:p>
    <w:p w:rsidR="00B77F42" w:rsidRDefault="00B77F42" w:rsidP="00B77F42">
      <w:pPr>
        <w:ind w:left="720" w:hanging="720"/>
        <w:jc w:val="both"/>
        <w:rPr>
          <w:rFonts w:ascii="Arial" w:hAnsi="Arial" w:cs="Arial"/>
        </w:rPr>
      </w:pPr>
    </w:p>
    <w:p w:rsidR="00B77F42" w:rsidRDefault="00B77F42" w:rsidP="00B77F42">
      <w:pPr>
        <w:ind w:left="720"/>
        <w:jc w:val="both"/>
        <w:rPr>
          <w:rFonts w:ascii="Arial" w:hAnsi="Arial" w:cs="Arial"/>
        </w:rPr>
      </w:pPr>
      <w:r>
        <w:rPr>
          <w:rFonts w:ascii="Arial" w:hAnsi="Arial" w:cs="Arial"/>
        </w:rPr>
        <w:t xml:space="preserve">3.5.1 </w:t>
      </w:r>
      <w:r>
        <w:rPr>
          <w:rFonts w:ascii="Arial" w:hAnsi="Arial" w:cs="Arial"/>
        </w:rPr>
        <w:tab/>
        <w:t>A sufficient Contract Management Team in accordance with the Contract Management Plan</w:t>
      </w:r>
    </w:p>
    <w:p w:rsidR="00B77F42" w:rsidRDefault="00B77F42" w:rsidP="00B77F42">
      <w:pPr>
        <w:ind w:left="720"/>
        <w:jc w:val="both"/>
        <w:rPr>
          <w:rFonts w:ascii="Arial" w:hAnsi="Arial" w:cs="Arial"/>
        </w:rPr>
      </w:pPr>
    </w:p>
    <w:p w:rsidR="00B77F42" w:rsidRDefault="00B77F42" w:rsidP="00B77F42">
      <w:pPr>
        <w:ind w:left="720"/>
        <w:jc w:val="both"/>
        <w:rPr>
          <w:rFonts w:ascii="Arial" w:hAnsi="Arial" w:cs="Arial"/>
        </w:rPr>
      </w:pPr>
      <w:r>
        <w:rPr>
          <w:rFonts w:ascii="Arial" w:hAnsi="Arial" w:cs="Arial"/>
        </w:rPr>
        <w:t>3.5.2</w:t>
      </w:r>
      <w:r>
        <w:rPr>
          <w:rFonts w:ascii="Arial" w:hAnsi="Arial" w:cs="Arial"/>
        </w:rPr>
        <w:tab/>
        <w:t xml:space="preserve">A Contract Management Team where all members are suitably qualified </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sidRPr="004639FB">
        <w:rPr>
          <w:rFonts w:ascii="Arial" w:hAnsi="Arial" w:cs="Arial"/>
          <w:b/>
        </w:rPr>
        <w:t xml:space="preserve">SME </w:t>
      </w:r>
      <w:r>
        <w:rPr>
          <w:rFonts w:ascii="Arial" w:hAnsi="Arial" w:cs="Arial"/>
          <w:b/>
        </w:rPr>
        <w:t xml:space="preserve">Support </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3.6</w:t>
      </w:r>
      <w:r w:rsidRPr="00582916">
        <w:rPr>
          <w:rFonts w:ascii="Arial" w:hAnsi="Arial" w:cs="Arial"/>
        </w:rPr>
        <w:t xml:space="preserve"> </w:t>
      </w:r>
      <w:r>
        <w:rPr>
          <w:rFonts w:ascii="Arial" w:hAnsi="Arial" w:cs="Arial"/>
        </w:rPr>
        <w:tab/>
        <w:t xml:space="preserve">A breach of the Management KPI will occur where the Contractor has failed to provide suitable SME support for </w:t>
      </w:r>
      <w:r w:rsidR="00F34DD7">
        <w:rPr>
          <w:rFonts w:ascii="Arial" w:hAnsi="Arial" w:cs="Arial"/>
        </w:rPr>
        <w:t>Event</w:t>
      </w:r>
      <w:r>
        <w:rPr>
          <w:rFonts w:ascii="Arial" w:hAnsi="Arial" w:cs="Arial"/>
        </w:rPr>
        <w:t xml:space="preserve"> planning.</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b/>
        </w:rPr>
      </w:pPr>
      <w:r>
        <w:rPr>
          <w:rFonts w:ascii="Arial" w:hAnsi="Arial" w:cs="Arial"/>
        </w:rPr>
        <w:tab/>
      </w:r>
      <w:r>
        <w:rPr>
          <w:rFonts w:ascii="Arial" w:hAnsi="Arial" w:cs="Arial"/>
          <w:b/>
        </w:rPr>
        <w:t>Technical Writers</w:t>
      </w:r>
    </w:p>
    <w:p w:rsidR="00B77F42" w:rsidRDefault="00B77F42" w:rsidP="00B77F42">
      <w:pPr>
        <w:ind w:left="720" w:hanging="720"/>
        <w:jc w:val="both"/>
        <w:rPr>
          <w:rFonts w:ascii="Arial" w:hAnsi="Arial" w:cs="Arial"/>
          <w:b/>
        </w:rPr>
      </w:pPr>
    </w:p>
    <w:p w:rsidR="00B77F42" w:rsidRDefault="00B77F42" w:rsidP="00B77F42">
      <w:pPr>
        <w:ind w:left="720" w:hanging="720"/>
        <w:jc w:val="both"/>
        <w:rPr>
          <w:rFonts w:ascii="Arial" w:hAnsi="Arial" w:cs="Arial"/>
        </w:rPr>
      </w:pPr>
      <w:r>
        <w:rPr>
          <w:rFonts w:ascii="Arial" w:hAnsi="Arial" w:cs="Arial"/>
        </w:rPr>
        <w:t>3.7</w:t>
      </w:r>
      <w:r>
        <w:rPr>
          <w:rFonts w:ascii="Arial" w:hAnsi="Arial" w:cs="Arial"/>
        </w:rPr>
        <w:tab/>
        <w:t xml:space="preserve">A breach of the Management KPI will occur where the Contractor has failed to provide suitable Technical writer for the </w:t>
      </w:r>
      <w:r w:rsidR="00F34DD7">
        <w:rPr>
          <w:rFonts w:ascii="Arial" w:hAnsi="Arial" w:cs="Arial"/>
        </w:rPr>
        <w:t>Event</w:t>
      </w:r>
      <w:r>
        <w:rPr>
          <w:rFonts w:ascii="Arial" w:hAnsi="Arial" w:cs="Arial"/>
        </w:rPr>
        <w:t xml:space="preserve"> planning meetings</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b/>
        </w:rPr>
      </w:pPr>
      <w:r>
        <w:rPr>
          <w:rFonts w:ascii="Arial" w:hAnsi="Arial" w:cs="Arial"/>
          <w:b/>
        </w:rPr>
        <w:tab/>
        <w:t>Breach of Management KPI Remedy</w:t>
      </w:r>
    </w:p>
    <w:p w:rsidR="00B77F42" w:rsidRDefault="00B77F42" w:rsidP="00B77F42">
      <w:pPr>
        <w:ind w:left="720" w:hanging="720"/>
        <w:jc w:val="both"/>
        <w:rPr>
          <w:rFonts w:ascii="Arial" w:hAnsi="Arial" w:cs="Arial"/>
          <w:b/>
        </w:rPr>
      </w:pPr>
    </w:p>
    <w:p w:rsidR="00B77F42" w:rsidRDefault="00B77F42" w:rsidP="00B77F42">
      <w:pPr>
        <w:ind w:left="720" w:hanging="720"/>
        <w:jc w:val="both"/>
        <w:rPr>
          <w:rFonts w:ascii="Arial" w:hAnsi="Arial" w:cs="Arial"/>
        </w:rPr>
      </w:pPr>
      <w:r>
        <w:rPr>
          <w:rFonts w:ascii="Arial" w:hAnsi="Arial" w:cs="Arial"/>
        </w:rPr>
        <w:t xml:space="preserve">3.8 </w:t>
      </w:r>
      <w:r>
        <w:rPr>
          <w:rFonts w:ascii="Arial" w:hAnsi="Arial" w:cs="Arial"/>
        </w:rPr>
        <w:tab/>
        <w:t>For each breach of the Management KPI within any monthly payment period, the Authority shall be entitled to make a deduction of 1% to the Management Fee.</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3.9</w:t>
      </w:r>
      <w:r>
        <w:rPr>
          <w:rFonts w:ascii="Arial" w:hAnsi="Arial" w:cs="Arial"/>
        </w:rPr>
        <w:tab/>
        <w:t>The Authority shall in any monthly payment period be entitled in total to a maximum deduction equivalent to 5% of the Management Fee for Management KPI breaches.</w:t>
      </w:r>
    </w:p>
    <w:p w:rsidR="00B77F42" w:rsidRDefault="00B77F42" w:rsidP="00B77F42">
      <w:pPr>
        <w:ind w:left="720" w:hanging="720"/>
        <w:jc w:val="both"/>
        <w:rPr>
          <w:rFonts w:ascii="Arial" w:hAnsi="Arial" w:cs="Arial"/>
        </w:rPr>
      </w:pPr>
    </w:p>
    <w:p w:rsidR="00B77F42" w:rsidRPr="00AB4C86" w:rsidRDefault="00B77F42" w:rsidP="00B77F42">
      <w:pPr>
        <w:ind w:left="720" w:hanging="720"/>
        <w:jc w:val="both"/>
        <w:rPr>
          <w:rFonts w:ascii="Arial" w:hAnsi="Arial" w:cs="Arial"/>
          <w:b/>
          <w:u w:val="single"/>
        </w:rPr>
      </w:pPr>
      <w:r>
        <w:rPr>
          <w:rFonts w:ascii="Arial" w:hAnsi="Arial" w:cs="Arial"/>
          <w:b/>
        </w:rPr>
        <w:t>4.</w:t>
      </w:r>
      <w:r>
        <w:rPr>
          <w:rFonts w:ascii="Arial" w:hAnsi="Arial" w:cs="Arial"/>
          <w:b/>
        </w:rPr>
        <w:tab/>
      </w:r>
      <w:r w:rsidR="00F34DD7">
        <w:rPr>
          <w:rFonts w:ascii="Arial" w:hAnsi="Arial" w:cs="Arial"/>
          <w:b/>
          <w:u w:val="single"/>
        </w:rPr>
        <w:t>Event</w:t>
      </w:r>
      <w:r>
        <w:rPr>
          <w:rFonts w:ascii="Arial" w:hAnsi="Arial" w:cs="Arial"/>
          <w:b/>
          <w:u w:val="single"/>
        </w:rPr>
        <w:t xml:space="preserve"> Delivery Key Performance Indicators</w:t>
      </w:r>
    </w:p>
    <w:p w:rsidR="00B77F42" w:rsidRPr="00CA7E8A"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b/>
          <w:u w:val="single"/>
        </w:rPr>
      </w:pPr>
      <w:r>
        <w:rPr>
          <w:rFonts w:ascii="Arial" w:hAnsi="Arial" w:cs="Arial"/>
        </w:rPr>
        <w:tab/>
      </w:r>
      <w:r>
        <w:rPr>
          <w:rFonts w:ascii="Arial" w:hAnsi="Arial" w:cs="Arial"/>
          <w:b/>
          <w:u w:val="single"/>
        </w:rPr>
        <w:t>After Action Questionnaire (AAQ)</w:t>
      </w:r>
    </w:p>
    <w:p w:rsidR="00B77F42" w:rsidRPr="004946E7" w:rsidRDefault="00B77F42" w:rsidP="00B77F42">
      <w:pPr>
        <w:ind w:left="720" w:hanging="720"/>
        <w:jc w:val="both"/>
        <w:rPr>
          <w:rFonts w:ascii="Arial" w:hAnsi="Arial" w:cs="Arial"/>
          <w:b/>
          <w:u w:val="single"/>
        </w:rPr>
      </w:pPr>
    </w:p>
    <w:p w:rsidR="00B77F42" w:rsidRDefault="008215DC" w:rsidP="00B77F42">
      <w:pPr>
        <w:ind w:left="720" w:hanging="720"/>
        <w:jc w:val="both"/>
        <w:rPr>
          <w:rFonts w:ascii="Arial" w:hAnsi="Arial" w:cs="Arial"/>
        </w:rPr>
      </w:pPr>
      <w:r>
        <w:rPr>
          <w:rFonts w:ascii="Arial" w:hAnsi="Arial" w:cs="Arial"/>
        </w:rPr>
        <w:t>4.1</w:t>
      </w:r>
      <w:r w:rsidR="00B77F42">
        <w:rPr>
          <w:rFonts w:ascii="Arial" w:hAnsi="Arial" w:cs="Arial"/>
        </w:rPr>
        <w:tab/>
        <w:t xml:space="preserve">The Contractor performance for each </w:t>
      </w:r>
      <w:r w:rsidR="00F34DD7">
        <w:rPr>
          <w:rFonts w:ascii="Arial" w:hAnsi="Arial" w:cs="Arial"/>
        </w:rPr>
        <w:t>Event</w:t>
      </w:r>
      <w:r w:rsidR="00B77F42">
        <w:rPr>
          <w:rFonts w:ascii="Arial" w:hAnsi="Arial" w:cs="Arial"/>
        </w:rPr>
        <w:t xml:space="preserve"> shall be measured by use of the After Action Questionnaire (AAQ) at Appendix 1 to this </w:t>
      </w:r>
      <w:r w:rsidR="00F34DD7" w:rsidRPr="008215DC">
        <w:rPr>
          <w:rFonts w:ascii="Arial" w:hAnsi="Arial" w:cs="Arial"/>
        </w:rPr>
        <w:t xml:space="preserve">Annex </w:t>
      </w:r>
      <w:r w:rsidR="00F34DD7">
        <w:rPr>
          <w:rFonts w:ascii="Arial" w:hAnsi="Arial" w:cs="Arial"/>
        </w:rPr>
        <w:t>B to Schedule 3</w:t>
      </w:r>
      <w:r w:rsidR="00B77F42">
        <w:rPr>
          <w:rFonts w:ascii="Arial" w:hAnsi="Arial" w:cs="Arial"/>
        </w:rPr>
        <w:t>.</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4.2</w:t>
      </w:r>
      <w:r w:rsidR="00B77F42">
        <w:rPr>
          <w:rFonts w:ascii="Arial" w:hAnsi="Arial" w:cs="Arial"/>
        </w:rPr>
        <w:tab/>
        <w:t xml:space="preserve">The AAQ is to be completed by the Authority on completion of each </w:t>
      </w:r>
      <w:r w:rsidR="00F34DD7">
        <w:rPr>
          <w:rFonts w:ascii="Arial" w:hAnsi="Arial" w:cs="Arial"/>
        </w:rPr>
        <w:t>Event</w:t>
      </w:r>
      <w:r w:rsidR="00B77F42">
        <w:rPr>
          <w:rFonts w:ascii="Arial" w:hAnsi="Arial" w:cs="Arial"/>
        </w:rPr>
        <w:t xml:space="preserve">. The AAQ shall be reviewed by both the Authority and the Contractor within the Post Event </w:t>
      </w:r>
      <w:r w:rsidR="00B77F42">
        <w:rPr>
          <w:rFonts w:ascii="Arial" w:hAnsi="Arial" w:cs="Arial"/>
        </w:rPr>
        <w:lastRenderedPageBreak/>
        <w:t>Review Meeting at which point the Contractor may submit mitigation for any failures identified.</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4.3</w:t>
      </w:r>
      <w:r w:rsidR="00B77F42">
        <w:rPr>
          <w:rFonts w:ascii="Arial" w:hAnsi="Arial" w:cs="Arial"/>
        </w:rPr>
        <w:tab/>
        <w:t xml:space="preserve">AAQ’s and any provided mitigation shall be reviewed within the Monthly </w:t>
      </w:r>
      <w:r w:rsidR="00B77F42" w:rsidRPr="006F47A0">
        <w:rPr>
          <w:rFonts w:ascii="Arial" w:hAnsi="Arial" w:cs="Arial"/>
        </w:rPr>
        <w:t>Meeting</w:t>
      </w:r>
      <w:r w:rsidR="00B77F42">
        <w:rPr>
          <w:rFonts w:ascii="Arial" w:hAnsi="Arial" w:cs="Arial"/>
        </w:rPr>
        <w:t xml:space="preserve"> which shall determine the amount deductible by the Authority for any breach to the KPI.</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4.4</w:t>
      </w:r>
      <w:r w:rsidR="00B77F42">
        <w:rPr>
          <w:rFonts w:ascii="Arial" w:hAnsi="Arial" w:cs="Arial"/>
        </w:rPr>
        <w:tab/>
        <w:t>The Authority shall have the final decision on whether a KPI breach has occurred and the remedies applied.</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b/>
        </w:rPr>
      </w:pPr>
      <w:r>
        <w:rPr>
          <w:rFonts w:ascii="Arial" w:hAnsi="Arial" w:cs="Arial"/>
        </w:rPr>
        <w:tab/>
      </w:r>
      <w:r w:rsidR="00F34DD7">
        <w:rPr>
          <w:rFonts w:ascii="Arial" w:hAnsi="Arial" w:cs="Arial"/>
          <w:b/>
        </w:rPr>
        <w:t>Event</w:t>
      </w:r>
      <w:r>
        <w:rPr>
          <w:rFonts w:ascii="Arial" w:hAnsi="Arial" w:cs="Arial"/>
          <w:b/>
        </w:rPr>
        <w:t xml:space="preserve"> Delivery KPI Breach</w:t>
      </w:r>
    </w:p>
    <w:p w:rsidR="00B77F42" w:rsidRDefault="00B77F42" w:rsidP="00B77F42">
      <w:pPr>
        <w:ind w:left="720" w:hanging="720"/>
        <w:jc w:val="both"/>
        <w:rPr>
          <w:rFonts w:ascii="Arial" w:hAnsi="Arial" w:cs="Arial"/>
          <w:b/>
        </w:rPr>
      </w:pPr>
    </w:p>
    <w:p w:rsidR="00B77F42" w:rsidRDefault="008215DC" w:rsidP="00B77F42">
      <w:pPr>
        <w:ind w:left="720" w:hanging="720"/>
        <w:jc w:val="both"/>
        <w:rPr>
          <w:rFonts w:ascii="Arial" w:hAnsi="Arial" w:cs="Arial"/>
        </w:rPr>
      </w:pPr>
      <w:r>
        <w:rPr>
          <w:rFonts w:ascii="Arial" w:hAnsi="Arial" w:cs="Arial"/>
        </w:rPr>
        <w:t>4.5</w:t>
      </w:r>
      <w:r w:rsidR="00B77F42">
        <w:rPr>
          <w:rFonts w:ascii="Arial" w:hAnsi="Arial" w:cs="Arial"/>
        </w:rPr>
        <w:tab/>
        <w:t xml:space="preserve">A breach of the </w:t>
      </w:r>
      <w:r w:rsidR="00F34DD7">
        <w:rPr>
          <w:rFonts w:ascii="Arial" w:hAnsi="Arial" w:cs="Arial"/>
        </w:rPr>
        <w:t>Event</w:t>
      </w:r>
      <w:r w:rsidR="00B77F42">
        <w:rPr>
          <w:rFonts w:ascii="Arial" w:hAnsi="Arial" w:cs="Arial"/>
        </w:rPr>
        <w:t xml:space="preserve"> Delivery KPI will occur where the Contractor has failed to provide; </w:t>
      </w:r>
    </w:p>
    <w:p w:rsidR="00B77F42" w:rsidRDefault="00B77F42" w:rsidP="00B77F42">
      <w:pPr>
        <w:ind w:left="720" w:hanging="720"/>
        <w:jc w:val="both"/>
        <w:rPr>
          <w:rFonts w:ascii="Arial" w:hAnsi="Arial" w:cs="Arial"/>
        </w:rPr>
      </w:pPr>
      <w:r>
        <w:rPr>
          <w:rFonts w:ascii="Arial" w:hAnsi="Arial" w:cs="Arial"/>
        </w:rPr>
        <w:tab/>
      </w:r>
    </w:p>
    <w:p w:rsidR="00B77F42" w:rsidRDefault="00B77F42" w:rsidP="00B77F42">
      <w:pPr>
        <w:ind w:left="1440" w:hanging="720"/>
        <w:jc w:val="both"/>
        <w:rPr>
          <w:rFonts w:ascii="Arial" w:hAnsi="Arial" w:cs="Arial"/>
        </w:rPr>
      </w:pPr>
      <w:r>
        <w:rPr>
          <w:rFonts w:ascii="Arial" w:hAnsi="Arial" w:cs="Arial"/>
        </w:rPr>
        <w:t>4.</w:t>
      </w:r>
      <w:r w:rsidR="008215DC">
        <w:rPr>
          <w:rFonts w:ascii="Arial" w:hAnsi="Arial" w:cs="Arial"/>
        </w:rPr>
        <w:t>5</w:t>
      </w:r>
      <w:r>
        <w:rPr>
          <w:rFonts w:ascii="Arial" w:hAnsi="Arial" w:cs="Arial"/>
        </w:rPr>
        <w:t>.1</w:t>
      </w:r>
      <w:r>
        <w:rPr>
          <w:rFonts w:ascii="Arial" w:hAnsi="Arial" w:cs="Arial"/>
        </w:rPr>
        <w:tab/>
        <w:t>The agreed number of supporting artiste and speaking role personnel;</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.2</w:t>
      </w:r>
      <w:r w:rsidR="00B77F42">
        <w:rPr>
          <w:rFonts w:ascii="Arial" w:hAnsi="Arial" w:cs="Arial"/>
        </w:rPr>
        <w:tab/>
        <w:t>Any agreed Contractor supplied transportation;</w:t>
      </w:r>
    </w:p>
    <w:p w:rsidR="00B77F42" w:rsidRDefault="00B77F42" w:rsidP="00B77F42">
      <w:pPr>
        <w:ind w:left="1440" w:hanging="720"/>
        <w:jc w:val="both"/>
        <w:rPr>
          <w:rFonts w:ascii="Arial" w:hAnsi="Arial" w:cs="Arial"/>
        </w:rPr>
      </w:pPr>
    </w:p>
    <w:p w:rsidR="00B77F42" w:rsidRDefault="00B77F42" w:rsidP="00B77F42">
      <w:pPr>
        <w:ind w:left="1440" w:hanging="720"/>
        <w:jc w:val="both"/>
        <w:rPr>
          <w:rFonts w:ascii="Arial" w:hAnsi="Arial" w:cs="Arial"/>
        </w:rPr>
      </w:pPr>
      <w:r>
        <w:rPr>
          <w:rFonts w:ascii="Arial" w:hAnsi="Arial" w:cs="Arial"/>
        </w:rPr>
        <w:t>4</w:t>
      </w:r>
      <w:r w:rsidR="008215DC">
        <w:rPr>
          <w:rFonts w:ascii="Arial" w:hAnsi="Arial" w:cs="Arial"/>
        </w:rPr>
        <w:t>.5</w:t>
      </w:r>
      <w:r>
        <w:rPr>
          <w:rFonts w:ascii="Arial" w:hAnsi="Arial" w:cs="Arial"/>
        </w:rPr>
        <w:t>.3</w:t>
      </w:r>
      <w:r>
        <w:rPr>
          <w:rFonts w:ascii="Arial" w:hAnsi="Arial" w:cs="Arial"/>
        </w:rPr>
        <w:tab/>
        <w:t>Any personnel identified as being in a Critical Role;</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.4</w:t>
      </w:r>
      <w:r w:rsidR="00B77F42">
        <w:rPr>
          <w:rFonts w:ascii="Arial" w:hAnsi="Arial" w:cs="Arial"/>
        </w:rPr>
        <w:tab/>
        <w:t xml:space="preserve">All demonstrations and </w:t>
      </w:r>
      <w:r w:rsidR="00F34DD7">
        <w:rPr>
          <w:rFonts w:ascii="Arial" w:hAnsi="Arial" w:cs="Arial"/>
        </w:rPr>
        <w:t>Event</w:t>
      </w:r>
      <w:r w:rsidR="00B77F42">
        <w:rPr>
          <w:rFonts w:ascii="Arial" w:hAnsi="Arial" w:cs="Arial"/>
        </w:rPr>
        <w:t xml:space="preserve"> serials in accordance with the agreed briefing and plans;</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.5</w:t>
      </w:r>
      <w:r w:rsidR="00B77F42">
        <w:rPr>
          <w:rFonts w:ascii="Arial" w:hAnsi="Arial" w:cs="Arial"/>
        </w:rPr>
        <w:tab/>
        <w:t>CASSIM role players with injuries that were realistic;</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.6</w:t>
      </w:r>
      <w:r w:rsidR="00B77F42">
        <w:rPr>
          <w:rFonts w:ascii="Arial" w:hAnsi="Arial" w:cs="Arial"/>
        </w:rPr>
        <w:tab/>
        <w:t>CASSIM role players with believable performances;</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 xml:space="preserve">.7 </w:t>
      </w:r>
      <w:r w:rsidR="00B77F42">
        <w:rPr>
          <w:rFonts w:ascii="Arial" w:hAnsi="Arial" w:cs="Arial"/>
        </w:rPr>
        <w:tab/>
        <w:t>The agreed level of management support;</w:t>
      </w:r>
    </w:p>
    <w:p w:rsidR="008215DC" w:rsidRDefault="008215DC" w:rsidP="00B77F42">
      <w:pPr>
        <w:ind w:left="1440" w:hanging="720"/>
        <w:jc w:val="both"/>
        <w:rPr>
          <w:rFonts w:ascii="Arial" w:hAnsi="Arial" w:cs="Arial"/>
        </w:rPr>
      </w:pPr>
    </w:p>
    <w:p w:rsidR="008215DC" w:rsidRDefault="008215DC" w:rsidP="00B77F42">
      <w:pPr>
        <w:ind w:left="1440" w:hanging="720"/>
        <w:jc w:val="both"/>
        <w:rPr>
          <w:rFonts w:ascii="Arial" w:hAnsi="Arial" w:cs="Arial"/>
        </w:rPr>
      </w:pPr>
      <w:r>
        <w:rPr>
          <w:rFonts w:ascii="Arial" w:hAnsi="Arial" w:cs="Arial"/>
        </w:rPr>
        <w:t>4.5.8</w:t>
      </w:r>
      <w:r>
        <w:rPr>
          <w:rFonts w:ascii="Arial" w:hAnsi="Arial" w:cs="Arial"/>
        </w:rPr>
        <w:tab/>
        <w:t>All AAQ activities to the standard required</w:t>
      </w:r>
    </w:p>
    <w:p w:rsidR="00B77F42" w:rsidRDefault="00B77F42" w:rsidP="00B77F42">
      <w:pPr>
        <w:ind w:left="1440" w:hanging="720"/>
        <w:jc w:val="both"/>
        <w:rPr>
          <w:rFonts w:ascii="Arial" w:hAnsi="Arial" w:cs="Arial"/>
        </w:rPr>
      </w:pPr>
    </w:p>
    <w:p w:rsidR="00B77F42" w:rsidRDefault="008215DC" w:rsidP="00B77F42">
      <w:pPr>
        <w:ind w:left="1440" w:hanging="720"/>
        <w:jc w:val="both"/>
        <w:rPr>
          <w:rFonts w:ascii="Arial" w:hAnsi="Arial" w:cs="Arial"/>
        </w:rPr>
      </w:pPr>
      <w:r>
        <w:rPr>
          <w:rFonts w:ascii="Arial" w:hAnsi="Arial" w:cs="Arial"/>
        </w:rPr>
        <w:t>4.5</w:t>
      </w:r>
      <w:r w:rsidR="00B77F42">
        <w:rPr>
          <w:rFonts w:ascii="Arial" w:hAnsi="Arial" w:cs="Arial"/>
        </w:rPr>
        <w:t>.</w:t>
      </w:r>
      <w:r>
        <w:rPr>
          <w:rFonts w:ascii="Arial" w:hAnsi="Arial" w:cs="Arial"/>
        </w:rPr>
        <w:t>9</w:t>
      </w:r>
      <w:r w:rsidR="00B77F42">
        <w:rPr>
          <w:rFonts w:ascii="Arial" w:hAnsi="Arial" w:cs="Arial"/>
        </w:rPr>
        <w:t xml:space="preserve"> </w:t>
      </w:r>
      <w:r w:rsidR="00B77F42">
        <w:rPr>
          <w:rFonts w:ascii="Arial" w:hAnsi="Arial" w:cs="Arial"/>
        </w:rPr>
        <w:tab/>
        <w:t>The training support as detailed within the SOR;</w:t>
      </w:r>
    </w:p>
    <w:p w:rsidR="00B77F42" w:rsidRDefault="00B77F42" w:rsidP="00B77F42">
      <w:pPr>
        <w:ind w:left="1440" w:hanging="720"/>
        <w:jc w:val="both"/>
        <w:rPr>
          <w:rFonts w:ascii="Arial" w:hAnsi="Arial" w:cs="Arial"/>
        </w:rPr>
      </w:pPr>
    </w:p>
    <w:p w:rsidR="00B77F42" w:rsidRDefault="00B77F42" w:rsidP="00B77F42">
      <w:pPr>
        <w:ind w:left="720" w:hanging="720"/>
        <w:jc w:val="both"/>
        <w:rPr>
          <w:rFonts w:ascii="Arial" w:hAnsi="Arial" w:cs="Arial"/>
        </w:rPr>
      </w:pPr>
    </w:p>
    <w:p w:rsidR="00B77F42" w:rsidRDefault="00B77F42" w:rsidP="00B77F42">
      <w:pPr>
        <w:jc w:val="both"/>
        <w:rPr>
          <w:rFonts w:ascii="Arial" w:hAnsi="Arial" w:cs="Arial"/>
        </w:rPr>
      </w:pPr>
      <w:r>
        <w:rPr>
          <w:rFonts w:ascii="Arial" w:hAnsi="Arial" w:cs="Arial"/>
        </w:rPr>
        <w:tab/>
      </w:r>
      <w:r>
        <w:rPr>
          <w:rFonts w:ascii="Arial" w:hAnsi="Arial" w:cs="Arial"/>
          <w:b/>
        </w:rPr>
        <w:t xml:space="preserve">Breach of </w:t>
      </w:r>
      <w:r w:rsidR="00F34DD7">
        <w:rPr>
          <w:rFonts w:ascii="Arial" w:hAnsi="Arial" w:cs="Arial"/>
          <w:b/>
        </w:rPr>
        <w:t>Event</w:t>
      </w:r>
      <w:r>
        <w:rPr>
          <w:rFonts w:ascii="Arial" w:hAnsi="Arial" w:cs="Arial"/>
          <w:b/>
        </w:rPr>
        <w:t xml:space="preserve"> Delivery KPI Remedy</w:t>
      </w:r>
    </w:p>
    <w:p w:rsidR="00B77F42" w:rsidRDefault="00B77F42" w:rsidP="00B77F42">
      <w:pPr>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4.6</w:t>
      </w:r>
      <w:r w:rsidR="00B77F42">
        <w:rPr>
          <w:rFonts w:ascii="Arial" w:hAnsi="Arial" w:cs="Arial"/>
        </w:rPr>
        <w:tab/>
        <w:t>Where the Contra</w:t>
      </w:r>
      <w:r>
        <w:rPr>
          <w:rFonts w:ascii="Arial" w:hAnsi="Arial" w:cs="Arial"/>
        </w:rPr>
        <w:t>ctor fails to provide serial 4.5</w:t>
      </w:r>
      <w:r w:rsidR="00B77F42">
        <w:rPr>
          <w:rFonts w:ascii="Arial" w:hAnsi="Arial" w:cs="Arial"/>
        </w:rPr>
        <w:t>.1 in any Event, the Authority shall be entitled to make an adjustment to the cost stated on the Demand Order Form of an amount equal to the cost of the number of role players that did not attend the event. Where there is no failure of subsequent serials a KPI breach will not be recorded and no further action taken.</w:t>
      </w:r>
      <w:r>
        <w:rPr>
          <w:rFonts w:ascii="Arial" w:hAnsi="Arial" w:cs="Arial"/>
        </w:rPr>
        <w:t xml:space="preserve"> Where subsequent serial breaches are identified paragraph 4.8 and 4.9 shall apply.</w:t>
      </w:r>
    </w:p>
    <w:p w:rsidR="00B77F42" w:rsidRDefault="00B77F42" w:rsidP="00B77F42">
      <w:pPr>
        <w:jc w:val="both"/>
        <w:rPr>
          <w:rFonts w:ascii="Arial" w:hAnsi="Arial" w:cs="Arial"/>
        </w:rPr>
      </w:pPr>
    </w:p>
    <w:p w:rsidR="008215DC" w:rsidRDefault="008215DC" w:rsidP="008215DC">
      <w:pPr>
        <w:ind w:left="720" w:hanging="720"/>
        <w:jc w:val="both"/>
        <w:rPr>
          <w:rFonts w:ascii="Arial" w:hAnsi="Arial" w:cs="Arial"/>
        </w:rPr>
      </w:pPr>
      <w:r>
        <w:rPr>
          <w:rFonts w:ascii="Arial" w:hAnsi="Arial" w:cs="Arial"/>
        </w:rPr>
        <w:t>4.7</w:t>
      </w:r>
      <w:r w:rsidR="00B77F42">
        <w:rPr>
          <w:rFonts w:ascii="Arial" w:hAnsi="Arial" w:cs="Arial"/>
        </w:rPr>
        <w:tab/>
        <w:t>Where the Contra</w:t>
      </w:r>
      <w:r>
        <w:rPr>
          <w:rFonts w:ascii="Arial" w:hAnsi="Arial" w:cs="Arial"/>
        </w:rPr>
        <w:t>ctor fails to provide serial 4.5</w:t>
      </w:r>
      <w:r w:rsidR="00B77F42">
        <w:rPr>
          <w:rFonts w:ascii="Arial" w:hAnsi="Arial" w:cs="Arial"/>
        </w:rPr>
        <w:t>.2 in any Event, the Authority shall be entitled to make an adjustment to the cost stated on the Demand Order Form of an amount equal to the cost of the transportation that was not available. Where there is no failure of subsequent serials a KPI breach will not be recorded and no further action taken.</w:t>
      </w:r>
      <w:r>
        <w:rPr>
          <w:rFonts w:ascii="Arial" w:hAnsi="Arial" w:cs="Arial"/>
        </w:rPr>
        <w:t xml:space="preserve"> Where subsequent serial breaches are identified paragraph 4.8 and 4.9 shall apply.</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4.8</w:t>
      </w:r>
      <w:r w:rsidR="00B77F42">
        <w:rPr>
          <w:rFonts w:ascii="Arial" w:hAnsi="Arial" w:cs="Arial"/>
        </w:rPr>
        <w:tab/>
        <w:t xml:space="preserve">Where the Contractor fails to provide any of the </w:t>
      </w:r>
      <w:r>
        <w:rPr>
          <w:rFonts w:ascii="Arial" w:hAnsi="Arial" w:cs="Arial"/>
        </w:rPr>
        <w:t>serials 4.5.3 to 4.5</w:t>
      </w:r>
      <w:r w:rsidR="00B77F42">
        <w:rPr>
          <w:rFonts w:ascii="Arial" w:hAnsi="Arial" w:cs="Arial"/>
        </w:rPr>
        <w:t>.</w:t>
      </w:r>
      <w:r>
        <w:rPr>
          <w:rFonts w:ascii="Arial" w:hAnsi="Arial" w:cs="Arial"/>
        </w:rPr>
        <w:t>9</w:t>
      </w:r>
      <w:r w:rsidR="00B77F42">
        <w:rPr>
          <w:rFonts w:ascii="Arial" w:hAnsi="Arial" w:cs="Arial"/>
        </w:rPr>
        <w:t xml:space="preserve"> in an Event a KPI breach shall be recorded. The Authority shall be entitled to make an adjustment to the cost stated on the Demand Order Form of an amount equal to the cost of the number of role players that did not attend the event where the Contractor fails to </w:t>
      </w:r>
      <w:r w:rsidR="00B77F42">
        <w:rPr>
          <w:rFonts w:ascii="Arial" w:hAnsi="Arial" w:cs="Arial"/>
        </w:rPr>
        <w:lastRenderedPageBreak/>
        <w:t>provide 4.</w:t>
      </w:r>
      <w:r>
        <w:rPr>
          <w:rFonts w:ascii="Arial" w:hAnsi="Arial" w:cs="Arial"/>
        </w:rPr>
        <w:t>5</w:t>
      </w:r>
      <w:r w:rsidR="00B77F42">
        <w:rPr>
          <w:rFonts w:ascii="Arial" w:hAnsi="Arial" w:cs="Arial"/>
        </w:rPr>
        <w:t xml:space="preserve">.3. In addition, the Authority shall be entitled to a payment equal to 7% of the overall price of the </w:t>
      </w:r>
      <w:r w:rsidR="00F34DD7">
        <w:rPr>
          <w:rFonts w:ascii="Arial" w:hAnsi="Arial" w:cs="Arial"/>
        </w:rPr>
        <w:t>Event</w:t>
      </w:r>
      <w:r w:rsidR="00B77F42">
        <w:rPr>
          <w:rFonts w:ascii="Arial" w:hAnsi="Arial" w:cs="Arial"/>
        </w:rPr>
        <w:t xml:space="preserve"> as stated on the Demand Order Form. </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4.9</w:t>
      </w:r>
      <w:r w:rsidR="00B77F42">
        <w:rPr>
          <w:rFonts w:ascii="Arial" w:hAnsi="Arial" w:cs="Arial"/>
        </w:rPr>
        <w:tab/>
        <w:t>In addition, whe</w:t>
      </w:r>
      <w:r>
        <w:rPr>
          <w:rFonts w:ascii="Arial" w:hAnsi="Arial" w:cs="Arial"/>
        </w:rPr>
        <w:t>re the serials 4.5.3 to 4.5</w:t>
      </w:r>
      <w:r w:rsidR="00B77F42">
        <w:rPr>
          <w:rFonts w:ascii="Arial" w:hAnsi="Arial" w:cs="Arial"/>
        </w:rPr>
        <w:t>.</w:t>
      </w:r>
      <w:r>
        <w:rPr>
          <w:rFonts w:ascii="Arial" w:hAnsi="Arial" w:cs="Arial"/>
        </w:rPr>
        <w:t>9</w:t>
      </w:r>
      <w:r w:rsidR="00B77F42">
        <w:rPr>
          <w:rFonts w:ascii="Arial" w:hAnsi="Arial" w:cs="Arial"/>
        </w:rPr>
        <w:t xml:space="preserve"> are not provided in full the Authority shall be entitled to a payment equivalent to 1% of the Management Fee.</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4.10</w:t>
      </w:r>
      <w:r w:rsidR="00B77F42">
        <w:rPr>
          <w:rFonts w:ascii="Arial" w:hAnsi="Arial" w:cs="Arial"/>
        </w:rPr>
        <w:tab/>
        <w:t xml:space="preserve">Where multiple </w:t>
      </w:r>
      <w:r w:rsidR="00F34DD7">
        <w:rPr>
          <w:rFonts w:ascii="Arial" w:hAnsi="Arial" w:cs="Arial"/>
        </w:rPr>
        <w:t>Event</w:t>
      </w:r>
      <w:r w:rsidR="00B77F42">
        <w:rPr>
          <w:rFonts w:ascii="Arial" w:hAnsi="Arial" w:cs="Arial"/>
        </w:rPr>
        <w:t>s are completed within a monthly payment period the Authority shall be entitled to the rem</w:t>
      </w:r>
      <w:r>
        <w:rPr>
          <w:rFonts w:ascii="Arial" w:hAnsi="Arial" w:cs="Arial"/>
        </w:rPr>
        <w:t>edies set out at paragraphs 4.8 and 4.9</w:t>
      </w:r>
      <w:r w:rsidR="00B77F42">
        <w:rPr>
          <w:rFonts w:ascii="Arial" w:hAnsi="Arial" w:cs="Arial"/>
        </w:rPr>
        <w:t xml:space="preserve">. However, a maximum of 3% of the Management Fee may be deducted for </w:t>
      </w:r>
      <w:r w:rsidR="00F34DD7">
        <w:rPr>
          <w:rFonts w:ascii="Arial" w:hAnsi="Arial" w:cs="Arial"/>
        </w:rPr>
        <w:t>Event</w:t>
      </w:r>
      <w:r w:rsidR="00B77F42">
        <w:rPr>
          <w:rFonts w:ascii="Arial" w:hAnsi="Arial" w:cs="Arial"/>
        </w:rPr>
        <w:t xml:space="preserve"> </w:t>
      </w:r>
      <w:r>
        <w:rPr>
          <w:rFonts w:ascii="Arial" w:hAnsi="Arial" w:cs="Arial"/>
        </w:rPr>
        <w:t xml:space="preserve">Delivery </w:t>
      </w:r>
      <w:r w:rsidR="00B77F42">
        <w:rPr>
          <w:rFonts w:ascii="Arial" w:hAnsi="Arial" w:cs="Arial"/>
        </w:rPr>
        <w:t>KPI breaches in any monthly payment period.</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4.11</w:t>
      </w:r>
      <w:r w:rsidR="00B77F42">
        <w:rPr>
          <w:rFonts w:ascii="Arial" w:hAnsi="Arial" w:cs="Arial"/>
        </w:rPr>
        <w:tab/>
        <w:t>Where:</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ab/>
        <w:t>4.11</w:t>
      </w:r>
      <w:r w:rsidR="00B77F42">
        <w:rPr>
          <w:rFonts w:ascii="Arial" w:hAnsi="Arial" w:cs="Arial"/>
        </w:rPr>
        <w:t>.1</w:t>
      </w:r>
      <w:r w:rsidR="00B77F42">
        <w:rPr>
          <w:rFonts w:ascii="Arial" w:hAnsi="Arial" w:cs="Arial"/>
        </w:rPr>
        <w:tab/>
        <w:t>a sum has been deducted from the Contr</w:t>
      </w:r>
      <w:r>
        <w:rPr>
          <w:rFonts w:ascii="Arial" w:hAnsi="Arial" w:cs="Arial"/>
        </w:rPr>
        <w:t>actor pursuant to Paragraph 4.8 – 4.9</w:t>
      </w:r>
      <w:r w:rsidR="00B77F42">
        <w:rPr>
          <w:rFonts w:ascii="Arial" w:hAnsi="Arial" w:cs="Arial"/>
        </w:rPr>
        <w:t>; and</w:t>
      </w:r>
    </w:p>
    <w:p w:rsidR="00B77F42" w:rsidRDefault="00B77F42" w:rsidP="00B77F42">
      <w:pPr>
        <w:ind w:left="720" w:hanging="720"/>
        <w:jc w:val="both"/>
        <w:rPr>
          <w:rFonts w:ascii="Arial" w:hAnsi="Arial" w:cs="Arial"/>
        </w:rPr>
      </w:pPr>
    </w:p>
    <w:p w:rsidR="00B77F42" w:rsidRDefault="008215DC" w:rsidP="00B77F42">
      <w:pPr>
        <w:ind w:left="720" w:hanging="720"/>
        <w:jc w:val="both"/>
        <w:rPr>
          <w:rFonts w:ascii="Arial" w:hAnsi="Arial" w:cs="Arial"/>
        </w:rPr>
      </w:pPr>
      <w:r>
        <w:rPr>
          <w:rFonts w:ascii="Arial" w:hAnsi="Arial" w:cs="Arial"/>
        </w:rPr>
        <w:tab/>
        <w:t>4.11</w:t>
      </w:r>
      <w:r w:rsidR="00B77F42">
        <w:rPr>
          <w:rFonts w:ascii="Arial" w:hAnsi="Arial" w:cs="Arial"/>
        </w:rPr>
        <w:t>.2</w:t>
      </w:r>
      <w:r w:rsidR="00B77F42">
        <w:rPr>
          <w:rFonts w:ascii="Arial" w:hAnsi="Arial" w:cs="Arial"/>
        </w:rPr>
        <w:tab/>
        <w:t xml:space="preserve">no </w:t>
      </w:r>
      <w:r w:rsidR="00F34DD7">
        <w:rPr>
          <w:rFonts w:ascii="Arial" w:hAnsi="Arial" w:cs="Arial"/>
        </w:rPr>
        <w:t>Event</w:t>
      </w:r>
      <w:r w:rsidR="00B77F42">
        <w:rPr>
          <w:rFonts w:ascii="Arial" w:hAnsi="Arial" w:cs="Arial"/>
        </w:rPr>
        <w:t xml:space="preserve"> </w:t>
      </w:r>
      <w:r>
        <w:rPr>
          <w:rFonts w:ascii="Arial" w:hAnsi="Arial" w:cs="Arial"/>
        </w:rPr>
        <w:t xml:space="preserve">Delivery </w:t>
      </w:r>
      <w:r w:rsidR="00B77F42">
        <w:rPr>
          <w:rFonts w:ascii="Arial" w:hAnsi="Arial" w:cs="Arial"/>
        </w:rPr>
        <w:t xml:space="preserve">KPI breaches are recorded within the next monthly payment period where an </w:t>
      </w:r>
      <w:r w:rsidR="00F34DD7">
        <w:rPr>
          <w:rFonts w:ascii="Arial" w:hAnsi="Arial" w:cs="Arial"/>
        </w:rPr>
        <w:t>Event</w:t>
      </w:r>
      <w:r w:rsidR="00B77F42">
        <w:rPr>
          <w:rFonts w:ascii="Arial" w:hAnsi="Arial" w:cs="Arial"/>
        </w:rPr>
        <w:t xml:space="preserve"> occurs,</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t>The Contractor shall be entitled to a payment equivalent to the amount of the Management Fee ded</w:t>
      </w:r>
      <w:r w:rsidR="008215DC">
        <w:rPr>
          <w:rFonts w:ascii="Arial" w:hAnsi="Arial" w:cs="Arial"/>
        </w:rPr>
        <w:t>ucted pursuant to Paragraph 4.9</w:t>
      </w:r>
      <w:r>
        <w:rPr>
          <w:rFonts w:ascii="Arial" w:hAnsi="Arial" w:cs="Arial"/>
        </w:rPr>
        <w:t>.</w:t>
      </w: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p>
    <w:p w:rsidR="00B77F42" w:rsidRDefault="00B77F42" w:rsidP="00B77F42">
      <w:pPr>
        <w:ind w:left="720" w:hanging="720"/>
        <w:jc w:val="both"/>
        <w:rPr>
          <w:rFonts w:ascii="Arial" w:hAnsi="Arial" w:cs="Arial"/>
        </w:rPr>
      </w:pPr>
      <w:r>
        <w:rPr>
          <w:rFonts w:ascii="Arial" w:hAnsi="Arial" w:cs="Arial"/>
        </w:rPr>
        <w:tab/>
      </w:r>
      <w:r>
        <w:rPr>
          <w:rFonts w:ascii="Arial" w:hAnsi="Arial" w:cs="Arial"/>
        </w:rPr>
        <w:tab/>
      </w:r>
    </w:p>
    <w:p w:rsidR="00B77F42" w:rsidRDefault="00B77F42" w:rsidP="00B77F42">
      <w:pPr>
        <w:rPr>
          <w:rFonts w:ascii="Arial" w:hAnsi="Arial" w:cs="Arial"/>
        </w:rPr>
      </w:pPr>
      <w:r>
        <w:rPr>
          <w:rFonts w:ascii="Arial" w:hAnsi="Arial" w:cs="Arial"/>
        </w:rPr>
        <w:br w:type="page"/>
      </w:r>
    </w:p>
    <w:p w:rsidR="00B77F42" w:rsidRDefault="00B77F42" w:rsidP="00B77F42">
      <w:pPr>
        <w:pStyle w:val="Header"/>
        <w:jc w:val="right"/>
        <w:rPr>
          <w:rFonts w:ascii="Arial" w:hAnsi="Arial" w:cs="Arial"/>
          <w:b/>
          <w:u w:val="single"/>
        </w:rPr>
      </w:pPr>
      <w:r>
        <w:rPr>
          <w:rFonts w:ascii="Arial" w:hAnsi="Arial" w:cs="Arial"/>
          <w:b/>
          <w:u w:val="single"/>
        </w:rPr>
        <w:lastRenderedPageBreak/>
        <w:t>APPENDIX 1 TO</w:t>
      </w:r>
    </w:p>
    <w:p w:rsidR="00B77F42" w:rsidRDefault="00B77F42" w:rsidP="00B77F42">
      <w:pPr>
        <w:pStyle w:val="Header"/>
        <w:jc w:val="right"/>
        <w:rPr>
          <w:rFonts w:ascii="Arial" w:hAnsi="Arial" w:cs="Arial"/>
          <w:b/>
          <w:u w:val="single"/>
        </w:rPr>
      </w:pPr>
      <w:r>
        <w:rPr>
          <w:rFonts w:ascii="Arial" w:hAnsi="Arial" w:cs="Arial"/>
          <w:b/>
          <w:u w:val="single"/>
        </w:rPr>
        <w:t>ANNEX B TO</w:t>
      </w:r>
    </w:p>
    <w:p w:rsidR="00B77F42" w:rsidRDefault="00B77F42" w:rsidP="00B77F42">
      <w:pPr>
        <w:pStyle w:val="Header"/>
        <w:jc w:val="right"/>
        <w:rPr>
          <w:rFonts w:ascii="Arial" w:hAnsi="Arial" w:cs="Arial"/>
          <w:b/>
          <w:u w:val="single"/>
        </w:rPr>
      </w:pPr>
      <w:r>
        <w:rPr>
          <w:rFonts w:ascii="Arial" w:hAnsi="Arial" w:cs="Arial"/>
          <w:b/>
          <w:u w:val="single"/>
        </w:rPr>
        <w:t>SCHEDULE 3 TO</w:t>
      </w:r>
    </w:p>
    <w:p w:rsidR="00B77F42" w:rsidRDefault="00B77F42" w:rsidP="00B77F42">
      <w:pPr>
        <w:pStyle w:val="Header"/>
        <w:jc w:val="right"/>
        <w:rPr>
          <w:rFonts w:ascii="Arial" w:hAnsi="Arial" w:cs="Arial"/>
          <w:b/>
          <w:u w:val="single"/>
        </w:rPr>
      </w:pPr>
      <w:r>
        <w:rPr>
          <w:rFonts w:ascii="Arial" w:hAnsi="Arial" w:cs="Arial"/>
          <w:b/>
          <w:u w:val="single"/>
        </w:rPr>
        <w:t>ARMYHQ4/00087</w:t>
      </w:r>
    </w:p>
    <w:p w:rsidR="00B77F42" w:rsidRDefault="00B77F42" w:rsidP="00B77F42">
      <w:pPr>
        <w:ind w:left="720" w:hanging="720"/>
        <w:jc w:val="right"/>
        <w:rPr>
          <w:rFonts w:ascii="Arial" w:hAnsi="Arial" w:cs="Arial"/>
        </w:rPr>
      </w:pPr>
    </w:p>
    <w:p w:rsidR="00B77F42" w:rsidRDefault="00B77F42" w:rsidP="00B77F42">
      <w:pPr>
        <w:rPr>
          <w:rFonts w:ascii="Arial" w:hAnsi="Arial" w:cs="Arial"/>
        </w:rPr>
      </w:pPr>
      <w:r w:rsidRPr="00F40467">
        <w:rPr>
          <w:rFonts w:ascii="Arial" w:hAnsi="Arial" w:cs="Arial"/>
        </w:rPr>
        <w:t>After Action Questionnaire</w:t>
      </w:r>
      <w:r>
        <w:rPr>
          <w:rFonts w:ascii="Arial" w:hAnsi="Arial" w:cs="Arial"/>
        </w:rPr>
        <w:t xml:space="preserve"> (AAQ)</w:t>
      </w:r>
    </w:p>
    <w:p w:rsidR="00B77F42" w:rsidRDefault="00B77F42" w:rsidP="00B77F42">
      <w:pPr>
        <w:rPr>
          <w:rFonts w:ascii="Arial" w:hAnsi="Arial" w:cs="Arial"/>
        </w:rPr>
      </w:pPr>
    </w:p>
    <w:p w:rsidR="00B77F42" w:rsidRDefault="00B77F42" w:rsidP="00B77F42">
      <w:pPr>
        <w:rPr>
          <w:rFonts w:ascii="Arial" w:hAnsi="Arial" w:cs="Arial"/>
        </w:rPr>
      </w:pPr>
      <w:r>
        <w:rPr>
          <w:rFonts w:ascii="Arial" w:hAnsi="Arial" w:cs="Arial"/>
        </w:rPr>
        <w:t xml:space="preserve">1. </w:t>
      </w:r>
      <w:r>
        <w:rPr>
          <w:rFonts w:ascii="Arial" w:hAnsi="Arial" w:cs="Arial"/>
        </w:rPr>
        <w:tab/>
      </w:r>
      <w:r w:rsidRPr="00B2152E">
        <w:rPr>
          <w:rFonts w:ascii="Arial" w:hAnsi="Arial" w:cs="Arial"/>
        </w:rPr>
        <w:t xml:space="preserve">The AAQ </w:t>
      </w:r>
      <w:r>
        <w:rPr>
          <w:rFonts w:ascii="Arial" w:hAnsi="Arial" w:cs="Arial"/>
        </w:rPr>
        <w:t xml:space="preserve">below forms part of the receipt of services provided and as such it is an auditable document and must be completed for every demand placed upon the contractor. </w:t>
      </w:r>
    </w:p>
    <w:p w:rsidR="00B77F42" w:rsidRDefault="00B77F42" w:rsidP="00B77F42">
      <w:pPr>
        <w:rPr>
          <w:rFonts w:ascii="Arial" w:hAnsi="Arial" w:cs="Arial"/>
        </w:rPr>
      </w:pPr>
    </w:p>
    <w:p w:rsidR="00B77F42" w:rsidRDefault="00B77F42" w:rsidP="00B77F42">
      <w:pPr>
        <w:rPr>
          <w:rFonts w:ascii="Arial" w:hAnsi="Arial" w:cs="Arial"/>
        </w:rPr>
      </w:pPr>
    </w:p>
    <w:tbl>
      <w:tblPr>
        <w:tblStyle w:val="TableGrid11"/>
        <w:tblW w:w="9950" w:type="dxa"/>
        <w:jc w:val="center"/>
        <w:tblLook w:val="01E0" w:firstRow="1" w:lastRow="1" w:firstColumn="1" w:lastColumn="1" w:noHBand="0" w:noVBand="0"/>
      </w:tblPr>
      <w:tblGrid>
        <w:gridCol w:w="2016"/>
        <w:gridCol w:w="7934"/>
      </w:tblGrid>
      <w:tr w:rsidR="00B77F42" w:rsidRPr="009B0FBD" w:rsidTr="00BD2F8B">
        <w:trPr>
          <w:jc w:val="center"/>
        </w:trPr>
        <w:tc>
          <w:tcPr>
            <w:tcW w:w="2016" w:type="dxa"/>
          </w:tcPr>
          <w:p w:rsidR="00B77F42" w:rsidRPr="00870181" w:rsidRDefault="00B77F42" w:rsidP="00BD2F8B">
            <w:pPr>
              <w:rPr>
                <w:rFonts w:ascii="Arial" w:hAnsi="Arial" w:cs="Arial"/>
                <w:b/>
                <w:bCs/>
                <w:i/>
                <w:sz w:val="22"/>
                <w:szCs w:val="22"/>
              </w:rPr>
            </w:pPr>
            <w:r w:rsidRPr="009B0FBD">
              <w:rPr>
                <w:rFonts w:ascii="Arial" w:hAnsi="Arial" w:cs="Arial"/>
                <w:b/>
                <w:bCs/>
                <w:sz w:val="22"/>
                <w:szCs w:val="22"/>
              </w:rPr>
              <w:t>EVENT NAME</w:t>
            </w:r>
            <w:r>
              <w:rPr>
                <w:rFonts w:ascii="Arial" w:hAnsi="Arial" w:cs="Arial"/>
                <w:b/>
                <w:bCs/>
                <w:sz w:val="22"/>
                <w:szCs w:val="22"/>
              </w:rPr>
              <w:t xml:space="preserve"> </w:t>
            </w:r>
            <w:r>
              <w:rPr>
                <w:rFonts w:ascii="Arial" w:hAnsi="Arial" w:cs="Arial"/>
                <w:b/>
                <w:bCs/>
                <w:i/>
                <w:sz w:val="22"/>
                <w:szCs w:val="22"/>
              </w:rPr>
              <w:t>(Incl Demand Reference)</w:t>
            </w:r>
          </w:p>
        </w:tc>
        <w:tc>
          <w:tcPr>
            <w:tcW w:w="7934" w:type="dxa"/>
          </w:tcPr>
          <w:p w:rsidR="00B77F42" w:rsidRPr="009B0FBD" w:rsidRDefault="00B77F42" w:rsidP="00BD2F8B">
            <w:pPr>
              <w:rPr>
                <w:rFonts w:ascii="Arial" w:hAnsi="Arial" w:cs="Arial"/>
                <w:sz w:val="22"/>
                <w:szCs w:val="22"/>
              </w:rPr>
            </w:pPr>
          </w:p>
        </w:tc>
      </w:tr>
      <w:tr w:rsidR="00B77F42" w:rsidRPr="009B0FBD" w:rsidTr="00BD2F8B">
        <w:trPr>
          <w:jc w:val="center"/>
        </w:trPr>
        <w:tc>
          <w:tcPr>
            <w:tcW w:w="2016" w:type="dxa"/>
          </w:tcPr>
          <w:p w:rsidR="00B77F42" w:rsidRPr="009B0FBD" w:rsidRDefault="00B77F42" w:rsidP="00BD2F8B">
            <w:pPr>
              <w:rPr>
                <w:rFonts w:ascii="Arial" w:hAnsi="Arial" w:cs="Arial"/>
                <w:b/>
                <w:bCs/>
                <w:sz w:val="22"/>
                <w:szCs w:val="22"/>
              </w:rPr>
            </w:pPr>
            <w:r w:rsidRPr="009B0FBD">
              <w:rPr>
                <w:rFonts w:ascii="Arial" w:hAnsi="Arial" w:cs="Arial"/>
                <w:b/>
                <w:bCs/>
                <w:sz w:val="22"/>
                <w:szCs w:val="22"/>
              </w:rPr>
              <w:t>EVENT DATES</w:t>
            </w:r>
          </w:p>
        </w:tc>
        <w:tc>
          <w:tcPr>
            <w:tcW w:w="7934" w:type="dxa"/>
          </w:tcPr>
          <w:p w:rsidR="00B77F42" w:rsidRPr="009B0FBD" w:rsidRDefault="00B77F42" w:rsidP="00BD2F8B">
            <w:pPr>
              <w:rPr>
                <w:rFonts w:ascii="Arial" w:hAnsi="Arial" w:cs="Arial"/>
                <w:sz w:val="22"/>
                <w:szCs w:val="22"/>
              </w:rPr>
            </w:pPr>
          </w:p>
        </w:tc>
      </w:tr>
    </w:tbl>
    <w:tbl>
      <w:tblPr>
        <w:tblStyle w:val="TableGrid1"/>
        <w:tblW w:w="9889" w:type="dxa"/>
        <w:jc w:val="center"/>
        <w:tblLook w:val="04A0" w:firstRow="1" w:lastRow="0" w:firstColumn="1" w:lastColumn="0" w:noHBand="0" w:noVBand="1"/>
      </w:tblPr>
      <w:tblGrid>
        <w:gridCol w:w="4219"/>
        <w:gridCol w:w="2126"/>
        <w:gridCol w:w="3544"/>
      </w:tblGrid>
      <w:tr w:rsidR="00B77F42" w:rsidRPr="009B0FBD" w:rsidTr="00BD2F8B">
        <w:trPr>
          <w:jc w:val="center"/>
        </w:trPr>
        <w:tc>
          <w:tcPr>
            <w:tcW w:w="4219" w:type="dxa"/>
          </w:tcPr>
          <w:p w:rsidR="00B77F42" w:rsidRPr="009B0FBD" w:rsidRDefault="00B77F42" w:rsidP="00BD2F8B">
            <w:pPr>
              <w:rPr>
                <w:rFonts w:ascii="Arial" w:hAnsi="Arial" w:cs="Arial"/>
              </w:rPr>
            </w:pPr>
            <w:r>
              <w:rPr>
                <w:rFonts w:ascii="Arial" w:hAnsi="Arial" w:cs="Arial"/>
              </w:rPr>
              <w:t>Question</w:t>
            </w:r>
          </w:p>
        </w:tc>
        <w:tc>
          <w:tcPr>
            <w:tcW w:w="2126" w:type="dxa"/>
          </w:tcPr>
          <w:p w:rsidR="00B77F42" w:rsidRPr="009B0FBD" w:rsidRDefault="00B77F42" w:rsidP="00BD2F8B">
            <w:pPr>
              <w:rPr>
                <w:rFonts w:ascii="Arial" w:hAnsi="Arial" w:cs="Arial"/>
              </w:rPr>
            </w:pPr>
            <w:r>
              <w:rPr>
                <w:rFonts w:ascii="Arial" w:hAnsi="Arial" w:cs="Arial"/>
              </w:rPr>
              <w:t>Score Yes/No/N/A</w:t>
            </w:r>
          </w:p>
        </w:tc>
        <w:tc>
          <w:tcPr>
            <w:tcW w:w="3544" w:type="dxa"/>
          </w:tcPr>
          <w:p w:rsidR="00B77F42" w:rsidRPr="009B0FBD" w:rsidRDefault="00B77F42" w:rsidP="00BD2F8B">
            <w:pPr>
              <w:rPr>
                <w:rFonts w:ascii="Arial" w:hAnsi="Arial" w:cs="Arial"/>
              </w:rPr>
            </w:pPr>
            <w:r>
              <w:rPr>
                <w:rFonts w:ascii="Arial" w:hAnsi="Arial" w:cs="Arial"/>
              </w:rPr>
              <w:t>Comments</w:t>
            </w: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Were the</w:t>
            </w:r>
            <w:r w:rsidRPr="009B0FBD">
              <w:rPr>
                <w:rFonts w:ascii="Arial" w:hAnsi="Arial" w:cs="Arial"/>
                <w:sz w:val="20"/>
                <w:szCs w:val="20"/>
              </w:rPr>
              <w:t xml:space="preserve"> role players competent in their cultural understanding, social and political awareness, quality of role play, dressed in accordance with role play scenarios and authe</w:t>
            </w:r>
            <w:r>
              <w:rPr>
                <w:rFonts w:ascii="Arial" w:hAnsi="Arial" w:cs="Arial"/>
                <w:sz w:val="20"/>
                <w:szCs w:val="20"/>
              </w:rPr>
              <w:t>ntic/credible in their Role Player (RP)</w:t>
            </w:r>
            <w:r w:rsidRPr="009B0FBD">
              <w:rPr>
                <w:rFonts w:ascii="Arial" w:hAnsi="Arial" w:cs="Arial"/>
                <w:sz w:val="20"/>
                <w:szCs w:val="20"/>
              </w:rPr>
              <w:t>?</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Were the</w:t>
            </w:r>
            <w:r>
              <w:rPr>
                <w:rFonts w:ascii="Arial" w:hAnsi="Arial" w:cs="Arial"/>
                <w:b/>
                <w:sz w:val="20"/>
                <w:szCs w:val="20"/>
              </w:rPr>
              <w:t xml:space="preserve"> critical</w:t>
            </w:r>
            <w:r w:rsidRPr="009B0FBD">
              <w:rPr>
                <w:rFonts w:ascii="Arial" w:hAnsi="Arial" w:cs="Arial"/>
                <w:sz w:val="20"/>
                <w:szCs w:val="20"/>
              </w:rPr>
              <w:t xml:space="preserve"> role players competent in their understanding of role, understanding of military planning, cultural understanding, social and political awareness, quality of role play and authenticity?</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Were</w:t>
            </w:r>
            <w:r w:rsidRPr="009B0FBD">
              <w:rPr>
                <w:rFonts w:ascii="Arial" w:hAnsi="Arial" w:cs="Arial"/>
                <w:sz w:val="20"/>
                <w:szCs w:val="20"/>
              </w:rPr>
              <w:t xml:space="preserve"> the RP competent in their depth of language knowledge and did they provide realism to the </w:t>
            </w:r>
            <w:r w:rsidR="00F34DD7">
              <w:rPr>
                <w:rFonts w:ascii="Arial" w:hAnsi="Arial" w:cs="Arial"/>
                <w:sz w:val="20"/>
                <w:szCs w:val="20"/>
              </w:rPr>
              <w:t>Event</w:t>
            </w:r>
            <w:r w:rsidRPr="009B0FBD">
              <w:rPr>
                <w:rFonts w:ascii="Arial" w:hAnsi="Arial" w:cs="Arial"/>
                <w:sz w:val="20"/>
                <w:szCs w:val="20"/>
              </w:rPr>
              <w:t xml:space="preserve"> by adding complexity to the Training Audience’s interactions?</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Were</w:t>
            </w:r>
            <w:r w:rsidRPr="009B0FBD">
              <w:rPr>
                <w:rFonts w:ascii="Arial" w:hAnsi="Arial" w:cs="Arial"/>
                <w:sz w:val="20"/>
                <w:szCs w:val="20"/>
              </w:rPr>
              <w:t xml:space="preserve"> all demonstrations</w:t>
            </w:r>
            <w:r>
              <w:rPr>
                <w:rFonts w:ascii="Arial" w:hAnsi="Arial" w:cs="Arial"/>
                <w:sz w:val="20"/>
                <w:szCs w:val="20"/>
              </w:rPr>
              <w:t xml:space="preserve"> and all </w:t>
            </w:r>
            <w:r w:rsidR="00F34DD7">
              <w:rPr>
                <w:rFonts w:ascii="Arial" w:hAnsi="Arial" w:cs="Arial"/>
                <w:sz w:val="20"/>
                <w:szCs w:val="20"/>
              </w:rPr>
              <w:t>Event</w:t>
            </w:r>
            <w:r>
              <w:rPr>
                <w:rFonts w:ascii="Arial" w:hAnsi="Arial" w:cs="Arial"/>
                <w:sz w:val="20"/>
                <w:szCs w:val="20"/>
              </w:rPr>
              <w:t xml:space="preserve"> serials</w:t>
            </w:r>
            <w:r w:rsidRPr="009B0FBD">
              <w:rPr>
                <w:rFonts w:ascii="Arial" w:hAnsi="Arial" w:cs="Arial"/>
                <w:sz w:val="20"/>
                <w:szCs w:val="20"/>
              </w:rPr>
              <w:t xml:space="preserve"> executed in accordance </w:t>
            </w:r>
            <w:r>
              <w:rPr>
                <w:rFonts w:ascii="Arial" w:hAnsi="Arial" w:cs="Arial"/>
                <w:sz w:val="20"/>
                <w:szCs w:val="20"/>
              </w:rPr>
              <w:t>with agreed briefings and plans</w:t>
            </w:r>
            <w:r w:rsidRPr="009B0FBD">
              <w:rPr>
                <w:rFonts w:ascii="Arial" w:hAnsi="Arial" w:cs="Arial"/>
                <w:sz w:val="20"/>
                <w:szCs w:val="20"/>
              </w:rPr>
              <w:t>?</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Did</w:t>
            </w:r>
            <w:r w:rsidRPr="009B0FBD">
              <w:rPr>
                <w:rFonts w:ascii="Arial" w:hAnsi="Arial" w:cs="Arial"/>
                <w:sz w:val="20"/>
                <w:szCs w:val="20"/>
              </w:rPr>
              <w:t xml:space="preserve"> the role players remain engaged, flexible and proactive throughout the </w:t>
            </w:r>
            <w:r w:rsidR="00F34DD7">
              <w:rPr>
                <w:rFonts w:ascii="Arial" w:hAnsi="Arial" w:cs="Arial"/>
                <w:sz w:val="20"/>
                <w:szCs w:val="20"/>
              </w:rPr>
              <w:t>Event</w:t>
            </w:r>
            <w:r w:rsidRPr="009B0FBD">
              <w:rPr>
                <w:rFonts w:ascii="Arial" w:hAnsi="Arial" w:cs="Arial"/>
                <w:sz w:val="20"/>
                <w:szCs w:val="20"/>
              </w:rPr>
              <w:t>, making suggestions where appropriate to improve the experience for the Trg Audience?</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Were</w:t>
            </w:r>
            <w:r w:rsidRPr="009B0FBD">
              <w:rPr>
                <w:rFonts w:ascii="Arial" w:hAnsi="Arial" w:cs="Arial"/>
                <w:sz w:val="20"/>
                <w:szCs w:val="20"/>
              </w:rPr>
              <w:t xml:space="preserve"> sufficient team leaders</w:t>
            </w:r>
            <w:r>
              <w:rPr>
                <w:rFonts w:ascii="Arial" w:hAnsi="Arial" w:cs="Arial"/>
                <w:sz w:val="20"/>
                <w:szCs w:val="20"/>
              </w:rPr>
              <w:t xml:space="preserve"> deployed in a recognis</w:t>
            </w:r>
            <w:r w:rsidRPr="009B0FBD">
              <w:rPr>
                <w:rFonts w:ascii="Arial" w:hAnsi="Arial" w:cs="Arial"/>
                <w:sz w:val="20"/>
                <w:szCs w:val="20"/>
              </w:rPr>
              <w:t>able and specific C2 Structure to manage the required effect?</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 xml:space="preserve">Did the DEMFOR properly represent </w:t>
            </w:r>
            <w:r w:rsidRPr="009B0FBD">
              <w:rPr>
                <w:rFonts w:ascii="Arial" w:hAnsi="Arial" w:cs="Arial"/>
                <w:sz w:val="20"/>
                <w:szCs w:val="20"/>
              </w:rPr>
              <w:t>British Military TTPs, values and standards when de</w:t>
            </w:r>
            <w:r>
              <w:rPr>
                <w:rFonts w:ascii="Arial" w:hAnsi="Arial" w:cs="Arial"/>
                <w:sz w:val="20"/>
                <w:szCs w:val="20"/>
              </w:rPr>
              <w:t>monstrating tactical procedures?</w:t>
            </w: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Did all the CASSIM role players injuries look realistic and were the actors engaging and believable in their performances as casualties?</w:t>
            </w:r>
          </w:p>
          <w:p w:rsidR="00B77F42" w:rsidRDefault="00B77F42" w:rsidP="00BD2F8B">
            <w:pPr>
              <w:rPr>
                <w:rFonts w:ascii="Arial" w:hAnsi="Arial" w:cs="Arial"/>
              </w:rPr>
            </w:pPr>
          </w:p>
          <w:p w:rsidR="00B77F42" w:rsidRPr="00896EC5"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Pr="00D90942" w:rsidRDefault="00B77F42" w:rsidP="00BD2F8B">
            <w:pPr>
              <w:rPr>
                <w:rFonts w:ascii="Arial" w:hAnsi="Arial" w:cs="Arial"/>
                <w:color w:val="FF0000"/>
                <w:sz w:val="20"/>
                <w:szCs w:val="20"/>
              </w:rPr>
            </w:pPr>
            <w:r w:rsidRPr="009B0FBD">
              <w:rPr>
                <w:rFonts w:ascii="Arial" w:hAnsi="Arial" w:cs="Arial"/>
                <w:sz w:val="20"/>
                <w:szCs w:val="20"/>
              </w:rPr>
              <w:t xml:space="preserve">Did the correct number of identified critical </w:t>
            </w:r>
            <w:r w:rsidRPr="009B0FBD">
              <w:rPr>
                <w:rFonts w:ascii="Arial" w:hAnsi="Arial" w:cs="Arial"/>
                <w:sz w:val="20"/>
                <w:szCs w:val="20"/>
              </w:rPr>
              <w:lastRenderedPageBreak/>
              <w:t xml:space="preserve">role players arrive at the right place, at the right time ready for briefing and remain available throughout the </w:t>
            </w:r>
            <w:r w:rsidR="00F34DD7">
              <w:rPr>
                <w:rFonts w:ascii="Arial" w:hAnsi="Arial" w:cs="Arial"/>
                <w:sz w:val="20"/>
                <w:szCs w:val="20"/>
              </w:rPr>
              <w:t>Event</w:t>
            </w:r>
            <w:r>
              <w:rPr>
                <w:rFonts w:ascii="Arial" w:hAnsi="Arial" w:cs="Arial"/>
                <w:sz w:val="20"/>
                <w:szCs w:val="20"/>
              </w:rPr>
              <w:t xml:space="preserve"> as stated within the Demand Order Form.</w:t>
            </w:r>
          </w:p>
          <w:p w:rsidR="00B77F42" w:rsidRPr="00870181" w:rsidRDefault="00B77F42" w:rsidP="00BD2F8B">
            <w:pPr>
              <w:rPr>
                <w:rFonts w:ascii="Arial" w:hAnsi="Arial" w:cs="Arial"/>
                <w:sz w:val="20"/>
                <w:szCs w:val="20"/>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sidRPr="009B0FBD">
              <w:rPr>
                <w:rFonts w:ascii="Arial" w:hAnsi="Arial" w:cs="Arial"/>
                <w:sz w:val="20"/>
                <w:szCs w:val="20"/>
              </w:rPr>
              <w:lastRenderedPageBreak/>
              <w:t xml:space="preserve">Did the role players who were required to have a specific skill; (Wpn handling, Driving licenses, TTP awareness, etc) have the necessary certification, competence, experience and currency? </w:t>
            </w:r>
          </w:p>
          <w:p w:rsidR="00B77F42" w:rsidRPr="001C1CBA" w:rsidRDefault="00B77F42" w:rsidP="00BD2F8B">
            <w:pPr>
              <w:rPr>
                <w:rFonts w:ascii="Arial" w:hAnsi="Arial" w:cs="Arial"/>
                <w:sz w:val="20"/>
                <w:szCs w:val="20"/>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Pr="00D90942" w:rsidRDefault="00B77F42" w:rsidP="00BD2F8B">
            <w:pPr>
              <w:rPr>
                <w:rFonts w:ascii="Arial" w:hAnsi="Arial" w:cs="Arial"/>
                <w:color w:val="FF0000"/>
                <w:sz w:val="20"/>
                <w:szCs w:val="20"/>
              </w:rPr>
            </w:pPr>
            <w:r w:rsidRPr="009B0FBD">
              <w:rPr>
                <w:rFonts w:ascii="Arial" w:hAnsi="Arial" w:cs="Arial"/>
                <w:sz w:val="20"/>
                <w:szCs w:val="20"/>
              </w:rPr>
              <w:t>Did the correct number of role players arrive at the right place, at the right time ready for briefing and remain available</w:t>
            </w:r>
            <w:r>
              <w:rPr>
                <w:rFonts w:ascii="Arial" w:hAnsi="Arial" w:cs="Arial"/>
                <w:sz w:val="20"/>
                <w:szCs w:val="20"/>
              </w:rPr>
              <w:t xml:space="preserve"> throughout the </w:t>
            </w:r>
            <w:r w:rsidR="00F34DD7">
              <w:rPr>
                <w:rFonts w:ascii="Arial" w:hAnsi="Arial" w:cs="Arial"/>
                <w:sz w:val="20"/>
                <w:szCs w:val="20"/>
              </w:rPr>
              <w:t>Event</w:t>
            </w:r>
            <w:r>
              <w:rPr>
                <w:rFonts w:ascii="Arial" w:hAnsi="Arial" w:cs="Arial"/>
                <w:sz w:val="20"/>
                <w:szCs w:val="20"/>
              </w:rPr>
              <w:t xml:space="preserve"> as stated within the Demand Order Form.</w:t>
            </w:r>
          </w:p>
          <w:p w:rsidR="00B77F42" w:rsidRPr="001C1CBA" w:rsidRDefault="00B77F42" w:rsidP="00BD2F8B">
            <w:pPr>
              <w:rPr>
                <w:rFonts w:ascii="Arial" w:hAnsi="Arial" w:cs="Arial"/>
                <w:sz w:val="20"/>
                <w:szCs w:val="20"/>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4219" w:type="dxa"/>
          </w:tcPr>
          <w:p w:rsidR="00B77F42" w:rsidRDefault="00B77F42" w:rsidP="00BD2F8B">
            <w:pPr>
              <w:rPr>
                <w:rFonts w:ascii="Arial" w:hAnsi="Arial" w:cs="Arial"/>
                <w:sz w:val="20"/>
                <w:szCs w:val="20"/>
              </w:rPr>
            </w:pPr>
            <w:r>
              <w:rPr>
                <w:rFonts w:ascii="Arial" w:hAnsi="Arial" w:cs="Arial"/>
                <w:sz w:val="20"/>
                <w:szCs w:val="20"/>
              </w:rPr>
              <w:t>Any additional comments</w:t>
            </w:r>
          </w:p>
          <w:p w:rsidR="00B77F42" w:rsidRDefault="00B77F42" w:rsidP="00BD2F8B">
            <w:pPr>
              <w:rPr>
                <w:rFonts w:ascii="Arial" w:hAnsi="Arial" w:cs="Arial"/>
                <w:sz w:val="20"/>
                <w:szCs w:val="20"/>
              </w:rPr>
            </w:pPr>
          </w:p>
          <w:p w:rsidR="00B77F42" w:rsidRDefault="00B77F42" w:rsidP="00BD2F8B">
            <w:pPr>
              <w:rPr>
                <w:rFonts w:ascii="Arial" w:hAnsi="Arial" w:cs="Arial"/>
                <w:sz w:val="20"/>
                <w:szCs w:val="20"/>
              </w:rPr>
            </w:pPr>
          </w:p>
          <w:p w:rsidR="00B77F42" w:rsidRPr="009B0FBD" w:rsidRDefault="00B77F42" w:rsidP="00BD2F8B">
            <w:pPr>
              <w:rPr>
                <w:rFonts w:ascii="Arial" w:hAnsi="Arial" w:cs="Arial"/>
              </w:rPr>
            </w:pPr>
          </w:p>
        </w:tc>
        <w:tc>
          <w:tcPr>
            <w:tcW w:w="2126" w:type="dxa"/>
          </w:tcPr>
          <w:p w:rsidR="00B77F42" w:rsidRPr="009B0FBD" w:rsidRDefault="00B77F42" w:rsidP="00BD2F8B">
            <w:pPr>
              <w:rPr>
                <w:rFonts w:ascii="Arial" w:hAnsi="Arial" w:cs="Arial"/>
              </w:rPr>
            </w:pPr>
          </w:p>
        </w:tc>
        <w:tc>
          <w:tcPr>
            <w:tcW w:w="3544" w:type="dxa"/>
          </w:tcPr>
          <w:p w:rsidR="00B77F42" w:rsidRPr="009B0FBD" w:rsidRDefault="00B77F42" w:rsidP="00BD2F8B">
            <w:pPr>
              <w:rPr>
                <w:rFonts w:ascii="Arial" w:hAnsi="Arial" w:cs="Arial"/>
              </w:rPr>
            </w:pPr>
          </w:p>
        </w:tc>
      </w:tr>
      <w:tr w:rsidR="00B77F42" w:rsidRPr="009B0FBD" w:rsidTr="00BD2F8B">
        <w:trPr>
          <w:jc w:val="center"/>
        </w:trPr>
        <w:tc>
          <w:tcPr>
            <w:tcW w:w="9889" w:type="dxa"/>
            <w:gridSpan w:val="3"/>
            <w:shd w:val="clear" w:color="auto" w:fill="A6A6A6" w:themeFill="background1" w:themeFillShade="A6"/>
            <w:vAlign w:val="center"/>
          </w:tcPr>
          <w:p w:rsidR="00B77F42" w:rsidRPr="009B0FBD" w:rsidRDefault="00B77F42" w:rsidP="00BD2F8B">
            <w:pPr>
              <w:rPr>
                <w:rFonts w:ascii="Arial" w:hAnsi="Arial" w:cs="Arial"/>
              </w:rPr>
            </w:pPr>
            <w:r w:rsidRPr="009B0FBD">
              <w:rPr>
                <w:rFonts w:ascii="Arial" w:hAnsi="Arial" w:cs="Arial"/>
              </w:rPr>
              <w:t>What aspects of the contractor’s performance overall (if any) were particularly good?</w:t>
            </w:r>
          </w:p>
        </w:tc>
      </w:tr>
      <w:tr w:rsidR="00B77F42" w:rsidRPr="009B0FBD" w:rsidTr="00BD2F8B">
        <w:trPr>
          <w:jc w:val="center"/>
        </w:trPr>
        <w:tc>
          <w:tcPr>
            <w:tcW w:w="9889" w:type="dxa"/>
            <w:gridSpan w:val="3"/>
            <w:vAlign w:val="center"/>
          </w:tcPr>
          <w:p w:rsidR="00B77F42" w:rsidRDefault="00B77F42" w:rsidP="00BD2F8B">
            <w:pPr>
              <w:rPr>
                <w:rFonts w:ascii="Arial" w:hAnsi="Arial" w:cs="Arial"/>
                <w:i/>
              </w:rPr>
            </w:pPr>
          </w:p>
          <w:p w:rsidR="00B77F42" w:rsidRDefault="00B77F42" w:rsidP="00BD2F8B">
            <w:pPr>
              <w:rPr>
                <w:rFonts w:ascii="Arial" w:hAnsi="Arial" w:cs="Arial"/>
                <w:i/>
              </w:rPr>
            </w:pPr>
          </w:p>
          <w:p w:rsidR="00B77F42" w:rsidRPr="00E57D80" w:rsidRDefault="00B77F42" w:rsidP="00BD2F8B">
            <w:pPr>
              <w:rPr>
                <w:rFonts w:ascii="Arial" w:hAnsi="Arial" w:cs="Arial"/>
                <w:i/>
              </w:rPr>
            </w:pPr>
          </w:p>
        </w:tc>
      </w:tr>
      <w:tr w:rsidR="00B77F42" w:rsidRPr="009B0FBD" w:rsidTr="00BD2F8B">
        <w:trPr>
          <w:jc w:val="center"/>
        </w:trPr>
        <w:tc>
          <w:tcPr>
            <w:tcW w:w="9889" w:type="dxa"/>
            <w:gridSpan w:val="3"/>
            <w:shd w:val="clear" w:color="auto" w:fill="A6A6A6" w:themeFill="background1" w:themeFillShade="A6"/>
            <w:vAlign w:val="center"/>
          </w:tcPr>
          <w:p w:rsidR="00B77F42" w:rsidRPr="007F37BD" w:rsidRDefault="00B77F42" w:rsidP="00BD2F8B">
            <w:pPr>
              <w:rPr>
                <w:rFonts w:ascii="Arial" w:hAnsi="Arial" w:cs="Arial"/>
                <w:i/>
              </w:rPr>
            </w:pPr>
            <w:r w:rsidRPr="009B0FBD">
              <w:rPr>
                <w:rFonts w:ascii="Arial" w:hAnsi="Arial" w:cs="Arial"/>
              </w:rPr>
              <w:t>What aspects of the contractor’s performance overall (if any) were particularly disappointing?</w:t>
            </w:r>
            <w:r>
              <w:rPr>
                <w:rFonts w:ascii="Arial" w:hAnsi="Arial" w:cs="Arial"/>
              </w:rPr>
              <w:t xml:space="preserve"> </w:t>
            </w:r>
            <w:r>
              <w:rPr>
                <w:rFonts w:ascii="Arial" w:hAnsi="Arial" w:cs="Arial"/>
                <w:i/>
              </w:rPr>
              <w:t>(Comment on any areas not covered in the preceding questions or expand on comments.)</w:t>
            </w:r>
          </w:p>
        </w:tc>
      </w:tr>
      <w:tr w:rsidR="00B77F42" w:rsidRPr="009B0FBD" w:rsidTr="00BD2F8B">
        <w:trPr>
          <w:jc w:val="center"/>
        </w:trPr>
        <w:tc>
          <w:tcPr>
            <w:tcW w:w="9889" w:type="dxa"/>
            <w:gridSpan w:val="3"/>
            <w:vAlign w:val="center"/>
          </w:tcPr>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Pr="009B0FBD" w:rsidRDefault="00B77F42" w:rsidP="00BD2F8B">
            <w:pPr>
              <w:jc w:val="center"/>
              <w:rPr>
                <w:rFonts w:ascii="Arial" w:hAnsi="Arial" w:cs="Arial"/>
              </w:rPr>
            </w:pPr>
          </w:p>
        </w:tc>
      </w:tr>
      <w:tr w:rsidR="00B77F42" w:rsidRPr="009B0FBD" w:rsidTr="00BD2F8B">
        <w:trPr>
          <w:jc w:val="center"/>
        </w:trPr>
        <w:tc>
          <w:tcPr>
            <w:tcW w:w="9889" w:type="dxa"/>
            <w:gridSpan w:val="3"/>
            <w:shd w:val="clear" w:color="auto" w:fill="A6A6A6" w:themeFill="background1" w:themeFillShade="A6"/>
            <w:vAlign w:val="center"/>
          </w:tcPr>
          <w:p w:rsidR="00B77F42" w:rsidRPr="009B0FBD" w:rsidRDefault="00B77F42" w:rsidP="00BD2F8B">
            <w:pPr>
              <w:rPr>
                <w:rFonts w:ascii="Arial" w:hAnsi="Arial" w:cs="Arial"/>
              </w:rPr>
            </w:pPr>
            <w:r w:rsidRPr="009B0FBD">
              <w:rPr>
                <w:rFonts w:ascii="Arial" w:hAnsi="Arial" w:cs="Arial"/>
              </w:rPr>
              <w:t xml:space="preserve">Please provide names of any individuals who you would like to see again on similar scenario </w:t>
            </w:r>
            <w:r w:rsidR="00F34DD7">
              <w:rPr>
                <w:rFonts w:ascii="Arial" w:hAnsi="Arial" w:cs="Arial"/>
              </w:rPr>
              <w:t>Event</w:t>
            </w:r>
            <w:r w:rsidRPr="009B0FBD">
              <w:rPr>
                <w:rFonts w:ascii="Arial" w:hAnsi="Arial" w:cs="Arial"/>
              </w:rPr>
              <w:t>s</w:t>
            </w:r>
          </w:p>
        </w:tc>
      </w:tr>
      <w:tr w:rsidR="00B77F42" w:rsidRPr="009B0FBD" w:rsidTr="00BD2F8B">
        <w:trPr>
          <w:jc w:val="center"/>
        </w:trPr>
        <w:tc>
          <w:tcPr>
            <w:tcW w:w="9889" w:type="dxa"/>
            <w:gridSpan w:val="3"/>
            <w:vAlign w:val="center"/>
          </w:tcPr>
          <w:p w:rsidR="00B77F42" w:rsidRDefault="00B77F42" w:rsidP="00BD2F8B">
            <w:pPr>
              <w:jc w:val="center"/>
              <w:rPr>
                <w:rFonts w:ascii="Arial" w:hAnsi="Arial" w:cs="Arial"/>
                <w:i/>
              </w:rPr>
            </w:pPr>
          </w:p>
          <w:p w:rsidR="00B77F42" w:rsidRPr="009B0FBD" w:rsidRDefault="00B77F42" w:rsidP="00BD2F8B">
            <w:pPr>
              <w:jc w:val="center"/>
              <w:rPr>
                <w:rFonts w:ascii="Arial" w:hAnsi="Arial" w:cs="Arial"/>
              </w:rPr>
            </w:pPr>
          </w:p>
        </w:tc>
      </w:tr>
      <w:tr w:rsidR="00B77F42" w:rsidRPr="009B0FBD" w:rsidTr="00BD2F8B">
        <w:trPr>
          <w:jc w:val="center"/>
        </w:trPr>
        <w:tc>
          <w:tcPr>
            <w:tcW w:w="9889" w:type="dxa"/>
            <w:gridSpan w:val="3"/>
            <w:shd w:val="clear" w:color="auto" w:fill="A6A6A6" w:themeFill="background1" w:themeFillShade="A6"/>
            <w:vAlign w:val="center"/>
          </w:tcPr>
          <w:p w:rsidR="00B77F42" w:rsidRPr="009B0FBD" w:rsidRDefault="00B77F42" w:rsidP="00BD2F8B">
            <w:pPr>
              <w:rPr>
                <w:rFonts w:ascii="Arial" w:hAnsi="Arial" w:cs="Arial"/>
              </w:rPr>
            </w:pPr>
            <w:r>
              <w:rPr>
                <w:rFonts w:ascii="Arial" w:hAnsi="Arial" w:cs="Arial"/>
              </w:rPr>
              <w:t>How can the contracted service be improved</w:t>
            </w:r>
            <w:r w:rsidRPr="009B0FBD">
              <w:rPr>
                <w:rFonts w:ascii="Arial" w:hAnsi="Arial" w:cs="Arial"/>
              </w:rPr>
              <w:t>?</w:t>
            </w:r>
          </w:p>
        </w:tc>
      </w:tr>
      <w:tr w:rsidR="00B77F42" w:rsidRPr="009B0FBD" w:rsidTr="00BD2F8B">
        <w:trPr>
          <w:jc w:val="center"/>
        </w:trPr>
        <w:tc>
          <w:tcPr>
            <w:tcW w:w="9889" w:type="dxa"/>
            <w:gridSpan w:val="3"/>
            <w:vAlign w:val="center"/>
          </w:tcPr>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Pr="009B0FBD" w:rsidRDefault="00B77F42" w:rsidP="00BD2F8B">
            <w:pPr>
              <w:jc w:val="center"/>
              <w:rPr>
                <w:rFonts w:ascii="Arial" w:hAnsi="Arial" w:cs="Arial"/>
              </w:rPr>
            </w:pPr>
          </w:p>
        </w:tc>
      </w:tr>
      <w:tr w:rsidR="00B77F42" w:rsidRPr="009B0FBD" w:rsidTr="00BD2F8B">
        <w:trPr>
          <w:jc w:val="center"/>
        </w:trPr>
        <w:tc>
          <w:tcPr>
            <w:tcW w:w="9889" w:type="dxa"/>
            <w:gridSpan w:val="3"/>
            <w:shd w:val="clear" w:color="auto" w:fill="A6A6A6" w:themeFill="background1" w:themeFillShade="A6"/>
            <w:vAlign w:val="center"/>
          </w:tcPr>
          <w:p w:rsidR="00B77F42" w:rsidRDefault="00B77F42" w:rsidP="00BD2F8B">
            <w:pPr>
              <w:rPr>
                <w:rFonts w:ascii="Arial" w:hAnsi="Arial" w:cs="Arial"/>
                <w:i/>
              </w:rPr>
            </w:pPr>
            <w:r>
              <w:rPr>
                <w:rFonts w:ascii="Arial" w:hAnsi="Arial" w:cs="Arial"/>
              </w:rPr>
              <w:t>Contractor’s comments and or mitigations</w:t>
            </w:r>
          </w:p>
        </w:tc>
      </w:tr>
      <w:tr w:rsidR="00B77F42" w:rsidRPr="009B0FBD" w:rsidTr="00BD2F8B">
        <w:trPr>
          <w:jc w:val="center"/>
        </w:trPr>
        <w:tc>
          <w:tcPr>
            <w:tcW w:w="9889" w:type="dxa"/>
            <w:gridSpan w:val="3"/>
            <w:vAlign w:val="center"/>
          </w:tcPr>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Default="00B77F42" w:rsidP="00BD2F8B">
            <w:pPr>
              <w:jc w:val="center"/>
              <w:rPr>
                <w:rFonts w:ascii="Arial" w:hAnsi="Arial" w:cs="Arial"/>
                <w:i/>
              </w:rPr>
            </w:pPr>
          </w:p>
          <w:p w:rsidR="00B77F42" w:rsidRDefault="00B77F42" w:rsidP="00BD2F8B">
            <w:pPr>
              <w:jc w:val="center"/>
              <w:rPr>
                <w:rFonts w:ascii="Arial" w:hAnsi="Arial" w:cs="Arial"/>
                <w:i/>
              </w:rPr>
            </w:pPr>
          </w:p>
        </w:tc>
      </w:tr>
    </w:tbl>
    <w:tbl>
      <w:tblPr>
        <w:tblStyle w:val="TableGrid11"/>
        <w:tblW w:w="9914" w:type="dxa"/>
        <w:jc w:val="center"/>
        <w:tblLook w:val="01E0" w:firstRow="1" w:lastRow="1" w:firstColumn="1" w:lastColumn="1" w:noHBand="0" w:noVBand="0"/>
      </w:tblPr>
      <w:tblGrid>
        <w:gridCol w:w="3096"/>
        <w:gridCol w:w="1830"/>
        <w:gridCol w:w="3728"/>
        <w:gridCol w:w="1260"/>
      </w:tblGrid>
      <w:tr w:rsidR="00B77F42" w:rsidRPr="009B0FBD" w:rsidTr="00BD2F8B">
        <w:trPr>
          <w:jc w:val="center"/>
        </w:trPr>
        <w:tc>
          <w:tcPr>
            <w:tcW w:w="3096" w:type="dxa"/>
            <w:vMerge w:val="restart"/>
            <w:tcBorders>
              <w:top w:val="single" w:sz="4" w:space="0" w:color="auto"/>
            </w:tcBorders>
          </w:tcPr>
          <w:p w:rsidR="00B77F42" w:rsidRPr="009B0FBD" w:rsidRDefault="00B77F42" w:rsidP="00BD2F8B">
            <w:pPr>
              <w:rPr>
                <w:rFonts w:ascii="Arial" w:hAnsi="Arial" w:cs="Arial"/>
                <w:sz w:val="22"/>
                <w:szCs w:val="22"/>
              </w:rPr>
            </w:pPr>
            <w:r w:rsidRPr="009B0FBD">
              <w:rPr>
                <w:rFonts w:ascii="Arial" w:hAnsi="Arial" w:cs="Arial"/>
                <w:b/>
                <w:bCs/>
                <w:sz w:val="22"/>
                <w:szCs w:val="22"/>
              </w:rPr>
              <w:t>Signatures (Authority</w:t>
            </w:r>
            <w:r>
              <w:rPr>
                <w:rFonts w:ascii="Arial" w:hAnsi="Arial" w:cs="Arial"/>
                <w:b/>
                <w:bCs/>
                <w:sz w:val="22"/>
                <w:szCs w:val="22"/>
              </w:rPr>
              <w:t>)</w:t>
            </w:r>
          </w:p>
        </w:tc>
        <w:tc>
          <w:tcPr>
            <w:tcW w:w="1830" w:type="dxa"/>
            <w:tcBorders>
              <w:top w:val="single" w:sz="4" w:space="0" w:color="auto"/>
            </w:tcBorders>
          </w:tcPr>
          <w:p w:rsidR="00B77F42" w:rsidRPr="009B0FBD" w:rsidRDefault="00B77F42" w:rsidP="00BD2F8B">
            <w:pPr>
              <w:rPr>
                <w:rFonts w:ascii="Arial" w:hAnsi="Arial" w:cs="Arial"/>
                <w:sz w:val="22"/>
                <w:szCs w:val="22"/>
              </w:rPr>
            </w:pPr>
          </w:p>
        </w:tc>
        <w:tc>
          <w:tcPr>
            <w:tcW w:w="3728" w:type="dxa"/>
            <w:vMerge w:val="restart"/>
            <w:tcBorders>
              <w:top w:val="single" w:sz="4" w:space="0" w:color="auto"/>
            </w:tcBorders>
          </w:tcPr>
          <w:p w:rsidR="00B77F42" w:rsidRPr="009B0FBD" w:rsidRDefault="00B77F42" w:rsidP="00BD2F8B">
            <w:pPr>
              <w:rPr>
                <w:rFonts w:ascii="Arial" w:hAnsi="Arial" w:cs="Arial"/>
                <w:b/>
                <w:bCs/>
                <w:sz w:val="22"/>
                <w:szCs w:val="22"/>
              </w:rPr>
            </w:pPr>
            <w:r>
              <w:rPr>
                <w:rFonts w:ascii="Arial" w:hAnsi="Arial" w:cs="Arial"/>
                <w:b/>
                <w:bCs/>
                <w:sz w:val="22"/>
                <w:szCs w:val="22"/>
              </w:rPr>
              <w:t xml:space="preserve">Signatures (Contractor) </w:t>
            </w:r>
            <w:r w:rsidRPr="009B0FBD">
              <w:rPr>
                <w:rFonts w:ascii="Arial" w:hAnsi="Arial" w:cs="Arial"/>
                <w:b/>
                <w:bCs/>
                <w:sz w:val="22"/>
                <w:szCs w:val="22"/>
              </w:rPr>
              <w:t>Acknowledgement</w:t>
            </w:r>
          </w:p>
          <w:p w:rsidR="00B77F42" w:rsidRPr="009B0FBD" w:rsidRDefault="00B77F42" w:rsidP="00BD2F8B">
            <w:pPr>
              <w:rPr>
                <w:rFonts w:ascii="Arial" w:hAnsi="Arial" w:cs="Arial"/>
                <w:sz w:val="22"/>
                <w:szCs w:val="22"/>
              </w:rPr>
            </w:pPr>
          </w:p>
        </w:tc>
        <w:tc>
          <w:tcPr>
            <w:tcW w:w="1260" w:type="dxa"/>
            <w:tcBorders>
              <w:top w:val="single" w:sz="4" w:space="0" w:color="auto"/>
            </w:tcBorders>
          </w:tcPr>
          <w:p w:rsidR="00B77F42" w:rsidRPr="009B0FBD" w:rsidRDefault="00B77F42" w:rsidP="00BD2F8B">
            <w:pPr>
              <w:rPr>
                <w:rFonts w:ascii="Arial" w:hAnsi="Arial" w:cs="Arial"/>
                <w:sz w:val="22"/>
                <w:szCs w:val="22"/>
              </w:rPr>
            </w:pPr>
          </w:p>
        </w:tc>
      </w:tr>
      <w:tr w:rsidR="00B77F42" w:rsidRPr="009B0FBD" w:rsidTr="00BD2F8B">
        <w:trPr>
          <w:jc w:val="center"/>
        </w:trPr>
        <w:tc>
          <w:tcPr>
            <w:tcW w:w="3096" w:type="dxa"/>
            <w:vMerge/>
          </w:tcPr>
          <w:p w:rsidR="00B77F42" w:rsidRPr="009B0FBD" w:rsidRDefault="00B77F42" w:rsidP="00BD2F8B">
            <w:pPr>
              <w:rPr>
                <w:rFonts w:ascii="Arial" w:hAnsi="Arial" w:cs="Arial"/>
                <w:sz w:val="22"/>
                <w:szCs w:val="22"/>
              </w:rPr>
            </w:pPr>
          </w:p>
        </w:tc>
        <w:tc>
          <w:tcPr>
            <w:tcW w:w="1830" w:type="dxa"/>
          </w:tcPr>
          <w:p w:rsidR="00B77F42" w:rsidRPr="009B0FBD" w:rsidRDefault="00B77F42" w:rsidP="00BD2F8B">
            <w:pPr>
              <w:rPr>
                <w:rFonts w:ascii="Arial" w:hAnsi="Arial" w:cs="Arial"/>
                <w:sz w:val="22"/>
                <w:szCs w:val="22"/>
              </w:rPr>
            </w:pPr>
          </w:p>
        </w:tc>
        <w:tc>
          <w:tcPr>
            <w:tcW w:w="3728" w:type="dxa"/>
            <w:vMerge/>
          </w:tcPr>
          <w:p w:rsidR="00B77F42" w:rsidRPr="009B0FBD" w:rsidRDefault="00B77F42" w:rsidP="00BD2F8B">
            <w:pPr>
              <w:rPr>
                <w:rFonts w:ascii="Arial" w:hAnsi="Arial" w:cs="Arial"/>
                <w:sz w:val="22"/>
                <w:szCs w:val="22"/>
              </w:rPr>
            </w:pPr>
          </w:p>
        </w:tc>
        <w:tc>
          <w:tcPr>
            <w:tcW w:w="1260" w:type="dxa"/>
          </w:tcPr>
          <w:p w:rsidR="00B77F42" w:rsidRPr="009B0FBD" w:rsidRDefault="00B77F42" w:rsidP="00BD2F8B">
            <w:pPr>
              <w:rPr>
                <w:rFonts w:ascii="Arial" w:hAnsi="Arial" w:cs="Arial"/>
                <w:sz w:val="22"/>
                <w:szCs w:val="22"/>
              </w:rPr>
            </w:pPr>
          </w:p>
        </w:tc>
      </w:tr>
      <w:tr w:rsidR="00B77F42" w:rsidRPr="009B0FBD" w:rsidTr="00BD2F8B">
        <w:trPr>
          <w:trHeight w:val="1315"/>
          <w:jc w:val="center"/>
        </w:trPr>
        <w:tc>
          <w:tcPr>
            <w:tcW w:w="4926" w:type="dxa"/>
            <w:gridSpan w:val="2"/>
          </w:tcPr>
          <w:p w:rsidR="00B77F42" w:rsidRPr="009B0FBD" w:rsidRDefault="00B77F42" w:rsidP="00BD2F8B">
            <w:pPr>
              <w:rPr>
                <w:rFonts w:ascii="Arial" w:hAnsi="Arial" w:cs="Arial"/>
                <w:sz w:val="22"/>
                <w:szCs w:val="22"/>
              </w:rPr>
            </w:pPr>
            <w:r w:rsidRPr="009B0FBD">
              <w:rPr>
                <w:rFonts w:ascii="Arial" w:hAnsi="Arial" w:cs="Arial"/>
                <w:sz w:val="22"/>
                <w:szCs w:val="22"/>
              </w:rPr>
              <w:t>Name:</w:t>
            </w:r>
          </w:p>
          <w:p w:rsidR="00B77F42" w:rsidRPr="009B0FBD" w:rsidRDefault="00B77F42" w:rsidP="00BD2F8B">
            <w:pPr>
              <w:rPr>
                <w:rFonts w:ascii="Arial" w:hAnsi="Arial" w:cs="Arial"/>
                <w:sz w:val="22"/>
                <w:szCs w:val="22"/>
              </w:rPr>
            </w:pPr>
            <w:r w:rsidRPr="009B0FBD">
              <w:rPr>
                <w:rFonts w:ascii="Arial" w:hAnsi="Arial" w:cs="Arial"/>
                <w:sz w:val="22"/>
                <w:szCs w:val="22"/>
              </w:rPr>
              <w:t>Appt:</w:t>
            </w:r>
          </w:p>
          <w:p w:rsidR="00B77F42" w:rsidRPr="009B0FBD" w:rsidRDefault="00B77F42" w:rsidP="00BD2F8B">
            <w:pPr>
              <w:rPr>
                <w:rFonts w:ascii="Arial" w:hAnsi="Arial" w:cs="Arial"/>
                <w:sz w:val="22"/>
                <w:szCs w:val="22"/>
              </w:rPr>
            </w:pPr>
            <w:r w:rsidRPr="009B0FBD">
              <w:rPr>
                <w:rFonts w:ascii="Arial" w:hAnsi="Arial" w:cs="Arial"/>
                <w:sz w:val="22"/>
                <w:szCs w:val="22"/>
              </w:rPr>
              <w:t>Unit:</w:t>
            </w:r>
          </w:p>
          <w:p w:rsidR="00B77F42" w:rsidRPr="009B0FBD" w:rsidRDefault="00B77F42" w:rsidP="00BD2F8B">
            <w:pPr>
              <w:rPr>
                <w:rFonts w:ascii="Arial" w:hAnsi="Arial" w:cs="Arial"/>
                <w:sz w:val="22"/>
                <w:szCs w:val="22"/>
              </w:rPr>
            </w:pPr>
            <w:r w:rsidRPr="009B0FBD">
              <w:rPr>
                <w:rFonts w:ascii="Arial" w:hAnsi="Arial" w:cs="Arial"/>
                <w:sz w:val="22"/>
                <w:szCs w:val="22"/>
              </w:rPr>
              <w:t>Contact Tel:</w:t>
            </w:r>
          </w:p>
          <w:p w:rsidR="00B77F42" w:rsidRPr="009B0FBD" w:rsidRDefault="00B77F42" w:rsidP="00BD2F8B">
            <w:pPr>
              <w:rPr>
                <w:rFonts w:ascii="Arial" w:hAnsi="Arial" w:cs="Arial"/>
                <w:sz w:val="22"/>
                <w:szCs w:val="22"/>
              </w:rPr>
            </w:pPr>
            <w:r w:rsidRPr="009B0FBD">
              <w:rPr>
                <w:rFonts w:ascii="Arial" w:hAnsi="Arial" w:cs="Arial"/>
                <w:sz w:val="22"/>
                <w:szCs w:val="22"/>
              </w:rPr>
              <w:t>Email:</w:t>
            </w:r>
          </w:p>
        </w:tc>
        <w:tc>
          <w:tcPr>
            <w:tcW w:w="4988" w:type="dxa"/>
            <w:gridSpan w:val="2"/>
          </w:tcPr>
          <w:p w:rsidR="00B77F42" w:rsidRPr="009B0FBD" w:rsidRDefault="00B77F42" w:rsidP="00BD2F8B">
            <w:pPr>
              <w:rPr>
                <w:rFonts w:ascii="Arial" w:hAnsi="Arial" w:cs="Arial"/>
                <w:sz w:val="22"/>
                <w:szCs w:val="22"/>
              </w:rPr>
            </w:pPr>
            <w:r w:rsidRPr="009B0FBD">
              <w:rPr>
                <w:rFonts w:ascii="Arial" w:hAnsi="Arial" w:cs="Arial"/>
                <w:sz w:val="22"/>
                <w:szCs w:val="22"/>
              </w:rPr>
              <w:t>Name:</w:t>
            </w:r>
          </w:p>
          <w:p w:rsidR="00B77F42" w:rsidRPr="009B0FBD" w:rsidRDefault="00B77F42" w:rsidP="00BD2F8B">
            <w:pPr>
              <w:rPr>
                <w:rFonts w:ascii="Arial" w:hAnsi="Arial" w:cs="Arial"/>
                <w:sz w:val="22"/>
                <w:szCs w:val="22"/>
              </w:rPr>
            </w:pPr>
            <w:r w:rsidRPr="009B0FBD">
              <w:rPr>
                <w:rFonts w:ascii="Arial" w:hAnsi="Arial" w:cs="Arial"/>
                <w:sz w:val="22"/>
                <w:szCs w:val="22"/>
              </w:rPr>
              <w:t>Appt:</w:t>
            </w:r>
          </w:p>
          <w:p w:rsidR="00B77F42" w:rsidRPr="009B0FBD" w:rsidRDefault="00B77F42" w:rsidP="00BD2F8B">
            <w:pPr>
              <w:rPr>
                <w:rFonts w:ascii="Arial" w:hAnsi="Arial" w:cs="Arial"/>
                <w:sz w:val="22"/>
                <w:szCs w:val="22"/>
              </w:rPr>
            </w:pPr>
            <w:r w:rsidRPr="009B0FBD">
              <w:rPr>
                <w:rFonts w:ascii="Arial" w:hAnsi="Arial" w:cs="Arial"/>
                <w:sz w:val="22"/>
                <w:szCs w:val="22"/>
              </w:rPr>
              <w:t>Unit:</w:t>
            </w:r>
          </w:p>
          <w:p w:rsidR="00B77F42" w:rsidRPr="009B0FBD" w:rsidRDefault="00B77F42" w:rsidP="00BD2F8B">
            <w:pPr>
              <w:rPr>
                <w:rFonts w:ascii="Arial" w:hAnsi="Arial" w:cs="Arial"/>
                <w:sz w:val="22"/>
                <w:szCs w:val="22"/>
              </w:rPr>
            </w:pPr>
            <w:r w:rsidRPr="009B0FBD">
              <w:rPr>
                <w:rFonts w:ascii="Arial" w:hAnsi="Arial" w:cs="Arial"/>
                <w:sz w:val="22"/>
                <w:szCs w:val="22"/>
              </w:rPr>
              <w:t>Contact Tel:</w:t>
            </w:r>
          </w:p>
          <w:p w:rsidR="00B77F42" w:rsidRPr="009B0FBD" w:rsidRDefault="00B77F42" w:rsidP="00BD2F8B">
            <w:pPr>
              <w:rPr>
                <w:rFonts w:ascii="Arial" w:hAnsi="Arial" w:cs="Arial"/>
                <w:sz w:val="22"/>
                <w:szCs w:val="22"/>
              </w:rPr>
            </w:pPr>
            <w:r w:rsidRPr="009B0FBD">
              <w:rPr>
                <w:rFonts w:ascii="Arial" w:hAnsi="Arial" w:cs="Arial"/>
                <w:sz w:val="22"/>
                <w:szCs w:val="22"/>
              </w:rPr>
              <w:t>Email:</w:t>
            </w:r>
          </w:p>
        </w:tc>
      </w:tr>
    </w:tbl>
    <w:p w:rsidR="00342C95" w:rsidRDefault="00342C95"/>
    <w:sectPr w:rsidR="00342C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AE" w:rsidRDefault="00230CAE">
      <w:r>
        <w:separator/>
      </w:r>
    </w:p>
  </w:endnote>
  <w:endnote w:type="continuationSeparator" w:id="0">
    <w:p w:rsidR="00230CAE" w:rsidRDefault="0023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59938"/>
      <w:docPartObj>
        <w:docPartGallery w:val="Page Numbers (Bottom of Page)"/>
        <w:docPartUnique/>
      </w:docPartObj>
    </w:sdtPr>
    <w:sdtEndPr>
      <w:rPr>
        <w:noProof/>
      </w:rPr>
    </w:sdtEndPr>
    <w:sdtContent>
      <w:p w:rsidR="006F47A0" w:rsidRDefault="00FF5025">
        <w:pPr>
          <w:pStyle w:val="Footer"/>
          <w:jc w:val="center"/>
        </w:pPr>
        <w:r>
          <w:fldChar w:fldCharType="begin"/>
        </w:r>
        <w:r>
          <w:instrText xml:space="preserve"> PAGE   \* MERGEFORMAT </w:instrText>
        </w:r>
        <w:r>
          <w:fldChar w:fldCharType="separate"/>
        </w:r>
        <w:r w:rsidR="005A5744">
          <w:rPr>
            <w:noProof/>
          </w:rPr>
          <w:t>2</w:t>
        </w:r>
        <w:r>
          <w:rPr>
            <w:noProof/>
          </w:rPr>
          <w:fldChar w:fldCharType="end"/>
        </w:r>
      </w:p>
    </w:sdtContent>
  </w:sdt>
  <w:p w:rsidR="006F47A0" w:rsidRDefault="005A57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AE" w:rsidRDefault="00230CAE">
      <w:r>
        <w:separator/>
      </w:r>
    </w:p>
  </w:footnote>
  <w:footnote w:type="continuationSeparator" w:id="0">
    <w:p w:rsidR="00230CAE" w:rsidRDefault="00230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2"/>
    <w:rsid w:val="001D3698"/>
    <w:rsid w:val="00230CAE"/>
    <w:rsid w:val="00342C95"/>
    <w:rsid w:val="004469E5"/>
    <w:rsid w:val="005A5744"/>
    <w:rsid w:val="007B7EAB"/>
    <w:rsid w:val="008215DC"/>
    <w:rsid w:val="00A619F5"/>
    <w:rsid w:val="00A62B3F"/>
    <w:rsid w:val="00B77F42"/>
    <w:rsid w:val="00CF2359"/>
    <w:rsid w:val="00F34DD7"/>
    <w:rsid w:val="00F611ED"/>
    <w:rsid w:val="00F93157"/>
    <w:rsid w:val="00FF5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4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7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7F42"/>
    <w:pPr>
      <w:spacing w:after="0" w:line="240" w:lineRule="auto"/>
    </w:pPr>
    <w:rPr>
      <w:rFonts w:ascii="Times New Roman" w:eastAsia="PMingLiU"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7F4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77F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7F42"/>
    <w:pPr>
      <w:tabs>
        <w:tab w:val="center" w:pos="4513"/>
        <w:tab w:val="right" w:pos="9026"/>
      </w:tabs>
    </w:pPr>
  </w:style>
  <w:style w:type="character" w:customStyle="1" w:styleId="FooterChar">
    <w:name w:val="Footer Char"/>
    <w:basedOn w:val="DefaultParagraphFont"/>
    <w:link w:val="Footer"/>
    <w:uiPriority w:val="99"/>
    <w:rsid w:val="00B77F42"/>
  </w:style>
  <w:style w:type="table" w:styleId="TableGrid">
    <w:name w:val="Table Grid"/>
    <w:basedOn w:val="TableNormal"/>
    <w:uiPriority w:val="39"/>
    <w:rsid w:val="00B7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4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7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7F42"/>
    <w:pPr>
      <w:spacing w:after="0" w:line="240" w:lineRule="auto"/>
    </w:pPr>
    <w:rPr>
      <w:rFonts w:ascii="Times New Roman" w:eastAsia="PMingLiU"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7F4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77F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7F42"/>
    <w:pPr>
      <w:tabs>
        <w:tab w:val="center" w:pos="4513"/>
        <w:tab w:val="right" w:pos="9026"/>
      </w:tabs>
    </w:pPr>
  </w:style>
  <w:style w:type="character" w:customStyle="1" w:styleId="FooterChar">
    <w:name w:val="Footer Char"/>
    <w:basedOn w:val="DefaultParagraphFont"/>
    <w:link w:val="Footer"/>
    <w:uiPriority w:val="99"/>
    <w:rsid w:val="00B77F42"/>
  </w:style>
  <w:style w:type="table" w:styleId="TableGrid">
    <w:name w:val="Table Grid"/>
    <w:basedOn w:val="TableNormal"/>
    <w:uiPriority w:val="39"/>
    <w:rsid w:val="00B7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Macmillan, Siobhan Mrs (Army Comrcl-Sourcing-AHx)</dc:creator>
  <cp:lastModifiedBy>irelandj951</cp:lastModifiedBy>
  <cp:revision>3</cp:revision>
  <dcterms:created xsi:type="dcterms:W3CDTF">2018-07-05T11:08:00Z</dcterms:created>
  <dcterms:modified xsi:type="dcterms:W3CDTF">2018-07-05T11:08:00Z</dcterms:modified>
</cp:coreProperties>
</file>