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6D0795A2" w:rsidR="006568B3" w:rsidRDefault="00292DF5">
      <w:pPr>
        <w:spacing w:before="240"/>
        <w:ind w:left="2880" w:hanging="2880"/>
        <w:rPr>
          <w:rFonts w:ascii="Arial" w:hAnsi="Arial" w:cs="Arial"/>
          <w:b/>
        </w:rPr>
      </w:pPr>
      <w:r w:rsidRPr="009E0C4D">
        <w:rPr>
          <w:rFonts w:ascii="Arial" w:hAnsi="Arial" w:cs="Arial"/>
        </w:rPr>
        <w:t>SUPPLIER</w:t>
      </w:r>
      <w:r w:rsidR="006568B3" w:rsidRPr="009E0C4D">
        <w:rPr>
          <w:rFonts w:ascii="Arial" w:hAnsi="Arial" w:cs="Arial"/>
          <w:b/>
        </w:rPr>
        <w:tab/>
      </w:r>
      <w:r w:rsidR="00C2562D" w:rsidRPr="009E0C4D">
        <w:rPr>
          <w:rFonts w:ascii="Arial" w:hAnsi="Arial" w:cs="Arial"/>
          <w:b/>
        </w:rPr>
        <w:t>Field Consulting Ltd</w:t>
      </w:r>
      <w:r w:rsidR="006568B3" w:rsidRPr="009E0C4D">
        <w:rPr>
          <w:rFonts w:ascii="Arial" w:hAnsi="Arial" w:cs="Arial"/>
        </w:rPr>
        <w:t xml:space="preserve"> (a company registered in England with company number </w:t>
      </w:r>
      <w:r w:rsidR="00C2562D" w:rsidRPr="009E0C4D">
        <w:rPr>
          <w:rFonts w:ascii="Arial" w:hAnsi="Arial" w:cs="Arial"/>
        </w:rPr>
        <w:t>8777648</w:t>
      </w:r>
      <w:r w:rsidR="006568B3" w:rsidRPr="009E0C4D">
        <w:rPr>
          <w:rFonts w:ascii="Arial" w:hAnsi="Arial" w:cs="Arial"/>
        </w:rPr>
        <w:t xml:space="preserve">) whose registered office is at </w:t>
      </w:r>
      <w:r w:rsidR="009E0C4D" w:rsidRPr="009E0C4D">
        <w:rPr>
          <w:rFonts w:ascii="Arial" w:hAnsi="Arial" w:cs="Arial"/>
        </w:rPr>
        <w:t>Devonshire House, 60 Goswell Road, London EC1M 7AD</w:t>
      </w:r>
      <w:r w:rsidR="006568B3" w:rsidRPr="009E0C4D">
        <w:rPr>
          <w:rFonts w:ascii="Arial" w:hAnsi="Arial" w:cs="Arial"/>
        </w:rPr>
        <w:t>.</w:t>
      </w:r>
    </w:p>
    <w:p w14:paraId="2F7DC590" w14:textId="07369503"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sidR="009E0C4D">
        <w:rPr>
          <w:rFonts w:ascii="Arial" w:hAnsi="Arial" w:cs="Arial"/>
        </w:rPr>
        <w:t>10 May 2021</w:t>
      </w:r>
      <w:r w:rsidRPr="009E0C4D">
        <w:rPr>
          <w:rFonts w:ascii="Arial" w:hAnsi="Arial" w:cs="Arial"/>
          <w:i/>
        </w:rPr>
        <w:t>.</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29B2BD7C"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sidR="009E0C4D">
        <w:rPr>
          <w:rFonts w:ascii="Arial" w:hAnsi="Arial" w:cs="Arial"/>
          <w:sz w:val="20"/>
        </w:rPr>
        <w:t>Supporting Information Provision and Analysis</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646EDEB9"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9E0C4D">
        <w:rPr>
          <w:rFonts w:ascii="Arial" w:hAnsi="Arial" w:cs="Arial"/>
          <w:sz w:val="20"/>
        </w:rPr>
        <w:t>ORR/CT/21-01</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19345A5C"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w:t>
      </w:r>
      <w:r w:rsidR="00FF52D0">
        <w:rPr>
          <w:rFonts w:ascii="Arial" w:hAnsi="Arial" w:cs="Arial"/>
          <w:sz w:val="20"/>
        </w:rPr>
        <w:t>TBC</w:t>
      </w:r>
      <w:r>
        <w:rPr>
          <w:rFonts w:ascii="Arial" w:hAnsi="Arial" w:cs="Arial"/>
          <w:sz w:val="20"/>
        </w:rPr>
        <w:t>]</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5830D91E"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r w:rsidR="009E0C4D">
              <w:rPr>
                <w:rFonts w:ascii="Arial" w:hAnsi="Arial" w:cs="Arial"/>
                <w:i/>
                <w:sz w:val="20"/>
              </w:rPr>
              <w:t xml:space="preserve"> 10 May 21</w:t>
            </w:r>
          </w:p>
          <w:p w14:paraId="7AA8D719" w14:textId="35078F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r w:rsidR="00626600">
              <w:rPr>
                <w:rFonts w:ascii="Arial" w:hAnsi="Arial" w:cs="Arial"/>
                <w:i/>
                <w:sz w:val="20"/>
              </w:rPr>
              <w:t>10 Oct 21</w:t>
            </w:r>
          </w:p>
          <w:p w14:paraId="3A50DE2E" w14:textId="0A4DB8B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626600">
              <w:rPr>
                <w:rFonts w:ascii="Arial" w:hAnsi="Arial" w:cs="Arial"/>
                <w:sz w:val="20"/>
              </w:rPr>
              <w:t>3</w:t>
            </w:r>
            <w:r w:rsidRPr="00AC088A">
              <w:rPr>
                <w:rFonts w:ascii="Arial" w:hAnsi="Arial" w:cs="Arial"/>
                <w:sz w:val="20"/>
              </w:rPr>
              <w:t xml:space="preserve"> months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0FD0FBF6"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 xml:space="preserve">The Contactor </w:t>
            </w:r>
            <w:r w:rsidRPr="00626600">
              <w:rPr>
                <w:rFonts w:ascii="Arial" w:hAnsi="Arial" w:cs="Arial"/>
                <w:sz w:val="20"/>
              </w:rPr>
              <w:t xml:space="preserve">shall provide </w:t>
            </w:r>
            <w:r w:rsidR="00626600" w:rsidRPr="00626600">
              <w:rPr>
                <w:rFonts w:ascii="Arial" w:hAnsi="Arial" w:cs="Arial"/>
                <w:sz w:val="20"/>
              </w:rPr>
              <w:t xml:space="preserve">the services as </w:t>
            </w:r>
            <w:r w:rsidRPr="00626600">
              <w:rPr>
                <w:rFonts w:ascii="Arial" w:hAnsi="Arial" w:cs="Arial"/>
                <w:sz w:val="20"/>
              </w:rPr>
              <w:t>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450A1618" w:rsidR="006568B3" w:rsidRPr="00AC088A" w:rsidRDefault="006568B3">
            <w:pPr>
              <w:pStyle w:val="MRParties"/>
              <w:numPr>
                <w:ilvl w:val="0"/>
                <w:numId w:val="0"/>
              </w:numPr>
              <w:spacing w:line="240" w:lineRule="auto"/>
              <w:rPr>
                <w:rFonts w:ascii="Arial" w:hAnsi="Arial" w:cs="Arial"/>
                <w:sz w:val="20"/>
              </w:rPr>
            </w:pPr>
            <w:r w:rsidRPr="00626600">
              <w:rPr>
                <w:rFonts w:ascii="Arial" w:hAnsi="Arial" w:cs="Arial"/>
                <w:sz w:val="20"/>
              </w:rPr>
              <w:t>The CONTRACT PRICE and payment schedule are set out in Schedule 3</w:t>
            </w:r>
            <w:r w:rsidR="00626600">
              <w:rPr>
                <w:rFonts w:ascii="Arial" w:hAnsi="Arial" w:cs="Arial"/>
                <w:sz w:val="20"/>
              </w:rPr>
              <w:t>.</w:t>
            </w:r>
          </w:p>
          <w:p w14:paraId="3AEBD5A3" w14:textId="2431D625"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3389126D" w:rsidR="006568B3" w:rsidRPr="00AC088A" w:rsidRDefault="00626600">
            <w:pPr>
              <w:pStyle w:val="MRParties"/>
              <w:numPr>
                <w:ilvl w:val="0"/>
                <w:numId w:val="0"/>
              </w:numPr>
              <w:spacing w:line="240" w:lineRule="auto"/>
              <w:rPr>
                <w:rFonts w:ascii="Arial" w:hAnsi="Arial" w:cs="Arial"/>
                <w:sz w:val="20"/>
              </w:rPr>
            </w:pPr>
            <w:r>
              <w:rPr>
                <w:rFonts w:ascii="Arial" w:hAnsi="Arial" w:cs="Arial"/>
                <w:sz w:val="20"/>
              </w:rPr>
              <w:t>Jennifer Webber, ORR Head of External Engagement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6E804F05" w:rsidR="006568B3" w:rsidRPr="00AC088A" w:rsidRDefault="00626600">
            <w:pPr>
              <w:pStyle w:val="MRParties"/>
              <w:numPr>
                <w:ilvl w:val="0"/>
                <w:numId w:val="0"/>
              </w:numPr>
              <w:spacing w:line="240" w:lineRule="auto"/>
              <w:rPr>
                <w:rFonts w:ascii="Arial" w:hAnsi="Arial" w:cs="Arial"/>
                <w:sz w:val="20"/>
              </w:rPr>
            </w:pPr>
            <w:r>
              <w:rPr>
                <w:rFonts w:ascii="Arial" w:hAnsi="Arial" w:cs="Arial"/>
                <w:sz w:val="20"/>
              </w:rPr>
              <w:t>Jo Bird, Director Field Consulting</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default" r:id="rId8"/>
          <w:footerReference w:type="even" r:id="rId9"/>
          <w:footerReference w:type="default" r:id="rId10"/>
          <w:headerReference w:type="first" r:id="rId11"/>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3"/>
          <w:footerReference w:type="first" r:id="rId14"/>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4124"/>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39BAE02B" w:rsidR="006568B3" w:rsidRPr="00E766D7" w:rsidRDefault="006568B3" w:rsidP="006568B3">
            <w:pPr>
              <w:tabs>
                <w:tab w:val="left" w:pos="0"/>
              </w:tabs>
              <w:suppressAutoHyphens/>
              <w:jc w:val="both"/>
              <w:rPr>
                <w:rFonts w:ascii="Arial" w:hAnsi="Arial" w:cs="Arial"/>
                <w:szCs w:val="22"/>
              </w:rPr>
            </w:pPr>
            <w:r w:rsidRPr="00E766D7">
              <w:rPr>
                <w:rFonts w:ascii="Arial" w:hAnsi="Arial" w:cs="Arial"/>
                <w:szCs w:val="22"/>
              </w:rPr>
              <w:t>To:</w:t>
            </w:r>
            <w:r w:rsidR="00626600" w:rsidRPr="00E766D7">
              <w:rPr>
                <w:rFonts w:ascii="Arial" w:hAnsi="Arial" w:cs="Arial"/>
                <w:szCs w:val="22"/>
              </w:rPr>
              <w:t xml:space="preserve"> </w:t>
            </w:r>
          </w:p>
          <w:p w14:paraId="766F5A28" w14:textId="740F223A" w:rsidR="006568B3" w:rsidRPr="00E766D7" w:rsidRDefault="006568B3" w:rsidP="006568B3">
            <w:pPr>
              <w:tabs>
                <w:tab w:val="left" w:pos="0"/>
              </w:tabs>
              <w:suppressAutoHyphens/>
              <w:jc w:val="both"/>
              <w:rPr>
                <w:rFonts w:ascii="Arial" w:hAnsi="Arial" w:cs="Arial"/>
                <w:szCs w:val="22"/>
              </w:rPr>
            </w:pPr>
            <w:r w:rsidRPr="00E766D7">
              <w:rPr>
                <w:rFonts w:ascii="Arial" w:hAnsi="Arial" w:cs="Arial"/>
                <w:szCs w:val="22"/>
              </w:rPr>
              <w:t>The Office of Rail and</w:t>
            </w:r>
            <w:r w:rsidR="005A36FA">
              <w:rPr>
                <w:rFonts w:ascii="Arial" w:hAnsi="Arial" w:cs="Arial"/>
                <w:szCs w:val="22"/>
              </w:rPr>
              <w:t xml:space="preserve"> </w:t>
            </w:r>
            <w:r w:rsidRPr="00E766D7">
              <w:rPr>
                <w:rFonts w:ascii="Arial" w:hAnsi="Arial" w:cs="Arial"/>
                <w:szCs w:val="22"/>
              </w:rPr>
              <w:t>Road</w:t>
            </w:r>
          </w:p>
          <w:p w14:paraId="28E29696" w14:textId="77777777" w:rsidR="006568B3" w:rsidRPr="00E766D7" w:rsidRDefault="001A2092" w:rsidP="006568B3">
            <w:pPr>
              <w:tabs>
                <w:tab w:val="left" w:pos="0"/>
              </w:tabs>
              <w:suppressAutoHyphens/>
              <w:jc w:val="both"/>
              <w:rPr>
                <w:rFonts w:ascii="Arial" w:hAnsi="Arial" w:cs="Arial"/>
                <w:szCs w:val="22"/>
              </w:rPr>
            </w:pPr>
            <w:r w:rsidRPr="00E766D7">
              <w:rPr>
                <w:rFonts w:ascii="Arial" w:hAnsi="Arial" w:cs="Arial"/>
                <w:szCs w:val="22"/>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1BA81D1A" w:rsidR="006568B3" w:rsidRPr="00E766D7" w:rsidRDefault="006568B3" w:rsidP="006568B3">
            <w:pPr>
              <w:tabs>
                <w:tab w:val="left" w:pos="0"/>
              </w:tabs>
              <w:suppressAutoHyphens/>
              <w:jc w:val="both"/>
              <w:rPr>
                <w:rFonts w:ascii="Arial" w:hAnsi="Arial" w:cs="Arial"/>
                <w:szCs w:val="22"/>
              </w:rPr>
            </w:pPr>
            <w:r w:rsidRPr="00E766D7">
              <w:rPr>
                <w:rFonts w:ascii="Arial" w:hAnsi="Arial" w:cs="Arial"/>
                <w:szCs w:val="22"/>
              </w:rPr>
              <w:t xml:space="preserve">To: </w:t>
            </w:r>
          </w:p>
          <w:p w14:paraId="495540E2" w14:textId="08AD19D6" w:rsidR="006568B3" w:rsidRPr="00E766D7" w:rsidRDefault="00E766D7" w:rsidP="006568B3">
            <w:pPr>
              <w:tabs>
                <w:tab w:val="left" w:pos="0"/>
              </w:tabs>
              <w:suppressAutoHyphens/>
              <w:jc w:val="both"/>
              <w:rPr>
                <w:rFonts w:ascii="Arial" w:hAnsi="Arial" w:cs="Arial"/>
                <w:szCs w:val="22"/>
              </w:rPr>
            </w:pPr>
            <w:r w:rsidRPr="00E766D7">
              <w:rPr>
                <w:rFonts w:ascii="Arial" w:hAnsi="Arial" w:cs="Arial"/>
              </w:rPr>
              <w:t>Devonshire House, 60 Goswell Road, London EC1M 7AD</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35250662" w:rsidR="006568B3" w:rsidRPr="00414EC2"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414EC2">
        <w:rPr>
          <w:rFonts w:ascii="Arial" w:hAnsi="Arial" w:cs="Arial"/>
          <w:szCs w:val="22"/>
        </w:rPr>
        <w:t xml:space="preserve">The </w:t>
      </w:r>
      <w:r w:rsidR="00292DF5" w:rsidRPr="00414EC2">
        <w:rPr>
          <w:rFonts w:ascii="Arial" w:hAnsi="Arial" w:cs="Arial"/>
          <w:szCs w:val="22"/>
        </w:rPr>
        <w:t>Supplier</w:t>
      </w:r>
      <w:r w:rsidRPr="00414EC2">
        <w:rPr>
          <w:rFonts w:ascii="Arial" w:hAnsi="Arial" w:cs="Arial"/>
          <w:szCs w:val="22"/>
        </w:rPr>
        <w:t xml:space="preserve"> shall use reasonable </w:t>
      </w:r>
      <w:r w:rsidRPr="00414EC2">
        <w:rPr>
          <w:rFonts w:ascii="Arial" w:hAnsi="Arial" w:cs="Arial"/>
        </w:rPr>
        <w:t>endeavours</w:t>
      </w:r>
      <w:r w:rsidRPr="00414EC2">
        <w:rPr>
          <w:rFonts w:ascii="Arial" w:hAnsi="Arial" w:cs="Arial"/>
          <w:szCs w:val="22"/>
        </w:rPr>
        <w:t xml:space="preserve"> to ensure the accuracy and completeness of information provided to it by third parties in relation to the subject matter of the Contract.  In addition,</w:t>
      </w:r>
      <w:r w:rsidRPr="00414EC2">
        <w:rPr>
          <w:rFonts w:ascii="Arial" w:hAnsi="Arial" w:cs="Arial"/>
          <w:color w:val="FF0000"/>
          <w:szCs w:val="22"/>
        </w:rPr>
        <w:t xml:space="preserve"> </w:t>
      </w:r>
      <w:r w:rsidRPr="00414EC2">
        <w:rPr>
          <w:rFonts w:ascii="Arial" w:hAnsi="Arial" w:cs="Arial"/>
          <w:szCs w:val="22"/>
        </w:rPr>
        <w:t xml:space="preserve">the </w:t>
      </w:r>
      <w:r w:rsidR="00292DF5" w:rsidRPr="00414EC2">
        <w:rPr>
          <w:rFonts w:ascii="Arial" w:hAnsi="Arial" w:cs="Arial"/>
          <w:szCs w:val="22"/>
        </w:rPr>
        <w:t>Supplier</w:t>
      </w:r>
      <w:r w:rsidRPr="00414EC2">
        <w:rPr>
          <w:rFonts w:ascii="Arial" w:hAnsi="Arial" w:cs="Arial"/>
          <w:szCs w:val="22"/>
        </w:rPr>
        <w:t xml:space="preserve"> shall be responsible for the accuracy and completeness of all drawings, documentation and information supplied to ORR by the </w:t>
      </w:r>
      <w:r w:rsidR="00292DF5" w:rsidRPr="00414EC2">
        <w:rPr>
          <w:rFonts w:ascii="Arial" w:hAnsi="Arial" w:cs="Arial"/>
          <w:szCs w:val="22"/>
        </w:rPr>
        <w:t>Supplier</w:t>
      </w:r>
      <w:r w:rsidRPr="00414EC2">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Pr="00414EC2" w:rsidRDefault="006568B3">
      <w:pPr>
        <w:tabs>
          <w:tab w:val="left" w:pos="0"/>
          <w:tab w:val="left" w:pos="709"/>
        </w:tabs>
        <w:suppressAutoHyphens/>
        <w:ind w:left="1440" w:hanging="1440"/>
        <w:jc w:val="both"/>
        <w:rPr>
          <w:rFonts w:ascii="Arial" w:hAnsi="Arial" w:cs="Arial"/>
          <w:b/>
          <w:bCs/>
          <w:i/>
          <w:iCs/>
          <w:szCs w:val="22"/>
        </w:rPr>
      </w:pPr>
      <w:r w:rsidRPr="00414EC2">
        <w:rPr>
          <w:rFonts w:ascii="Arial" w:hAnsi="Arial" w:cs="Arial"/>
          <w:b/>
          <w:bCs/>
          <w:i/>
          <w:iCs/>
          <w:szCs w:val="22"/>
        </w:rPr>
        <w:tab/>
      </w:r>
      <w:r w:rsidRPr="00414EC2">
        <w:rPr>
          <w:rFonts w:ascii="Arial" w:hAnsi="Arial" w:cs="Arial"/>
          <w:b/>
          <w:bCs/>
          <w:i/>
          <w:iCs/>
          <w:szCs w:val="22"/>
        </w:rPr>
        <w:tab/>
      </w:r>
    </w:p>
    <w:p w14:paraId="5A6FD5BB" w14:textId="77777777" w:rsidR="006568B3" w:rsidRPr="00414EC2" w:rsidRDefault="006568B3">
      <w:pPr>
        <w:pStyle w:val="BlockText"/>
        <w:ind w:left="0" w:firstLine="0"/>
        <w:rPr>
          <w:sz w:val="20"/>
        </w:rPr>
      </w:pPr>
      <w:r w:rsidRPr="00414EC2">
        <w:rPr>
          <w:b/>
          <w:sz w:val="20"/>
        </w:rPr>
        <w:t>A9</w:t>
      </w:r>
      <w:r w:rsidRPr="00414EC2">
        <w:rPr>
          <w:sz w:val="20"/>
        </w:rPr>
        <w:tab/>
      </w:r>
      <w:r w:rsidRPr="00414EC2">
        <w:rPr>
          <w:sz w:val="20"/>
        </w:rPr>
        <w:tab/>
      </w:r>
      <w:r w:rsidRPr="00414EC2">
        <w:rPr>
          <w:b/>
          <w:bCs/>
          <w:sz w:val="20"/>
        </w:rPr>
        <w:t>Conflicts of Interest</w:t>
      </w:r>
    </w:p>
    <w:p w14:paraId="0F6748DE" w14:textId="77777777" w:rsidR="006568B3" w:rsidRPr="00414EC2"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sidRPr="00414EC2">
        <w:rPr>
          <w:rFonts w:ascii="Arial" w:hAnsi="Arial" w:cs="Arial"/>
          <w:szCs w:val="22"/>
        </w:rPr>
        <w:t>A9.1</w:t>
      </w:r>
      <w:r w:rsidRPr="00414EC2">
        <w:rPr>
          <w:rFonts w:ascii="Arial" w:hAnsi="Arial" w:cs="Arial"/>
          <w:szCs w:val="22"/>
        </w:rPr>
        <w:tab/>
      </w:r>
      <w:r w:rsidRPr="00414EC2">
        <w:rPr>
          <w:rFonts w:ascii="Arial" w:hAnsi="Arial" w:cs="Arial"/>
          <w:szCs w:val="22"/>
        </w:rPr>
        <w:tab/>
        <w:t xml:space="preserve">The </w:t>
      </w:r>
      <w:r w:rsidR="00292DF5" w:rsidRPr="00414EC2">
        <w:rPr>
          <w:rFonts w:ascii="Arial" w:hAnsi="Arial" w:cs="Arial"/>
          <w:szCs w:val="22"/>
        </w:rPr>
        <w:t>Supplier</w:t>
      </w:r>
      <w:r w:rsidRPr="00414EC2">
        <w:rPr>
          <w:rFonts w:ascii="Arial" w:hAnsi="Arial" w:cs="Arial"/>
          <w:szCs w:val="22"/>
        </w:rPr>
        <w:t xml:space="preserve"> will disclose to ORR full particulars of any conflict of interest which may arise.  The </w:t>
      </w:r>
      <w:r w:rsidR="00292DF5" w:rsidRPr="00414EC2">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(i)</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6B23E4E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Pr="00414EC2">
        <w:rPr>
          <w:rFonts w:ascii="Arial" w:hAnsi="Arial" w:cs="Arial"/>
          <w:szCs w:val="22"/>
        </w:rPr>
        <w:t xml:space="preserve">or </w:t>
      </w:r>
      <w:r w:rsidR="00414EC2" w:rsidRPr="00414EC2">
        <w:rPr>
          <w:rFonts w:ascii="Arial" w:hAnsi="Arial" w:cs="Arial"/>
          <w:szCs w:val="22"/>
        </w:rPr>
        <w:t>125</w:t>
      </w:r>
      <w:r w:rsidRPr="00414EC2">
        <w:rPr>
          <w:rFonts w:ascii="Arial" w:hAnsi="Arial" w:cs="Arial"/>
          <w:szCs w:val="22"/>
        </w:rPr>
        <w:t>%</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3DAD2D90"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The annual aggregate liability under the Contract of either Party for all Defaults (other than a Default in relation t</w:t>
      </w:r>
      <w:r w:rsidRPr="00414EC2">
        <w:rPr>
          <w:rFonts w:ascii="Arial" w:hAnsi="Arial" w:cs="Arial"/>
          <w:szCs w:val="22"/>
        </w:rPr>
        <w:t xml:space="preserve">o Clauses D1.17, E8, G2.2(a) or G3.4) shall in no event exceed the greater of five hundred thousand pounds (£500,000) or </w:t>
      </w:r>
      <w:r w:rsidR="00414EC2" w:rsidRPr="00414EC2">
        <w:rPr>
          <w:rFonts w:ascii="Arial" w:hAnsi="Arial" w:cs="Arial"/>
          <w:szCs w:val="22"/>
        </w:rPr>
        <w:t>one hundred and twenty five</w:t>
      </w:r>
      <w:r w:rsidRPr="00414EC2">
        <w:rPr>
          <w:rFonts w:ascii="Arial" w:hAnsi="Arial" w:cs="Arial"/>
          <w:szCs w:val="22"/>
        </w:rPr>
        <w:t xml:space="preserve"> per cent (</w:t>
      </w:r>
      <w:r w:rsidR="00414EC2" w:rsidRPr="00414EC2">
        <w:rPr>
          <w:rFonts w:ascii="Arial" w:hAnsi="Arial" w:cs="Arial"/>
          <w:szCs w:val="22"/>
        </w:rPr>
        <w:t>125</w:t>
      </w:r>
      <w:r w:rsidRPr="00414EC2">
        <w:rPr>
          <w:rFonts w:ascii="Arial" w:hAnsi="Arial" w:cs="Arial"/>
          <w:szCs w:val="22"/>
        </w:rPr>
        <w:t>%)</w:t>
      </w:r>
      <w:r>
        <w:rPr>
          <w:rFonts w:ascii="Arial" w:hAnsi="Arial" w:cs="Arial"/>
          <w:szCs w:val="22"/>
        </w:rPr>
        <w:t xml:space="preserve">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days notice specifying the breach and requiring its remedy. The </w:t>
      </w:r>
      <w:r w:rsidR="00292DF5">
        <w:rPr>
          <w:sz w:val="20"/>
        </w:rPr>
        <w:t>Supplier</w:t>
      </w:r>
      <w:r>
        <w:rPr>
          <w:sz w:val="20"/>
        </w:rPr>
        <w:t>’s right of termination under this Clause H2.3 shall not apply to non payment of the charges where such non payment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place">
        <w:smartTag w:uri="urn:schemas-microsoft-com:office:smarttags" w:element="country-region">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place">
        <w:smartTag w:uri="urn:schemas-microsoft-com:office:smarttags" w:element="City">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08457B" w:rsidRPr="0008457B" w14:paraId="220ACA7E" w14:textId="77777777" w:rsidTr="0008457B">
        <w:trPr>
          <w:trHeight w:val="454"/>
        </w:trPr>
        <w:tc>
          <w:tcPr>
            <w:tcW w:w="9776" w:type="dxa"/>
            <w:shd w:val="clear" w:color="auto" w:fill="99CCFF"/>
          </w:tcPr>
          <w:p w14:paraId="71493F35" w14:textId="77777777" w:rsidR="0008457B" w:rsidRPr="0008457B" w:rsidRDefault="0008457B" w:rsidP="00886B74">
            <w:pPr>
              <w:rPr>
                <w:rFonts w:ascii="Arial" w:hAnsi="Arial" w:cs="Arial"/>
                <w:b/>
              </w:rPr>
            </w:pPr>
            <w:r w:rsidRPr="0008457B">
              <w:rPr>
                <w:rFonts w:ascii="Arial" w:hAnsi="Arial" w:cs="Arial"/>
                <w:b/>
              </w:rPr>
              <w:t>2.1 Background to the project</w:t>
            </w:r>
          </w:p>
        </w:tc>
      </w:tr>
      <w:tr w:rsidR="0008457B" w:rsidRPr="0008457B" w14:paraId="50DD1A2C" w14:textId="77777777" w:rsidTr="0008457B">
        <w:trPr>
          <w:trHeight w:val="454"/>
        </w:trPr>
        <w:tc>
          <w:tcPr>
            <w:tcW w:w="9776" w:type="dxa"/>
            <w:shd w:val="clear" w:color="auto" w:fill="auto"/>
          </w:tcPr>
          <w:p w14:paraId="13070F87" w14:textId="77777777" w:rsidR="0008457B" w:rsidRPr="0008457B" w:rsidRDefault="0008457B" w:rsidP="00886B74">
            <w:pPr>
              <w:rPr>
                <w:rFonts w:ascii="Arial" w:hAnsi="Arial" w:cs="Arial"/>
              </w:rPr>
            </w:pPr>
            <w:r w:rsidRPr="0008457B">
              <w:rPr>
                <w:rFonts w:ascii="Arial" w:hAnsi="Arial" w:cs="Arial"/>
              </w:rPr>
              <w:t>The Office of Rail and Road (ORR) is the independent regulator for Britain's railway industry, providing safety and economic assurance in the public interest.</w:t>
            </w:r>
          </w:p>
          <w:p w14:paraId="10EB7A06" w14:textId="77777777" w:rsidR="0008457B" w:rsidRPr="0008457B" w:rsidRDefault="0008457B" w:rsidP="00886B74">
            <w:pPr>
              <w:rPr>
                <w:rFonts w:ascii="Arial" w:hAnsi="Arial" w:cs="Arial"/>
              </w:rPr>
            </w:pPr>
            <w:r w:rsidRPr="0008457B">
              <w:rPr>
                <w:rFonts w:ascii="Arial" w:hAnsi="Arial" w:cs="Arial"/>
              </w:rPr>
              <w:t>We are the economic regulator for railway infrastructure (Network Rail and High Speed 1); the health and safety regulator for the rail industry as a whole – including mainline, metro, tramways, and heritage railways across Britain; and the industry's consumer and competition authority.</w:t>
            </w:r>
          </w:p>
          <w:p w14:paraId="34B4F2B3" w14:textId="77777777" w:rsidR="0008457B" w:rsidRPr="0008457B" w:rsidRDefault="0008457B" w:rsidP="00886B74">
            <w:pPr>
              <w:rPr>
                <w:rFonts w:ascii="Arial" w:hAnsi="Arial" w:cs="Arial"/>
              </w:rPr>
            </w:pPr>
            <w:r w:rsidRPr="0008457B">
              <w:rPr>
                <w:rFonts w:ascii="Arial" w:hAnsi="Arial" w:cs="Arial"/>
              </w:rPr>
              <w:t>We also have responsibility as the Highways Monitor, the independent monitor of Highways England who look after the strategic road network e.g. motorways and most ‘A’ roads.</w:t>
            </w:r>
          </w:p>
          <w:p w14:paraId="1CCF918D" w14:textId="77777777" w:rsidR="0008457B" w:rsidRPr="0008457B" w:rsidRDefault="0008457B" w:rsidP="00886B74">
            <w:pPr>
              <w:rPr>
                <w:rFonts w:ascii="Arial" w:hAnsi="Arial" w:cs="Arial"/>
              </w:rPr>
            </w:pPr>
            <w:r w:rsidRPr="0008457B">
              <w:rPr>
                <w:rFonts w:ascii="Arial" w:hAnsi="Arial" w:cs="Arial"/>
              </w:rPr>
              <w:t>ORR’s Communications Department is made up of several teams:</w:t>
            </w:r>
          </w:p>
          <w:p w14:paraId="620F7D80" w14:textId="77777777" w:rsidR="0008457B" w:rsidRPr="0008457B" w:rsidRDefault="0008457B" w:rsidP="00886B74">
            <w:pPr>
              <w:ind w:left="360"/>
              <w:rPr>
                <w:rFonts w:ascii="Arial" w:hAnsi="Arial" w:cs="Arial"/>
              </w:rPr>
            </w:pPr>
            <w:r w:rsidRPr="0008457B">
              <w:rPr>
                <w:rFonts w:ascii="Arial" w:hAnsi="Arial" w:cs="Arial"/>
              </w:rPr>
              <w:t>•</w:t>
            </w:r>
            <w:r w:rsidRPr="0008457B">
              <w:rPr>
                <w:rFonts w:ascii="Arial" w:hAnsi="Arial" w:cs="Arial"/>
              </w:rPr>
              <w:tab/>
              <w:t>Customer Correspondence</w:t>
            </w:r>
          </w:p>
          <w:p w14:paraId="074E88F2" w14:textId="77777777" w:rsidR="0008457B" w:rsidRPr="0008457B" w:rsidRDefault="0008457B" w:rsidP="00886B74">
            <w:pPr>
              <w:ind w:left="360"/>
              <w:rPr>
                <w:rFonts w:ascii="Arial" w:hAnsi="Arial" w:cs="Arial"/>
              </w:rPr>
            </w:pPr>
            <w:r w:rsidRPr="0008457B">
              <w:rPr>
                <w:rFonts w:ascii="Arial" w:hAnsi="Arial" w:cs="Arial"/>
              </w:rPr>
              <w:t>•</w:t>
            </w:r>
            <w:r w:rsidRPr="0008457B">
              <w:rPr>
                <w:rFonts w:ascii="Arial" w:hAnsi="Arial" w:cs="Arial"/>
              </w:rPr>
              <w:tab/>
              <w:t>Internal Communications</w:t>
            </w:r>
          </w:p>
          <w:p w14:paraId="6AE85F8A" w14:textId="77777777" w:rsidR="0008457B" w:rsidRPr="0008457B" w:rsidRDefault="0008457B" w:rsidP="00886B74">
            <w:pPr>
              <w:ind w:left="360"/>
              <w:rPr>
                <w:rFonts w:ascii="Arial" w:hAnsi="Arial" w:cs="Arial"/>
              </w:rPr>
            </w:pPr>
            <w:r w:rsidRPr="0008457B">
              <w:rPr>
                <w:rFonts w:ascii="Arial" w:hAnsi="Arial" w:cs="Arial"/>
              </w:rPr>
              <w:t>•</w:t>
            </w:r>
            <w:r w:rsidRPr="0008457B">
              <w:rPr>
                <w:rFonts w:ascii="Arial" w:hAnsi="Arial" w:cs="Arial"/>
              </w:rPr>
              <w:tab/>
              <w:t>Media, Campaigns and Digital</w:t>
            </w:r>
          </w:p>
          <w:p w14:paraId="6FA610BD" w14:textId="77777777" w:rsidR="0008457B" w:rsidRPr="0008457B" w:rsidRDefault="0008457B" w:rsidP="00886B74">
            <w:pPr>
              <w:ind w:left="360"/>
              <w:rPr>
                <w:rFonts w:ascii="Arial" w:hAnsi="Arial" w:cs="Arial"/>
              </w:rPr>
            </w:pPr>
            <w:r w:rsidRPr="0008457B">
              <w:rPr>
                <w:rFonts w:ascii="Arial" w:hAnsi="Arial" w:cs="Arial"/>
              </w:rPr>
              <w:t>•</w:t>
            </w:r>
            <w:r w:rsidRPr="0008457B">
              <w:rPr>
                <w:rFonts w:ascii="Arial" w:hAnsi="Arial" w:cs="Arial"/>
              </w:rPr>
              <w:tab/>
              <w:t>External Engagement</w:t>
            </w:r>
          </w:p>
        </w:tc>
      </w:tr>
      <w:tr w:rsidR="0008457B" w:rsidRPr="0008457B" w14:paraId="722FF9F2" w14:textId="77777777" w:rsidTr="0008457B">
        <w:trPr>
          <w:trHeight w:val="371"/>
        </w:trPr>
        <w:tc>
          <w:tcPr>
            <w:tcW w:w="9776" w:type="dxa"/>
            <w:shd w:val="clear" w:color="auto" w:fill="99CCFF"/>
          </w:tcPr>
          <w:p w14:paraId="4D41D909" w14:textId="77777777" w:rsidR="0008457B" w:rsidRPr="0008457B" w:rsidRDefault="0008457B" w:rsidP="00886B74">
            <w:pPr>
              <w:rPr>
                <w:rFonts w:ascii="Arial" w:hAnsi="Arial" w:cs="Arial"/>
                <w:b/>
              </w:rPr>
            </w:pPr>
            <w:r w:rsidRPr="0008457B">
              <w:rPr>
                <w:rFonts w:ascii="Arial" w:hAnsi="Arial" w:cs="Arial"/>
                <w:b/>
              </w:rPr>
              <w:t>2.2 Project Objectives &amp; Scope</w:t>
            </w:r>
          </w:p>
        </w:tc>
      </w:tr>
      <w:tr w:rsidR="0008457B" w:rsidRPr="0008457B" w14:paraId="5E8D20BE" w14:textId="77777777" w:rsidTr="0008457B">
        <w:trPr>
          <w:trHeight w:val="757"/>
        </w:trPr>
        <w:tc>
          <w:tcPr>
            <w:tcW w:w="9776" w:type="dxa"/>
            <w:tcBorders>
              <w:bottom w:val="single" w:sz="4" w:space="0" w:color="auto"/>
            </w:tcBorders>
            <w:shd w:val="clear" w:color="auto" w:fill="auto"/>
          </w:tcPr>
          <w:p w14:paraId="3594A44A" w14:textId="77777777" w:rsidR="0008457B" w:rsidRPr="0008457B" w:rsidRDefault="0008457B" w:rsidP="00886B74">
            <w:pPr>
              <w:pStyle w:val="NormalWeb"/>
              <w:spacing w:before="0" w:beforeAutospacing="0" w:after="0" w:afterAutospacing="0"/>
              <w:rPr>
                <w:rFonts w:ascii="Arial" w:hAnsi="Arial" w:cs="Arial"/>
                <w:sz w:val="20"/>
                <w:szCs w:val="20"/>
                <w:lang w:val="en-GB"/>
              </w:rPr>
            </w:pPr>
            <w:r w:rsidRPr="0008457B">
              <w:rPr>
                <w:rFonts w:ascii="Arial" w:hAnsi="Arial" w:cs="Arial"/>
                <w:sz w:val="20"/>
                <w:szCs w:val="20"/>
                <w:lang w:val="en-GB"/>
              </w:rPr>
              <w:t>The Railway in Great Britain always attracts disproportionate public attention and debate, but this is especially so at this time of pandemic and impending reform of the railways. ORR regard it as essential that the complex challenges, changes, and opportunities are properly understood by a range of actors in Parliament, industry, and the wider stakeholder landscape.</w:t>
            </w:r>
          </w:p>
          <w:p w14:paraId="226F699A" w14:textId="77777777" w:rsidR="0008457B" w:rsidRPr="0008457B" w:rsidRDefault="0008457B" w:rsidP="00886B74">
            <w:pPr>
              <w:pStyle w:val="NormalWeb"/>
              <w:spacing w:before="0" w:beforeAutospacing="0" w:after="0" w:afterAutospacing="0"/>
              <w:rPr>
                <w:rFonts w:ascii="Arial" w:hAnsi="Arial" w:cs="Arial"/>
                <w:sz w:val="20"/>
                <w:szCs w:val="20"/>
                <w:lang w:val="en-GB"/>
              </w:rPr>
            </w:pPr>
          </w:p>
          <w:p w14:paraId="2732EDB2" w14:textId="77777777" w:rsidR="0008457B" w:rsidRPr="0008457B" w:rsidRDefault="0008457B" w:rsidP="00886B74">
            <w:pPr>
              <w:pStyle w:val="NormalWeb"/>
              <w:spacing w:before="0" w:beforeAutospacing="0" w:after="0" w:afterAutospacing="0"/>
              <w:rPr>
                <w:rFonts w:ascii="Arial" w:hAnsi="Arial" w:cs="Arial"/>
                <w:sz w:val="20"/>
                <w:szCs w:val="20"/>
                <w:lang w:val="en-GB"/>
              </w:rPr>
            </w:pPr>
            <w:r w:rsidRPr="0008457B">
              <w:rPr>
                <w:rFonts w:ascii="Arial" w:hAnsi="Arial" w:cs="Arial"/>
                <w:sz w:val="20"/>
                <w:szCs w:val="20"/>
                <w:lang w:val="en-GB"/>
              </w:rPr>
              <w:t>We are looking to help increase understanding of the complex and valued role we play and listen to stakeholders’ views on how we could best carry out our brief in the future.</w:t>
            </w:r>
          </w:p>
          <w:p w14:paraId="67D59AB5" w14:textId="77777777" w:rsidR="0008457B" w:rsidRPr="0008457B" w:rsidRDefault="0008457B" w:rsidP="00886B74">
            <w:pPr>
              <w:pStyle w:val="NormalWeb"/>
              <w:spacing w:before="0" w:beforeAutospacing="0" w:after="0" w:afterAutospacing="0"/>
              <w:rPr>
                <w:rFonts w:ascii="Arial" w:hAnsi="Arial" w:cs="Arial"/>
                <w:sz w:val="20"/>
                <w:szCs w:val="20"/>
                <w:lang w:val="en-GB"/>
              </w:rPr>
            </w:pPr>
          </w:p>
          <w:p w14:paraId="089CF1D1" w14:textId="77777777" w:rsidR="0008457B" w:rsidRPr="0008457B" w:rsidRDefault="0008457B" w:rsidP="00886B74">
            <w:pPr>
              <w:pStyle w:val="NormalWeb"/>
              <w:spacing w:before="0" w:beforeAutospacing="0" w:after="0" w:afterAutospacing="0"/>
              <w:rPr>
                <w:rFonts w:ascii="Arial" w:hAnsi="Arial" w:cs="Arial"/>
                <w:sz w:val="20"/>
                <w:szCs w:val="20"/>
                <w:lang w:val="en-GB"/>
              </w:rPr>
            </w:pPr>
            <w:r w:rsidRPr="0008457B">
              <w:rPr>
                <w:rFonts w:ascii="Arial" w:hAnsi="Arial" w:cs="Arial"/>
                <w:sz w:val="20"/>
                <w:szCs w:val="20"/>
                <w:lang w:val="en-GB"/>
              </w:rPr>
              <w:t xml:space="preserve">Key elements of this project would be to review and suggest any improvements to existing ORR intelligence and strategy and advise and support on engagement opportunities, this may also involve a regional element. </w:t>
            </w:r>
          </w:p>
          <w:p w14:paraId="07F58D29" w14:textId="77777777" w:rsidR="0008457B" w:rsidRPr="0008457B" w:rsidRDefault="0008457B" w:rsidP="00886B74">
            <w:pPr>
              <w:pStyle w:val="NormalWeb"/>
              <w:spacing w:before="0" w:beforeAutospacing="0" w:after="0" w:afterAutospacing="0"/>
              <w:rPr>
                <w:rFonts w:ascii="Arial" w:hAnsi="Arial" w:cs="Arial"/>
                <w:sz w:val="20"/>
                <w:szCs w:val="20"/>
                <w:lang w:val="en-GB"/>
              </w:rPr>
            </w:pPr>
          </w:p>
          <w:p w14:paraId="72351424" w14:textId="77777777" w:rsidR="0008457B" w:rsidRPr="0008457B" w:rsidRDefault="0008457B" w:rsidP="00886B74">
            <w:pPr>
              <w:pStyle w:val="NormalWeb"/>
              <w:spacing w:before="0" w:beforeAutospacing="0" w:after="0" w:afterAutospacing="0"/>
              <w:rPr>
                <w:rFonts w:ascii="Arial" w:hAnsi="Arial" w:cs="Arial"/>
                <w:sz w:val="20"/>
                <w:szCs w:val="20"/>
                <w:lang w:val="en-GB"/>
              </w:rPr>
            </w:pPr>
            <w:r w:rsidRPr="0008457B">
              <w:rPr>
                <w:rFonts w:ascii="Arial" w:hAnsi="Arial" w:cs="Arial"/>
                <w:sz w:val="20"/>
                <w:szCs w:val="20"/>
                <w:lang w:val="en-GB"/>
              </w:rPr>
              <w:t>ORR will provide information pertaining to our priority stakeholders to the winning bidder.</w:t>
            </w:r>
          </w:p>
          <w:p w14:paraId="79529665" w14:textId="77777777" w:rsidR="0008457B" w:rsidRPr="0008457B" w:rsidRDefault="0008457B" w:rsidP="00886B74">
            <w:pPr>
              <w:pStyle w:val="NormalWeb"/>
              <w:spacing w:before="0" w:beforeAutospacing="0" w:after="0" w:afterAutospacing="0"/>
              <w:rPr>
                <w:rFonts w:ascii="Arial" w:hAnsi="Arial" w:cs="Arial"/>
                <w:sz w:val="20"/>
                <w:szCs w:val="20"/>
                <w:lang w:val="en-GB"/>
              </w:rPr>
            </w:pPr>
          </w:p>
          <w:p w14:paraId="7060A17E" w14:textId="77777777" w:rsidR="0008457B" w:rsidRPr="0008457B" w:rsidRDefault="0008457B" w:rsidP="00886B74">
            <w:pPr>
              <w:pStyle w:val="NormalWeb"/>
              <w:spacing w:before="0" w:beforeAutospacing="0" w:after="0" w:afterAutospacing="0"/>
              <w:rPr>
                <w:rFonts w:ascii="Arial" w:hAnsi="Arial" w:cs="Arial"/>
                <w:sz w:val="20"/>
                <w:szCs w:val="20"/>
                <w:lang w:val="en-GB"/>
              </w:rPr>
            </w:pPr>
            <w:r w:rsidRPr="0008457B">
              <w:rPr>
                <w:rFonts w:ascii="Arial" w:hAnsi="Arial" w:cs="Arial"/>
                <w:sz w:val="20"/>
                <w:szCs w:val="20"/>
              </w:rPr>
              <w:t>The nature of the project will mean this assignment remains fluid, and therefore the Supplier and the ORR project lead/head of external engagement, will necessarily work closely together.  The Supplier will need to demonstrate flexibility in assignment and delivery.</w:t>
            </w:r>
          </w:p>
          <w:p w14:paraId="462041E7" w14:textId="77777777" w:rsidR="0008457B" w:rsidRPr="0008457B" w:rsidRDefault="0008457B" w:rsidP="00886B74">
            <w:pPr>
              <w:rPr>
                <w:rFonts w:ascii="Arial" w:hAnsi="Arial" w:cs="Arial"/>
                <w:b/>
                <w:color w:val="FF0000"/>
              </w:rPr>
            </w:pPr>
          </w:p>
        </w:tc>
      </w:tr>
      <w:tr w:rsidR="0008457B" w:rsidRPr="0008457B" w14:paraId="6DAD41B3" w14:textId="77777777" w:rsidTr="0008457B">
        <w:trPr>
          <w:trHeight w:val="566"/>
        </w:trPr>
        <w:tc>
          <w:tcPr>
            <w:tcW w:w="9776" w:type="dxa"/>
            <w:shd w:val="clear" w:color="auto" w:fill="99CCFF"/>
          </w:tcPr>
          <w:p w14:paraId="672E1374" w14:textId="77777777" w:rsidR="0008457B" w:rsidRPr="0008457B" w:rsidRDefault="0008457B" w:rsidP="00886B74">
            <w:pPr>
              <w:rPr>
                <w:rFonts w:ascii="Arial" w:hAnsi="Arial" w:cs="Arial"/>
                <w:b/>
              </w:rPr>
            </w:pPr>
            <w:r w:rsidRPr="0008457B">
              <w:rPr>
                <w:rFonts w:ascii="Arial" w:hAnsi="Arial" w:cs="Arial"/>
                <w:b/>
              </w:rPr>
              <w:t xml:space="preserve">2.3 Project Outputs, Deliverables and Contract Management </w:t>
            </w:r>
          </w:p>
        </w:tc>
      </w:tr>
      <w:tr w:rsidR="0008457B" w:rsidRPr="0008457B" w14:paraId="1ADAA4F9" w14:textId="77777777" w:rsidTr="0008457B">
        <w:trPr>
          <w:trHeight w:val="566"/>
        </w:trPr>
        <w:tc>
          <w:tcPr>
            <w:tcW w:w="9776" w:type="dxa"/>
            <w:shd w:val="clear" w:color="auto" w:fill="auto"/>
          </w:tcPr>
          <w:p w14:paraId="2ABE53D5" w14:textId="77777777" w:rsidR="0008457B" w:rsidRPr="0008457B" w:rsidRDefault="0008457B" w:rsidP="00886B74">
            <w:pPr>
              <w:rPr>
                <w:rFonts w:ascii="Arial" w:hAnsi="Arial" w:cs="Arial"/>
                <w:b/>
              </w:rPr>
            </w:pPr>
            <w:r w:rsidRPr="0008457B">
              <w:rPr>
                <w:rFonts w:ascii="Arial" w:hAnsi="Arial" w:cs="Arial"/>
                <w:b/>
              </w:rPr>
              <w:t>Outputs and Deliverables</w:t>
            </w:r>
          </w:p>
          <w:p w14:paraId="62A2EA1E" w14:textId="77777777" w:rsidR="0008457B" w:rsidRPr="0008457B" w:rsidRDefault="0008457B" w:rsidP="0008457B">
            <w:pPr>
              <w:pStyle w:val="ListParagraph"/>
              <w:numPr>
                <w:ilvl w:val="0"/>
                <w:numId w:val="19"/>
              </w:numPr>
              <w:spacing w:after="0" w:line="240" w:lineRule="auto"/>
              <w:rPr>
                <w:rFonts w:ascii="Arial" w:hAnsi="Arial" w:cs="Arial"/>
                <w:b/>
                <w:sz w:val="20"/>
                <w:szCs w:val="20"/>
              </w:rPr>
            </w:pPr>
            <w:r w:rsidRPr="0008457B">
              <w:rPr>
                <w:rFonts w:ascii="Arial" w:hAnsi="Arial" w:cs="Arial"/>
                <w:sz w:val="20"/>
                <w:szCs w:val="20"/>
              </w:rPr>
              <w:t>Initial review of ORR communications strategy in this area and up to three briefing papers with recommendations in report.</w:t>
            </w:r>
          </w:p>
          <w:p w14:paraId="1EFC75A4" w14:textId="77777777" w:rsidR="0008457B" w:rsidRPr="0008457B" w:rsidRDefault="0008457B" w:rsidP="0008457B">
            <w:pPr>
              <w:pStyle w:val="ListParagraph"/>
              <w:numPr>
                <w:ilvl w:val="0"/>
                <w:numId w:val="19"/>
              </w:numPr>
              <w:spacing w:after="0" w:line="240" w:lineRule="auto"/>
              <w:rPr>
                <w:rFonts w:ascii="Arial" w:hAnsi="Arial" w:cs="Arial"/>
                <w:b/>
                <w:sz w:val="20"/>
                <w:szCs w:val="20"/>
              </w:rPr>
            </w:pPr>
            <w:r w:rsidRPr="0008457B">
              <w:rPr>
                <w:rFonts w:ascii="Arial" w:hAnsi="Arial" w:cs="Arial"/>
                <w:sz w:val="20"/>
                <w:szCs w:val="20"/>
              </w:rPr>
              <w:t>Contact timetable produced</w:t>
            </w:r>
          </w:p>
          <w:p w14:paraId="5639C7E7" w14:textId="77777777" w:rsidR="0008457B" w:rsidRPr="0008457B" w:rsidRDefault="0008457B" w:rsidP="0008457B">
            <w:pPr>
              <w:pStyle w:val="ListParagraph"/>
              <w:numPr>
                <w:ilvl w:val="0"/>
                <w:numId w:val="19"/>
              </w:numPr>
              <w:spacing w:after="0" w:line="240" w:lineRule="auto"/>
              <w:rPr>
                <w:rFonts w:ascii="Arial" w:hAnsi="Arial" w:cs="Arial"/>
                <w:b/>
                <w:sz w:val="20"/>
                <w:szCs w:val="20"/>
              </w:rPr>
            </w:pPr>
            <w:r w:rsidRPr="0008457B">
              <w:rPr>
                <w:rFonts w:ascii="Arial" w:hAnsi="Arial" w:cs="Arial"/>
                <w:sz w:val="20"/>
                <w:szCs w:val="20"/>
              </w:rPr>
              <w:t>Facilitation and fulfilment of engagement opportunities as agreed.</w:t>
            </w:r>
          </w:p>
          <w:p w14:paraId="01B6D305" w14:textId="77777777" w:rsidR="0008457B" w:rsidRPr="0008457B" w:rsidRDefault="0008457B" w:rsidP="00886B74">
            <w:pPr>
              <w:rPr>
                <w:rFonts w:ascii="Arial" w:hAnsi="Arial" w:cs="Arial"/>
              </w:rPr>
            </w:pPr>
          </w:p>
          <w:p w14:paraId="5DCA2215" w14:textId="77777777" w:rsidR="0008457B" w:rsidRPr="0008457B" w:rsidRDefault="0008457B" w:rsidP="00886B74">
            <w:pPr>
              <w:rPr>
                <w:rFonts w:ascii="Arial" w:hAnsi="Arial" w:cs="Arial"/>
              </w:rPr>
            </w:pPr>
            <w:r w:rsidRPr="0008457B">
              <w:rPr>
                <w:rFonts w:ascii="Arial" w:hAnsi="Arial" w:cs="Arial"/>
              </w:rPr>
              <w:t>The consultant is to deliver:</w:t>
            </w:r>
          </w:p>
          <w:p w14:paraId="2E8A7379" w14:textId="672244F8" w:rsidR="0008457B" w:rsidRPr="0008457B" w:rsidRDefault="0008457B" w:rsidP="0008457B">
            <w:pPr>
              <w:pStyle w:val="ListParagraph"/>
              <w:numPr>
                <w:ilvl w:val="0"/>
                <w:numId w:val="20"/>
              </w:numPr>
              <w:spacing w:after="240" w:line="240" w:lineRule="auto"/>
              <w:rPr>
                <w:rFonts w:ascii="Arial" w:hAnsi="Arial" w:cs="Arial"/>
                <w:sz w:val="20"/>
                <w:szCs w:val="20"/>
              </w:rPr>
            </w:pPr>
            <w:r w:rsidRPr="0008457B">
              <w:rPr>
                <w:rFonts w:ascii="Arial" w:hAnsi="Arial" w:cs="Arial"/>
                <w:sz w:val="20"/>
                <w:szCs w:val="20"/>
              </w:rPr>
              <w:t>Review of ORR communications strategy in this area and intelligence with a report on recommendations for any improvements that should be made</w:t>
            </w:r>
            <w:r>
              <w:rPr>
                <w:rFonts w:ascii="Arial" w:hAnsi="Arial" w:cs="Arial"/>
                <w:sz w:val="20"/>
                <w:szCs w:val="20"/>
              </w:rPr>
              <w:t xml:space="preserve"> (to be complete by 24 May 21)</w:t>
            </w:r>
            <w:r w:rsidRPr="0008457B">
              <w:rPr>
                <w:rFonts w:ascii="Arial" w:hAnsi="Arial" w:cs="Arial"/>
                <w:sz w:val="20"/>
                <w:szCs w:val="20"/>
              </w:rPr>
              <w:t>.</w:t>
            </w:r>
          </w:p>
          <w:p w14:paraId="107CAC65" w14:textId="5F05A15E" w:rsidR="0008457B" w:rsidRPr="0008457B" w:rsidRDefault="0008457B" w:rsidP="0008457B">
            <w:pPr>
              <w:pStyle w:val="ListParagraph"/>
              <w:numPr>
                <w:ilvl w:val="0"/>
                <w:numId w:val="20"/>
              </w:numPr>
              <w:spacing w:after="240" w:line="240" w:lineRule="auto"/>
              <w:rPr>
                <w:rFonts w:ascii="Arial" w:hAnsi="Arial" w:cs="Arial"/>
                <w:sz w:val="20"/>
                <w:szCs w:val="20"/>
              </w:rPr>
            </w:pPr>
            <w:r w:rsidRPr="0008457B">
              <w:rPr>
                <w:rFonts w:ascii="Arial" w:hAnsi="Arial" w:cs="Arial"/>
                <w:sz w:val="20"/>
                <w:szCs w:val="20"/>
              </w:rPr>
              <w:t>Suggestion of a contact timetable</w:t>
            </w:r>
            <w:r>
              <w:rPr>
                <w:rFonts w:ascii="Arial" w:hAnsi="Arial" w:cs="Arial"/>
                <w:sz w:val="20"/>
                <w:szCs w:val="20"/>
              </w:rPr>
              <w:t xml:space="preserve"> (to be complete by 26 Jul 21)</w:t>
            </w:r>
          </w:p>
          <w:p w14:paraId="19EE6474" w14:textId="77777777" w:rsidR="0008457B" w:rsidRPr="0008457B" w:rsidRDefault="0008457B" w:rsidP="0008457B">
            <w:pPr>
              <w:pStyle w:val="ListParagraph"/>
              <w:numPr>
                <w:ilvl w:val="0"/>
                <w:numId w:val="20"/>
              </w:numPr>
              <w:spacing w:after="240" w:line="240" w:lineRule="auto"/>
              <w:rPr>
                <w:rFonts w:ascii="Arial" w:hAnsi="Arial" w:cs="Arial"/>
                <w:sz w:val="20"/>
                <w:szCs w:val="20"/>
              </w:rPr>
            </w:pPr>
            <w:r w:rsidRPr="0008457B">
              <w:rPr>
                <w:rFonts w:ascii="Arial" w:hAnsi="Arial" w:cs="Arial"/>
                <w:sz w:val="20"/>
                <w:szCs w:val="20"/>
              </w:rPr>
              <w:t>Facilitation and fulfilment of selected engagement (contingent on the above)</w:t>
            </w:r>
          </w:p>
          <w:p w14:paraId="69906DBC" w14:textId="77777777" w:rsidR="0008457B" w:rsidRPr="0008457B" w:rsidRDefault="0008457B" w:rsidP="0008457B">
            <w:pPr>
              <w:pStyle w:val="ListParagraph"/>
              <w:numPr>
                <w:ilvl w:val="0"/>
                <w:numId w:val="20"/>
              </w:numPr>
              <w:spacing w:after="240" w:line="240" w:lineRule="auto"/>
              <w:rPr>
                <w:rFonts w:ascii="Arial" w:hAnsi="Arial" w:cs="Arial"/>
                <w:sz w:val="20"/>
                <w:szCs w:val="20"/>
              </w:rPr>
            </w:pPr>
            <w:r w:rsidRPr="0008457B">
              <w:rPr>
                <w:rFonts w:ascii="Arial" w:hAnsi="Arial" w:cs="Arial"/>
                <w:sz w:val="20"/>
                <w:szCs w:val="20"/>
              </w:rPr>
              <w:t>Monthly progress reports.</w:t>
            </w:r>
          </w:p>
          <w:p w14:paraId="64CEBCF5" w14:textId="77777777" w:rsidR="0008457B" w:rsidRPr="0008457B" w:rsidRDefault="0008457B" w:rsidP="0008457B">
            <w:pPr>
              <w:pStyle w:val="ListParagraph"/>
              <w:numPr>
                <w:ilvl w:val="0"/>
                <w:numId w:val="20"/>
              </w:numPr>
              <w:spacing w:after="240" w:line="240" w:lineRule="auto"/>
              <w:rPr>
                <w:rFonts w:ascii="Arial" w:hAnsi="Arial" w:cs="Arial"/>
                <w:sz w:val="20"/>
                <w:szCs w:val="20"/>
              </w:rPr>
            </w:pPr>
            <w:r w:rsidRPr="0008457B">
              <w:rPr>
                <w:rFonts w:ascii="Arial" w:hAnsi="Arial" w:cs="Arial"/>
                <w:sz w:val="20"/>
                <w:szCs w:val="20"/>
              </w:rPr>
              <w:t>Brief summary report at end of project</w:t>
            </w:r>
          </w:p>
          <w:p w14:paraId="6A33DFEA" w14:textId="77777777" w:rsidR="0008457B" w:rsidRPr="0008457B" w:rsidRDefault="0008457B" w:rsidP="00886B74">
            <w:pPr>
              <w:autoSpaceDE w:val="0"/>
              <w:autoSpaceDN w:val="0"/>
              <w:adjustRightInd w:val="0"/>
              <w:rPr>
                <w:rFonts w:ascii="Arial" w:hAnsi="Arial" w:cs="Arial"/>
                <w:color w:val="000000"/>
              </w:rPr>
            </w:pPr>
          </w:p>
          <w:p w14:paraId="6321F6D6" w14:textId="77777777" w:rsidR="0008457B" w:rsidRPr="0008457B" w:rsidRDefault="0008457B" w:rsidP="00886B74">
            <w:pPr>
              <w:autoSpaceDE w:val="0"/>
              <w:autoSpaceDN w:val="0"/>
              <w:adjustRightInd w:val="0"/>
              <w:rPr>
                <w:rFonts w:ascii="Arial" w:hAnsi="Arial" w:cs="Arial"/>
                <w:b/>
              </w:rPr>
            </w:pPr>
            <w:r w:rsidRPr="0008457B">
              <w:rPr>
                <w:rFonts w:ascii="Arial" w:hAnsi="Arial" w:cs="Arial"/>
                <w:b/>
              </w:rPr>
              <w:lastRenderedPageBreak/>
              <w:t>Contract Management Requirements</w:t>
            </w:r>
          </w:p>
          <w:p w14:paraId="29075FFD" w14:textId="77777777" w:rsidR="0008457B" w:rsidRPr="0008457B" w:rsidRDefault="0008457B" w:rsidP="00886B74">
            <w:pPr>
              <w:rPr>
                <w:rFonts w:ascii="Arial" w:hAnsi="Arial" w:cs="Arial"/>
              </w:rPr>
            </w:pPr>
            <w:r w:rsidRPr="0008457B">
              <w:rPr>
                <w:rFonts w:ascii="Arial" w:hAnsi="Arial" w:cs="Arial"/>
              </w:rPr>
              <w:t xml:space="preserve">With the required fluidity of the project, the contract shall require close contract management to ensure value for money is achieved. To aid this, there will be weekly progress calls; monthly reviews and previews; and a formal assessment of project status and progress approximately halfway through the project.  During the monthly reviews the task of facilitation and fulfilment of engagements shall be discussed and the supplier shall provide an estimate of resource for review and agreement before commencing work for the following month.  Where the supplier is likely to exceed any agreed estimate they shall discuss the matter with ORR for agreement on how to proceed.  The ORR shall not be liable for any additional costs where this prior agreement has not been sought.  </w:t>
            </w:r>
          </w:p>
          <w:p w14:paraId="1AFA2423" w14:textId="77777777" w:rsidR="0008457B" w:rsidRPr="0008457B" w:rsidRDefault="0008457B" w:rsidP="00886B74">
            <w:pPr>
              <w:rPr>
                <w:rFonts w:ascii="Arial" w:hAnsi="Arial" w:cs="Arial"/>
              </w:rPr>
            </w:pPr>
          </w:p>
          <w:p w14:paraId="0949012D" w14:textId="77777777" w:rsidR="0008457B" w:rsidRPr="0008457B" w:rsidRDefault="0008457B" w:rsidP="00886B74">
            <w:pPr>
              <w:autoSpaceDE w:val="0"/>
              <w:autoSpaceDN w:val="0"/>
              <w:adjustRightInd w:val="0"/>
              <w:rPr>
                <w:rFonts w:ascii="Arial" w:hAnsi="Arial" w:cs="Arial"/>
              </w:rPr>
            </w:pPr>
            <w:r w:rsidRPr="0008457B">
              <w:rPr>
                <w:rFonts w:ascii="Arial" w:hAnsi="Arial" w:cs="Arial"/>
              </w:rPr>
              <w:t xml:space="preserve">We anticipate three whole team meetings being required – 1. For kick off of project 2. Mid project progress  and 3. For presentation and review of results. </w:t>
            </w:r>
          </w:p>
          <w:p w14:paraId="50BEC023" w14:textId="77777777" w:rsidR="0008457B" w:rsidRPr="0008457B" w:rsidRDefault="0008457B" w:rsidP="00886B74">
            <w:pPr>
              <w:rPr>
                <w:rFonts w:ascii="Arial" w:hAnsi="Arial" w:cs="Arial"/>
              </w:rPr>
            </w:pPr>
          </w:p>
          <w:p w14:paraId="40DDDFAC" w14:textId="77777777" w:rsidR="0008457B" w:rsidRPr="0008457B" w:rsidRDefault="0008457B" w:rsidP="00886B74">
            <w:pPr>
              <w:rPr>
                <w:rFonts w:ascii="Arial" w:hAnsi="Arial" w:cs="Arial"/>
                <w:b/>
              </w:rPr>
            </w:pPr>
            <w:r w:rsidRPr="0008457B">
              <w:rPr>
                <w:rFonts w:ascii="Arial" w:hAnsi="Arial" w:cs="Arial"/>
              </w:rPr>
              <w:br/>
            </w:r>
          </w:p>
        </w:tc>
      </w:tr>
    </w:tbl>
    <w:p w14:paraId="1615D0A1" w14:textId="77777777" w:rsidR="006568B3" w:rsidRDefault="006568B3">
      <w:pPr>
        <w:jc w:val="both"/>
        <w:rPr>
          <w:rFonts w:ascii="Arial" w:hAnsi="Arial" w:cs="Arial"/>
          <w:u w:val="single"/>
        </w:rPr>
      </w:pPr>
    </w:p>
    <w:p w14:paraId="0B7B6229" w14:textId="77777777" w:rsidR="006568B3" w:rsidRDefault="006568B3">
      <w:pPr>
        <w:jc w:val="both"/>
        <w:rPr>
          <w:rFonts w:ascii="Arial" w:hAnsi="Arial" w:cs="Arial"/>
          <w:u w:val="single"/>
        </w:rPr>
      </w:pP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1F1AEE32" w:rsidR="006568B3" w:rsidRDefault="006568B3">
      <w:pPr>
        <w:jc w:val="center"/>
        <w:rPr>
          <w:rFonts w:ascii="Arial" w:hAnsi="Arial" w:cs="Arial"/>
          <w:b/>
          <w:bCs/>
          <w:szCs w:val="28"/>
          <w:u w:val="single"/>
        </w:rPr>
      </w:pPr>
    </w:p>
    <w:p w14:paraId="6730ADB5" w14:textId="5D48D46F" w:rsidR="00C6441F" w:rsidRDefault="00C6441F" w:rsidP="00C6441F">
      <w:pPr>
        <w:rPr>
          <w:rFonts w:ascii="Arial" w:hAnsi="Arial" w:cs="Arial"/>
          <w:szCs w:val="28"/>
        </w:rPr>
      </w:pPr>
      <w:r>
        <w:rPr>
          <w:rFonts w:ascii="Arial" w:hAnsi="Arial" w:cs="Arial"/>
          <w:szCs w:val="28"/>
        </w:rPr>
        <w:t xml:space="preserve">The following contract price and payment schedule </w:t>
      </w:r>
      <w:r w:rsidR="003C7C43">
        <w:rPr>
          <w:rFonts w:ascii="Arial" w:hAnsi="Arial" w:cs="Arial"/>
          <w:szCs w:val="28"/>
        </w:rPr>
        <w:t>shall apply</w:t>
      </w:r>
      <w:r>
        <w:rPr>
          <w:rFonts w:ascii="Arial" w:hAnsi="Arial" w:cs="Arial"/>
          <w:szCs w:val="28"/>
        </w:rPr>
        <w:t>:</w:t>
      </w:r>
    </w:p>
    <w:p w14:paraId="63C20055" w14:textId="77777777" w:rsidR="00C6441F" w:rsidRDefault="00C6441F">
      <w:pPr>
        <w:jc w:val="center"/>
        <w:rPr>
          <w:rFonts w:ascii="Arial" w:hAnsi="Arial" w:cs="Arial"/>
          <w:i/>
          <w:iCs/>
          <w:szCs w:val="22"/>
          <w:highlight w:val="yellow"/>
        </w:rPr>
      </w:pPr>
    </w:p>
    <w:tbl>
      <w:tblPr>
        <w:tblStyle w:val="TableGrid"/>
        <w:tblW w:w="0" w:type="auto"/>
        <w:tblLook w:val="04A0" w:firstRow="1" w:lastRow="0" w:firstColumn="1" w:lastColumn="0" w:noHBand="0" w:noVBand="1"/>
      </w:tblPr>
      <w:tblGrid>
        <w:gridCol w:w="562"/>
        <w:gridCol w:w="5856"/>
        <w:gridCol w:w="3210"/>
      </w:tblGrid>
      <w:tr w:rsidR="00C6441F" w:rsidRPr="00C6441F" w14:paraId="4CCAAF67" w14:textId="77777777" w:rsidTr="00C6441F">
        <w:tc>
          <w:tcPr>
            <w:tcW w:w="562" w:type="dxa"/>
          </w:tcPr>
          <w:p w14:paraId="3467C37C" w14:textId="6945D847" w:rsidR="00C6441F" w:rsidRPr="00C6441F" w:rsidRDefault="00C6441F" w:rsidP="00C6441F">
            <w:pPr>
              <w:rPr>
                <w:rFonts w:ascii="Arial" w:hAnsi="Arial" w:cs="Arial"/>
                <w:b/>
                <w:bCs/>
                <w:szCs w:val="22"/>
              </w:rPr>
            </w:pPr>
            <w:r w:rsidRPr="00C6441F">
              <w:rPr>
                <w:rFonts w:ascii="Arial" w:hAnsi="Arial" w:cs="Arial"/>
                <w:b/>
                <w:bCs/>
                <w:szCs w:val="22"/>
              </w:rPr>
              <w:t>No.</w:t>
            </w:r>
          </w:p>
        </w:tc>
        <w:tc>
          <w:tcPr>
            <w:tcW w:w="5856" w:type="dxa"/>
          </w:tcPr>
          <w:p w14:paraId="0BC32D03" w14:textId="11DCFC18" w:rsidR="00C6441F" w:rsidRPr="00C6441F" w:rsidRDefault="00C6441F" w:rsidP="00C6441F">
            <w:pPr>
              <w:rPr>
                <w:rFonts w:ascii="Arial" w:hAnsi="Arial" w:cs="Arial"/>
                <w:b/>
                <w:bCs/>
                <w:szCs w:val="22"/>
              </w:rPr>
            </w:pPr>
            <w:r w:rsidRPr="00C6441F">
              <w:rPr>
                <w:rFonts w:ascii="Arial" w:hAnsi="Arial" w:cs="Arial"/>
                <w:b/>
                <w:bCs/>
                <w:szCs w:val="22"/>
              </w:rPr>
              <w:t>Deliverable</w:t>
            </w:r>
          </w:p>
        </w:tc>
        <w:tc>
          <w:tcPr>
            <w:tcW w:w="3210" w:type="dxa"/>
          </w:tcPr>
          <w:p w14:paraId="59A29212" w14:textId="6F237DF4" w:rsidR="00C6441F" w:rsidRPr="00C6441F" w:rsidRDefault="00C6441F" w:rsidP="00C6441F">
            <w:pPr>
              <w:rPr>
                <w:rFonts w:ascii="Arial" w:hAnsi="Arial" w:cs="Arial"/>
                <w:b/>
                <w:bCs/>
                <w:szCs w:val="22"/>
              </w:rPr>
            </w:pPr>
            <w:r w:rsidRPr="00C6441F">
              <w:rPr>
                <w:rFonts w:ascii="Arial" w:hAnsi="Arial" w:cs="Arial"/>
                <w:b/>
                <w:bCs/>
                <w:szCs w:val="22"/>
              </w:rPr>
              <w:t>Price</w:t>
            </w:r>
          </w:p>
        </w:tc>
      </w:tr>
      <w:tr w:rsidR="00C6441F" w:rsidRPr="00C6441F" w14:paraId="0EB31823" w14:textId="77777777" w:rsidTr="00C6441F">
        <w:tc>
          <w:tcPr>
            <w:tcW w:w="562" w:type="dxa"/>
          </w:tcPr>
          <w:p w14:paraId="16B7EDB8" w14:textId="4709BEF2" w:rsidR="00C6441F" w:rsidRPr="00C6441F" w:rsidRDefault="00C6441F" w:rsidP="00C6441F">
            <w:pPr>
              <w:rPr>
                <w:rFonts w:ascii="Arial" w:hAnsi="Arial" w:cs="Arial"/>
                <w:szCs w:val="22"/>
              </w:rPr>
            </w:pPr>
            <w:r w:rsidRPr="00C6441F">
              <w:rPr>
                <w:rFonts w:ascii="Arial" w:hAnsi="Arial" w:cs="Arial"/>
                <w:szCs w:val="22"/>
              </w:rPr>
              <w:t>1</w:t>
            </w:r>
          </w:p>
        </w:tc>
        <w:tc>
          <w:tcPr>
            <w:tcW w:w="5856" w:type="dxa"/>
          </w:tcPr>
          <w:p w14:paraId="29276384" w14:textId="57F90194" w:rsidR="00C6441F" w:rsidRPr="00C6441F" w:rsidRDefault="00C6441F" w:rsidP="00C6441F">
            <w:pPr>
              <w:spacing w:after="240"/>
              <w:rPr>
                <w:rFonts w:ascii="Arial" w:hAnsi="Arial" w:cs="Arial"/>
              </w:rPr>
            </w:pPr>
            <w:r w:rsidRPr="00C6441F">
              <w:rPr>
                <w:rFonts w:ascii="Arial" w:hAnsi="Arial" w:cs="Arial"/>
              </w:rPr>
              <w:t>Review of ORR communications strategy in this area and intelligence with a report on recommendations for any improvements that should be made.</w:t>
            </w:r>
          </w:p>
        </w:tc>
        <w:tc>
          <w:tcPr>
            <w:tcW w:w="3210" w:type="dxa"/>
          </w:tcPr>
          <w:p w14:paraId="67219737" w14:textId="08EABDA6" w:rsidR="00C6441F" w:rsidRPr="00C6441F" w:rsidRDefault="005A36FA" w:rsidP="00C6441F">
            <w:pPr>
              <w:rPr>
                <w:rFonts w:ascii="Arial" w:hAnsi="Arial" w:cs="Arial"/>
                <w:szCs w:val="22"/>
              </w:rPr>
            </w:pPr>
            <w:r>
              <w:rPr>
                <w:rFonts w:ascii="Arial" w:hAnsi="Arial" w:cs="Arial"/>
                <w:szCs w:val="22"/>
              </w:rPr>
              <w:t>£xx</w:t>
            </w:r>
          </w:p>
        </w:tc>
      </w:tr>
      <w:tr w:rsidR="00C6441F" w:rsidRPr="00C6441F" w14:paraId="7841FFE6" w14:textId="77777777" w:rsidTr="00C6441F">
        <w:tc>
          <w:tcPr>
            <w:tcW w:w="562" w:type="dxa"/>
          </w:tcPr>
          <w:p w14:paraId="07B1B38F" w14:textId="6A07AAB9" w:rsidR="00C6441F" w:rsidRPr="00C6441F" w:rsidRDefault="00C6441F" w:rsidP="00C6441F">
            <w:pPr>
              <w:rPr>
                <w:rFonts w:ascii="Arial" w:hAnsi="Arial" w:cs="Arial"/>
                <w:szCs w:val="22"/>
              </w:rPr>
            </w:pPr>
            <w:r w:rsidRPr="00C6441F">
              <w:rPr>
                <w:rFonts w:ascii="Arial" w:hAnsi="Arial" w:cs="Arial"/>
                <w:szCs w:val="22"/>
              </w:rPr>
              <w:t>2</w:t>
            </w:r>
          </w:p>
        </w:tc>
        <w:tc>
          <w:tcPr>
            <w:tcW w:w="5856" w:type="dxa"/>
          </w:tcPr>
          <w:p w14:paraId="12EA4C1F" w14:textId="0C9954E1" w:rsidR="00C6441F" w:rsidRPr="00C6441F" w:rsidRDefault="00C6441F" w:rsidP="00C6441F">
            <w:pPr>
              <w:spacing w:after="240"/>
              <w:rPr>
                <w:rFonts w:ascii="Arial" w:hAnsi="Arial" w:cs="Arial"/>
              </w:rPr>
            </w:pPr>
            <w:r w:rsidRPr="00C6441F">
              <w:rPr>
                <w:rFonts w:ascii="Arial" w:hAnsi="Arial" w:cs="Arial"/>
              </w:rPr>
              <w:t>Suggestion of a contact timetable</w:t>
            </w:r>
            <w:r>
              <w:rPr>
                <w:rFonts w:ascii="Arial" w:hAnsi="Arial" w:cs="Arial"/>
              </w:rPr>
              <w:t xml:space="preserve"> (inc. Account Mgt Fee)</w:t>
            </w:r>
          </w:p>
          <w:p w14:paraId="47423B4F" w14:textId="77777777" w:rsidR="00C6441F" w:rsidRPr="00C6441F" w:rsidRDefault="00C6441F" w:rsidP="00C6441F">
            <w:pPr>
              <w:rPr>
                <w:rFonts w:ascii="Arial" w:hAnsi="Arial" w:cs="Arial"/>
                <w:szCs w:val="22"/>
              </w:rPr>
            </w:pPr>
          </w:p>
        </w:tc>
        <w:tc>
          <w:tcPr>
            <w:tcW w:w="3210" w:type="dxa"/>
          </w:tcPr>
          <w:p w14:paraId="52EA0EAE" w14:textId="73AEB6FD" w:rsidR="00C6441F" w:rsidRPr="00C6441F" w:rsidRDefault="00C6441F" w:rsidP="00C6441F">
            <w:pPr>
              <w:rPr>
                <w:rFonts w:ascii="Arial" w:hAnsi="Arial" w:cs="Arial"/>
                <w:szCs w:val="22"/>
              </w:rPr>
            </w:pPr>
            <w:r>
              <w:rPr>
                <w:rFonts w:ascii="Arial" w:hAnsi="Arial" w:cs="Arial"/>
                <w:szCs w:val="22"/>
              </w:rPr>
              <w:t>£</w:t>
            </w:r>
            <w:r w:rsidR="005A36FA">
              <w:rPr>
                <w:rFonts w:ascii="Arial" w:hAnsi="Arial" w:cs="Arial"/>
                <w:szCs w:val="22"/>
              </w:rPr>
              <w:t>xx</w:t>
            </w:r>
          </w:p>
        </w:tc>
      </w:tr>
      <w:tr w:rsidR="00C6441F" w:rsidRPr="00C6441F" w14:paraId="672FB1F6" w14:textId="77777777" w:rsidTr="00C6441F">
        <w:tc>
          <w:tcPr>
            <w:tcW w:w="562" w:type="dxa"/>
          </w:tcPr>
          <w:p w14:paraId="170320D4" w14:textId="2574EF42" w:rsidR="00C6441F" w:rsidRPr="00C6441F" w:rsidRDefault="00C6441F" w:rsidP="00C6441F">
            <w:pPr>
              <w:rPr>
                <w:rFonts w:ascii="Arial" w:hAnsi="Arial" w:cs="Arial"/>
                <w:szCs w:val="22"/>
              </w:rPr>
            </w:pPr>
            <w:r w:rsidRPr="00C6441F">
              <w:rPr>
                <w:rFonts w:ascii="Arial" w:hAnsi="Arial" w:cs="Arial"/>
                <w:szCs w:val="22"/>
              </w:rPr>
              <w:t>3</w:t>
            </w:r>
          </w:p>
        </w:tc>
        <w:tc>
          <w:tcPr>
            <w:tcW w:w="5856" w:type="dxa"/>
          </w:tcPr>
          <w:p w14:paraId="50C576AF" w14:textId="77777777" w:rsidR="00C6441F" w:rsidRPr="00C6441F" w:rsidRDefault="00C6441F" w:rsidP="00C6441F">
            <w:pPr>
              <w:spacing w:after="240"/>
              <w:rPr>
                <w:rFonts w:ascii="Arial" w:hAnsi="Arial" w:cs="Arial"/>
              </w:rPr>
            </w:pPr>
            <w:r w:rsidRPr="00C6441F">
              <w:rPr>
                <w:rFonts w:ascii="Arial" w:hAnsi="Arial" w:cs="Arial"/>
              </w:rPr>
              <w:t>Facilitation and fulfilment of selected engagement (contingent on the above)</w:t>
            </w:r>
          </w:p>
          <w:p w14:paraId="6E0F2BAC" w14:textId="77777777" w:rsidR="00C6441F" w:rsidRPr="00C6441F" w:rsidRDefault="00C6441F" w:rsidP="00C6441F">
            <w:pPr>
              <w:rPr>
                <w:rFonts w:ascii="Arial" w:hAnsi="Arial" w:cs="Arial"/>
                <w:szCs w:val="22"/>
              </w:rPr>
            </w:pPr>
          </w:p>
        </w:tc>
        <w:tc>
          <w:tcPr>
            <w:tcW w:w="3210" w:type="dxa"/>
          </w:tcPr>
          <w:p w14:paraId="570B4A56" w14:textId="5737468A" w:rsidR="00C6441F" w:rsidRPr="00C6441F" w:rsidRDefault="00C6441F" w:rsidP="00C6441F">
            <w:pPr>
              <w:rPr>
                <w:rFonts w:ascii="Arial" w:hAnsi="Arial" w:cs="Arial"/>
                <w:szCs w:val="22"/>
              </w:rPr>
            </w:pPr>
            <w:r>
              <w:rPr>
                <w:rFonts w:ascii="Arial" w:hAnsi="Arial" w:cs="Arial"/>
                <w:szCs w:val="22"/>
              </w:rPr>
              <w:t>TBA (using agreed day rates below)</w:t>
            </w:r>
          </w:p>
        </w:tc>
      </w:tr>
      <w:tr w:rsidR="00C6441F" w:rsidRPr="00C6441F" w14:paraId="241B5CB4" w14:textId="77777777" w:rsidTr="00C6441F">
        <w:tc>
          <w:tcPr>
            <w:tcW w:w="562" w:type="dxa"/>
          </w:tcPr>
          <w:p w14:paraId="13A99D15" w14:textId="77777777" w:rsidR="00C6441F" w:rsidRPr="00C6441F" w:rsidRDefault="00C6441F" w:rsidP="00C6441F">
            <w:pPr>
              <w:rPr>
                <w:rFonts w:ascii="Arial" w:hAnsi="Arial" w:cs="Arial"/>
                <w:szCs w:val="22"/>
              </w:rPr>
            </w:pPr>
          </w:p>
        </w:tc>
        <w:tc>
          <w:tcPr>
            <w:tcW w:w="5856" w:type="dxa"/>
          </w:tcPr>
          <w:p w14:paraId="6CFBF01D" w14:textId="7DFE18BD" w:rsidR="00C6441F" w:rsidRPr="00C6441F" w:rsidRDefault="00C6441F" w:rsidP="00C6441F">
            <w:pPr>
              <w:spacing w:after="240"/>
              <w:jc w:val="right"/>
              <w:rPr>
                <w:rFonts w:ascii="Arial" w:hAnsi="Arial" w:cs="Arial"/>
              </w:rPr>
            </w:pPr>
            <w:r>
              <w:rPr>
                <w:rFonts w:ascii="Arial" w:hAnsi="Arial" w:cs="Arial"/>
              </w:rPr>
              <w:t>Total</w:t>
            </w:r>
          </w:p>
        </w:tc>
        <w:tc>
          <w:tcPr>
            <w:tcW w:w="3210" w:type="dxa"/>
          </w:tcPr>
          <w:p w14:paraId="18377F4D" w14:textId="0CB77CE1" w:rsidR="00C6441F" w:rsidRPr="00C6441F" w:rsidRDefault="00C6441F" w:rsidP="00C6441F">
            <w:pPr>
              <w:rPr>
                <w:rFonts w:ascii="Arial" w:hAnsi="Arial" w:cs="Arial"/>
                <w:szCs w:val="22"/>
              </w:rPr>
            </w:pPr>
            <w:r>
              <w:rPr>
                <w:rFonts w:ascii="Arial" w:hAnsi="Arial" w:cs="Arial"/>
                <w:szCs w:val="22"/>
              </w:rPr>
              <w:t>£17,415.00</w:t>
            </w:r>
          </w:p>
        </w:tc>
      </w:tr>
    </w:tbl>
    <w:p w14:paraId="2545C54F" w14:textId="4ED1E5D4" w:rsidR="00C6441F" w:rsidRPr="00C6441F" w:rsidRDefault="00C6441F" w:rsidP="00C6441F">
      <w:pPr>
        <w:rPr>
          <w:rFonts w:ascii="Arial" w:hAnsi="Arial" w:cs="Arial"/>
          <w:szCs w:val="22"/>
          <w:highlight w:val="yellow"/>
        </w:rPr>
      </w:pPr>
    </w:p>
    <w:p w14:paraId="764837B6" w14:textId="77777777" w:rsidR="006568B3" w:rsidRDefault="006568B3">
      <w:pPr>
        <w:jc w:val="center"/>
        <w:rPr>
          <w:rFonts w:ascii="Arial" w:hAnsi="Arial" w:cs="Arial"/>
          <w:szCs w:val="22"/>
          <w:highlight w:val="yellow"/>
        </w:rPr>
      </w:pPr>
    </w:p>
    <w:p w14:paraId="02623577" w14:textId="77777777" w:rsidR="00C6441F" w:rsidRDefault="00C6441F" w:rsidP="00C6441F">
      <w:pPr>
        <w:ind w:hanging="4"/>
        <w:rPr>
          <w:rFonts w:ascii="Arial" w:hAnsi="Arial" w:cs="Arial"/>
          <w:szCs w:val="22"/>
        </w:rPr>
      </w:pPr>
      <w:r>
        <w:rPr>
          <w:rFonts w:ascii="Arial" w:hAnsi="Arial" w:cs="Arial"/>
          <w:szCs w:val="22"/>
        </w:rPr>
        <w:t>Payment shall be made upon completion and acceptance of each deliverable.</w:t>
      </w:r>
    </w:p>
    <w:p w14:paraId="68DC559B" w14:textId="77777777" w:rsidR="00C6441F" w:rsidRDefault="00C6441F" w:rsidP="00C6441F">
      <w:pPr>
        <w:ind w:hanging="4"/>
        <w:rPr>
          <w:rFonts w:ascii="Arial" w:hAnsi="Arial" w:cs="Arial"/>
          <w:szCs w:val="22"/>
        </w:rPr>
      </w:pPr>
    </w:p>
    <w:p w14:paraId="69E07335" w14:textId="55ECA960" w:rsidR="003C7C43" w:rsidRDefault="00C6441F" w:rsidP="00C6441F">
      <w:pPr>
        <w:ind w:hanging="4"/>
        <w:rPr>
          <w:rFonts w:ascii="Arial" w:hAnsi="Arial" w:cs="Arial"/>
          <w:szCs w:val="22"/>
        </w:rPr>
      </w:pPr>
      <w:r>
        <w:rPr>
          <w:rFonts w:ascii="Arial" w:hAnsi="Arial" w:cs="Arial"/>
          <w:szCs w:val="22"/>
        </w:rPr>
        <w:t xml:space="preserve">For the facilitation and fulfilment of the selected engagement (deliverable 3 above), the following agreed day rates </w:t>
      </w:r>
      <w:r w:rsidR="003C7C43">
        <w:rPr>
          <w:rFonts w:ascii="Arial" w:hAnsi="Arial" w:cs="Arial"/>
          <w:szCs w:val="22"/>
        </w:rPr>
        <w:t xml:space="preserve">(inclusive of all expenses) </w:t>
      </w:r>
      <w:r>
        <w:rPr>
          <w:rFonts w:ascii="Arial" w:hAnsi="Arial" w:cs="Arial"/>
          <w:szCs w:val="22"/>
        </w:rPr>
        <w:t>shall apply</w:t>
      </w:r>
      <w:r w:rsidR="003C7C43">
        <w:rPr>
          <w:rFonts w:ascii="Arial" w:hAnsi="Arial" w:cs="Arial"/>
          <w:szCs w:val="22"/>
        </w:rPr>
        <w:t>:</w:t>
      </w:r>
    </w:p>
    <w:p w14:paraId="62BBCB97" w14:textId="77777777" w:rsidR="003C7C43" w:rsidRDefault="003C7C43" w:rsidP="00C6441F">
      <w:pPr>
        <w:ind w:hanging="4"/>
        <w:rPr>
          <w:rFonts w:ascii="Arial" w:hAnsi="Arial" w:cs="Arial"/>
          <w:szCs w:val="22"/>
        </w:rPr>
      </w:pPr>
    </w:p>
    <w:tbl>
      <w:tblPr>
        <w:tblStyle w:val="TableGrid"/>
        <w:tblW w:w="0" w:type="auto"/>
        <w:tblLook w:val="04A0" w:firstRow="1" w:lastRow="0" w:firstColumn="1" w:lastColumn="0" w:noHBand="0" w:noVBand="1"/>
      </w:tblPr>
      <w:tblGrid>
        <w:gridCol w:w="562"/>
        <w:gridCol w:w="2694"/>
        <w:gridCol w:w="3210"/>
      </w:tblGrid>
      <w:tr w:rsidR="003C7C43" w:rsidRPr="003C7C43" w14:paraId="5A31307B" w14:textId="77777777" w:rsidTr="003C7C43">
        <w:tc>
          <w:tcPr>
            <w:tcW w:w="562" w:type="dxa"/>
          </w:tcPr>
          <w:p w14:paraId="4B5DB02C" w14:textId="26B6FBE2" w:rsidR="003C7C43" w:rsidRPr="003C7C43" w:rsidRDefault="003C7C43" w:rsidP="00C6441F">
            <w:pPr>
              <w:rPr>
                <w:rFonts w:ascii="Arial" w:hAnsi="Arial" w:cs="Arial"/>
                <w:b/>
                <w:bCs/>
              </w:rPr>
            </w:pPr>
            <w:r w:rsidRPr="003C7C43">
              <w:rPr>
                <w:rFonts w:ascii="Arial" w:hAnsi="Arial" w:cs="Arial"/>
                <w:b/>
                <w:bCs/>
              </w:rPr>
              <w:t>Ser</w:t>
            </w:r>
          </w:p>
        </w:tc>
        <w:tc>
          <w:tcPr>
            <w:tcW w:w="2694" w:type="dxa"/>
          </w:tcPr>
          <w:p w14:paraId="643C68B7" w14:textId="55C93413" w:rsidR="003C7C43" w:rsidRPr="003C7C43" w:rsidRDefault="003C7C43" w:rsidP="00C6441F">
            <w:pPr>
              <w:rPr>
                <w:rFonts w:ascii="Arial" w:hAnsi="Arial" w:cs="Arial"/>
                <w:b/>
                <w:bCs/>
              </w:rPr>
            </w:pPr>
            <w:r w:rsidRPr="003C7C43">
              <w:rPr>
                <w:rFonts w:ascii="Arial" w:hAnsi="Arial" w:cs="Arial"/>
                <w:b/>
                <w:bCs/>
              </w:rPr>
              <w:t>Type</w:t>
            </w:r>
          </w:p>
        </w:tc>
        <w:tc>
          <w:tcPr>
            <w:tcW w:w="3210" w:type="dxa"/>
          </w:tcPr>
          <w:p w14:paraId="7C8A216C" w14:textId="71B14836" w:rsidR="003C7C43" w:rsidRPr="003C7C43" w:rsidRDefault="003C7C43" w:rsidP="00C6441F">
            <w:pPr>
              <w:rPr>
                <w:rFonts w:ascii="Arial" w:hAnsi="Arial" w:cs="Arial"/>
                <w:b/>
                <w:bCs/>
              </w:rPr>
            </w:pPr>
            <w:r w:rsidRPr="003C7C43">
              <w:rPr>
                <w:rFonts w:ascii="Arial" w:hAnsi="Arial" w:cs="Arial"/>
                <w:b/>
                <w:bCs/>
              </w:rPr>
              <w:t>Day Rate</w:t>
            </w:r>
          </w:p>
        </w:tc>
      </w:tr>
      <w:tr w:rsidR="003C7C43" w:rsidRPr="003C7C43" w14:paraId="06665D2A" w14:textId="77777777" w:rsidTr="003C7C43">
        <w:tc>
          <w:tcPr>
            <w:tcW w:w="562" w:type="dxa"/>
          </w:tcPr>
          <w:p w14:paraId="0D4B84AA" w14:textId="20CAE32B" w:rsidR="003C7C43" w:rsidRPr="003C7C43" w:rsidRDefault="003C7C43" w:rsidP="00C6441F">
            <w:pPr>
              <w:rPr>
                <w:rFonts w:ascii="Arial" w:hAnsi="Arial" w:cs="Arial"/>
              </w:rPr>
            </w:pPr>
            <w:r>
              <w:rPr>
                <w:rFonts w:ascii="Arial" w:hAnsi="Arial" w:cs="Arial"/>
              </w:rPr>
              <w:t>1</w:t>
            </w:r>
          </w:p>
        </w:tc>
        <w:tc>
          <w:tcPr>
            <w:tcW w:w="2694" w:type="dxa"/>
          </w:tcPr>
          <w:p w14:paraId="252D2D73" w14:textId="1CA600C0" w:rsidR="003C7C43" w:rsidRPr="003C7C43" w:rsidRDefault="003C7C43" w:rsidP="00C6441F">
            <w:pPr>
              <w:rPr>
                <w:rFonts w:ascii="Arial" w:hAnsi="Arial" w:cs="Arial"/>
              </w:rPr>
            </w:pPr>
            <w:r w:rsidRPr="003C7C43">
              <w:rPr>
                <w:rFonts w:ascii="Arial" w:hAnsi="Arial" w:cs="Arial"/>
              </w:rPr>
              <w:t>Director/Partner</w:t>
            </w:r>
          </w:p>
        </w:tc>
        <w:tc>
          <w:tcPr>
            <w:tcW w:w="3210" w:type="dxa"/>
          </w:tcPr>
          <w:p w14:paraId="51355763" w14:textId="43A630E8" w:rsidR="003C7C43" w:rsidRPr="003C7C43" w:rsidRDefault="003C7C43" w:rsidP="00C6441F">
            <w:pPr>
              <w:rPr>
                <w:rFonts w:ascii="Arial" w:hAnsi="Arial" w:cs="Arial"/>
              </w:rPr>
            </w:pPr>
            <w:r>
              <w:rPr>
                <w:rFonts w:ascii="Arial" w:hAnsi="Arial" w:cs="Arial"/>
              </w:rPr>
              <w:t>£</w:t>
            </w:r>
            <w:r w:rsidR="005A36FA">
              <w:rPr>
                <w:rFonts w:ascii="Arial" w:hAnsi="Arial" w:cs="Arial"/>
              </w:rPr>
              <w:t>xx</w:t>
            </w:r>
          </w:p>
        </w:tc>
      </w:tr>
      <w:tr w:rsidR="003C7C43" w:rsidRPr="003C7C43" w14:paraId="3A946444" w14:textId="77777777" w:rsidTr="003C7C43">
        <w:tc>
          <w:tcPr>
            <w:tcW w:w="562" w:type="dxa"/>
          </w:tcPr>
          <w:p w14:paraId="2C1DCF74" w14:textId="79DA0867" w:rsidR="003C7C43" w:rsidRPr="003C7C43" w:rsidRDefault="003C7C43" w:rsidP="00C6441F">
            <w:pPr>
              <w:rPr>
                <w:rFonts w:ascii="Arial" w:hAnsi="Arial" w:cs="Arial"/>
              </w:rPr>
            </w:pPr>
            <w:r>
              <w:rPr>
                <w:rFonts w:ascii="Arial" w:hAnsi="Arial" w:cs="Arial"/>
              </w:rPr>
              <w:t>2</w:t>
            </w:r>
          </w:p>
        </w:tc>
        <w:tc>
          <w:tcPr>
            <w:tcW w:w="2694" w:type="dxa"/>
          </w:tcPr>
          <w:p w14:paraId="0EAC56C8" w14:textId="4FC6035B" w:rsidR="003C7C43" w:rsidRPr="003C7C43" w:rsidRDefault="003C7C43" w:rsidP="00C6441F">
            <w:pPr>
              <w:rPr>
                <w:rFonts w:ascii="Arial" w:hAnsi="Arial" w:cs="Arial"/>
              </w:rPr>
            </w:pPr>
            <w:r w:rsidRPr="003C7C43">
              <w:rPr>
                <w:rFonts w:ascii="Arial" w:hAnsi="Arial" w:cs="Arial"/>
              </w:rPr>
              <w:t>Managing Consultant</w:t>
            </w:r>
          </w:p>
        </w:tc>
        <w:tc>
          <w:tcPr>
            <w:tcW w:w="3210" w:type="dxa"/>
          </w:tcPr>
          <w:p w14:paraId="0489EEA2" w14:textId="46EDE029" w:rsidR="003C7C43" w:rsidRPr="003C7C43" w:rsidRDefault="003C7C43" w:rsidP="00C6441F">
            <w:pPr>
              <w:rPr>
                <w:rFonts w:ascii="Arial" w:hAnsi="Arial" w:cs="Arial"/>
              </w:rPr>
            </w:pPr>
          </w:p>
        </w:tc>
      </w:tr>
      <w:tr w:rsidR="003C7C43" w:rsidRPr="003C7C43" w14:paraId="160E5CDF" w14:textId="77777777" w:rsidTr="003C7C43">
        <w:tc>
          <w:tcPr>
            <w:tcW w:w="562" w:type="dxa"/>
          </w:tcPr>
          <w:p w14:paraId="69D74D02" w14:textId="0DA0344B" w:rsidR="003C7C43" w:rsidRPr="003C7C43" w:rsidRDefault="003C7C43" w:rsidP="00C6441F">
            <w:pPr>
              <w:rPr>
                <w:rFonts w:ascii="Arial" w:hAnsi="Arial" w:cs="Arial"/>
              </w:rPr>
            </w:pPr>
            <w:r>
              <w:rPr>
                <w:rFonts w:ascii="Arial" w:hAnsi="Arial" w:cs="Arial"/>
              </w:rPr>
              <w:t>3</w:t>
            </w:r>
          </w:p>
        </w:tc>
        <w:tc>
          <w:tcPr>
            <w:tcW w:w="2694" w:type="dxa"/>
          </w:tcPr>
          <w:p w14:paraId="03B22A6F" w14:textId="2DC60FEB" w:rsidR="003C7C43" w:rsidRPr="003C7C43" w:rsidRDefault="003C7C43" w:rsidP="00C6441F">
            <w:pPr>
              <w:rPr>
                <w:rFonts w:ascii="Arial" w:hAnsi="Arial" w:cs="Arial"/>
              </w:rPr>
            </w:pPr>
            <w:r w:rsidRPr="003C7C43">
              <w:rPr>
                <w:rFonts w:ascii="Arial" w:hAnsi="Arial" w:cs="Arial"/>
              </w:rPr>
              <w:t>Principal Consultant</w:t>
            </w:r>
          </w:p>
        </w:tc>
        <w:tc>
          <w:tcPr>
            <w:tcW w:w="3210" w:type="dxa"/>
          </w:tcPr>
          <w:p w14:paraId="65129C98" w14:textId="7789CD33" w:rsidR="003C7C43" w:rsidRPr="003C7C43" w:rsidRDefault="003C7C43" w:rsidP="00C6441F">
            <w:pPr>
              <w:rPr>
                <w:rFonts w:ascii="Arial" w:hAnsi="Arial" w:cs="Arial"/>
              </w:rPr>
            </w:pPr>
            <w:r>
              <w:rPr>
                <w:rFonts w:ascii="Arial" w:hAnsi="Arial" w:cs="Arial"/>
              </w:rPr>
              <w:t>£</w:t>
            </w:r>
            <w:r w:rsidR="005A36FA">
              <w:rPr>
                <w:rFonts w:ascii="Arial" w:hAnsi="Arial" w:cs="Arial"/>
              </w:rPr>
              <w:t>xx</w:t>
            </w:r>
          </w:p>
        </w:tc>
      </w:tr>
      <w:tr w:rsidR="003C7C43" w:rsidRPr="003C7C43" w14:paraId="6AF3C3CD" w14:textId="77777777" w:rsidTr="003C7C43">
        <w:tc>
          <w:tcPr>
            <w:tcW w:w="562" w:type="dxa"/>
          </w:tcPr>
          <w:p w14:paraId="400D8ED5" w14:textId="26207EEF" w:rsidR="003C7C43" w:rsidRPr="003C7C43" w:rsidRDefault="003C7C43" w:rsidP="00C6441F">
            <w:pPr>
              <w:rPr>
                <w:rFonts w:ascii="Arial" w:hAnsi="Arial" w:cs="Arial"/>
              </w:rPr>
            </w:pPr>
            <w:r>
              <w:rPr>
                <w:rFonts w:ascii="Arial" w:hAnsi="Arial" w:cs="Arial"/>
              </w:rPr>
              <w:t>4</w:t>
            </w:r>
          </w:p>
        </w:tc>
        <w:tc>
          <w:tcPr>
            <w:tcW w:w="2694" w:type="dxa"/>
          </w:tcPr>
          <w:p w14:paraId="632D6794" w14:textId="70872246" w:rsidR="003C7C43" w:rsidRPr="003C7C43" w:rsidRDefault="003C7C43" w:rsidP="00C6441F">
            <w:pPr>
              <w:rPr>
                <w:rFonts w:ascii="Arial" w:hAnsi="Arial" w:cs="Arial"/>
              </w:rPr>
            </w:pPr>
            <w:r w:rsidRPr="003C7C43">
              <w:rPr>
                <w:rFonts w:ascii="Arial" w:hAnsi="Arial" w:cs="Arial"/>
              </w:rPr>
              <w:t>Senior Consultant</w:t>
            </w:r>
          </w:p>
        </w:tc>
        <w:tc>
          <w:tcPr>
            <w:tcW w:w="3210" w:type="dxa"/>
          </w:tcPr>
          <w:p w14:paraId="5FEB8FAD" w14:textId="0B0C1EB6" w:rsidR="003C7C43" w:rsidRPr="003C7C43" w:rsidRDefault="003C7C43" w:rsidP="00C6441F">
            <w:pPr>
              <w:rPr>
                <w:rFonts w:ascii="Arial" w:hAnsi="Arial" w:cs="Arial"/>
              </w:rPr>
            </w:pPr>
            <w:r>
              <w:rPr>
                <w:rFonts w:ascii="Arial" w:hAnsi="Arial" w:cs="Arial"/>
              </w:rPr>
              <w:t>£</w:t>
            </w:r>
            <w:r w:rsidR="005A36FA">
              <w:rPr>
                <w:rFonts w:ascii="Arial" w:hAnsi="Arial" w:cs="Arial"/>
              </w:rPr>
              <w:t>xx</w:t>
            </w:r>
          </w:p>
        </w:tc>
      </w:tr>
      <w:tr w:rsidR="003C7C43" w:rsidRPr="003C7C43" w14:paraId="7C1CB416" w14:textId="77777777" w:rsidTr="003C7C43">
        <w:tc>
          <w:tcPr>
            <w:tcW w:w="562" w:type="dxa"/>
          </w:tcPr>
          <w:p w14:paraId="24AB7527" w14:textId="1DF09F5B" w:rsidR="003C7C43" w:rsidRPr="003C7C43" w:rsidRDefault="003C7C43" w:rsidP="00C6441F">
            <w:pPr>
              <w:rPr>
                <w:rFonts w:ascii="Arial" w:hAnsi="Arial" w:cs="Arial"/>
              </w:rPr>
            </w:pPr>
            <w:r>
              <w:rPr>
                <w:rFonts w:ascii="Arial" w:hAnsi="Arial" w:cs="Arial"/>
              </w:rPr>
              <w:t>5</w:t>
            </w:r>
          </w:p>
        </w:tc>
        <w:tc>
          <w:tcPr>
            <w:tcW w:w="2694" w:type="dxa"/>
          </w:tcPr>
          <w:p w14:paraId="60BA1F60" w14:textId="4B363740" w:rsidR="003C7C43" w:rsidRPr="003C7C43" w:rsidRDefault="003C7C43" w:rsidP="00C6441F">
            <w:pPr>
              <w:rPr>
                <w:rFonts w:ascii="Arial" w:hAnsi="Arial" w:cs="Arial"/>
              </w:rPr>
            </w:pPr>
            <w:r w:rsidRPr="003C7C43">
              <w:rPr>
                <w:rFonts w:ascii="Arial" w:hAnsi="Arial" w:cs="Arial"/>
              </w:rPr>
              <w:t>Consultant</w:t>
            </w:r>
          </w:p>
        </w:tc>
        <w:tc>
          <w:tcPr>
            <w:tcW w:w="3210" w:type="dxa"/>
          </w:tcPr>
          <w:p w14:paraId="5F528748" w14:textId="5D2BF2C0" w:rsidR="003C7C43" w:rsidRPr="003C7C43" w:rsidRDefault="003C7C43" w:rsidP="00C6441F">
            <w:pPr>
              <w:rPr>
                <w:rFonts w:ascii="Arial" w:hAnsi="Arial" w:cs="Arial"/>
              </w:rPr>
            </w:pPr>
          </w:p>
        </w:tc>
      </w:tr>
      <w:tr w:rsidR="003C7C43" w:rsidRPr="003C7C43" w14:paraId="64D0AEA0" w14:textId="77777777" w:rsidTr="003C7C43">
        <w:tc>
          <w:tcPr>
            <w:tcW w:w="562" w:type="dxa"/>
          </w:tcPr>
          <w:p w14:paraId="7435B583" w14:textId="1519C66E" w:rsidR="003C7C43" w:rsidRPr="003C7C43" w:rsidRDefault="003C7C43" w:rsidP="00C6441F">
            <w:pPr>
              <w:rPr>
                <w:rFonts w:ascii="Arial" w:hAnsi="Arial" w:cs="Arial"/>
              </w:rPr>
            </w:pPr>
            <w:r>
              <w:rPr>
                <w:rFonts w:ascii="Arial" w:hAnsi="Arial" w:cs="Arial"/>
              </w:rPr>
              <w:t>6</w:t>
            </w:r>
          </w:p>
        </w:tc>
        <w:tc>
          <w:tcPr>
            <w:tcW w:w="2694" w:type="dxa"/>
          </w:tcPr>
          <w:p w14:paraId="4B8156CE" w14:textId="13A7E97D" w:rsidR="003C7C43" w:rsidRPr="003C7C43" w:rsidRDefault="003C7C43" w:rsidP="003C7C43">
            <w:pPr>
              <w:rPr>
                <w:rFonts w:ascii="Arial" w:hAnsi="Arial" w:cs="Arial"/>
              </w:rPr>
            </w:pPr>
            <w:r w:rsidRPr="003C7C43">
              <w:rPr>
                <w:rFonts w:ascii="Arial" w:hAnsi="Arial" w:cs="Arial"/>
              </w:rPr>
              <w:t>Junior consultant</w:t>
            </w:r>
          </w:p>
        </w:tc>
        <w:tc>
          <w:tcPr>
            <w:tcW w:w="3210" w:type="dxa"/>
          </w:tcPr>
          <w:p w14:paraId="3BEBEC30" w14:textId="31FAAB1B" w:rsidR="003C7C43" w:rsidRPr="003C7C43" w:rsidRDefault="003C7C43" w:rsidP="00C6441F">
            <w:pPr>
              <w:rPr>
                <w:rFonts w:ascii="Arial" w:hAnsi="Arial" w:cs="Arial"/>
              </w:rPr>
            </w:pPr>
            <w:r>
              <w:rPr>
                <w:rFonts w:ascii="Arial" w:hAnsi="Arial" w:cs="Arial"/>
              </w:rPr>
              <w:t>£</w:t>
            </w:r>
            <w:r w:rsidR="005A36FA">
              <w:rPr>
                <w:rFonts w:ascii="Arial" w:hAnsi="Arial" w:cs="Arial"/>
              </w:rPr>
              <w:t>xx</w:t>
            </w:r>
          </w:p>
        </w:tc>
      </w:tr>
    </w:tbl>
    <w:p w14:paraId="69A5997F" w14:textId="77777777" w:rsidR="003C7C43" w:rsidRDefault="003C7C43" w:rsidP="00C6441F">
      <w:pPr>
        <w:ind w:hanging="4"/>
        <w:rPr>
          <w:rFonts w:ascii="Arial" w:hAnsi="Arial" w:cs="Arial"/>
          <w:szCs w:val="22"/>
        </w:rPr>
      </w:pPr>
    </w:p>
    <w:p w14:paraId="0B9BC2B4" w14:textId="77777777" w:rsidR="003C7C43" w:rsidRDefault="003C7C43" w:rsidP="00C6441F">
      <w:pPr>
        <w:ind w:hanging="4"/>
        <w:rPr>
          <w:rFonts w:ascii="Arial" w:hAnsi="Arial" w:cs="Arial"/>
          <w:szCs w:val="22"/>
        </w:rPr>
      </w:pPr>
    </w:p>
    <w:p w14:paraId="4582563C" w14:textId="77777777" w:rsidR="003C7C43" w:rsidRDefault="003C7C43" w:rsidP="00C6441F">
      <w:pPr>
        <w:ind w:hanging="4"/>
        <w:rPr>
          <w:rFonts w:ascii="Arial" w:hAnsi="Arial" w:cs="Arial"/>
          <w:szCs w:val="22"/>
        </w:rPr>
      </w:pPr>
    </w:p>
    <w:p w14:paraId="29C7A798" w14:textId="6B12598E" w:rsidR="003C7C43" w:rsidRDefault="003C7C43" w:rsidP="00C6441F">
      <w:pPr>
        <w:ind w:hanging="4"/>
        <w:rPr>
          <w:rFonts w:ascii="Arial" w:hAnsi="Arial" w:cs="Arial"/>
          <w:szCs w:val="22"/>
        </w:rPr>
      </w:pPr>
      <w:r>
        <w:rPr>
          <w:rFonts w:ascii="Arial" w:hAnsi="Arial" w:cs="Arial"/>
          <w:szCs w:val="22"/>
        </w:rPr>
        <w:t>The agreement of each task shall be in accordnace with the contract management as set out in Schedule 2 above.</w:t>
      </w:r>
    </w:p>
    <w:p w14:paraId="70F0A741" w14:textId="77777777" w:rsidR="003C7C43" w:rsidRDefault="003C7C43" w:rsidP="00C6441F">
      <w:pPr>
        <w:ind w:hanging="4"/>
        <w:rPr>
          <w:rFonts w:ascii="Arial" w:hAnsi="Arial" w:cs="Arial"/>
          <w:szCs w:val="22"/>
        </w:rPr>
      </w:pPr>
    </w:p>
    <w:p w14:paraId="4B8E4AAF" w14:textId="42DE9B17" w:rsidR="006568B3" w:rsidRDefault="006568B3" w:rsidP="00C6441F">
      <w:pPr>
        <w:ind w:hanging="4"/>
        <w:rPr>
          <w:rFonts w:ascii="Arial" w:hAnsi="Arial" w:cs="Arial"/>
          <w:szCs w:val="22"/>
        </w:rPr>
      </w:pP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2DBE4106" w:rsidR="006568B3" w:rsidRDefault="00413877" w:rsidP="00413877">
      <w:pPr>
        <w:rPr>
          <w:rFonts w:ascii="Arial" w:hAnsi="Arial" w:cs="Arial"/>
          <w:szCs w:val="22"/>
        </w:rPr>
      </w:pPr>
      <w:r>
        <w:rPr>
          <w:rFonts w:ascii="Arial" w:hAnsi="Arial" w:cs="Arial"/>
          <w:i/>
          <w:iCs/>
          <w:szCs w:val="22"/>
        </w:rPr>
        <w:t>TBA</w:t>
      </w:r>
      <w:r w:rsidR="006568B3">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tbl>
      <w:tblPr>
        <w:tblStyle w:val="TableGrid"/>
        <w:tblW w:w="0" w:type="auto"/>
        <w:tblLook w:val="04A0" w:firstRow="1" w:lastRow="0" w:firstColumn="1" w:lastColumn="0" w:noHBand="0" w:noVBand="1"/>
      </w:tblPr>
      <w:tblGrid>
        <w:gridCol w:w="562"/>
        <w:gridCol w:w="3828"/>
        <w:gridCol w:w="5238"/>
      </w:tblGrid>
      <w:tr w:rsidR="00CE5FDC" w:rsidRPr="00CE5FDC" w14:paraId="3F2676EC" w14:textId="77777777" w:rsidTr="00CE5FDC">
        <w:tc>
          <w:tcPr>
            <w:tcW w:w="562" w:type="dxa"/>
          </w:tcPr>
          <w:p w14:paraId="2F697175" w14:textId="0F2A16F8" w:rsidR="00CE5FDC" w:rsidRPr="00CE5FDC" w:rsidRDefault="00CE5FDC" w:rsidP="003C7C43">
            <w:pPr>
              <w:rPr>
                <w:rFonts w:ascii="Arial" w:hAnsi="Arial" w:cs="Arial"/>
                <w:b/>
                <w:bCs/>
                <w:szCs w:val="22"/>
              </w:rPr>
            </w:pPr>
            <w:r w:rsidRPr="00CE5FDC">
              <w:rPr>
                <w:rFonts w:ascii="Arial" w:hAnsi="Arial" w:cs="Arial"/>
                <w:b/>
                <w:bCs/>
                <w:szCs w:val="22"/>
              </w:rPr>
              <w:t>Ser</w:t>
            </w:r>
          </w:p>
        </w:tc>
        <w:tc>
          <w:tcPr>
            <w:tcW w:w="3828" w:type="dxa"/>
          </w:tcPr>
          <w:p w14:paraId="7B325C3C" w14:textId="597C49F5" w:rsidR="00CE5FDC" w:rsidRPr="00CE5FDC" w:rsidRDefault="00CE5FDC" w:rsidP="003C7C43">
            <w:pPr>
              <w:rPr>
                <w:rFonts w:ascii="Arial" w:hAnsi="Arial" w:cs="Arial"/>
                <w:b/>
                <w:bCs/>
                <w:szCs w:val="22"/>
              </w:rPr>
            </w:pPr>
            <w:r w:rsidRPr="00CE5FDC">
              <w:rPr>
                <w:rFonts w:ascii="Arial" w:hAnsi="Arial" w:cs="Arial"/>
                <w:b/>
                <w:bCs/>
                <w:szCs w:val="22"/>
              </w:rPr>
              <w:t>Name</w:t>
            </w:r>
          </w:p>
        </w:tc>
        <w:tc>
          <w:tcPr>
            <w:tcW w:w="5238" w:type="dxa"/>
          </w:tcPr>
          <w:p w14:paraId="5609559E" w14:textId="3C5CEF8C" w:rsidR="00CE5FDC" w:rsidRPr="00CE5FDC" w:rsidRDefault="00CE5FDC" w:rsidP="003C7C43">
            <w:pPr>
              <w:rPr>
                <w:rFonts w:ascii="Arial" w:hAnsi="Arial" w:cs="Arial"/>
                <w:b/>
                <w:bCs/>
                <w:szCs w:val="22"/>
              </w:rPr>
            </w:pPr>
            <w:r w:rsidRPr="00CE5FDC">
              <w:rPr>
                <w:rFonts w:ascii="Arial" w:hAnsi="Arial" w:cs="Arial"/>
                <w:b/>
                <w:bCs/>
                <w:szCs w:val="22"/>
              </w:rPr>
              <w:t>Role</w:t>
            </w:r>
          </w:p>
        </w:tc>
      </w:tr>
      <w:tr w:rsidR="00CE5FDC" w:rsidRPr="00CE5FDC" w14:paraId="13E4D7D3" w14:textId="77777777" w:rsidTr="00CE5FDC">
        <w:tc>
          <w:tcPr>
            <w:tcW w:w="562" w:type="dxa"/>
          </w:tcPr>
          <w:p w14:paraId="41AD247C" w14:textId="296F87F0" w:rsidR="00CE5FDC" w:rsidRPr="00CE5FDC" w:rsidRDefault="00CE5FDC" w:rsidP="003C7C43">
            <w:pPr>
              <w:rPr>
                <w:rFonts w:ascii="Arial" w:hAnsi="Arial" w:cs="Arial"/>
                <w:i/>
                <w:iCs/>
                <w:szCs w:val="22"/>
              </w:rPr>
            </w:pPr>
            <w:r w:rsidRPr="00CE5FDC">
              <w:rPr>
                <w:rFonts w:ascii="Arial" w:hAnsi="Arial" w:cs="Arial"/>
                <w:i/>
                <w:iCs/>
                <w:szCs w:val="22"/>
              </w:rPr>
              <w:t>1</w:t>
            </w:r>
          </w:p>
        </w:tc>
        <w:tc>
          <w:tcPr>
            <w:tcW w:w="3828" w:type="dxa"/>
          </w:tcPr>
          <w:p w14:paraId="2A5D8057" w14:textId="62928FB9" w:rsidR="00CE5FDC" w:rsidRPr="00CE5FDC" w:rsidRDefault="005A36FA" w:rsidP="003C7C43">
            <w:pPr>
              <w:rPr>
                <w:rFonts w:ascii="Arial" w:hAnsi="Arial" w:cs="Arial"/>
                <w:i/>
                <w:iCs/>
                <w:szCs w:val="22"/>
              </w:rPr>
            </w:pPr>
            <w:r>
              <w:rPr>
                <w:rFonts w:ascii="Arial" w:hAnsi="Arial" w:cs="Arial"/>
              </w:rPr>
              <w:t>xx</w:t>
            </w:r>
          </w:p>
        </w:tc>
        <w:tc>
          <w:tcPr>
            <w:tcW w:w="5238" w:type="dxa"/>
          </w:tcPr>
          <w:p w14:paraId="60115488" w14:textId="54EA27A5" w:rsidR="00CE5FDC" w:rsidRPr="00CE5FDC" w:rsidRDefault="00CE5FDC" w:rsidP="003C7C43">
            <w:pPr>
              <w:rPr>
                <w:rFonts w:ascii="Arial" w:hAnsi="Arial" w:cs="Arial"/>
                <w:i/>
                <w:iCs/>
                <w:szCs w:val="22"/>
              </w:rPr>
            </w:pPr>
            <w:r w:rsidRPr="00CE5FDC">
              <w:rPr>
                <w:rFonts w:ascii="Arial" w:hAnsi="Arial" w:cs="Arial"/>
              </w:rPr>
              <w:t>Senior Advisor / Chief Executive</w:t>
            </w:r>
          </w:p>
        </w:tc>
      </w:tr>
      <w:tr w:rsidR="00CE5FDC" w:rsidRPr="00CE5FDC" w14:paraId="547ABB29" w14:textId="77777777" w:rsidTr="00CE5FDC">
        <w:tc>
          <w:tcPr>
            <w:tcW w:w="562" w:type="dxa"/>
          </w:tcPr>
          <w:p w14:paraId="4D387B24" w14:textId="3BCA1D76" w:rsidR="00CE5FDC" w:rsidRPr="00CE5FDC" w:rsidRDefault="00CE5FDC" w:rsidP="003C7C43">
            <w:pPr>
              <w:rPr>
                <w:rFonts w:ascii="Arial" w:hAnsi="Arial" w:cs="Arial"/>
                <w:i/>
                <w:iCs/>
                <w:szCs w:val="22"/>
              </w:rPr>
            </w:pPr>
            <w:r w:rsidRPr="00CE5FDC">
              <w:rPr>
                <w:rFonts w:ascii="Arial" w:hAnsi="Arial" w:cs="Arial"/>
                <w:i/>
                <w:iCs/>
                <w:szCs w:val="22"/>
              </w:rPr>
              <w:t>2</w:t>
            </w:r>
          </w:p>
        </w:tc>
        <w:tc>
          <w:tcPr>
            <w:tcW w:w="3828" w:type="dxa"/>
          </w:tcPr>
          <w:p w14:paraId="0AD8E47B" w14:textId="334FF6E2" w:rsidR="00CE5FDC" w:rsidRPr="00CE5FDC" w:rsidRDefault="005A36FA" w:rsidP="003C7C43">
            <w:pPr>
              <w:rPr>
                <w:rFonts w:ascii="Arial" w:hAnsi="Arial" w:cs="Arial"/>
                <w:i/>
                <w:iCs/>
                <w:szCs w:val="22"/>
              </w:rPr>
            </w:pPr>
            <w:r>
              <w:rPr>
                <w:rFonts w:ascii="Arial" w:hAnsi="Arial" w:cs="Arial"/>
              </w:rPr>
              <w:t>xx</w:t>
            </w:r>
          </w:p>
        </w:tc>
        <w:tc>
          <w:tcPr>
            <w:tcW w:w="5238" w:type="dxa"/>
          </w:tcPr>
          <w:p w14:paraId="3DC1F257" w14:textId="0F31E54B" w:rsidR="00CE5FDC" w:rsidRPr="00CE5FDC" w:rsidRDefault="00CE5FDC" w:rsidP="003C7C43">
            <w:pPr>
              <w:rPr>
                <w:rFonts w:ascii="Arial" w:hAnsi="Arial" w:cs="Arial"/>
                <w:i/>
                <w:iCs/>
                <w:szCs w:val="22"/>
              </w:rPr>
            </w:pPr>
            <w:r w:rsidRPr="00CE5FDC">
              <w:rPr>
                <w:rFonts w:ascii="Arial" w:hAnsi="Arial" w:cs="Arial"/>
              </w:rPr>
              <w:t>Director</w:t>
            </w:r>
          </w:p>
        </w:tc>
      </w:tr>
      <w:tr w:rsidR="00CE5FDC" w:rsidRPr="00CE5FDC" w14:paraId="4731A0BC" w14:textId="77777777" w:rsidTr="00CE5FDC">
        <w:tc>
          <w:tcPr>
            <w:tcW w:w="562" w:type="dxa"/>
          </w:tcPr>
          <w:p w14:paraId="036AFFA5" w14:textId="54349EB2" w:rsidR="00CE5FDC" w:rsidRPr="00CE5FDC" w:rsidRDefault="00CE5FDC" w:rsidP="003C7C43">
            <w:pPr>
              <w:rPr>
                <w:rFonts w:ascii="Arial" w:hAnsi="Arial" w:cs="Arial"/>
                <w:i/>
                <w:iCs/>
                <w:szCs w:val="22"/>
              </w:rPr>
            </w:pPr>
            <w:r w:rsidRPr="00CE5FDC">
              <w:rPr>
                <w:rFonts w:ascii="Arial" w:hAnsi="Arial" w:cs="Arial"/>
                <w:i/>
                <w:iCs/>
                <w:szCs w:val="22"/>
              </w:rPr>
              <w:t>3</w:t>
            </w:r>
          </w:p>
        </w:tc>
        <w:tc>
          <w:tcPr>
            <w:tcW w:w="3828" w:type="dxa"/>
          </w:tcPr>
          <w:p w14:paraId="3ADE180F" w14:textId="3C64E419" w:rsidR="00CE5FDC" w:rsidRPr="00CE5FDC" w:rsidRDefault="005A36FA" w:rsidP="003C7C43">
            <w:pPr>
              <w:rPr>
                <w:rFonts w:ascii="Arial" w:hAnsi="Arial" w:cs="Arial"/>
                <w:i/>
                <w:iCs/>
                <w:szCs w:val="22"/>
              </w:rPr>
            </w:pPr>
            <w:r>
              <w:rPr>
                <w:rFonts w:ascii="Arial" w:hAnsi="Arial" w:cs="Arial"/>
              </w:rPr>
              <w:t>xx</w:t>
            </w:r>
          </w:p>
        </w:tc>
        <w:tc>
          <w:tcPr>
            <w:tcW w:w="5238" w:type="dxa"/>
          </w:tcPr>
          <w:p w14:paraId="754DDD59" w14:textId="66E1DCCB" w:rsidR="00CE5FDC" w:rsidRPr="00CE5FDC" w:rsidRDefault="00CE5FDC" w:rsidP="003C7C43">
            <w:pPr>
              <w:rPr>
                <w:rFonts w:ascii="Arial" w:hAnsi="Arial" w:cs="Arial"/>
                <w:i/>
                <w:iCs/>
                <w:szCs w:val="22"/>
              </w:rPr>
            </w:pPr>
            <w:r w:rsidRPr="00CE5FDC">
              <w:rPr>
                <w:rFonts w:ascii="Arial" w:hAnsi="Arial" w:cs="Arial"/>
              </w:rPr>
              <w:t>Account Manager</w:t>
            </w:r>
          </w:p>
        </w:tc>
      </w:tr>
      <w:tr w:rsidR="00CE5FDC" w:rsidRPr="00CE5FDC" w14:paraId="320172BA" w14:textId="77777777" w:rsidTr="00CE5FDC">
        <w:tc>
          <w:tcPr>
            <w:tcW w:w="562" w:type="dxa"/>
          </w:tcPr>
          <w:p w14:paraId="55F01A72" w14:textId="7138104A" w:rsidR="00CE5FDC" w:rsidRPr="00CE5FDC" w:rsidRDefault="00CE5FDC" w:rsidP="003C7C43">
            <w:pPr>
              <w:rPr>
                <w:rFonts w:ascii="Arial" w:hAnsi="Arial" w:cs="Arial"/>
                <w:i/>
                <w:iCs/>
                <w:szCs w:val="22"/>
              </w:rPr>
            </w:pPr>
            <w:r w:rsidRPr="00CE5FDC">
              <w:rPr>
                <w:rFonts w:ascii="Arial" w:hAnsi="Arial" w:cs="Arial"/>
                <w:i/>
                <w:iCs/>
                <w:szCs w:val="22"/>
              </w:rPr>
              <w:t>4</w:t>
            </w:r>
          </w:p>
        </w:tc>
        <w:tc>
          <w:tcPr>
            <w:tcW w:w="3828" w:type="dxa"/>
          </w:tcPr>
          <w:p w14:paraId="7733728F" w14:textId="39E241E8" w:rsidR="00CE5FDC" w:rsidRPr="00CE5FDC" w:rsidRDefault="005A36FA" w:rsidP="003C7C43">
            <w:pPr>
              <w:rPr>
                <w:rFonts w:ascii="Arial" w:hAnsi="Arial" w:cs="Arial"/>
                <w:i/>
                <w:iCs/>
                <w:szCs w:val="22"/>
              </w:rPr>
            </w:pPr>
            <w:r>
              <w:rPr>
                <w:rFonts w:ascii="Arial" w:hAnsi="Arial" w:cs="Arial"/>
              </w:rPr>
              <w:t xml:space="preserve">Xx </w:t>
            </w:r>
          </w:p>
        </w:tc>
        <w:tc>
          <w:tcPr>
            <w:tcW w:w="5238" w:type="dxa"/>
          </w:tcPr>
          <w:p w14:paraId="0BBECE6A" w14:textId="17BD7CD4" w:rsidR="00CE5FDC" w:rsidRPr="00CE5FDC" w:rsidRDefault="00CE5FDC" w:rsidP="003C7C43">
            <w:pPr>
              <w:rPr>
                <w:rFonts w:ascii="Arial" w:hAnsi="Arial" w:cs="Arial"/>
                <w:i/>
                <w:iCs/>
                <w:szCs w:val="22"/>
              </w:rPr>
            </w:pPr>
            <w:r w:rsidRPr="00CE5FDC">
              <w:rPr>
                <w:rFonts w:ascii="Arial" w:hAnsi="Arial" w:cs="Arial"/>
                <w:i/>
                <w:iCs/>
                <w:szCs w:val="22"/>
              </w:rPr>
              <w:t>A</w:t>
            </w:r>
            <w:r w:rsidRPr="00CE5FDC">
              <w:rPr>
                <w:rFonts w:ascii="Arial" w:hAnsi="Arial" w:cs="Arial"/>
              </w:rPr>
              <w:t>ccount Executive</w:t>
            </w:r>
          </w:p>
        </w:tc>
      </w:tr>
    </w:tbl>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B57BA0"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B57BA0" w:rsidRPr="00C84125" w:rsidRDefault="00B57BA0" w:rsidP="00B57BA0">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190E1647" w:rsidR="00B57BA0" w:rsidRPr="00CB51F0" w:rsidRDefault="00B57BA0" w:rsidP="00B57BA0">
            <w:pPr>
              <w:spacing w:line="360" w:lineRule="auto"/>
              <w:ind w:left="108" w:right="209"/>
              <w:jc w:val="both"/>
              <w:textAlignment w:val="baseline"/>
              <w:rPr>
                <w:rFonts w:eastAsia="Arial" w:cs="Arial"/>
                <w:color w:val="000000"/>
                <w:highlight w:val="yellow"/>
              </w:rPr>
            </w:pPr>
            <w:r w:rsidRPr="006D0A34">
              <w:rPr>
                <w:rFonts w:eastAsia="Arial" w:cs="Arial"/>
                <w:color w:val="000000"/>
              </w:rPr>
              <w:t>ORR strategy documents</w:t>
            </w:r>
          </w:p>
        </w:tc>
      </w:tr>
      <w:tr w:rsidR="00B57BA0"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B57BA0" w:rsidRPr="00C84125" w:rsidRDefault="00B57BA0" w:rsidP="00B57BA0">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698BFE69" w:rsidR="00B57BA0" w:rsidRPr="00CB51F0" w:rsidRDefault="00B57BA0" w:rsidP="00B57BA0">
            <w:pPr>
              <w:spacing w:line="360" w:lineRule="auto"/>
              <w:ind w:left="108" w:right="209"/>
              <w:jc w:val="both"/>
              <w:textAlignment w:val="baseline"/>
              <w:rPr>
                <w:rFonts w:eastAsia="Arial" w:cs="Arial"/>
                <w:color w:val="000000"/>
                <w:highlight w:val="yellow"/>
              </w:rPr>
            </w:pPr>
            <w:r w:rsidRPr="006D0A34">
              <w:rPr>
                <w:rFonts w:eastAsia="Arial" w:cs="Arial"/>
                <w:color w:val="000000"/>
              </w:rPr>
              <w:t>8/5/21 – 30/4/22</w:t>
            </w:r>
          </w:p>
        </w:tc>
      </w:tr>
      <w:tr w:rsidR="00B57BA0"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B57BA0" w:rsidRPr="00C84125" w:rsidRDefault="00B57BA0" w:rsidP="00B57BA0">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E5C1DF" w14:textId="3DA9E2C4" w:rsidR="00B57BA0" w:rsidRPr="006D0A34" w:rsidRDefault="00B57BA0" w:rsidP="00B57BA0">
            <w:pPr>
              <w:spacing w:line="360" w:lineRule="auto"/>
              <w:ind w:left="108" w:right="209"/>
              <w:jc w:val="both"/>
              <w:textAlignment w:val="baseline"/>
              <w:rPr>
                <w:rFonts w:eastAsia="Arial" w:cs="Arial"/>
                <w:color w:val="000000"/>
              </w:rPr>
            </w:pPr>
            <w:r w:rsidRPr="006D0A34">
              <w:rPr>
                <w:rFonts w:eastAsia="Arial" w:cs="Arial"/>
                <w:color w:val="000000"/>
              </w:rPr>
              <w:t>Review and suggested alteration to documents compiled by ORR</w:t>
            </w:r>
            <w:r>
              <w:rPr>
                <w:rFonts w:eastAsia="Arial" w:cs="Arial"/>
                <w:color w:val="000000"/>
              </w:rPr>
              <w:t>, including creating a cintact schedule for engagements</w:t>
            </w:r>
          </w:p>
          <w:p w14:paraId="3C26CD8F" w14:textId="3AAC026C" w:rsidR="00B57BA0" w:rsidRPr="00CB51F0" w:rsidRDefault="00B57BA0" w:rsidP="00B57BA0">
            <w:pPr>
              <w:spacing w:line="360" w:lineRule="auto"/>
              <w:ind w:left="108" w:right="209"/>
              <w:jc w:val="both"/>
              <w:textAlignment w:val="baseline"/>
              <w:rPr>
                <w:rFonts w:eastAsia="Arial" w:cs="Arial"/>
                <w:color w:val="000000"/>
                <w:highlight w:val="yellow"/>
              </w:rPr>
            </w:pPr>
          </w:p>
        </w:tc>
      </w:tr>
      <w:tr w:rsidR="00B57BA0"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B57BA0" w:rsidRPr="00C84125" w:rsidRDefault="00B57BA0" w:rsidP="00B57BA0">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C061FB0" w:rsidR="00B57BA0" w:rsidRPr="00CB51F0" w:rsidRDefault="00B57BA0" w:rsidP="00B57BA0">
            <w:pPr>
              <w:spacing w:line="360" w:lineRule="auto"/>
              <w:ind w:left="108" w:right="209"/>
              <w:jc w:val="both"/>
              <w:textAlignment w:val="baseline"/>
              <w:rPr>
                <w:rFonts w:eastAsia="Arial" w:cs="Arial"/>
                <w:color w:val="000000"/>
                <w:highlight w:val="yellow"/>
              </w:rPr>
            </w:pPr>
            <w:r w:rsidRPr="006D0A34">
              <w:rPr>
                <w:rFonts w:eastAsia="Arial" w:cs="Arial"/>
                <w:color w:val="000000"/>
              </w:rPr>
              <w:t>Name and contact details of ORR contacts</w:t>
            </w:r>
          </w:p>
        </w:tc>
      </w:tr>
      <w:tr w:rsidR="00B57BA0"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B57BA0" w:rsidRPr="00C84125" w:rsidRDefault="00B57BA0" w:rsidP="00B57BA0">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56C4943C" w:rsidR="00B57BA0" w:rsidRPr="00CB51F0" w:rsidRDefault="00B57BA0" w:rsidP="00B57BA0">
            <w:pPr>
              <w:spacing w:line="360" w:lineRule="auto"/>
              <w:ind w:left="108" w:right="209"/>
              <w:jc w:val="both"/>
              <w:textAlignment w:val="baseline"/>
              <w:rPr>
                <w:rFonts w:eastAsia="Arial" w:cs="Arial"/>
                <w:color w:val="000000"/>
                <w:highlight w:val="yellow"/>
              </w:rPr>
            </w:pPr>
            <w:r w:rsidRPr="006D0A34">
              <w:rPr>
                <w:rFonts w:eastAsia="Arial" w:cs="Arial"/>
                <w:color w:val="000000"/>
              </w:rPr>
              <w:t>Various ORR Stakeholders</w:t>
            </w:r>
          </w:p>
        </w:tc>
      </w:tr>
      <w:tr w:rsidR="00B57BA0"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B57BA0" w:rsidRPr="00C84125" w:rsidRDefault="00B57BA0" w:rsidP="00B57BA0">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21A553C3" w:rsidR="00B57BA0" w:rsidRPr="00CB51F0" w:rsidRDefault="00B57BA0" w:rsidP="00B57BA0">
            <w:pPr>
              <w:spacing w:line="360" w:lineRule="auto"/>
              <w:ind w:left="108" w:right="209"/>
              <w:jc w:val="both"/>
              <w:textAlignment w:val="baseline"/>
              <w:rPr>
                <w:rFonts w:eastAsia="Arial" w:cs="Arial"/>
                <w:color w:val="000000"/>
                <w:highlight w:val="yellow"/>
              </w:rPr>
            </w:pPr>
            <w:r w:rsidRPr="006D0A34">
              <w:rPr>
                <w:rFonts w:eastAsia="Arial" w:cs="Arial"/>
                <w:color w:val="000000"/>
              </w:rPr>
              <w:t xml:space="preserve">To be destroyed by </w:t>
            </w:r>
            <w:r>
              <w:rPr>
                <w:rFonts w:eastAsia="Arial" w:cs="Arial"/>
                <w:color w:val="000000"/>
              </w:rPr>
              <w:t xml:space="preserve">the Supplier by </w:t>
            </w:r>
            <w:r w:rsidRPr="006D0A34">
              <w:rPr>
                <w:rFonts w:eastAsia="Arial" w:cs="Arial"/>
                <w:color w:val="000000"/>
              </w:rPr>
              <w:t>30/4/22 or the conclusion of the contract, whichever is sooner.</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6E128542" w14:textId="77777777" w:rsidR="00CE5FDC" w:rsidRDefault="00CE5FDC" w:rsidP="00CE5FDC">
      <w:pPr>
        <w:jc w:val="center"/>
        <w:rPr>
          <w:rFonts w:ascii="Arial" w:hAnsi="Arial" w:cs="Arial"/>
          <w:b/>
          <w:bCs/>
          <w:szCs w:val="28"/>
        </w:rPr>
      </w:pPr>
    </w:p>
    <w:p w14:paraId="543BBEE3" w14:textId="3E1CB32C" w:rsidR="006568B3" w:rsidRPr="00CE5FDC" w:rsidRDefault="00CE5FDC" w:rsidP="00CE5FDC">
      <w:pPr>
        <w:jc w:val="center"/>
      </w:pPr>
      <w:r w:rsidRPr="00CE5FDC">
        <w:rPr>
          <w:rFonts w:ascii="Arial" w:hAnsi="Arial" w:cs="Arial"/>
          <w:szCs w:val="28"/>
        </w:rPr>
        <w:t>N/A</w:t>
      </w:r>
    </w:p>
    <w:p w14:paraId="1316EA73" w14:textId="77777777" w:rsidR="006568B3" w:rsidRPr="00CE5FDC" w:rsidRDefault="006568B3">
      <w:pPr>
        <w:pStyle w:val="BodyText"/>
      </w:pPr>
    </w:p>
    <w:sectPr w:rsidR="006568B3" w:rsidRPr="00CE5FDC"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FCC4" w14:textId="77777777" w:rsidR="009E0C4D" w:rsidRDefault="009E0C4D">
      <w:r>
        <w:separator/>
      </w:r>
    </w:p>
  </w:endnote>
  <w:endnote w:type="continuationSeparator" w:id="0">
    <w:p w14:paraId="77B25DAC" w14:textId="77777777" w:rsidR="009E0C4D" w:rsidRDefault="009E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9E0C4D" w:rsidRPr="00546BAA" w:rsidRDefault="009E0C4D">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9E0C4D" w:rsidRPr="00546BAA" w:rsidRDefault="009E0C4D">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9E0C4D" w:rsidRDefault="009E0C4D"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9E0C4D" w:rsidRDefault="009E0C4D" w:rsidP="006568B3">
    <w:pPr>
      <w:pStyle w:val="Footer"/>
      <w:jc w:val="center"/>
      <w:rPr>
        <w:rFonts w:ascii="Arial" w:hAnsi="Arial" w:cs="Arial"/>
        <w:sz w:val="16"/>
      </w:rPr>
    </w:pPr>
  </w:p>
  <w:p w14:paraId="575CA4C6" w14:textId="26686282" w:rsidR="009E0C4D" w:rsidRPr="00546BAA" w:rsidRDefault="009E0C4D" w:rsidP="006568B3">
    <w:pPr>
      <w:pStyle w:val="Footer"/>
      <w:jc w:val="center"/>
      <w:rPr>
        <w:rFonts w:ascii="Arial" w:hAnsi="Arial" w:cs="Arial"/>
        <w:sz w:val="20"/>
      </w:rPr>
    </w:pPr>
    <w:r>
      <w:rPr>
        <w:rFonts w:ascii="Arial" w:hAnsi="Arial" w:cs="Arial"/>
        <w:sz w:val="16"/>
      </w:rPr>
      <w:t>OFFICIAL SENSITIVE –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9E0C4D" w14:paraId="78094ED0" w14:textId="77777777">
      <w:tc>
        <w:tcPr>
          <w:tcW w:w="3081" w:type="dxa"/>
        </w:tcPr>
        <w:p w14:paraId="2FB173C8" w14:textId="2A365AA4" w:rsidR="009E0C4D" w:rsidRDefault="009E0C4D">
          <w:pPr>
            <w:pStyle w:val="Footer"/>
            <w:rPr>
              <w:sz w:val="16"/>
            </w:rPr>
          </w:pPr>
          <w:r>
            <w:rPr>
              <w:sz w:val="16"/>
            </w:rPr>
            <w:fldChar w:fldCharType="begin"/>
          </w:r>
          <w:r>
            <w:rPr>
              <w:sz w:val="16"/>
            </w:rPr>
            <w:instrText xml:space="preserve"> FILENAME \* Lower \* MERGEFORMAT </w:instrText>
          </w:r>
          <w:r>
            <w:rPr>
              <w:sz w:val="16"/>
            </w:rPr>
            <w:fldChar w:fldCharType="separate"/>
          </w:r>
          <w:r>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Pr>
              <w:sz w:val="16"/>
            </w:rPr>
            <w:t>19 Aug 2020</w:t>
          </w:r>
          <w:r>
            <w:rPr>
              <w:sz w:val="16"/>
            </w:rPr>
            <w:fldChar w:fldCharType="end"/>
          </w:r>
        </w:p>
      </w:tc>
      <w:tc>
        <w:tcPr>
          <w:tcW w:w="3081" w:type="dxa"/>
        </w:tcPr>
        <w:p w14:paraId="45B38BA2" w14:textId="77777777" w:rsidR="009E0C4D" w:rsidRDefault="009E0C4D">
          <w:pPr>
            <w:pStyle w:val="Footer"/>
            <w:rPr>
              <w:sz w:val="16"/>
            </w:rPr>
          </w:pPr>
        </w:p>
      </w:tc>
      <w:tc>
        <w:tcPr>
          <w:tcW w:w="3082" w:type="dxa"/>
        </w:tcPr>
        <w:p w14:paraId="1400A6BD" w14:textId="77777777" w:rsidR="009E0C4D" w:rsidRDefault="009E0C4D">
          <w:pPr>
            <w:pStyle w:val="Footer"/>
            <w:rPr>
              <w:sz w:val="16"/>
            </w:rPr>
          </w:pPr>
        </w:p>
      </w:tc>
    </w:tr>
  </w:tbl>
  <w:p w14:paraId="18217D92" w14:textId="77777777" w:rsidR="009E0C4D" w:rsidRDefault="009E0C4D">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9E0C4D" w:rsidRDefault="009E0C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5EF2966C" w:rsidR="009E0C4D" w:rsidRDefault="009E0C4D">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5A36FA">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5A36FA">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9E0C4D" w:rsidRDefault="009E0C4D">
    <w:pPr>
      <w:pStyle w:val="Footer"/>
      <w:spacing w:after="60"/>
      <w:jc w:val="right"/>
      <w:rPr>
        <w:rStyle w:val="PageNumber"/>
        <w:rFonts w:ascii="Arial" w:hAnsi="Arial" w:cs="Arial"/>
        <w:sz w:val="16"/>
        <w:szCs w:val="16"/>
      </w:rPr>
    </w:pPr>
  </w:p>
  <w:p w14:paraId="710DDB62" w14:textId="0C157B94" w:rsidR="009E0C4D" w:rsidRPr="00546BAA" w:rsidRDefault="009E0C4D" w:rsidP="0033168E">
    <w:pPr>
      <w:pStyle w:val="Footer"/>
      <w:jc w:val="center"/>
      <w:rPr>
        <w:rFonts w:ascii="Arial" w:hAnsi="Arial" w:cs="Arial"/>
        <w:sz w:val="20"/>
      </w:rPr>
    </w:pPr>
    <w:r>
      <w:rPr>
        <w:rFonts w:ascii="Arial" w:hAnsi="Arial" w:cs="Arial"/>
        <w:sz w:val="16"/>
      </w:rPr>
      <w:t>OFFICIAL SENSITIVE – COMMERCIA</w:t>
    </w:r>
  </w:p>
  <w:p w14:paraId="3BA643E6" w14:textId="77777777" w:rsidR="009E0C4D" w:rsidRPr="007A09B3" w:rsidRDefault="009E0C4D">
    <w:pPr>
      <w:pStyle w:val="Footer"/>
      <w:spacing w:after="60"/>
      <w:jc w:val="right"/>
      <w:rPr>
        <w:rStyle w:val="PageNumbe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9E0C4D" w:rsidRDefault="009E0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12F" w14:textId="77777777" w:rsidR="009E0C4D" w:rsidRDefault="009E0C4D">
      <w:r>
        <w:separator/>
      </w:r>
    </w:p>
  </w:footnote>
  <w:footnote w:type="continuationSeparator" w:id="0">
    <w:p w14:paraId="77BAC0AD" w14:textId="77777777" w:rsidR="009E0C4D" w:rsidRDefault="009E0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33B04C39" w:rsidR="009E0C4D" w:rsidRPr="00546BAA" w:rsidRDefault="009E0C4D" w:rsidP="00292DF5">
    <w:pPr>
      <w:pStyle w:val="Footer"/>
      <w:jc w:val="center"/>
      <w:rPr>
        <w:rFonts w:ascii="Arial" w:hAnsi="Arial" w:cs="Arial"/>
        <w:sz w:val="20"/>
      </w:rPr>
    </w:pPr>
    <w:r>
      <w:rPr>
        <w:rFonts w:ascii="Arial" w:hAnsi="Arial" w:cs="Arial"/>
        <w:sz w:val="16"/>
      </w:rPr>
      <w:t>OFFICIAL SENSITIVE – COMMERCIAL</w:t>
    </w:r>
  </w:p>
  <w:p w14:paraId="0D6B1EDE" w14:textId="77777777" w:rsidR="009E0C4D" w:rsidRPr="008957F8" w:rsidRDefault="009E0C4D" w:rsidP="008957F8">
    <w:pPr>
      <w:widowControl w:val="0"/>
      <w:ind w:right="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9E0C4D" w:rsidRDefault="009E0C4D">
    <w:pPr>
      <w:widowControl w:val="0"/>
      <w:ind w:right="3"/>
      <w:rPr>
        <w:snapToGrid w:val="0"/>
        <w:color w:val="000000"/>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9E0C4D" w:rsidRDefault="009E0C4D">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9E0C4D" w:rsidRDefault="009E0C4D">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9E0C4D" w:rsidRDefault="009E0C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9E0C4D" w:rsidRDefault="009E0C4D" w:rsidP="0013276B">
    <w:pPr>
      <w:pStyle w:val="Footer"/>
      <w:jc w:val="center"/>
    </w:pPr>
  </w:p>
  <w:tbl>
    <w:tblPr>
      <w:tblStyle w:val="TableGrid"/>
      <w:tblW w:w="10385" w:type="dxa"/>
      <w:tblLook w:val="04A0" w:firstRow="1" w:lastRow="0" w:firstColumn="1" w:lastColumn="0" w:noHBand="0" w:noVBand="1"/>
    </w:tblPr>
    <w:tblGrid>
      <w:gridCol w:w="8609"/>
      <w:gridCol w:w="1776"/>
    </w:tblGrid>
    <w:tr w:rsidR="009E0C4D" w14:paraId="50279044" w14:textId="77777777" w:rsidTr="0013276B">
      <w:tc>
        <w:tcPr>
          <w:tcW w:w="8613" w:type="dxa"/>
          <w:tcBorders>
            <w:top w:val="nil"/>
            <w:left w:val="nil"/>
            <w:bottom w:val="nil"/>
            <w:right w:val="nil"/>
          </w:tcBorders>
        </w:tcPr>
        <w:p w14:paraId="77273C10" w14:textId="77777777" w:rsidR="009E0C4D" w:rsidRDefault="009E0C4D" w:rsidP="0013276B">
          <w:pPr>
            <w:pStyle w:val="Footer"/>
            <w:jc w:val="right"/>
            <w:rPr>
              <w:rFonts w:ascii="Arial" w:hAnsi="Arial" w:cs="Arial"/>
              <w:sz w:val="16"/>
            </w:rPr>
          </w:pPr>
        </w:p>
        <w:p w14:paraId="37382EA5" w14:textId="77777777" w:rsidR="009E0C4D" w:rsidRDefault="009E0C4D" w:rsidP="0013276B">
          <w:pPr>
            <w:pStyle w:val="Footer"/>
            <w:jc w:val="right"/>
            <w:rPr>
              <w:rFonts w:ascii="Arial" w:hAnsi="Arial" w:cs="Arial"/>
              <w:sz w:val="16"/>
            </w:rPr>
          </w:pPr>
        </w:p>
        <w:p w14:paraId="01623B19" w14:textId="77777777" w:rsidR="009E0C4D" w:rsidRDefault="009E0C4D" w:rsidP="0013276B">
          <w:pPr>
            <w:pStyle w:val="Footer"/>
            <w:jc w:val="right"/>
            <w:rPr>
              <w:rFonts w:ascii="Arial" w:hAnsi="Arial" w:cs="Arial"/>
              <w:sz w:val="16"/>
            </w:rPr>
          </w:pPr>
        </w:p>
        <w:p w14:paraId="3081E8AD" w14:textId="6CFDD8A8" w:rsidR="009E0C4D" w:rsidRDefault="009E0C4D" w:rsidP="002C20F5">
          <w:pPr>
            <w:pStyle w:val="Footer"/>
            <w:jc w:val="center"/>
          </w:pPr>
          <w:r>
            <w:rPr>
              <w:rFonts w:ascii="Arial" w:hAnsi="Arial" w:cs="Arial"/>
              <w:sz w:val="16"/>
            </w:rPr>
            <w:t xml:space="preserve">                                 OFFICIAL SENSITIVE – COMMERCIA</w:t>
          </w:r>
          <w:r w:rsidR="00CE5FDC">
            <w:rPr>
              <w:rFonts w:ascii="Arial" w:hAnsi="Arial" w:cs="Arial"/>
              <w:sz w:val="16"/>
            </w:rPr>
            <w:t>L</w:t>
          </w:r>
        </w:p>
      </w:tc>
      <w:tc>
        <w:tcPr>
          <w:tcW w:w="1772" w:type="dxa"/>
          <w:tcBorders>
            <w:top w:val="nil"/>
            <w:left w:val="nil"/>
            <w:bottom w:val="nil"/>
            <w:right w:val="nil"/>
          </w:tcBorders>
        </w:tcPr>
        <w:p w14:paraId="02C81057" w14:textId="1A399593" w:rsidR="009E0C4D" w:rsidRDefault="009E0C4D"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9E0C4D" w:rsidRDefault="009E0C4D"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9E0C4D" w:rsidRDefault="009E0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1760A6C"/>
    <w:multiLevelType w:val="hybridMultilevel"/>
    <w:tmpl w:val="1248CA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66042E"/>
    <w:multiLevelType w:val="hybridMultilevel"/>
    <w:tmpl w:val="1248CA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4"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6"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9" w15:restartNumberingAfterBreak="0">
    <w:nsid w:val="78290C31"/>
    <w:multiLevelType w:val="hybridMultilevel"/>
    <w:tmpl w:val="1248CA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1" w15:restartNumberingAfterBreak="0">
    <w:nsid w:val="7AAE3281"/>
    <w:multiLevelType w:val="hybridMultilevel"/>
    <w:tmpl w:val="74E0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3E4952"/>
    <w:multiLevelType w:val="hybridMultilevel"/>
    <w:tmpl w:val="1248CA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15"/>
  </w:num>
  <w:num w:numId="4">
    <w:abstractNumId w:val="17"/>
  </w:num>
  <w:num w:numId="5">
    <w:abstractNumId w:val="16"/>
  </w:num>
  <w:num w:numId="6">
    <w:abstractNumId w:val="18"/>
  </w:num>
  <w:num w:numId="7">
    <w:abstractNumId w:val="1"/>
  </w:num>
  <w:num w:numId="8">
    <w:abstractNumId w:val="7"/>
  </w:num>
  <w:num w:numId="9">
    <w:abstractNumId w:val="13"/>
  </w:num>
  <w:num w:numId="10">
    <w:abstractNumId w:val="0"/>
  </w:num>
  <w:num w:numId="11">
    <w:abstractNumId w:val="5"/>
  </w:num>
  <w:num w:numId="12">
    <w:abstractNumId w:val="11"/>
  </w:num>
  <w:num w:numId="13">
    <w:abstractNumId w:val="10"/>
  </w:num>
  <w:num w:numId="14">
    <w:abstractNumId w:val="2"/>
  </w:num>
  <w:num w:numId="15">
    <w:abstractNumId w:val="3"/>
  </w:num>
  <w:num w:numId="16">
    <w:abstractNumId w:val="12"/>
  </w:num>
  <w:num w:numId="17">
    <w:abstractNumId w:val="6"/>
  </w:num>
  <w:num w:numId="18">
    <w:abstractNumId w:val="14"/>
  </w:num>
  <w:num w:numId="19">
    <w:abstractNumId w:val="21"/>
  </w:num>
  <w:num w:numId="20">
    <w:abstractNumId w:val="22"/>
  </w:num>
  <w:num w:numId="21">
    <w:abstractNumId w:val="19"/>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8457B"/>
    <w:rsid w:val="000A5F65"/>
    <w:rsid w:val="000F6129"/>
    <w:rsid w:val="0013276B"/>
    <w:rsid w:val="001A2092"/>
    <w:rsid w:val="001D2989"/>
    <w:rsid w:val="00292DF5"/>
    <w:rsid w:val="002C20F5"/>
    <w:rsid w:val="0031451C"/>
    <w:rsid w:val="0033168E"/>
    <w:rsid w:val="00341027"/>
    <w:rsid w:val="003B1433"/>
    <w:rsid w:val="003C7C43"/>
    <w:rsid w:val="003E75C9"/>
    <w:rsid w:val="00413877"/>
    <w:rsid w:val="00414EC2"/>
    <w:rsid w:val="00461929"/>
    <w:rsid w:val="004622B7"/>
    <w:rsid w:val="00487EE5"/>
    <w:rsid w:val="004E52A2"/>
    <w:rsid w:val="00504D8A"/>
    <w:rsid w:val="00593E94"/>
    <w:rsid w:val="005A36FA"/>
    <w:rsid w:val="00622E57"/>
    <w:rsid w:val="00626600"/>
    <w:rsid w:val="0064781E"/>
    <w:rsid w:val="006568B3"/>
    <w:rsid w:val="00662175"/>
    <w:rsid w:val="006B6540"/>
    <w:rsid w:val="00707217"/>
    <w:rsid w:val="007D7C2C"/>
    <w:rsid w:val="008306C8"/>
    <w:rsid w:val="00887201"/>
    <w:rsid w:val="008957F8"/>
    <w:rsid w:val="008D0B16"/>
    <w:rsid w:val="008E4DBA"/>
    <w:rsid w:val="009E0C4D"/>
    <w:rsid w:val="00A02AFA"/>
    <w:rsid w:val="00A153E2"/>
    <w:rsid w:val="00A17A55"/>
    <w:rsid w:val="00A32CCD"/>
    <w:rsid w:val="00A53407"/>
    <w:rsid w:val="00AD0A8F"/>
    <w:rsid w:val="00B57BA0"/>
    <w:rsid w:val="00B6334D"/>
    <w:rsid w:val="00C2562D"/>
    <w:rsid w:val="00C6441F"/>
    <w:rsid w:val="00CE5FDC"/>
    <w:rsid w:val="00D332B8"/>
    <w:rsid w:val="00D9005F"/>
    <w:rsid w:val="00DB5E2B"/>
    <w:rsid w:val="00E070BE"/>
    <w:rsid w:val="00E701A2"/>
    <w:rsid w:val="00E766D7"/>
    <w:rsid w:val="00F2152B"/>
    <w:rsid w:val="00F217B1"/>
    <w:rsid w:val="00F53D74"/>
    <w:rsid w:val="00FF5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 w:type="paragraph" w:styleId="NormalWeb">
    <w:name w:val="Normal (Web)"/>
    <w:basedOn w:val="Normal"/>
    <w:uiPriority w:val="99"/>
    <w:unhideWhenUsed/>
    <w:rsid w:val="0008457B"/>
    <w:pPr>
      <w:spacing w:before="100" w:beforeAutospacing="1" w:after="100" w:afterAutospacing="1"/>
    </w:pPr>
    <w:rPr>
      <w:noProof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78061B"/>
    <w:rsid w:val="0082595B"/>
    <w:rsid w:val="00922E6B"/>
    <w:rsid w:val="00937086"/>
    <w:rsid w:val="009B3C84"/>
    <w:rsid w:val="00B83F65"/>
    <w:rsid w:val="00C11CBC"/>
    <w:rsid w:val="00EB42A4"/>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14324</Words>
  <Characters>81647</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Webster, Gayle</cp:lastModifiedBy>
  <cp:revision>2</cp:revision>
  <cp:lastPrinted>2019-02-06T14:49:00Z</cp:lastPrinted>
  <dcterms:created xsi:type="dcterms:W3CDTF">2021-05-20T11:06:00Z</dcterms:created>
  <dcterms:modified xsi:type="dcterms:W3CDTF">2021-05-20T11:06:00Z</dcterms:modified>
  <cp:category/>
</cp:coreProperties>
</file>