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bookmarkStart w:id="2" w:name="_GoBack"/>
      <w:bookmarkEnd w:id="2"/>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C081965" w14:textId="77777777" w:rsidR="001735C6" w:rsidRPr="001735C6" w:rsidRDefault="001735C6" w:rsidP="001735C6">
      <w:pPr>
        <w:jc w:val="center"/>
        <w:rPr>
          <w:rFonts w:cs="Arial"/>
          <w:b/>
          <w:caps/>
          <w:sz w:val="36"/>
          <w:szCs w:val="36"/>
          <w:lang w:val="fr-FR"/>
        </w:rPr>
      </w:pPr>
      <w:r w:rsidRPr="001735C6">
        <w:rPr>
          <w:rFonts w:cs="Arial"/>
          <w:b/>
          <w:caps/>
          <w:sz w:val="36"/>
          <w:szCs w:val="36"/>
          <w:lang w:val="fr-FR"/>
        </w:rPr>
        <w:t>disclosure &amp; barring service</w:t>
      </w:r>
    </w:p>
    <w:p w14:paraId="4DC31188" w14:textId="77777777" w:rsidR="001735C6" w:rsidRPr="00F7779C" w:rsidRDefault="001735C6" w:rsidP="001735C6">
      <w:pPr>
        <w:jc w:val="center"/>
        <w:rPr>
          <w:rFonts w:cs="Arial"/>
          <w:b/>
          <w:caps/>
          <w:sz w:val="32"/>
          <w:szCs w:val="32"/>
          <w:lang w:val="fr-FR"/>
        </w:rPr>
      </w:pP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223B2729" w14:textId="77777777" w:rsidR="00972263" w:rsidRDefault="00972263" w:rsidP="00972263">
      <w:pPr>
        <w:widowControl w:val="0"/>
        <w:tabs>
          <w:tab w:val="center" w:pos="4513"/>
        </w:tabs>
        <w:spacing w:before="120" w:after="120"/>
        <w:jc w:val="center"/>
        <w:rPr>
          <w:b/>
          <w:color w:val="000000"/>
          <w:sz w:val="36"/>
          <w:szCs w:val="36"/>
        </w:rPr>
      </w:pPr>
    </w:p>
    <w:p w14:paraId="06C7D729" w14:textId="77777777" w:rsidR="00972263" w:rsidRPr="00972263" w:rsidRDefault="00972263" w:rsidP="00972263">
      <w:pPr>
        <w:widowControl w:val="0"/>
        <w:tabs>
          <w:tab w:val="center" w:pos="4513"/>
        </w:tabs>
        <w:spacing w:before="120" w:after="120"/>
        <w:jc w:val="center"/>
        <w:rPr>
          <w:rFonts w:ascii="Arial Bold" w:hAnsi="Arial Bold"/>
          <w:b/>
          <w:caps/>
          <w:color w:val="000000"/>
          <w:sz w:val="36"/>
          <w:szCs w:val="36"/>
        </w:rPr>
      </w:pPr>
      <w:r w:rsidRPr="00972263">
        <w:rPr>
          <w:rFonts w:ascii="Arial Bold" w:hAnsi="Arial Bold"/>
          <w:b/>
          <w:caps/>
          <w:color w:val="000000"/>
          <w:sz w:val="36"/>
          <w:szCs w:val="36"/>
        </w:rPr>
        <w:t xml:space="preserve">BSI Assurance UK Limited </w:t>
      </w:r>
    </w:p>
    <w:p w14:paraId="6C1BEFB5" w14:textId="77777777" w:rsidR="00972263" w:rsidRPr="002C519F" w:rsidRDefault="00972263" w:rsidP="00B327EC">
      <w:pPr>
        <w:widowControl w:val="0"/>
        <w:tabs>
          <w:tab w:val="center" w:pos="4513"/>
        </w:tabs>
        <w:spacing w:before="120" w:after="120"/>
        <w:jc w:val="center"/>
        <w:rPr>
          <w:bCs/>
          <w:sz w:val="36"/>
          <w:szCs w:val="36"/>
        </w:rPr>
      </w:pP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415F5CC3" w:rsidR="00B327EC" w:rsidRDefault="00972263" w:rsidP="00B327EC">
      <w:pPr>
        <w:widowControl w:val="0"/>
        <w:tabs>
          <w:tab w:val="left" w:pos="-720"/>
        </w:tabs>
        <w:spacing w:before="120" w:after="120"/>
        <w:jc w:val="center"/>
        <w:rPr>
          <w:b/>
          <w:bCs/>
          <w:sz w:val="36"/>
          <w:szCs w:val="36"/>
        </w:rPr>
      </w:pPr>
      <w:r>
        <w:rPr>
          <w:b/>
          <w:bCs/>
          <w:sz w:val="36"/>
          <w:szCs w:val="36"/>
        </w:rPr>
        <w:t>RELATING TO</w:t>
      </w:r>
    </w:p>
    <w:p w14:paraId="4F0BA398" w14:textId="77777777" w:rsidR="00D16143" w:rsidRDefault="00D16143" w:rsidP="00B327EC">
      <w:pPr>
        <w:widowControl w:val="0"/>
        <w:tabs>
          <w:tab w:val="center" w:pos="4513"/>
        </w:tabs>
        <w:spacing w:before="120" w:after="120"/>
        <w:jc w:val="center"/>
        <w:rPr>
          <w:b/>
          <w:bCs/>
          <w:sz w:val="36"/>
          <w:szCs w:val="36"/>
        </w:rPr>
      </w:pPr>
    </w:p>
    <w:p w14:paraId="0E269805" w14:textId="08C029AE" w:rsidR="000B47A6" w:rsidRPr="00D16143" w:rsidRDefault="00D16143" w:rsidP="00B327EC">
      <w:pPr>
        <w:widowControl w:val="0"/>
        <w:tabs>
          <w:tab w:val="center" w:pos="4513"/>
        </w:tabs>
        <w:spacing w:before="120" w:after="120"/>
        <w:jc w:val="center"/>
        <w:rPr>
          <w:rFonts w:ascii="Arial Bold" w:hAnsi="Arial Bold"/>
          <w:b/>
          <w:bCs/>
          <w:caps/>
          <w:sz w:val="36"/>
          <w:szCs w:val="36"/>
        </w:rPr>
      </w:pPr>
      <w:r w:rsidRPr="00D16143">
        <w:rPr>
          <w:rFonts w:ascii="Arial Bold" w:hAnsi="Arial Bold"/>
          <w:b/>
          <w:bCs/>
          <w:caps/>
          <w:sz w:val="36"/>
          <w:szCs w:val="36"/>
        </w:rPr>
        <w:t>Provision of ISO 9001 Accreditation Services for DBS</w:t>
      </w: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826B2C">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826B2C">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826B2C">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826B2C">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826B2C">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826B2C">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826B2C">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826B2C">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826B2C">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826B2C">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826B2C">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826B2C">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826B2C">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826B2C">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826B2C">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826B2C">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826B2C">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826B2C">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826B2C">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826B2C">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826B2C">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826B2C">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826B2C">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826B2C">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826B2C">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826B2C">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826B2C">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826B2C">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44688599"/>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Toc444688600"/>
      <w:r w:rsidRPr="006E4A65">
        <w:rPr>
          <w:rFonts w:cs="Arial"/>
          <w:szCs w:val="22"/>
          <w:u w:val="none"/>
        </w:rPr>
        <w:t>Interpretation</w:t>
      </w:r>
      <w:bookmarkEnd w:id="4"/>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444688601"/>
      <w:r w:rsidRPr="006E4A65">
        <w:rPr>
          <w:rFonts w:cs="Arial"/>
          <w:szCs w:val="22"/>
          <w:u w:val="none"/>
        </w:rPr>
        <w:t>Basis of Agreement</w:t>
      </w:r>
      <w:bookmarkEnd w:id="5"/>
      <w:bookmarkEnd w:id="6"/>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A452B4">
        <w:rPr>
          <w:b w:val="0"/>
          <w:u w:val="none"/>
        </w:rPr>
        <w:t xml:space="preserve">within </w:t>
      </w:r>
      <w:r w:rsidR="00E33C8F" w:rsidRPr="00A452B4">
        <w:rPr>
          <w:b w:val="0"/>
          <w:u w:val="none"/>
        </w:rPr>
        <w:t>7</w:t>
      </w:r>
      <w:r w:rsidRPr="00A452B4">
        <w:rPr>
          <w:b w:val="0"/>
          <w:u w:val="none"/>
        </w:rPr>
        <w:t xml:space="preserve"> days</w:t>
      </w:r>
      <w:r w:rsidRPr="006E4A65">
        <w:rPr>
          <w:b w:val="0"/>
          <w:u w:val="none"/>
        </w:rPr>
        <w:t xml:space="preserve">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 w:name="_Toc444688602"/>
      <w:r w:rsidRPr="006E4A65">
        <w:rPr>
          <w:rFonts w:cs="Arial"/>
          <w:szCs w:val="22"/>
          <w:u w:val="none"/>
        </w:rPr>
        <w:t>Supply of Services</w:t>
      </w:r>
      <w:bookmarkEnd w:id="7"/>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3"/>
      <w:r w:rsidRPr="006E4A65">
        <w:rPr>
          <w:rFonts w:cs="Arial"/>
          <w:szCs w:val="22"/>
          <w:u w:val="none"/>
        </w:rPr>
        <w:t>Term</w:t>
      </w:r>
      <w:bookmarkEnd w:id="10"/>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65E32D2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to </w:t>
      </w:r>
      <w:r w:rsidR="00456D90">
        <w:rPr>
          <w:rFonts w:cs="Arial"/>
          <w:b w:val="0"/>
          <w:u w:val="none"/>
        </w:rPr>
        <w:t xml:space="preserve">2 years (2 + </w:t>
      </w:r>
      <w:r w:rsidR="00F62BC7">
        <w:rPr>
          <w:rFonts w:cs="Arial"/>
          <w:b w:val="0"/>
          <w:u w:val="none"/>
        </w:rPr>
        <w:t>1 + 1</w:t>
      </w:r>
      <w:r w:rsidR="00456D90">
        <w:rPr>
          <w:rFonts w:cs="Arial"/>
          <w:b w:val="0"/>
          <w:u w:val="none"/>
        </w:rPr>
        <w:t>)</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4"/>
      <w:r w:rsidRPr="006E4A65">
        <w:rPr>
          <w:rFonts w:cs="Arial"/>
          <w:szCs w:val="22"/>
          <w:u w:val="none"/>
        </w:rPr>
        <w:t>Charges, Payment and Recovery of Sums Due</w:t>
      </w:r>
      <w:bookmarkEnd w:id="13"/>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w:t>
      </w:r>
      <w:r w:rsidRPr="006E4A65">
        <w:rPr>
          <w:rFonts w:cs="Arial"/>
          <w:b w:val="0"/>
          <w:u w:val="none"/>
        </w:rPr>
        <w:lastRenderedPageBreak/>
        <w:t xml:space="preserve">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4" w:name="_Toc444688605"/>
      <w:r w:rsidRPr="006E4A65">
        <w:rPr>
          <w:rFonts w:cs="Arial"/>
          <w:szCs w:val="22"/>
          <w:u w:val="none"/>
        </w:rPr>
        <w:t>Premises and equipment</w:t>
      </w:r>
      <w:bookmarkEnd w:id="14"/>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444688606"/>
      <w:r w:rsidRPr="006E4A65">
        <w:rPr>
          <w:rFonts w:cs="Arial"/>
          <w:szCs w:val="22"/>
          <w:u w:val="none"/>
        </w:rPr>
        <w:t>Staff and Key Personnel</w:t>
      </w:r>
      <w:bookmarkEnd w:id="19"/>
      <w:bookmarkEnd w:id="20"/>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Toc444688607"/>
      <w:r w:rsidRPr="006E4A65">
        <w:rPr>
          <w:rFonts w:cs="Arial"/>
          <w:szCs w:val="22"/>
          <w:u w:val="none"/>
        </w:rPr>
        <w:t>Assignment and sub-contracting</w:t>
      </w:r>
      <w:bookmarkEnd w:id="23"/>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444688608"/>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8" w:name="_Toc444688609"/>
      <w:bookmarkStart w:id="29" w:name="_Ref243716101"/>
      <w:r w:rsidRPr="006E4A65">
        <w:rPr>
          <w:rFonts w:cs="Arial"/>
          <w:szCs w:val="22"/>
          <w:u w:val="none"/>
        </w:rPr>
        <w:t>Governance and Records</w:t>
      </w:r>
      <w:bookmarkEnd w:id="28"/>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7050387"/>
      <w:bookmarkStart w:id="35" w:name="_Toc444688610"/>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1" w:name="_Ref261004389"/>
      <w:bookmarkStart w:id="42" w:name="_Toc444688611"/>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3" w:name="_Ref377050406"/>
      <w:bookmarkStart w:id="44" w:name="_Toc444688612"/>
      <w:bookmarkStart w:id="45" w:name="_Ref260838253"/>
      <w:r w:rsidRPr="006E4A65">
        <w:rPr>
          <w:rFonts w:cs="Arial"/>
          <w:szCs w:val="22"/>
          <w:u w:val="none"/>
        </w:rPr>
        <w:t>Protection of Personal Data and Security of Data</w:t>
      </w:r>
      <w:bookmarkEnd w:id="43"/>
      <w:bookmarkEnd w:id="44"/>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5"/>
      <w:bookmarkEnd w:id="46"/>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8" w:name="_Ref377050536"/>
      <w:bookmarkStart w:id="49" w:name="_Toc444688613"/>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4" w:name="_Ref360044784"/>
      <w:bookmarkStart w:id="55" w:name="_Toc444688614"/>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6" w:name="_Ref359655944"/>
      <w:bookmarkStart w:id="57" w:name="_Toc444688615"/>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6" w:name="_Ref377050416"/>
      <w:bookmarkStart w:id="67" w:name="_Toc444688616"/>
      <w:r w:rsidRPr="006E4A65">
        <w:rPr>
          <w:rFonts w:cs="Arial"/>
          <w:szCs w:val="22"/>
          <w:u w:val="none"/>
        </w:rPr>
        <w:t>Compliance</w:t>
      </w:r>
      <w:bookmarkEnd w:id="66"/>
      <w:bookmarkEnd w:id="67"/>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1" w:name="_Toc444688617"/>
      <w:r w:rsidRPr="006E4A65">
        <w:rPr>
          <w:rFonts w:cs="Arial"/>
          <w:szCs w:val="22"/>
          <w:u w:val="none"/>
        </w:rPr>
        <w:t>Prevention of Fraud and Corruption</w:t>
      </w:r>
      <w:bookmarkEnd w:id="71"/>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4468861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19"/>
      <w:r w:rsidRPr="006E4A65">
        <w:rPr>
          <w:rFonts w:cs="Arial"/>
          <w:szCs w:val="22"/>
          <w:u w:val="none"/>
        </w:rPr>
        <w:t>General</w:t>
      </w:r>
      <w:bookmarkEnd w:id="101"/>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3" w:name="_Toc444688620"/>
      <w:r w:rsidRPr="006E4A65">
        <w:rPr>
          <w:rFonts w:cs="Arial"/>
          <w:szCs w:val="22"/>
          <w:u w:val="none"/>
        </w:rPr>
        <w:t>Notices</w:t>
      </w:r>
      <w:bookmarkEnd w:id="103"/>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7" w:name="_Toc444688621"/>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1167A3">
        <w:rPr>
          <w:rFonts w:eastAsia="Times New Roman"/>
          <w:b/>
          <w:szCs w:val="22"/>
          <w:lang w:eastAsia="en-US"/>
        </w:rPr>
        <w:t>ANNEX 2 – PRICE SCHEDULE</w:t>
      </w:r>
      <w:bookmarkEnd w:id="108"/>
    </w:p>
    <w:p w14:paraId="1A1AC643" w14:textId="77777777" w:rsidR="00E115D7" w:rsidRDefault="00E115D7" w:rsidP="00913679">
      <w:pPr>
        <w:pStyle w:val="ScheduleLevel1"/>
        <w:numPr>
          <w:ilvl w:val="0"/>
          <w:numId w:val="0"/>
        </w:numPr>
        <w:spacing w:after="120"/>
        <w:jc w:val="center"/>
        <w:rPr>
          <w:rFonts w:cs="Arial"/>
          <w:b/>
          <w:szCs w:val="22"/>
        </w:rPr>
      </w:pPr>
    </w:p>
    <w:p w14:paraId="1034AC32" w14:textId="00520B4A" w:rsidR="00E115D7" w:rsidRDefault="00E115D7" w:rsidP="00A3598E">
      <w:pPr>
        <w:pStyle w:val="ScheduleLevel1"/>
        <w:numPr>
          <w:ilvl w:val="0"/>
          <w:numId w:val="52"/>
        </w:numPr>
        <w:spacing w:after="120"/>
        <w:jc w:val="left"/>
        <w:rPr>
          <w:rFonts w:cs="Arial"/>
          <w:szCs w:val="22"/>
        </w:rPr>
      </w:pPr>
      <w:r w:rsidRPr="00173728">
        <w:rPr>
          <w:rFonts w:cs="Arial"/>
          <w:szCs w:val="22"/>
        </w:rPr>
        <w:t>Contracted Services will be provided for up to a maximum of £42,000 excluding VAT</w:t>
      </w:r>
      <w:r w:rsidR="00B73770">
        <w:rPr>
          <w:rFonts w:cs="Arial"/>
          <w:szCs w:val="22"/>
        </w:rPr>
        <w:t xml:space="preserve">. All day rates are exclusive of </w:t>
      </w:r>
      <w:r w:rsidRPr="00173728">
        <w:rPr>
          <w:rFonts w:cs="Arial"/>
          <w:szCs w:val="22"/>
        </w:rPr>
        <w:t>expenses.</w:t>
      </w:r>
    </w:p>
    <w:p w14:paraId="61816850" w14:textId="3E034C41" w:rsidR="00422F9D" w:rsidRDefault="00422F9D" w:rsidP="00A3598E">
      <w:pPr>
        <w:pStyle w:val="ScheduleLevel1"/>
        <w:numPr>
          <w:ilvl w:val="0"/>
          <w:numId w:val="52"/>
        </w:numPr>
        <w:spacing w:after="120"/>
        <w:jc w:val="left"/>
        <w:rPr>
          <w:rFonts w:cs="Arial"/>
          <w:szCs w:val="22"/>
        </w:rPr>
      </w:pPr>
      <w:r>
        <w:rPr>
          <w:rFonts w:cs="Arial"/>
          <w:szCs w:val="22"/>
        </w:rPr>
        <w:t xml:space="preserve">Yearly rates </w:t>
      </w:r>
      <w:r w:rsidR="00A3598E">
        <w:rPr>
          <w:rFonts w:cs="Arial"/>
          <w:szCs w:val="22"/>
        </w:rPr>
        <w:t xml:space="preserve">for the initial contract period </w:t>
      </w:r>
      <w:r>
        <w:rPr>
          <w:rFonts w:cs="Arial"/>
          <w:szCs w:val="22"/>
        </w:rPr>
        <w:t>are based on the following (excluding VAT)</w:t>
      </w:r>
      <w:r w:rsidR="00A3598E">
        <w:rPr>
          <w:rFonts w:cs="Arial"/>
          <w:szCs w:val="22"/>
        </w:rPr>
        <w:t>. These are extrapolated from the Supplier’s price schedule shown overleaf</w:t>
      </w:r>
      <w:r>
        <w:rPr>
          <w:rFonts w:cs="Arial"/>
          <w:szCs w:val="22"/>
        </w:rPr>
        <w:t>:</w:t>
      </w:r>
    </w:p>
    <w:p w14:paraId="5E9069E4" w14:textId="77777777" w:rsidR="00422F9D" w:rsidRDefault="00422F9D" w:rsidP="00E115D7">
      <w:pPr>
        <w:pStyle w:val="ScheduleLevel1"/>
        <w:numPr>
          <w:ilvl w:val="0"/>
          <w:numId w:val="0"/>
        </w:numPr>
        <w:spacing w:after="120"/>
        <w:jc w:val="left"/>
        <w:rPr>
          <w:rFonts w:cs="Arial"/>
          <w:szCs w:val="22"/>
        </w:rPr>
      </w:pPr>
    </w:p>
    <w:p w14:paraId="653B3DAC" w14:textId="77777777" w:rsidR="00422F9D" w:rsidRDefault="00422F9D" w:rsidP="00CF7881">
      <w:pPr>
        <w:pStyle w:val="ScheduleLevel1"/>
        <w:numPr>
          <w:ilvl w:val="0"/>
          <w:numId w:val="0"/>
        </w:numPr>
        <w:spacing w:after="120"/>
        <w:jc w:val="center"/>
        <w:rPr>
          <w:rFonts w:cs="Arial"/>
          <w:szCs w:val="22"/>
        </w:rPr>
      </w:pPr>
    </w:p>
    <w:p w14:paraId="5E34F607" w14:textId="77777777" w:rsidR="00173728" w:rsidRDefault="00173728">
      <w:pPr>
        <w:rPr>
          <w:rFonts w:cs="Arial"/>
          <w:b/>
          <w:szCs w:val="22"/>
        </w:rPr>
      </w:pPr>
    </w:p>
    <w:p w14:paraId="07AFED0D" w14:textId="7D8B4332" w:rsidR="00A649DF" w:rsidRPr="00913679" w:rsidRDefault="001E22CE">
      <w:pPr>
        <w:rPr>
          <w:rFonts w:eastAsia="Times New Roman" w:cs="Arial"/>
          <w:b/>
          <w:szCs w:val="22"/>
          <w:lang w:eastAsia="en-US"/>
        </w:rPr>
      </w:pPr>
      <w:r>
        <w:rPr>
          <w:noProof/>
          <w:lang w:eastAsia="en-GB"/>
        </w:rPr>
        <w:t>REDACTED TEXT</w:t>
      </w:r>
      <w:r w:rsidR="00A649DF" w:rsidRPr="00913679">
        <w:rPr>
          <w:rFonts w:cs="Arial"/>
          <w:b/>
          <w:szCs w:val="22"/>
        </w:rPr>
        <w:br w:type="page"/>
      </w:r>
    </w:p>
    <w:p w14:paraId="0325C2CD" w14:textId="78E2A7A8" w:rsidR="00A649DF" w:rsidRPr="006811A8" w:rsidRDefault="00A649DF" w:rsidP="001167A3">
      <w:pPr>
        <w:widowControl w:val="0"/>
        <w:tabs>
          <w:tab w:val="num" w:pos="540"/>
        </w:tabs>
        <w:spacing w:after="100" w:afterAutospacing="1"/>
        <w:ind w:left="851" w:hanging="851"/>
        <w:jc w:val="center"/>
        <w:outlineLvl w:val="0"/>
        <w:rPr>
          <w:rFonts w:eastAsia="Times New Roman"/>
          <w:b/>
          <w:sz w:val="32"/>
          <w:szCs w:val="32"/>
          <w:lang w:eastAsia="en-US"/>
        </w:rPr>
      </w:pPr>
      <w:bookmarkStart w:id="109" w:name="_Toc444688623"/>
      <w:r w:rsidRPr="006811A8">
        <w:rPr>
          <w:rFonts w:eastAsia="Times New Roman"/>
          <w:b/>
          <w:sz w:val="32"/>
          <w:szCs w:val="32"/>
          <w:lang w:eastAsia="en-US"/>
        </w:rPr>
        <w:t>ANNEX 3 – STATEMENT OF REQUIREMENT</w:t>
      </w:r>
      <w:bookmarkEnd w:id="109"/>
      <w:r w:rsidR="00E33C8F" w:rsidRPr="006811A8">
        <w:rPr>
          <w:rFonts w:eastAsia="Times New Roman"/>
          <w:b/>
          <w:sz w:val="32"/>
          <w:szCs w:val="32"/>
          <w:lang w:eastAsia="en-US"/>
        </w:rPr>
        <w:t>S</w:t>
      </w:r>
    </w:p>
    <w:p w14:paraId="2C4173AF" w14:textId="77777777" w:rsidR="000013D2" w:rsidRDefault="000013D2" w:rsidP="000013D2">
      <w:pPr>
        <w:pStyle w:val="Heading1"/>
        <w:numPr>
          <w:ilvl w:val="0"/>
          <w:numId w:val="43"/>
        </w:numPr>
        <w:spacing w:after="120"/>
        <w:rPr>
          <w:sz w:val="32"/>
          <w:szCs w:val="32"/>
        </w:rPr>
      </w:pPr>
      <w:r>
        <w:rPr>
          <w:sz w:val="32"/>
          <w:szCs w:val="32"/>
        </w:rPr>
        <w:t>PURPOSE</w:t>
      </w:r>
    </w:p>
    <w:p w14:paraId="65FFCAAD" w14:textId="77777777" w:rsidR="000013D2" w:rsidRDefault="000013D2" w:rsidP="000013D2">
      <w:pPr>
        <w:pStyle w:val="Heading2"/>
        <w:numPr>
          <w:ilvl w:val="1"/>
          <w:numId w:val="44"/>
        </w:numPr>
        <w:rPr>
          <w:sz w:val="24"/>
          <w:szCs w:val="24"/>
        </w:rPr>
      </w:pPr>
      <w:bookmarkStart w:id="110" w:name="_heading=h.tyjcwt" w:colFirst="0" w:colLast="0"/>
      <w:bookmarkEnd w:id="110"/>
      <w:r>
        <w:rPr>
          <w:sz w:val="24"/>
          <w:szCs w:val="24"/>
        </w:rPr>
        <w:t xml:space="preserve">The Disclosure and Barring Service (DBS) </w:t>
      </w:r>
      <w:r>
        <w:rPr>
          <w:color w:val="000000"/>
          <w:sz w:val="24"/>
          <w:szCs w:val="24"/>
        </w:rPr>
        <w:t xml:space="preserve">has a requirement for </w:t>
      </w:r>
      <w:r>
        <w:rPr>
          <w:sz w:val="24"/>
          <w:szCs w:val="24"/>
        </w:rPr>
        <w:t xml:space="preserve">its Quality Management Systems (QMS) to be certified to ISO 9001:2015 UKAS accredited standard for both its Barring and Disclosure functions. </w:t>
      </w:r>
    </w:p>
    <w:p w14:paraId="210F4157" w14:textId="77777777" w:rsidR="000013D2" w:rsidRDefault="000013D2" w:rsidP="000013D2">
      <w:pPr>
        <w:pStyle w:val="Heading3"/>
        <w:numPr>
          <w:ilvl w:val="2"/>
          <w:numId w:val="44"/>
        </w:numPr>
        <w:rPr>
          <w:sz w:val="24"/>
          <w:szCs w:val="24"/>
        </w:rPr>
      </w:pPr>
      <w:r>
        <w:rPr>
          <w:color w:val="000000"/>
          <w:sz w:val="24"/>
          <w:szCs w:val="24"/>
        </w:rPr>
        <w:t>For Barring (Darlington), t</w:t>
      </w:r>
      <w:r>
        <w:rPr>
          <w:sz w:val="24"/>
          <w:szCs w:val="24"/>
        </w:rPr>
        <w:t>he QMS cover its case work decision functions which consist of over 100 different processes aiding caseworkers in making effective barring decisions;</w:t>
      </w:r>
    </w:p>
    <w:p w14:paraId="614A6F0F" w14:textId="77777777" w:rsidR="000013D2" w:rsidRDefault="000013D2" w:rsidP="000013D2">
      <w:pPr>
        <w:pStyle w:val="Heading3"/>
        <w:numPr>
          <w:ilvl w:val="2"/>
          <w:numId w:val="44"/>
        </w:numPr>
        <w:rPr>
          <w:sz w:val="24"/>
          <w:szCs w:val="24"/>
        </w:rPr>
      </w:pPr>
      <w:r>
        <w:rPr>
          <w:color w:val="000000"/>
          <w:sz w:val="24"/>
          <w:szCs w:val="24"/>
        </w:rPr>
        <w:t xml:space="preserve">For Disclosure (Liverpool), the QMS cover </w:t>
      </w:r>
      <w:r>
        <w:rPr>
          <w:sz w:val="24"/>
          <w:szCs w:val="24"/>
        </w:rPr>
        <w:t>production functional checking processes which exist to compile accurate information for release to employers within set timescales and Customer Service functions within Disclosure.</w:t>
      </w:r>
    </w:p>
    <w:p w14:paraId="7F938516" w14:textId="77777777" w:rsidR="000013D2" w:rsidRDefault="000013D2" w:rsidP="000013D2">
      <w:pPr>
        <w:pStyle w:val="Heading1"/>
        <w:numPr>
          <w:ilvl w:val="0"/>
          <w:numId w:val="0"/>
        </w:numPr>
        <w:rPr>
          <w:highlight w:val="yellow"/>
        </w:rPr>
      </w:pPr>
    </w:p>
    <w:p w14:paraId="596599BF" w14:textId="77777777" w:rsidR="000013D2" w:rsidRDefault="000013D2" w:rsidP="000013D2">
      <w:pPr>
        <w:pStyle w:val="Heading1"/>
        <w:numPr>
          <w:ilvl w:val="0"/>
          <w:numId w:val="44"/>
        </w:numPr>
        <w:spacing w:after="120"/>
        <w:rPr>
          <w:sz w:val="32"/>
          <w:szCs w:val="32"/>
        </w:rPr>
      </w:pPr>
      <w:bookmarkStart w:id="111" w:name="_heading=h.3dy6vkm" w:colFirst="0" w:colLast="0"/>
      <w:bookmarkEnd w:id="111"/>
      <w:r>
        <w:rPr>
          <w:sz w:val="32"/>
          <w:szCs w:val="32"/>
        </w:rPr>
        <w:t>BACKGROUND TO THE CONTRACTING aUTHORITY</w:t>
      </w:r>
    </w:p>
    <w:p w14:paraId="29C81EDD" w14:textId="77777777" w:rsidR="000013D2" w:rsidRDefault="000013D2" w:rsidP="000013D2">
      <w:pPr>
        <w:pStyle w:val="Heading2"/>
        <w:numPr>
          <w:ilvl w:val="1"/>
          <w:numId w:val="44"/>
        </w:numPr>
        <w:ind w:left="709"/>
        <w:rPr>
          <w:sz w:val="24"/>
          <w:szCs w:val="24"/>
        </w:rPr>
      </w:pPr>
      <w:r>
        <w:rPr>
          <w:sz w:val="24"/>
          <w:szCs w:val="24"/>
        </w:rPr>
        <w:t>The DBS is a non-departmental public body of the Home Office.</w:t>
      </w:r>
    </w:p>
    <w:p w14:paraId="7D54BC07" w14:textId="77777777" w:rsidR="000013D2" w:rsidRDefault="000013D2" w:rsidP="000013D2">
      <w:pPr>
        <w:pStyle w:val="Heading2"/>
        <w:numPr>
          <w:ilvl w:val="1"/>
          <w:numId w:val="44"/>
        </w:numPr>
        <w:ind w:left="709"/>
        <w:rPr>
          <w:sz w:val="24"/>
          <w:szCs w:val="24"/>
        </w:rPr>
      </w:pPr>
      <w:r>
        <w:rPr>
          <w:sz w:val="24"/>
          <w:szCs w:val="24"/>
        </w:rPr>
        <w:t>The DBS was formed in 2012 by merging the functions of the Criminal Records Bureau (CRB) and the Independent Safeguarding Authority (ISA) under the Protection of Freedoms Act 2012. It operates from Liverpool and Darlington.</w:t>
      </w:r>
    </w:p>
    <w:p w14:paraId="36BE5E24" w14:textId="77777777" w:rsidR="000013D2" w:rsidRDefault="000013D2" w:rsidP="000013D2">
      <w:pPr>
        <w:pStyle w:val="Heading2"/>
        <w:numPr>
          <w:ilvl w:val="1"/>
          <w:numId w:val="44"/>
        </w:numPr>
        <w:ind w:left="709"/>
        <w:rPr>
          <w:sz w:val="24"/>
          <w:szCs w:val="24"/>
        </w:rPr>
      </w:pPr>
      <w:r>
        <w:rPr>
          <w:sz w:val="24"/>
          <w:szCs w:val="24"/>
        </w:rPr>
        <w:t>The DBS enables organisations in the public, private and voluntary sectors to make safer recruitment decisions by identifying candidates who may be unsuitable for certain work, especially that involves children or vulnerable adults, and provides wider access to criminal record information through its disclosure service for England and Wales.</w:t>
      </w:r>
    </w:p>
    <w:p w14:paraId="402E5FD3" w14:textId="77777777" w:rsidR="000013D2" w:rsidRDefault="000013D2" w:rsidP="000013D2">
      <w:pPr>
        <w:pStyle w:val="Heading2"/>
        <w:numPr>
          <w:ilvl w:val="1"/>
          <w:numId w:val="44"/>
        </w:numPr>
        <w:ind w:left="709"/>
        <w:rPr>
          <w:sz w:val="24"/>
          <w:szCs w:val="24"/>
        </w:rPr>
      </w:pPr>
      <w:r>
        <w:rPr>
          <w:sz w:val="24"/>
          <w:szCs w:val="24"/>
        </w:rPr>
        <w:t>The DBS may be referred to as the Authority / Contracting Authority throughout this document.</w:t>
      </w:r>
    </w:p>
    <w:p w14:paraId="4E1EE5D6" w14:textId="77777777" w:rsidR="000013D2" w:rsidRDefault="000013D2" w:rsidP="000013D2">
      <w:pPr>
        <w:pStyle w:val="Heading1"/>
        <w:numPr>
          <w:ilvl w:val="0"/>
          <w:numId w:val="0"/>
        </w:numPr>
        <w:rPr>
          <w:highlight w:val="yellow"/>
        </w:rPr>
      </w:pPr>
    </w:p>
    <w:p w14:paraId="126427D3" w14:textId="77777777" w:rsidR="000013D2" w:rsidRDefault="000013D2" w:rsidP="000013D2">
      <w:pPr>
        <w:pStyle w:val="Heading1"/>
        <w:numPr>
          <w:ilvl w:val="0"/>
          <w:numId w:val="44"/>
        </w:numPr>
        <w:spacing w:after="120"/>
        <w:rPr>
          <w:sz w:val="32"/>
          <w:szCs w:val="32"/>
        </w:rPr>
      </w:pPr>
      <w:bookmarkStart w:id="112" w:name="_heading=h.1t3h5sf" w:colFirst="0" w:colLast="0"/>
      <w:bookmarkEnd w:id="112"/>
      <w:r>
        <w:rPr>
          <w:sz w:val="32"/>
          <w:szCs w:val="32"/>
        </w:rPr>
        <w:t>Background to requirement/OVERVIEW of requirement</w:t>
      </w:r>
    </w:p>
    <w:p w14:paraId="27587E67" w14:textId="77777777" w:rsidR="000013D2" w:rsidRDefault="000013D2" w:rsidP="000013D2">
      <w:pPr>
        <w:pStyle w:val="Heading2"/>
        <w:numPr>
          <w:ilvl w:val="1"/>
          <w:numId w:val="44"/>
        </w:numPr>
        <w:spacing w:after="120"/>
        <w:ind w:left="709" w:hanging="709"/>
        <w:rPr>
          <w:sz w:val="24"/>
          <w:szCs w:val="24"/>
        </w:rPr>
      </w:pPr>
      <w:r>
        <w:rPr>
          <w:sz w:val="24"/>
          <w:szCs w:val="24"/>
        </w:rPr>
        <w:t>Further detail regarding ISO 9001 can be accessed via the following URL:</w:t>
      </w:r>
    </w:p>
    <w:p w14:paraId="08F60A77" w14:textId="77777777" w:rsidR="000013D2" w:rsidRDefault="00826B2C" w:rsidP="000013D2">
      <w:pPr>
        <w:pStyle w:val="Heading2"/>
        <w:numPr>
          <w:ilvl w:val="1"/>
          <w:numId w:val="44"/>
        </w:numPr>
        <w:spacing w:after="120"/>
        <w:ind w:left="709" w:firstLine="0"/>
        <w:rPr>
          <w:sz w:val="24"/>
          <w:szCs w:val="24"/>
        </w:rPr>
      </w:pPr>
      <w:hyperlink r:id="rId17">
        <w:r w:rsidR="000013D2">
          <w:rPr>
            <w:color w:val="0000FF"/>
            <w:sz w:val="24"/>
            <w:szCs w:val="24"/>
            <w:u w:val="single"/>
          </w:rPr>
          <w:t>http://www.iso.org/iso/home/standards/management-standards/iso_9000.htm</w:t>
        </w:r>
      </w:hyperlink>
    </w:p>
    <w:p w14:paraId="61FC30EC" w14:textId="77777777" w:rsidR="000013D2" w:rsidRDefault="000013D2" w:rsidP="000013D2">
      <w:pPr>
        <w:pStyle w:val="Heading2"/>
        <w:numPr>
          <w:ilvl w:val="1"/>
          <w:numId w:val="44"/>
        </w:numPr>
        <w:rPr>
          <w:sz w:val="24"/>
          <w:szCs w:val="24"/>
        </w:rPr>
      </w:pPr>
      <w:r>
        <w:rPr>
          <w:sz w:val="24"/>
          <w:szCs w:val="24"/>
        </w:rPr>
        <w:t>The Barring Operations Directorate in Darlington holds an ISO 9001 2015 certification to UKAS accredited standard for the Operations Barring end-to-end services, including the decision-making of cases. This is due to be re-certified by 8</w:t>
      </w:r>
      <w:r>
        <w:rPr>
          <w:sz w:val="24"/>
          <w:szCs w:val="24"/>
          <w:vertAlign w:val="superscript"/>
        </w:rPr>
        <w:t>th</w:t>
      </w:r>
      <w:r>
        <w:rPr>
          <w:sz w:val="24"/>
          <w:szCs w:val="24"/>
        </w:rPr>
        <w:t xml:space="preserve"> July 2023. </w:t>
      </w:r>
    </w:p>
    <w:p w14:paraId="22EDC8B2" w14:textId="77777777" w:rsidR="000013D2" w:rsidRDefault="000013D2" w:rsidP="000013D2">
      <w:pPr>
        <w:pStyle w:val="Heading2"/>
        <w:numPr>
          <w:ilvl w:val="1"/>
          <w:numId w:val="44"/>
        </w:numPr>
        <w:jc w:val="left"/>
        <w:rPr>
          <w:sz w:val="24"/>
          <w:szCs w:val="24"/>
        </w:rPr>
      </w:pPr>
      <w:r>
        <w:rPr>
          <w:sz w:val="24"/>
          <w:szCs w:val="24"/>
        </w:rPr>
        <w:t>The Disclosure Operations in Liverpool holds an ISO 9001 2015 certification to UKAS accredited standard for part of its operations for Production and Customer Service including functional checking processes, which exist to compile accurate information for release to employers within set timescales. This is due to be re-certified by 29</w:t>
      </w:r>
      <w:r>
        <w:rPr>
          <w:sz w:val="24"/>
          <w:szCs w:val="24"/>
          <w:vertAlign w:val="superscript"/>
        </w:rPr>
        <w:t>th</w:t>
      </w:r>
      <w:r>
        <w:rPr>
          <w:sz w:val="24"/>
          <w:szCs w:val="24"/>
        </w:rPr>
        <w:t xml:space="preserve"> March 2022. </w:t>
      </w:r>
    </w:p>
    <w:p w14:paraId="17390AEA" w14:textId="77777777" w:rsidR="000013D2" w:rsidRDefault="000013D2" w:rsidP="000013D2">
      <w:pPr>
        <w:pStyle w:val="Heading2"/>
        <w:numPr>
          <w:ilvl w:val="1"/>
          <w:numId w:val="44"/>
        </w:numPr>
        <w:rPr>
          <w:sz w:val="24"/>
          <w:szCs w:val="24"/>
        </w:rPr>
      </w:pPr>
      <w:r>
        <w:rPr>
          <w:sz w:val="24"/>
          <w:szCs w:val="24"/>
        </w:rPr>
        <w:t>The ISO 9001:2015 certifications must be maintained. Within the Disclosure (Liverpool) element of certification, plans to expand this certification scope are ongoing and will be included in this Agreement.</w:t>
      </w:r>
    </w:p>
    <w:p w14:paraId="026479F8" w14:textId="77777777" w:rsidR="000013D2" w:rsidRPr="00AF377A" w:rsidRDefault="000013D2" w:rsidP="000013D2">
      <w:pPr>
        <w:pStyle w:val="Heading2"/>
        <w:numPr>
          <w:ilvl w:val="1"/>
          <w:numId w:val="44"/>
        </w:numPr>
        <w:rPr>
          <w:sz w:val="24"/>
          <w:szCs w:val="24"/>
        </w:rPr>
      </w:pPr>
      <w:r>
        <w:rPr>
          <w:sz w:val="24"/>
          <w:szCs w:val="24"/>
        </w:rPr>
        <w:t>Please see attached Appendix G, Quality Management Frameworks for Barring and Appendix H, Disclosure Operations which provide more information about the current processes.</w:t>
      </w:r>
    </w:p>
    <w:p w14:paraId="63A7D318" w14:textId="77777777" w:rsidR="000013D2" w:rsidRDefault="000013D2" w:rsidP="000013D2">
      <w:pPr>
        <w:pStyle w:val="Heading1"/>
        <w:numPr>
          <w:ilvl w:val="0"/>
          <w:numId w:val="44"/>
        </w:numPr>
        <w:spacing w:after="120"/>
        <w:rPr>
          <w:sz w:val="32"/>
          <w:szCs w:val="32"/>
        </w:rPr>
      </w:pPr>
      <w:bookmarkStart w:id="113" w:name="_heading=h.4d34og8" w:colFirst="0" w:colLast="0"/>
      <w:bookmarkEnd w:id="113"/>
      <w:r>
        <w:rPr>
          <w:sz w:val="32"/>
          <w:szCs w:val="32"/>
        </w:rPr>
        <w:t xml:space="preserve">definitions </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27"/>
        <w:gridCol w:w="6472"/>
      </w:tblGrid>
      <w:tr w:rsidR="000013D2" w14:paraId="65D5122B" w14:textId="77777777" w:rsidTr="00FE6A15">
        <w:tc>
          <w:tcPr>
            <w:tcW w:w="1827" w:type="dxa"/>
            <w:shd w:val="clear" w:color="auto" w:fill="B8CCE4"/>
          </w:tcPr>
          <w:p w14:paraId="385A1BCF" w14:textId="77777777" w:rsidR="000013D2" w:rsidRPr="00AF377A" w:rsidRDefault="000013D2" w:rsidP="00FE6A15">
            <w:pPr>
              <w:pStyle w:val="Heading2"/>
              <w:numPr>
                <w:ilvl w:val="0"/>
                <w:numId w:val="0"/>
              </w:numPr>
              <w:spacing w:after="120"/>
              <w:jc w:val="left"/>
              <w:rPr>
                <w:sz w:val="24"/>
                <w:szCs w:val="24"/>
                <w:highlight w:val="yellow"/>
              </w:rPr>
            </w:pPr>
            <w:r w:rsidRPr="00AF377A">
              <w:rPr>
                <w:sz w:val="24"/>
                <w:szCs w:val="24"/>
              </w:rPr>
              <w:t>Expression or Acronym</w:t>
            </w:r>
          </w:p>
        </w:tc>
        <w:tc>
          <w:tcPr>
            <w:tcW w:w="6472" w:type="dxa"/>
            <w:shd w:val="clear" w:color="auto" w:fill="B8CCE4"/>
          </w:tcPr>
          <w:p w14:paraId="73E9A7BE" w14:textId="77777777" w:rsidR="000013D2" w:rsidRPr="00AF377A" w:rsidRDefault="000013D2" w:rsidP="00FE6A15">
            <w:pPr>
              <w:pStyle w:val="Heading2"/>
              <w:numPr>
                <w:ilvl w:val="0"/>
                <w:numId w:val="0"/>
              </w:numPr>
              <w:spacing w:after="120"/>
              <w:rPr>
                <w:sz w:val="24"/>
                <w:szCs w:val="24"/>
                <w:highlight w:val="yellow"/>
              </w:rPr>
            </w:pPr>
            <w:r w:rsidRPr="00AF377A">
              <w:rPr>
                <w:sz w:val="24"/>
                <w:szCs w:val="24"/>
              </w:rPr>
              <w:t>Definition</w:t>
            </w:r>
          </w:p>
        </w:tc>
      </w:tr>
      <w:tr w:rsidR="000013D2" w14:paraId="2D2793A6" w14:textId="77777777" w:rsidTr="00FE6A15">
        <w:tc>
          <w:tcPr>
            <w:tcW w:w="1827" w:type="dxa"/>
          </w:tcPr>
          <w:p w14:paraId="3A26D60F"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 xml:space="preserve">Authority / Contracting Authority </w:t>
            </w:r>
          </w:p>
        </w:tc>
        <w:tc>
          <w:tcPr>
            <w:tcW w:w="6472" w:type="dxa"/>
          </w:tcPr>
          <w:p w14:paraId="7EEEE080"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means Disclosure and Barring Service.</w:t>
            </w:r>
          </w:p>
        </w:tc>
      </w:tr>
      <w:tr w:rsidR="000013D2" w14:paraId="75BEBC63" w14:textId="77777777" w:rsidTr="00FE6A15">
        <w:tc>
          <w:tcPr>
            <w:tcW w:w="1827" w:type="dxa"/>
          </w:tcPr>
          <w:p w14:paraId="6258189A"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CRB</w:t>
            </w:r>
          </w:p>
        </w:tc>
        <w:tc>
          <w:tcPr>
            <w:tcW w:w="6472" w:type="dxa"/>
          </w:tcPr>
          <w:p w14:paraId="68B4A8DB"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means Criminal Records Bureau.</w:t>
            </w:r>
          </w:p>
        </w:tc>
      </w:tr>
      <w:tr w:rsidR="000013D2" w14:paraId="4FEBC4AA" w14:textId="77777777" w:rsidTr="00FE6A15">
        <w:tc>
          <w:tcPr>
            <w:tcW w:w="1827" w:type="dxa"/>
          </w:tcPr>
          <w:p w14:paraId="314E1235"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DBS</w:t>
            </w:r>
          </w:p>
        </w:tc>
        <w:tc>
          <w:tcPr>
            <w:tcW w:w="6472" w:type="dxa"/>
          </w:tcPr>
          <w:p w14:paraId="1B1D58FE"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 xml:space="preserve">means the Disclosure and Barring Service, the Contracting Authority for the purposes of this Agreement. </w:t>
            </w:r>
          </w:p>
        </w:tc>
      </w:tr>
      <w:tr w:rsidR="000013D2" w14:paraId="582F2E7A" w14:textId="77777777" w:rsidTr="00FE6A15">
        <w:tc>
          <w:tcPr>
            <w:tcW w:w="1827" w:type="dxa"/>
          </w:tcPr>
          <w:p w14:paraId="22E49709"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ISA</w:t>
            </w:r>
          </w:p>
        </w:tc>
        <w:tc>
          <w:tcPr>
            <w:tcW w:w="6472" w:type="dxa"/>
          </w:tcPr>
          <w:p w14:paraId="3682EF9D"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means Independent Safeguarding Authority.</w:t>
            </w:r>
          </w:p>
        </w:tc>
      </w:tr>
      <w:tr w:rsidR="000013D2" w14:paraId="43C9B060" w14:textId="77777777" w:rsidTr="00FE6A15">
        <w:tc>
          <w:tcPr>
            <w:tcW w:w="1827" w:type="dxa"/>
          </w:tcPr>
          <w:p w14:paraId="2516F35C"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ISO</w:t>
            </w:r>
          </w:p>
        </w:tc>
        <w:tc>
          <w:tcPr>
            <w:tcW w:w="6472" w:type="dxa"/>
          </w:tcPr>
          <w:p w14:paraId="7C82DF9E"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 xml:space="preserve">means International Organisation for Standardisation. </w:t>
            </w:r>
          </w:p>
        </w:tc>
      </w:tr>
      <w:tr w:rsidR="000013D2" w14:paraId="781F0DFF" w14:textId="77777777" w:rsidTr="00FE6A15">
        <w:tc>
          <w:tcPr>
            <w:tcW w:w="1827" w:type="dxa"/>
          </w:tcPr>
          <w:p w14:paraId="2B803602"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ISO 9001</w:t>
            </w:r>
          </w:p>
        </w:tc>
        <w:tc>
          <w:tcPr>
            <w:tcW w:w="6472" w:type="dxa"/>
          </w:tcPr>
          <w:p w14:paraId="70A4AA1D"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 xml:space="preserve">means International Organisation for Standardisation, 9001      standard. </w:t>
            </w:r>
          </w:p>
        </w:tc>
      </w:tr>
      <w:tr w:rsidR="000013D2" w14:paraId="1F0F7096" w14:textId="77777777" w:rsidTr="00FE6A15">
        <w:tc>
          <w:tcPr>
            <w:tcW w:w="1827" w:type="dxa"/>
          </w:tcPr>
          <w:p w14:paraId="5A68EC64"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QMS</w:t>
            </w:r>
          </w:p>
        </w:tc>
        <w:tc>
          <w:tcPr>
            <w:tcW w:w="6472" w:type="dxa"/>
          </w:tcPr>
          <w:p w14:paraId="0641A2CE"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means Quality Management System.</w:t>
            </w:r>
          </w:p>
        </w:tc>
      </w:tr>
      <w:tr w:rsidR="000013D2" w14:paraId="4006B4B8" w14:textId="77777777" w:rsidTr="00FE6A15">
        <w:tc>
          <w:tcPr>
            <w:tcW w:w="1827" w:type="dxa"/>
          </w:tcPr>
          <w:p w14:paraId="2E5EE35D"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SC</w:t>
            </w:r>
          </w:p>
        </w:tc>
        <w:tc>
          <w:tcPr>
            <w:tcW w:w="6472" w:type="dxa"/>
          </w:tcPr>
          <w:p w14:paraId="09453B75" w14:textId="77777777" w:rsidR="000013D2" w:rsidRPr="000629AA" w:rsidRDefault="000013D2" w:rsidP="00FE6A15">
            <w:pPr>
              <w:pStyle w:val="Heading2"/>
              <w:numPr>
                <w:ilvl w:val="0"/>
                <w:numId w:val="0"/>
              </w:numPr>
              <w:spacing w:after="120"/>
              <w:rPr>
                <w:b/>
                <w:sz w:val="24"/>
                <w:szCs w:val="24"/>
                <w:highlight w:val="yellow"/>
              </w:rPr>
            </w:pPr>
            <w:r w:rsidRPr="000629AA">
              <w:rPr>
                <w:sz w:val="24"/>
                <w:szCs w:val="24"/>
              </w:rPr>
              <w:t>means Security Clearance.</w:t>
            </w:r>
          </w:p>
        </w:tc>
      </w:tr>
    </w:tbl>
    <w:p w14:paraId="5C4FE00B" w14:textId="77777777" w:rsidR="000013D2" w:rsidRDefault="000013D2" w:rsidP="000013D2">
      <w:pPr>
        <w:pStyle w:val="Heading1"/>
        <w:numPr>
          <w:ilvl w:val="0"/>
          <w:numId w:val="44"/>
        </w:numPr>
        <w:spacing w:before="240" w:after="120"/>
        <w:rPr>
          <w:sz w:val="32"/>
          <w:szCs w:val="32"/>
        </w:rPr>
      </w:pPr>
      <w:bookmarkStart w:id="114" w:name="_heading=h.2s8eyo1" w:colFirst="0" w:colLast="0"/>
      <w:bookmarkEnd w:id="114"/>
      <w:r>
        <w:rPr>
          <w:sz w:val="32"/>
          <w:szCs w:val="32"/>
        </w:rPr>
        <w:t xml:space="preserve">scope of requirement </w:t>
      </w:r>
    </w:p>
    <w:p w14:paraId="7F52E0BB" w14:textId="77777777" w:rsidR="000013D2" w:rsidRPr="00AF377A" w:rsidRDefault="000013D2" w:rsidP="000013D2">
      <w:pPr>
        <w:pStyle w:val="Heading2"/>
        <w:numPr>
          <w:ilvl w:val="1"/>
          <w:numId w:val="44"/>
        </w:numPr>
        <w:spacing w:after="120"/>
        <w:ind w:left="709" w:hanging="709"/>
        <w:rPr>
          <w:sz w:val="24"/>
          <w:szCs w:val="24"/>
        </w:rPr>
      </w:pPr>
      <w:r>
        <w:rPr>
          <w:sz w:val="24"/>
          <w:szCs w:val="24"/>
        </w:rPr>
        <w:t>Provide the Authority with ISO UKAS accredited support for both Barring Operations in Darlington and Disclosure Operations in Liverpool to help maintain and  re-certify as appropriate its two ISO certifications, including conducting surveillance visits and onsite and remote support where required. Surveillance visits may be required to be carried out remotely and the bidder should demonstrate its capability to perform this activity via Skype for Business.</w:t>
      </w:r>
    </w:p>
    <w:p w14:paraId="298464DD" w14:textId="77777777" w:rsidR="000013D2" w:rsidRDefault="000013D2" w:rsidP="000013D2">
      <w:pPr>
        <w:pStyle w:val="Heading2"/>
        <w:numPr>
          <w:ilvl w:val="1"/>
          <w:numId w:val="44"/>
        </w:numPr>
        <w:spacing w:after="120"/>
        <w:ind w:left="709" w:hanging="709"/>
        <w:rPr>
          <w:sz w:val="24"/>
          <w:szCs w:val="24"/>
        </w:rPr>
      </w:pPr>
      <w:r>
        <w:rPr>
          <w:sz w:val="24"/>
          <w:szCs w:val="24"/>
        </w:rPr>
        <w:t>At the Authority’s sole discretion, provide the Authority with support to extend the scope of its Disclosure (Liverpool) certification to include the further operational duties and areas not yet covered in its current certification.  This may include an extra day’s auditing from the Supplier in 2021 to facilitate widening the scope for Disclosure Operations in Liverpool.</w:t>
      </w:r>
    </w:p>
    <w:p w14:paraId="571E40BC" w14:textId="77777777" w:rsidR="000013D2" w:rsidRDefault="000013D2" w:rsidP="000013D2">
      <w:pPr>
        <w:pStyle w:val="Heading2"/>
        <w:numPr>
          <w:ilvl w:val="1"/>
          <w:numId w:val="44"/>
        </w:numPr>
        <w:spacing w:after="120"/>
        <w:ind w:left="709" w:hanging="709"/>
        <w:rPr>
          <w:sz w:val="24"/>
          <w:szCs w:val="24"/>
        </w:rPr>
      </w:pPr>
      <w:r>
        <w:rPr>
          <w:sz w:val="24"/>
          <w:szCs w:val="24"/>
        </w:rPr>
        <w:t>At the Authority’s sole discretion, provide support to DBS to replace the separate accreditations with a single ISO certificate accreditation across both Barring and Disclosure.  This may include an extra day’s auditing from the Supplier to facilitate.</w:t>
      </w:r>
    </w:p>
    <w:p w14:paraId="3EA64CF4" w14:textId="77777777" w:rsidR="000013D2" w:rsidRPr="00AF377A" w:rsidRDefault="000013D2" w:rsidP="000013D2">
      <w:pPr>
        <w:pStyle w:val="Heading2"/>
        <w:numPr>
          <w:ilvl w:val="1"/>
          <w:numId w:val="44"/>
        </w:numPr>
        <w:spacing w:after="0"/>
        <w:rPr>
          <w:sz w:val="24"/>
          <w:szCs w:val="24"/>
        </w:rPr>
      </w:pPr>
      <w:r>
        <w:rPr>
          <w:sz w:val="24"/>
          <w:szCs w:val="24"/>
        </w:rPr>
        <w:t xml:space="preserve">The bidder must provide a Mobilisation and Delivery Plan which shall outline how the Key Milestones will be met, and how the Bidder intends to deliver the Services as per the Authority’s requirement. </w:t>
      </w:r>
    </w:p>
    <w:p w14:paraId="0CE3129F" w14:textId="77777777" w:rsidR="000013D2" w:rsidRPr="00AF377A" w:rsidRDefault="000013D2" w:rsidP="000013D2">
      <w:pPr>
        <w:pStyle w:val="Heading2"/>
        <w:numPr>
          <w:ilvl w:val="1"/>
          <w:numId w:val="44"/>
        </w:numPr>
        <w:rPr>
          <w:sz w:val="24"/>
          <w:szCs w:val="24"/>
        </w:rPr>
      </w:pPr>
      <w:r>
        <w:rPr>
          <w:sz w:val="24"/>
          <w:szCs w:val="24"/>
        </w:rPr>
        <w:t>The plan shall include the activities required to achieve each Key Milestone and the dates by when the Key Milestones will be completed.</w:t>
      </w:r>
    </w:p>
    <w:p w14:paraId="7E4E1967" w14:textId="77777777" w:rsidR="000013D2" w:rsidRPr="00AF377A" w:rsidRDefault="000013D2" w:rsidP="000013D2">
      <w:pPr>
        <w:pStyle w:val="Heading1"/>
        <w:numPr>
          <w:ilvl w:val="0"/>
          <w:numId w:val="44"/>
        </w:numPr>
        <w:spacing w:after="120"/>
        <w:rPr>
          <w:sz w:val="32"/>
          <w:szCs w:val="32"/>
        </w:rPr>
      </w:pPr>
      <w:bookmarkStart w:id="115" w:name="_heading=h.17dp8vu" w:colFirst="0" w:colLast="0"/>
      <w:bookmarkEnd w:id="115"/>
      <w:r>
        <w:rPr>
          <w:sz w:val="32"/>
          <w:szCs w:val="32"/>
        </w:rPr>
        <w:t>The requirement</w:t>
      </w:r>
    </w:p>
    <w:p w14:paraId="153174BD" w14:textId="77777777" w:rsidR="000013D2" w:rsidRDefault="000013D2" w:rsidP="000013D2">
      <w:pPr>
        <w:pStyle w:val="Heading2"/>
        <w:numPr>
          <w:ilvl w:val="1"/>
          <w:numId w:val="44"/>
        </w:numPr>
        <w:rPr>
          <w:sz w:val="24"/>
          <w:szCs w:val="24"/>
        </w:rPr>
      </w:pPr>
      <w:r>
        <w:rPr>
          <w:sz w:val="24"/>
          <w:szCs w:val="24"/>
        </w:rPr>
        <w:t>The Supplier’s responsibilities shall include, but not be limited to:</w:t>
      </w:r>
    </w:p>
    <w:p w14:paraId="255834ED" w14:textId="77777777" w:rsidR="000013D2" w:rsidRDefault="000013D2" w:rsidP="000013D2">
      <w:pPr>
        <w:pStyle w:val="Heading3"/>
        <w:numPr>
          <w:ilvl w:val="2"/>
          <w:numId w:val="44"/>
        </w:numPr>
        <w:spacing w:after="120"/>
        <w:rPr>
          <w:sz w:val="24"/>
          <w:szCs w:val="24"/>
        </w:rPr>
      </w:pPr>
      <w:r>
        <w:rPr>
          <w:sz w:val="24"/>
          <w:szCs w:val="24"/>
        </w:rPr>
        <w:t>Providing on-site and remote surveillance visits as requested by the Authority, using Skype for Business when remote visits are required. These are likely to be on a 6-monthly basis in line with Operations ISO certification (currently ISO 9001:2015 to UKAS accredited standard).</w:t>
      </w:r>
    </w:p>
    <w:p w14:paraId="43F33FC4" w14:textId="77777777" w:rsidR="000013D2" w:rsidRDefault="000013D2" w:rsidP="000013D2">
      <w:pPr>
        <w:pStyle w:val="Heading4"/>
        <w:numPr>
          <w:ilvl w:val="3"/>
          <w:numId w:val="44"/>
        </w:numPr>
        <w:rPr>
          <w:sz w:val="24"/>
          <w:szCs w:val="24"/>
        </w:rPr>
      </w:pPr>
      <w:r>
        <w:rPr>
          <w:b/>
          <w:sz w:val="24"/>
          <w:szCs w:val="24"/>
        </w:rPr>
        <w:t>Barring:</w:t>
      </w:r>
      <w:r>
        <w:rPr>
          <w:sz w:val="24"/>
          <w:szCs w:val="24"/>
        </w:rPr>
        <w:t xml:space="preserve"> first surveillance visits due April/May 2021, and then every six months thereafter. </w:t>
      </w:r>
    </w:p>
    <w:p w14:paraId="65E2099C" w14:textId="77777777" w:rsidR="000013D2" w:rsidRDefault="000013D2" w:rsidP="000013D2">
      <w:pPr>
        <w:pStyle w:val="Heading4"/>
        <w:numPr>
          <w:ilvl w:val="3"/>
          <w:numId w:val="44"/>
        </w:numPr>
        <w:rPr>
          <w:sz w:val="24"/>
          <w:szCs w:val="24"/>
        </w:rPr>
      </w:pPr>
      <w:r>
        <w:rPr>
          <w:b/>
          <w:sz w:val="24"/>
          <w:szCs w:val="24"/>
        </w:rPr>
        <w:t>Disclosure:</w:t>
      </w:r>
      <w:r>
        <w:rPr>
          <w:sz w:val="24"/>
          <w:szCs w:val="24"/>
        </w:rPr>
        <w:t xml:space="preserve"> first surveillance visits due January/February 2021, and then every 6 months thereafter. </w:t>
      </w:r>
    </w:p>
    <w:p w14:paraId="2B97837C" w14:textId="77777777" w:rsidR="000013D2" w:rsidRDefault="000013D2" w:rsidP="000013D2">
      <w:pPr>
        <w:pStyle w:val="Heading4"/>
        <w:numPr>
          <w:ilvl w:val="3"/>
          <w:numId w:val="44"/>
        </w:numPr>
        <w:rPr>
          <w:sz w:val="24"/>
          <w:szCs w:val="24"/>
        </w:rPr>
      </w:pPr>
      <w:r>
        <w:rPr>
          <w:sz w:val="24"/>
          <w:szCs w:val="24"/>
        </w:rPr>
        <w:t>Extra days may be required for expanding the scope in Disclosure accreditation in 2021 and then in 2022 to facilitate the replacement of the two accreditations with one covering both sites.</w:t>
      </w:r>
    </w:p>
    <w:p w14:paraId="6E9BEF68" w14:textId="77777777" w:rsidR="000013D2" w:rsidRDefault="000013D2" w:rsidP="000013D2">
      <w:pPr>
        <w:pStyle w:val="Heading3"/>
        <w:numPr>
          <w:ilvl w:val="2"/>
          <w:numId w:val="44"/>
        </w:numPr>
        <w:rPr>
          <w:sz w:val="24"/>
          <w:szCs w:val="24"/>
        </w:rPr>
      </w:pPr>
      <w:r>
        <w:rPr>
          <w:sz w:val="24"/>
          <w:szCs w:val="24"/>
        </w:rPr>
        <w:t>Provide certification of DBS Operations (Disclosure and Barring) QMS to the ISO 9001:2015 standard for the Term of the Agreement.</w:t>
      </w:r>
    </w:p>
    <w:p w14:paraId="6F3C4DEF" w14:textId="77777777" w:rsidR="000013D2" w:rsidRDefault="000013D2" w:rsidP="000013D2">
      <w:pPr>
        <w:pStyle w:val="Heading3"/>
        <w:numPr>
          <w:ilvl w:val="2"/>
          <w:numId w:val="44"/>
        </w:numPr>
        <w:spacing w:after="120"/>
        <w:rPr>
          <w:sz w:val="24"/>
          <w:szCs w:val="24"/>
        </w:rPr>
      </w:pPr>
      <w:r>
        <w:rPr>
          <w:sz w:val="24"/>
          <w:szCs w:val="24"/>
        </w:rPr>
        <w:t>Support DBS ISO 9001 certified areas in relation to any impact from changes implemented in the business during the |Term of the Agreement. This will be in order to maintain and expand certification throughout such changes.</w:t>
      </w:r>
    </w:p>
    <w:p w14:paraId="7786AC0D" w14:textId="77777777" w:rsidR="000013D2" w:rsidRDefault="000013D2" w:rsidP="000013D2">
      <w:pPr>
        <w:pStyle w:val="Heading3"/>
        <w:numPr>
          <w:ilvl w:val="2"/>
          <w:numId w:val="44"/>
        </w:numPr>
        <w:spacing w:after="120"/>
        <w:rPr>
          <w:sz w:val="24"/>
          <w:szCs w:val="24"/>
        </w:rPr>
      </w:pPr>
      <w:r>
        <w:rPr>
          <w:sz w:val="24"/>
          <w:szCs w:val="24"/>
        </w:rPr>
        <w:t>Provide support when required around any raised issues within their QMS, both on-site, at surveillance visits and off-site.</w:t>
      </w:r>
    </w:p>
    <w:p w14:paraId="04837406" w14:textId="77777777" w:rsidR="000013D2" w:rsidRDefault="000013D2" w:rsidP="000013D2">
      <w:pPr>
        <w:pStyle w:val="Heading3"/>
        <w:numPr>
          <w:ilvl w:val="2"/>
          <w:numId w:val="44"/>
        </w:numPr>
        <w:spacing w:after="120"/>
        <w:rPr>
          <w:sz w:val="24"/>
          <w:szCs w:val="24"/>
        </w:rPr>
      </w:pPr>
      <w:r>
        <w:rPr>
          <w:sz w:val="24"/>
          <w:szCs w:val="24"/>
        </w:rPr>
        <w:t>Provide advice and support, if required, to help the Authority join up to one overarching certification for both Disclosure and Barring QMS.</w:t>
      </w:r>
    </w:p>
    <w:p w14:paraId="4206C30D" w14:textId="77777777" w:rsidR="000013D2" w:rsidRDefault="000013D2" w:rsidP="000013D2">
      <w:pPr>
        <w:pStyle w:val="Heading1"/>
        <w:numPr>
          <w:ilvl w:val="0"/>
          <w:numId w:val="0"/>
        </w:numPr>
        <w:spacing w:after="120"/>
        <w:rPr>
          <w:sz w:val="32"/>
          <w:szCs w:val="32"/>
        </w:rPr>
      </w:pPr>
    </w:p>
    <w:p w14:paraId="18759E65" w14:textId="77777777" w:rsidR="000013D2" w:rsidRDefault="000013D2" w:rsidP="000013D2">
      <w:pPr>
        <w:pStyle w:val="Heading1"/>
        <w:numPr>
          <w:ilvl w:val="0"/>
          <w:numId w:val="44"/>
        </w:numPr>
        <w:spacing w:after="120"/>
        <w:rPr>
          <w:sz w:val="32"/>
          <w:szCs w:val="32"/>
        </w:rPr>
      </w:pPr>
      <w:bookmarkStart w:id="116" w:name="_heading=h.3rdcrjn" w:colFirst="0" w:colLast="0"/>
      <w:bookmarkEnd w:id="116"/>
      <w:r>
        <w:rPr>
          <w:sz w:val="32"/>
          <w:szCs w:val="32"/>
        </w:rPr>
        <w:t>key milestones and Deliverables</w:t>
      </w:r>
    </w:p>
    <w:p w14:paraId="734A45E8" w14:textId="77777777" w:rsidR="000013D2" w:rsidRDefault="000013D2" w:rsidP="000013D2">
      <w:pPr>
        <w:pStyle w:val="Heading2"/>
        <w:numPr>
          <w:ilvl w:val="1"/>
          <w:numId w:val="44"/>
        </w:numPr>
        <w:spacing w:after="120"/>
        <w:ind w:left="709" w:hanging="709"/>
        <w:rPr>
          <w:sz w:val="24"/>
          <w:szCs w:val="24"/>
        </w:rPr>
      </w:pPr>
      <w:r>
        <w:rPr>
          <w:sz w:val="24"/>
          <w:szCs w:val="24"/>
        </w:rPr>
        <w:t>The following Agreement milestones/deliverables shall apply:</w:t>
      </w:r>
    </w:p>
    <w:tbl>
      <w:tblPr>
        <w:tblW w:w="9176" w:type="dxa"/>
        <w:tblInd w:w="57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1"/>
        <w:gridCol w:w="4371"/>
        <w:gridCol w:w="2134"/>
      </w:tblGrid>
      <w:tr w:rsidR="000013D2" w:rsidRPr="00AF377A" w14:paraId="316D36A7" w14:textId="77777777" w:rsidTr="00FE6A15">
        <w:tc>
          <w:tcPr>
            <w:tcW w:w="2671" w:type="dxa"/>
            <w:shd w:val="clear" w:color="auto" w:fill="B8CCE4"/>
            <w:vAlign w:val="center"/>
          </w:tcPr>
          <w:p w14:paraId="0368BE7C" w14:textId="77777777" w:rsidR="000013D2" w:rsidRDefault="000013D2" w:rsidP="00FE6A15">
            <w:pPr>
              <w:pStyle w:val="Heading3"/>
              <w:numPr>
                <w:ilvl w:val="0"/>
                <w:numId w:val="0"/>
              </w:numPr>
              <w:spacing w:after="120"/>
              <w:ind w:left="720"/>
              <w:jc w:val="center"/>
              <w:rPr>
                <w:sz w:val="24"/>
                <w:szCs w:val="24"/>
              </w:rPr>
            </w:pPr>
            <w:r w:rsidRPr="00AF377A">
              <w:rPr>
                <w:sz w:val="24"/>
                <w:szCs w:val="24"/>
              </w:rPr>
              <w:t>Milestone/</w:t>
            </w:r>
          </w:p>
          <w:p w14:paraId="64604F6B" w14:textId="77777777" w:rsidR="000013D2" w:rsidRPr="00AF377A" w:rsidRDefault="000013D2" w:rsidP="00FE6A15">
            <w:pPr>
              <w:pStyle w:val="Heading3"/>
              <w:numPr>
                <w:ilvl w:val="0"/>
                <w:numId w:val="0"/>
              </w:numPr>
              <w:spacing w:after="120"/>
              <w:ind w:left="720"/>
              <w:jc w:val="center"/>
              <w:rPr>
                <w:sz w:val="24"/>
                <w:szCs w:val="24"/>
              </w:rPr>
            </w:pPr>
            <w:r w:rsidRPr="00AF377A">
              <w:rPr>
                <w:sz w:val="24"/>
                <w:szCs w:val="24"/>
              </w:rPr>
              <w:t>Deliverable</w:t>
            </w:r>
          </w:p>
        </w:tc>
        <w:tc>
          <w:tcPr>
            <w:tcW w:w="4371" w:type="dxa"/>
            <w:shd w:val="clear" w:color="auto" w:fill="B8CCE4"/>
            <w:vAlign w:val="center"/>
          </w:tcPr>
          <w:p w14:paraId="5DD3BACC" w14:textId="77777777" w:rsidR="000013D2" w:rsidRPr="00AF377A" w:rsidRDefault="000013D2" w:rsidP="00FE6A15">
            <w:pPr>
              <w:pStyle w:val="Heading3"/>
              <w:numPr>
                <w:ilvl w:val="0"/>
                <w:numId w:val="0"/>
              </w:numPr>
              <w:spacing w:after="120"/>
              <w:ind w:left="720"/>
              <w:jc w:val="center"/>
              <w:rPr>
                <w:sz w:val="24"/>
                <w:szCs w:val="24"/>
              </w:rPr>
            </w:pPr>
            <w:r w:rsidRPr="00AF377A">
              <w:rPr>
                <w:sz w:val="24"/>
                <w:szCs w:val="24"/>
              </w:rPr>
              <w:t>Description</w:t>
            </w:r>
          </w:p>
        </w:tc>
        <w:tc>
          <w:tcPr>
            <w:tcW w:w="2134" w:type="dxa"/>
            <w:shd w:val="clear" w:color="auto" w:fill="B8CCE4"/>
            <w:vAlign w:val="center"/>
          </w:tcPr>
          <w:p w14:paraId="1EB218C6" w14:textId="77777777" w:rsidR="000013D2" w:rsidRPr="00AF377A" w:rsidRDefault="000013D2" w:rsidP="00FE6A15">
            <w:pPr>
              <w:pStyle w:val="Heading3"/>
              <w:numPr>
                <w:ilvl w:val="0"/>
                <w:numId w:val="0"/>
              </w:numPr>
              <w:spacing w:after="120"/>
              <w:jc w:val="left"/>
              <w:rPr>
                <w:sz w:val="24"/>
                <w:szCs w:val="24"/>
              </w:rPr>
            </w:pPr>
            <w:r w:rsidRPr="00AF377A">
              <w:rPr>
                <w:sz w:val="24"/>
                <w:szCs w:val="24"/>
              </w:rPr>
              <w:t>Timeframe or Delivery Date</w:t>
            </w:r>
          </w:p>
        </w:tc>
      </w:tr>
      <w:tr w:rsidR="000013D2" w:rsidRPr="00AF377A" w14:paraId="0BCE137B" w14:textId="77777777" w:rsidTr="00FE6A15">
        <w:tc>
          <w:tcPr>
            <w:tcW w:w="2671" w:type="dxa"/>
            <w:vAlign w:val="center"/>
          </w:tcPr>
          <w:p w14:paraId="45D66C86" w14:textId="77777777" w:rsidR="000013D2" w:rsidRPr="000629AA" w:rsidRDefault="000013D2" w:rsidP="00FE6A15">
            <w:pPr>
              <w:pStyle w:val="Heading3"/>
              <w:numPr>
                <w:ilvl w:val="0"/>
                <w:numId w:val="0"/>
              </w:numPr>
              <w:spacing w:after="120"/>
              <w:ind w:left="720"/>
              <w:jc w:val="center"/>
              <w:rPr>
                <w:b/>
                <w:sz w:val="24"/>
                <w:szCs w:val="24"/>
                <w:highlight w:val="yellow"/>
              </w:rPr>
            </w:pPr>
            <w:r w:rsidRPr="000629AA">
              <w:rPr>
                <w:sz w:val="24"/>
                <w:szCs w:val="24"/>
              </w:rPr>
              <w:t>1</w:t>
            </w:r>
          </w:p>
        </w:tc>
        <w:tc>
          <w:tcPr>
            <w:tcW w:w="4371" w:type="dxa"/>
          </w:tcPr>
          <w:p w14:paraId="4E0E31F0" w14:textId="77777777" w:rsidR="000013D2" w:rsidRPr="000629AA" w:rsidRDefault="000013D2" w:rsidP="00FE6A15">
            <w:pPr>
              <w:pStyle w:val="Heading3"/>
              <w:numPr>
                <w:ilvl w:val="0"/>
                <w:numId w:val="0"/>
              </w:numPr>
              <w:spacing w:after="120"/>
              <w:ind w:left="720"/>
              <w:jc w:val="left"/>
              <w:rPr>
                <w:b/>
                <w:sz w:val="24"/>
                <w:szCs w:val="24"/>
                <w:highlight w:val="yellow"/>
              </w:rPr>
            </w:pPr>
            <w:r w:rsidRPr="000629AA">
              <w:rPr>
                <w:sz w:val="24"/>
                <w:szCs w:val="24"/>
              </w:rPr>
              <w:t>Supplier Mobilisation &amp; Delivery Plan of the approach to the audits throughout the term.</w:t>
            </w:r>
          </w:p>
        </w:tc>
        <w:tc>
          <w:tcPr>
            <w:tcW w:w="2134" w:type="dxa"/>
          </w:tcPr>
          <w:p w14:paraId="119E9530" w14:textId="77777777" w:rsidR="000013D2" w:rsidRPr="000629AA" w:rsidRDefault="000013D2" w:rsidP="00FE6A15">
            <w:pPr>
              <w:pStyle w:val="Heading3"/>
              <w:numPr>
                <w:ilvl w:val="0"/>
                <w:numId w:val="0"/>
              </w:numPr>
              <w:spacing w:after="120"/>
              <w:jc w:val="left"/>
              <w:rPr>
                <w:b/>
                <w:sz w:val="24"/>
                <w:szCs w:val="24"/>
                <w:highlight w:val="yellow"/>
              </w:rPr>
            </w:pPr>
            <w:r w:rsidRPr="000629AA">
              <w:rPr>
                <w:sz w:val="24"/>
                <w:szCs w:val="24"/>
              </w:rPr>
              <w:t>Within 4 weeks of the Commencement Date</w:t>
            </w:r>
          </w:p>
        </w:tc>
      </w:tr>
      <w:tr w:rsidR="000013D2" w:rsidRPr="00AF377A" w14:paraId="79E64E43" w14:textId="77777777" w:rsidTr="00FE6A15">
        <w:tc>
          <w:tcPr>
            <w:tcW w:w="2671" w:type="dxa"/>
            <w:vAlign w:val="center"/>
          </w:tcPr>
          <w:p w14:paraId="7BCDFC45" w14:textId="77777777" w:rsidR="000013D2" w:rsidRPr="000629AA" w:rsidRDefault="000013D2" w:rsidP="00FE6A15">
            <w:pPr>
              <w:pStyle w:val="Heading3"/>
              <w:numPr>
                <w:ilvl w:val="0"/>
                <w:numId w:val="0"/>
              </w:numPr>
              <w:spacing w:after="120"/>
              <w:ind w:left="720"/>
              <w:jc w:val="center"/>
              <w:rPr>
                <w:b/>
                <w:sz w:val="24"/>
                <w:szCs w:val="24"/>
                <w:highlight w:val="yellow"/>
              </w:rPr>
            </w:pPr>
            <w:r w:rsidRPr="000629AA">
              <w:rPr>
                <w:sz w:val="24"/>
                <w:szCs w:val="24"/>
              </w:rPr>
              <w:t>2</w:t>
            </w:r>
          </w:p>
        </w:tc>
        <w:tc>
          <w:tcPr>
            <w:tcW w:w="4371" w:type="dxa"/>
          </w:tcPr>
          <w:p w14:paraId="2853D1D0" w14:textId="77777777" w:rsidR="000013D2" w:rsidRPr="000629AA" w:rsidRDefault="000013D2" w:rsidP="00FE6A15">
            <w:pPr>
              <w:pStyle w:val="Heading3"/>
              <w:numPr>
                <w:ilvl w:val="0"/>
                <w:numId w:val="0"/>
              </w:numPr>
              <w:spacing w:after="120"/>
              <w:ind w:left="720"/>
              <w:jc w:val="left"/>
              <w:rPr>
                <w:b/>
                <w:sz w:val="24"/>
                <w:szCs w:val="24"/>
                <w:highlight w:val="yellow"/>
              </w:rPr>
            </w:pPr>
            <w:r w:rsidRPr="000629AA">
              <w:rPr>
                <w:sz w:val="24"/>
                <w:szCs w:val="24"/>
              </w:rPr>
              <w:t>Initial site visits, either remotely or on site at the Authority’s sole discretion.</w:t>
            </w:r>
          </w:p>
        </w:tc>
        <w:tc>
          <w:tcPr>
            <w:tcW w:w="2134" w:type="dxa"/>
          </w:tcPr>
          <w:p w14:paraId="32A4DE06" w14:textId="77777777" w:rsidR="000013D2" w:rsidRPr="000629AA" w:rsidRDefault="000013D2" w:rsidP="00FE6A15">
            <w:pPr>
              <w:pStyle w:val="Heading3"/>
              <w:numPr>
                <w:ilvl w:val="0"/>
                <w:numId w:val="0"/>
              </w:numPr>
              <w:spacing w:after="120"/>
              <w:jc w:val="left"/>
              <w:rPr>
                <w:b/>
                <w:sz w:val="24"/>
                <w:szCs w:val="24"/>
                <w:highlight w:val="yellow"/>
              </w:rPr>
            </w:pPr>
            <w:r w:rsidRPr="000629AA">
              <w:rPr>
                <w:sz w:val="24"/>
                <w:szCs w:val="24"/>
              </w:rPr>
              <w:t>Within 8 weeks of the Commencement Date</w:t>
            </w:r>
          </w:p>
        </w:tc>
      </w:tr>
      <w:tr w:rsidR="000013D2" w:rsidRPr="00AF377A" w14:paraId="63A58A91" w14:textId="77777777" w:rsidTr="00FE6A15">
        <w:tc>
          <w:tcPr>
            <w:tcW w:w="2671" w:type="dxa"/>
            <w:vAlign w:val="center"/>
          </w:tcPr>
          <w:p w14:paraId="1355687D" w14:textId="77777777" w:rsidR="000013D2" w:rsidRPr="000629AA" w:rsidRDefault="000013D2" w:rsidP="00FE6A15">
            <w:pPr>
              <w:pStyle w:val="Heading3"/>
              <w:numPr>
                <w:ilvl w:val="0"/>
                <w:numId w:val="0"/>
              </w:numPr>
              <w:spacing w:after="120"/>
              <w:ind w:left="720"/>
              <w:jc w:val="center"/>
              <w:rPr>
                <w:b/>
                <w:sz w:val="24"/>
                <w:szCs w:val="24"/>
                <w:highlight w:val="yellow"/>
              </w:rPr>
            </w:pPr>
            <w:r w:rsidRPr="000629AA">
              <w:rPr>
                <w:sz w:val="24"/>
                <w:szCs w:val="24"/>
              </w:rPr>
              <w:t>3</w:t>
            </w:r>
          </w:p>
        </w:tc>
        <w:tc>
          <w:tcPr>
            <w:tcW w:w="4371" w:type="dxa"/>
          </w:tcPr>
          <w:p w14:paraId="4E963889" w14:textId="77777777" w:rsidR="000013D2" w:rsidRPr="000629AA" w:rsidRDefault="000013D2" w:rsidP="00FE6A15">
            <w:pPr>
              <w:pStyle w:val="Heading3"/>
              <w:numPr>
                <w:ilvl w:val="0"/>
                <w:numId w:val="0"/>
              </w:numPr>
              <w:spacing w:after="120"/>
              <w:ind w:left="720"/>
              <w:jc w:val="left"/>
              <w:rPr>
                <w:b/>
                <w:sz w:val="24"/>
                <w:szCs w:val="24"/>
                <w:highlight w:val="yellow"/>
              </w:rPr>
            </w:pPr>
            <w:r w:rsidRPr="000629AA">
              <w:rPr>
                <w:sz w:val="24"/>
                <w:szCs w:val="24"/>
              </w:rPr>
              <w:t>Re-Certification of ISO 9001:2015</w:t>
            </w:r>
          </w:p>
        </w:tc>
        <w:tc>
          <w:tcPr>
            <w:tcW w:w="2134" w:type="dxa"/>
          </w:tcPr>
          <w:p w14:paraId="7403B14A" w14:textId="77777777" w:rsidR="000013D2" w:rsidRPr="000629AA" w:rsidRDefault="000013D2" w:rsidP="00FE6A15">
            <w:pPr>
              <w:pStyle w:val="Heading3"/>
              <w:numPr>
                <w:ilvl w:val="0"/>
                <w:numId w:val="0"/>
              </w:numPr>
              <w:spacing w:after="120"/>
              <w:jc w:val="left"/>
              <w:rPr>
                <w:b/>
                <w:sz w:val="24"/>
                <w:szCs w:val="24"/>
              </w:rPr>
            </w:pPr>
            <w:r w:rsidRPr="000629AA">
              <w:rPr>
                <w:sz w:val="24"/>
                <w:szCs w:val="24"/>
              </w:rPr>
              <w:t>Disclosure – by 29</w:t>
            </w:r>
            <w:r w:rsidRPr="000629AA">
              <w:rPr>
                <w:sz w:val="24"/>
                <w:szCs w:val="24"/>
                <w:vertAlign w:val="superscript"/>
              </w:rPr>
              <w:t>th</w:t>
            </w:r>
            <w:r w:rsidRPr="000629AA">
              <w:rPr>
                <w:sz w:val="24"/>
                <w:szCs w:val="24"/>
              </w:rPr>
              <w:t xml:space="preserve"> March 2022</w:t>
            </w:r>
          </w:p>
          <w:p w14:paraId="4CB555B3" w14:textId="77777777" w:rsidR="000013D2" w:rsidRPr="000629AA" w:rsidRDefault="000013D2" w:rsidP="00FE6A15">
            <w:pPr>
              <w:pStyle w:val="Heading3"/>
              <w:numPr>
                <w:ilvl w:val="0"/>
                <w:numId w:val="0"/>
              </w:numPr>
              <w:spacing w:after="120"/>
              <w:jc w:val="left"/>
              <w:rPr>
                <w:b/>
                <w:sz w:val="24"/>
                <w:szCs w:val="24"/>
                <w:highlight w:val="yellow"/>
              </w:rPr>
            </w:pPr>
            <w:r w:rsidRPr="000629AA">
              <w:rPr>
                <w:sz w:val="24"/>
                <w:szCs w:val="24"/>
              </w:rPr>
              <w:t>Barring – by 8</w:t>
            </w:r>
            <w:r w:rsidRPr="000629AA">
              <w:rPr>
                <w:sz w:val="24"/>
                <w:szCs w:val="24"/>
                <w:vertAlign w:val="superscript"/>
              </w:rPr>
              <w:t>th</w:t>
            </w:r>
            <w:r w:rsidRPr="000629AA">
              <w:rPr>
                <w:sz w:val="24"/>
                <w:szCs w:val="24"/>
              </w:rPr>
              <w:t xml:space="preserve"> July 2023</w:t>
            </w:r>
          </w:p>
        </w:tc>
      </w:tr>
      <w:tr w:rsidR="000013D2" w:rsidRPr="00AF377A" w14:paraId="0B1FD3A6" w14:textId="77777777" w:rsidTr="00FE6A15">
        <w:tc>
          <w:tcPr>
            <w:tcW w:w="2671" w:type="dxa"/>
            <w:vAlign w:val="center"/>
          </w:tcPr>
          <w:p w14:paraId="60C1D502" w14:textId="77777777" w:rsidR="000013D2" w:rsidRPr="000629AA" w:rsidRDefault="000013D2" w:rsidP="00FE6A15">
            <w:pPr>
              <w:pStyle w:val="Heading3"/>
              <w:numPr>
                <w:ilvl w:val="0"/>
                <w:numId w:val="0"/>
              </w:numPr>
              <w:spacing w:after="120"/>
              <w:ind w:left="720"/>
              <w:jc w:val="center"/>
              <w:rPr>
                <w:b/>
                <w:sz w:val="24"/>
                <w:szCs w:val="24"/>
                <w:highlight w:val="yellow"/>
              </w:rPr>
            </w:pPr>
            <w:r w:rsidRPr="000629AA">
              <w:rPr>
                <w:sz w:val="24"/>
                <w:szCs w:val="24"/>
              </w:rPr>
              <w:t>4</w:t>
            </w:r>
          </w:p>
        </w:tc>
        <w:tc>
          <w:tcPr>
            <w:tcW w:w="4371" w:type="dxa"/>
          </w:tcPr>
          <w:p w14:paraId="0715A2FE" w14:textId="77777777" w:rsidR="000013D2" w:rsidRPr="000629AA" w:rsidRDefault="000013D2" w:rsidP="00FE6A15">
            <w:pPr>
              <w:pStyle w:val="Heading3"/>
              <w:numPr>
                <w:ilvl w:val="0"/>
                <w:numId w:val="0"/>
              </w:numPr>
              <w:spacing w:after="120"/>
              <w:ind w:left="720"/>
              <w:jc w:val="left"/>
              <w:rPr>
                <w:b/>
                <w:sz w:val="24"/>
                <w:szCs w:val="24"/>
                <w:highlight w:val="yellow"/>
              </w:rPr>
            </w:pPr>
            <w:r w:rsidRPr="000629AA">
              <w:rPr>
                <w:sz w:val="24"/>
                <w:szCs w:val="24"/>
              </w:rPr>
              <w:t>Surveillance visits</w:t>
            </w:r>
          </w:p>
        </w:tc>
        <w:tc>
          <w:tcPr>
            <w:tcW w:w="2134" w:type="dxa"/>
          </w:tcPr>
          <w:p w14:paraId="641AA803" w14:textId="77777777" w:rsidR="000013D2" w:rsidRPr="000629AA" w:rsidRDefault="000013D2" w:rsidP="00FE6A15">
            <w:pPr>
              <w:pStyle w:val="Heading3"/>
              <w:numPr>
                <w:ilvl w:val="0"/>
                <w:numId w:val="0"/>
              </w:numPr>
              <w:spacing w:after="120"/>
              <w:jc w:val="left"/>
              <w:rPr>
                <w:b/>
                <w:sz w:val="24"/>
                <w:szCs w:val="24"/>
              </w:rPr>
            </w:pPr>
            <w:r w:rsidRPr="000629AA">
              <w:rPr>
                <w:sz w:val="24"/>
                <w:szCs w:val="24"/>
              </w:rPr>
              <w:t>Every 6 months</w:t>
            </w:r>
          </w:p>
          <w:p w14:paraId="6DAC6EB4" w14:textId="77777777" w:rsidR="000013D2" w:rsidRPr="000629AA" w:rsidRDefault="000013D2" w:rsidP="00FE6A15">
            <w:pPr>
              <w:pStyle w:val="Heading3"/>
              <w:numPr>
                <w:ilvl w:val="0"/>
                <w:numId w:val="0"/>
              </w:numPr>
              <w:spacing w:after="120"/>
              <w:jc w:val="left"/>
              <w:rPr>
                <w:b/>
                <w:sz w:val="24"/>
                <w:szCs w:val="24"/>
              </w:rPr>
            </w:pPr>
          </w:p>
        </w:tc>
      </w:tr>
      <w:tr w:rsidR="000013D2" w:rsidRPr="00AF377A" w14:paraId="6C0BE58F" w14:textId="77777777" w:rsidTr="00FE6A15">
        <w:tc>
          <w:tcPr>
            <w:tcW w:w="2671" w:type="dxa"/>
            <w:vAlign w:val="center"/>
          </w:tcPr>
          <w:p w14:paraId="5F073C47" w14:textId="77777777" w:rsidR="000013D2" w:rsidRPr="000629AA" w:rsidRDefault="000013D2" w:rsidP="00FE6A15">
            <w:pPr>
              <w:pStyle w:val="Heading3"/>
              <w:numPr>
                <w:ilvl w:val="0"/>
                <w:numId w:val="0"/>
              </w:numPr>
              <w:spacing w:after="120"/>
              <w:ind w:left="720"/>
              <w:jc w:val="center"/>
              <w:rPr>
                <w:b/>
                <w:sz w:val="24"/>
                <w:szCs w:val="24"/>
              </w:rPr>
            </w:pPr>
            <w:r w:rsidRPr="000629AA">
              <w:rPr>
                <w:sz w:val="24"/>
                <w:szCs w:val="24"/>
              </w:rPr>
              <w:t>5</w:t>
            </w:r>
          </w:p>
        </w:tc>
        <w:tc>
          <w:tcPr>
            <w:tcW w:w="4371" w:type="dxa"/>
          </w:tcPr>
          <w:p w14:paraId="33A059BE" w14:textId="77777777" w:rsidR="000013D2" w:rsidRPr="000629AA" w:rsidRDefault="000013D2" w:rsidP="00FE6A15">
            <w:pPr>
              <w:pStyle w:val="Heading3"/>
              <w:numPr>
                <w:ilvl w:val="0"/>
                <w:numId w:val="0"/>
              </w:numPr>
              <w:spacing w:after="120"/>
              <w:ind w:left="720"/>
              <w:jc w:val="left"/>
              <w:rPr>
                <w:b/>
                <w:sz w:val="24"/>
                <w:szCs w:val="24"/>
              </w:rPr>
            </w:pPr>
            <w:r w:rsidRPr="000629AA">
              <w:rPr>
                <w:sz w:val="24"/>
                <w:szCs w:val="24"/>
              </w:rPr>
              <w:t xml:space="preserve">If required by the Authority, accreditation of Disclosure to include the further operational duties and areas not yet covered in its current certification. </w:t>
            </w:r>
          </w:p>
        </w:tc>
        <w:tc>
          <w:tcPr>
            <w:tcW w:w="2134" w:type="dxa"/>
          </w:tcPr>
          <w:p w14:paraId="299FA1B8" w14:textId="77777777" w:rsidR="000013D2" w:rsidRPr="000629AA" w:rsidRDefault="000013D2" w:rsidP="00FE6A15">
            <w:pPr>
              <w:pStyle w:val="Heading3"/>
              <w:numPr>
                <w:ilvl w:val="0"/>
                <w:numId w:val="0"/>
              </w:numPr>
              <w:spacing w:after="120"/>
              <w:jc w:val="left"/>
              <w:rPr>
                <w:b/>
                <w:sz w:val="24"/>
                <w:szCs w:val="24"/>
              </w:rPr>
            </w:pPr>
            <w:r w:rsidRPr="000629AA">
              <w:rPr>
                <w:sz w:val="24"/>
                <w:szCs w:val="24"/>
              </w:rPr>
              <w:t>By 31 December 2021</w:t>
            </w:r>
          </w:p>
        </w:tc>
      </w:tr>
      <w:tr w:rsidR="000013D2" w:rsidRPr="00AF377A" w14:paraId="182BA42B" w14:textId="77777777" w:rsidTr="00FE6A15">
        <w:tc>
          <w:tcPr>
            <w:tcW w:w="2671" w:type="dxa"/>
            <w:vAlign w:val="center"/>
          </w:tcPr>
          <w:p w14:paraId="1F72975C" w14:textId="77777777" w:rsidR="000013D2" w:rsidRPr="000629AA" w:rsidRDefault="000013D2" w:rsidP="00FE6A15">
            <w:pPr>
              <w:pStyle w:val="Heading3"/>
              <w:numPr>
                <w:ilvl w:val="0"/>
                <w:numId w:val="0"/>
              </w:numPr>
              <w:spacing w:after="120"/>
              <w:ind w:left="720"/>
              <w:jc w:val="center"/>
              <w:rPr>
                <w:b/>
                <w:sz w:val="24"/>
                <w:szCs w:val="24"/>
              </w:rPr>
            </w:pPr>
            <w:r w:rsidRPr="000629AA">
              <w:rPr>
                <w:sz w:val="24"/>
                <w:szCs w:val="24"/>
              </w:rPr>
              <w:t>6</w:t>
            </w:r>
          </w:p>
        </w:tc>
        <w:tc>
          <w:tcPr>
            <w:tcW w:w="4371" w:type="dxa"/>
          </w:tcPr>
          <w:p w14:paraId="0A257A5E" w14:textId="77777777" w:rsidR="000013D2" w:rsidRPr="000629AA" w:rsidRDefault="000013D2" w:rsidP="00FE6A15">
            <w:pPr>
              <w:pStyle w:val="Heading3"/>
              <w:numPr>
                <w:ilvl w:val="0"/>
                <w:numId w:val="0"/>
              </w:numPr>
              <w:spacing w:after="120"/>
              <w:ind w:left="720"/>
              <w:jc w:val="left"/>
              <w:rPr>
                <w:b/>
                <w:sz w:val="24"/>
                <w:szCs w:val="24"/>
              </w:rPr>
            </w:pPr>
            <w:r w:rsidRPr="000629AA">
              <w:rPr>
                <w:sz w:val="24"/>
                <w:szCs w:val="24"/>
              </w:rPr>
              <w:t>If required by the Authority, replacement of the two separate accreditations with one covering both sites.</w:t>
            </w:r>
          </w:p>
        </w:tc>
        <w:tc>
          <w:tcPr>
            <w:tcW w:w="2134" w:type="dxa"/>
          </w:tcPr>
          <w:p w14:paraId="5AD428BC" w14:textId="77777777" w:rsidR="000013D2" w:rsidRPr="000629AA" w:rsidRDefault="000013D2" w:rsidP="00FE6A15">
            <w:pPr>
              <w:pStyle w:val="Heading3"/>
              <w:numPr>
                <w:ilvl w:val="0"/>
                <w:numId w:val="0"/>
              </w:numPr>
              <w:spacing w:after="120"/>
              <w:jc w:val="left"/>
              <w:rPr>
                <w:b/>
                <w:sz w:val="24"/>
                <w:szCs w:val="24"/>
              </w:rPr>
            </w:pPr>
            <w:r w:rsidRPr="000629AA">
              <w:rPr>
                <w:sz w:val="24"/>
                <w:szCs w:val="24"/>
              </w:rPr>
              <w:t>By 31 December 2022</w:t>
            </w:r>
          </w:p>
        </w:tc>
      </w:tr>
    </w:tbl>
    <w:p w14:paraId="5D45C05D" w14:textId="77777777" w:rsidR="000013D2" w:rsidRDefault="000013D2" w:rsidP="000013D2">
      <w:pPr>
        <w:pStyle w:val="Heading1"/>
        <w:numPr>
          <w:ilvl w:val="0"/>
          <w:numId w:val="44"/>
        </w:numPr>
        <w:spacing w:after="120"/>
      </w:pPr>
      <w:bookmarkStart w:id="117" w:name="_heading=h.26in1rg" w:colFirst="0" w:colLast="0"/>
      <w:bookmarkEnd w:id="117"/>
    </w:p>
    <w:p w14:paraId="57F19935" w14:textId="77777777" w:rsidR="000013D2" w:rsidRDefault="000013D2" w:rsidP="000013D2">
      <w:pPr>
        <w:pStyle w:val="Heading1"/>
        <w:numPr>
          <w:ilvl w:val="0"/>
          <w:numId w:val="44"/>
        </w:numPr>
        <w:spacing w:after="120"/>
        <w:ind w:left="709" w:hanging="709"/>
        <w:rPr>
          <w:sz w:val="32"/>
          <w:szCs w:val="32"/>
        </w:rPr>
      </w:pPr>
      <w:bookmarkStart w:id="118" w:name="_heading=h.lnxbz9" w:colFirst="0" w:colLast="0"/>
      <w:bookmarkEnd w:id="118"/>
      <w:r>
        <w:rPr>
          <w:sz w:val="32"/>
          <w:szCs w:val="32"/>
        </w:rPr>
        <w:t>MANAGEMENT INFORMATION/reporting</w:t>
      </w:r>
    </w:p>
    <w:p w14:paraId="6A8F75E5" w14:textId="77777777" w:rsidR="000013D2" w:rsidRDefault="000013D2" w:rsidP="000013D2">
      <w:pPr>
        <w:pStyle w:val="Heading2"/>
        <w:numPr>
          <w:ilvl w:val="1"/>
          <w:numId w:val="44"/>
        </w:numPr>
        <w:spacing w:after="120"/>
        <w:ind w:left="709" w:hanging="709"/>
        <w:rPr>
          <w:sz w:val="24"/>
          <w:szCs w:val="24"/>
        </w:rPr>
      </w:pPr>
      <w:r>
        <w:rPr>
          <w:sz w:val="24"/>
          <w:szCs w:val="24"/>
        </w:rPr>
        <w:t xml:space="preserve">The Authority will require a written report following every 6 monthly surveillance visit. This report should detail findings identifying, where applicable, risks, issues and areas of concern, as well as potential solutions / improvements to maintain ISO 9001 certification. </w:t>
      </w:r>
    </w:p>
    <w:p w14:paraId="1CAAC4C2" w14:textId="77777777" w:rsidR="000013D2" w:rsidRDefault="000013D2" w:rsidP="000013D2">
      <w:pPr>
        <w:pStyle w:val="Heading2"/>
        <w:numPr>
          <w:ilvl w:val="0"/>
          <w:numId w:val="0"/>
        </w:numPr>
        <w:spacing w:after="120"/>
        <w:rPr>
          <w:sz w:val="24"/>
          <w:szCs w:val="24"/>
          <w:highlight w:val="yellow"/>
        </w:rPr>
      </w:pPr>
    </w:p>
    <w:p w14:paraId="5E4B15E6" w14:textId="77777777" w:rsidR="000013D2" w:rsidRDefault="000013D2" w:rsidP="000013D2">
      <w:pPr>
        <w:pStyle w:val="Heading1"/>
        <w:numPr>
          <w:ilvl w:val="0"/>
          <w:numId w:val="44"/>
        </w:numPr>
        <w:spacing w:after="120"/>
        <w:ind w:left="709" w:hanging="709"/>
        <w:rPr>
          <w:sz w:val="32"/>
          <w:szCs w:val="32"/>
        </w:rPr>
      </w:pPr>
      <w:r>
        <w:rPr>
          <w:sz w:val="32"/>
          <w:szCs w:val="32"/>
        </w:rPr>
        <w:t>FREQUENCY</w:t>
      </w:r>
    </w:p>
    <w:p w14:paraId="01940714" w14:textId="77777777" w:rsidR="000013D2" w:rsidRDefault="000013D2" w:rsidP="000013D2">
      <w:pPr>
        <w:pStyle w:val="Heading2"/>
        <w:numPr>
          <w:ilvl w:val="1"/>
          <w:numId w:val="44"/>
        </w:numPr>
        <w:spacing w:after="120"/>
        <w:ind w:left="709" w:hanging="709"/>
        <w:rPr>
          <w:sz w:val="24"/>
          <w:szCs w:val="24"/>
        </w:rPr>
      </w:pPr>
      <w:r>
        <w:rPr>
          <w:sz w:val="24"/>
          <w:szCs w:val="24"/>
        </w:rPr>
        <w:t>The Service shall be provided for DBS Operations in both Liverpool (Disclosure) and Darlington (Barring).</w:t>
      </w:r>
    </w:p>
    <w:p w14:paraId="26E03AAC" w14:textId="77777777" w:rsidR="000013D2" w:rsidRDefault="000013D2" w:rsidP="000013D2">
      <w:pPr>
        <w:pStyle w:val="Heading2"/>
        <w:numPr>
          <w:ilvl w:val="1"/>
          <w:numId w:val="44"/>
        </w:numPr>
        <w:spacing w:after="120"/>
        <w:ind w:left="709" w:hanging="709"/>
        <w:rPr>
          <w:sz w:val="24"/>
          <w:szCs w:val="24"/>
        </w:rPr>
      </w:pPr>
      <w:r>
        <w:rPr>
          <w:sz w:val="24"/>
          <w:szCs w:val="24"/>
        </w:rPr>
        <w:t>Following initial certification, the Supplier shall undertake 6-monthly surveillance visits to ensure DBS Operations QMS across both sites maintain the required level for ISO 9001 certification.</w:t>
      </w:r>
    </w:p>
    <w:p w14:paraId="03379901" w14:textId="77777777" w:rsidR="000013D2" w:rsidRDefault="000013D2" w:rsidP="000013D2">
      <w:pPr>
        <w:pStyle w:val="Heading2"/>
        <w:numPr>
          <w:ilvl w:val="0"/>
          <w:numId w:val="0"/>
        </w:numPr>
        <w:rPr>
          <w:sz w:val="24"/>
          <w:szCs w:val="24"/>
        </w:rPr>
      </w:pPr>
    </w:p>
    <w:p w14:paraId="06F5630B" w14:textId="77777777" w:rsidR="000013D2" w:rsidRDefault="000013D2" w:rsidP="000013D2">
      <w:pPr>
        <w:pStyle w:val="Heading1"/>
        <w:numPr>
          <w:ilvl w:val="0"/>
          <w:numId w:val="44"/>
        </w:numPr>
        <w:spacing w:after="120"/>
        <w:ind w:left="709" w:hanging="709"/>
        <w:rPr>
          <w:sz w:val="32"/>
          <w:szCs w:val="32"/>
        </w:rPr>
      </w:pPr>
      <w:bookmarkStart w:id="119" w:name="_heading=h.35nkun2" w:colFirst="0" w:colLast="0"/>
      <w:bookmarkEnd w:id="119"/>
      <w:r>
        <w:rPr>
          <w:sz w:val="32"/>
          <w:szCs w:val="32"/>
        </w:rPr>
        <w:t>continuous improvement</w:t>
      </w:r>
    </w:p>
    <w:p w14:paraId="0EE54427" w14:textId="77777777" w:rsidR="000013D2" w:rsidRDefault="000013D2" w:rsidP="000013D2">
      <w:pPr>
        <w:pStyle w:val="Heading2"/>
        <w:numPr>
          <w:ilvl w:val="1"/>
          <w:numId w:val="44"/>
        </w:numPr>
        <w:spacing w:after="120"/>
        <w:ind w:left="709" w:hanging="709"/>
        <w:rPr>
          <w:sz w:val="24"/>
          <w:szCs w:val="24"/>
        </w:rPr>
      </w:pPr>
      <w:r>
        <w:rPr>
          <w:sz w:val="24"/>
          <w:szCs w:val="24"/>
        </w:rPr>
        <w:t>The Supplier shall continually improve the way in which the required Services are to be delivered throughout the Agreement Term.</w:t>
      </w:r>
    </w:p>
    <w:p w14:paraId="0C743FE6" w14:textId="77777777" w:rsidR="000013D2" w:rsidRDefault="000013D2" w:rsidP="000013D2">
      <w:pPr>
        <w:pStyle w:val="Heading2"/>
        <w:numPr>
          <w:ilvl w:val="1"/>
          <w:numId w:val="44"/>
        </w:numPr>
        <w:spacing w:after="120"/>
        <w:ind w:left="709" w:hanging="709"/>
        <w:rPr>
          <w:sz w:val="24"/>
          <w:szCs w:val="24"/>
        </w:rPr>
      </w:pPr>
      <w:r>
        <w:rPr>
          <w:sz w:val="24"/>
          <w:szCs w:val="24"/>
        </w:rPr>
        <w:t xml:space="preserve">The Supplier should present new ways of working to the Authority during six-monthly Agreement review meetings. </w:t>
      </w:r>
    </w:p>
    <w:p w14:paraId="62C4222F" w14:textId="77777777" w:rsidR="000013D2" w:rsidRDefault="000013D2" w:rsidP="000013D2">
      <w:pPr>
        <w:pStyle w:val="Heading2"/>
        <w:numPr>
          <w:ilvl w:val="1"/>
          <w:numId w:val="44"/>
        </w:numPr>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p w14:paraId="196057CB" w14:textId="77777777" w:rsidR="000013D2" w:rsidRDefault="000013D2" w:rsidP="000013D2">
      <w:pPr>
        <w:pStyle w:val="Heading1"/>
        <w:numPr>
          <w:ilvl w:val="0"/>
          <w:numId w:val="44"/>
        </w:numPr>
        <w:rPr>
          <w:sz w:val="32"/>
          <w:szCs w:val="32"/>
        </w:rPr>
      </w:pPr>
      <w:bookmarkStart w:id="120" w:name="_heading=h.1ksv4uv" w:colFirst="0" w:colLast="0"/>
      <w:bookmarkEnd w:id="120"/>
      <w:r>
        <w:rPr>
          <w:sz w:val="32"/>
          <w:szCs w:val="32"/>
        </w:rPr>
        <w:t>Sustainability</w:t>
      </w:r>
    </w:p>
    <w:p w14:paraId="2014BDBF" w14:textId="77777777" w:rsidR="000013D2" w:rsidRDefault="000013D2" w:rsidP="000013D2">
      <w:pPr>
        <w:pStyle w:val="Heading2"/>
        <w:numPr>
          <w:ilvl w:val="1"/>
          <w:numId w:val="44"/>
        </w:numPr>
        <w:rPr>
          <w:sz w:val="24"/>
          <w:szCs w:val="24"/>
        </w:rPr>
      </w:pPr>
      <w:r>
        <w:rPr>
          <w:sz w:val="24"/>
          <w:szCs w:val="24"/>
        </w:rPr>
        <w:t>The appointed Supplier shall minimise travel where possible. Where this is not possible, the Supplier shall utilise the most carbon efficient methods of travel to support Government sustainability targets.</w:t>
      </w:r>
    </w:p>
    <w:p w14:paraId="56C0084D" w14:textId="77777777" w:rsidR="000013D2" w:rsidRDefault="000013D2" w:rsidP="000013D2">
      <w:pPr>
        <w:pStyle w:val="Heading1"/>
        <w:numPr>
          <w:ilvl w:val="0"/>
          <w:numId w:val="44"/>
        </w:numPr>
        <w:spacing w:after="120"/>
        <w:ind w:left="709" w:hanging="709"/>
        <w:rPr>
          <w:sz w:val="32"/>
          <w:szCs w:val="32"/>
        </w:rPr>
      </w:pPr>
      <w:bookmarkStart w:id="121" w:name="_heading=h.44sinio" w:colFirst="0" w:colLast="0"/>
      <w:bookmarkEnd w:id="121"/>
      <w:r>
        <w:rPr>
          <w:sz w:val="32"/>
          <w:szCs w:val="32"/>
        </w:rPr>
        <w:t>quality</w:t>
      </w:r>
    </w:p>
    <w:p w14:paraId="200B497E" w14:textId="77777777" w:rsidR="000013D2" w:rsidRDefault="000013D2" w:rsidP="000013D2">
      <w:pPr>
        <w:pStyle w:val="Heading2"/>
        <w:numPr>
          <w:ilvl w:val="1"/>
          <w:numId w:val="44"/>
        </w:numPr>
        <w:spacing w:after="120"/>
        <w:ind w:left="709" w:hanging="709"/>
        <w:rPr>
          <w:sz w:val="24"/>
          <w:szCs w:val="24"/>
        </w:rPr>
      </w:pPr>
      <w:r>
        <w:t xml:space="preserve">The successful Supplier must be appropriately qualified and be accredited to </w:t>
      </w:r>
      <w:r>
        <w:rPr>
          <w:sz w:val="24"/>
          <w:szCs w:val="24"/>
        </w:rPr>
        <w:t>certify the DBS and its ISO 9001 Quality Management System.</w:t>
      </w:r>
    </w:p>
    <w:p w14:paraId="6C0F203E" w14:textId="77777777" w:rsidR="000013D2" w:rsidRDefault="000013D2" w:rsidP="000013D2">
      <w:pPr>
        <w:pStyle w:val="Heading2"/>
        <w:numPr>
          <w:ilvl w:val="0"/>
          <w:numId w:val="0"/>
        </w:numPr>
        <w:spacing w:after="120"/>
        <w:rPr>
          <w:sz w:val="24"/>
          <w:szCs w:val="24"/>
          <w:highlight w:val="yellow"/>
        </w:rPr>
      </w:pPr>
    </w:p>
    <w:p w14:paraId="1B54D094" w14:textId="77777777" w:rsidR="000013D2" w:rsidRDefault="000013D2" w:rsidP="000013D2">
      <w:pPr>
        <w:pStyle w:val="Heading1"/>
        <w:numPr>
          <w:ilvl w:val="0"/>
          <w:numId w:val="44"/>
        </w:numPr>
        <w:spacing w:after="120"/>
        <w:ind w:left="709" w:hanging="709"/>
        <w:rPr>
          <w:sz w:val="32"/>
          <w:szCs w:val="32"/>
        </w:rPr>
      </w:pPr>
      <w:bookmarkStart w:id="122" w:name="_heading=h.2jxsxqh" w:colFirst="0" w:colLast="0"/>
      <w:bookmarkEnd w:id="122"/>
      <w:r>
        <w:rPr>
          <w:sz w:val="32"/>
          <w:szCs w:val="32"/>
        </w:rPr>
        <w:t>PRICE</w:t>
      </w:r>
    </w:p>
    <w:p w14:paraId="1FD28087" w14:textId="77777777" w:rsidR="000013D2" w:rsidRDefault="000013D2" w:rsidP="000013D2">
      <w:pPr>
        <w:pStyle w:val="Heading2"/>
        <w:numPr>
          <w:ilvl w:val="1"/>
          <w:numId w:val="44"/>
        </w:numPr>
        <w:spacing w:after="120"/>
        <w:ind w:left="709" w:hanging="709"/>
        <w:rPr>
          <w:sz w:val="24"/>
          <w:szCs w:val="24"/>
        </w:rPr>
      </w:pPr>
      <w:r>
        <w:rPr>
          <w:sz w:val="24"/>
          <w:szCs w:val="24"/>
        </w:rPr>
        <w:t xml:space="preserve">Bidders shall provide the Authority with a clear breakdown of all costs associated with their bid. </w:t>
      </w:r>
    </w:p>
    <w:p w14:paraId="69998ED0" w14:textId="77777777" w:rsidR="000013D2" w:rsidRDefault="000013D2" w:rsidP="000013D2">
      <w:pPr>
        <w:pStyle w:val="Heading2"/>
        <w:numPr>
          <w:ilvl w:val="1"/>
          <w:numId w:val="44"/>
        </w:numPr>
        <w:spacing w:after="120"/>
        <w:ind w:left="709" w:hanging="709"/>
        <w:rPr>
          <w:sz w:val="24"/>
          <w:szCs w:val="24"/>
        </w:rPr>
      </w:pPr>
      <w:r>
        <w:rPr>
          <w:sz w:val="24"/>
          <w:szCs w:val="24"/>
        </w:rPr>
        <w:t xml:space="preserve">Prices are to be submitted via the e-Sourcing Suite Attachment 4 – Price Schedule excluding VAT and all expenses relating to Agreement delivery. Expenses will be payable at the Contracting Authority’s standard rates, details of which will be provided to the appointed Supplier. Expenses must be agreed in advance in writing by the Contracting Authority and supported by receipts and tickets, where applicable. </w:t>
      </w:r>
    </w:p>
    <w:p w14:paraId="43089E40" w14:textId="77777777" w:rsidR="000013D2" w:rsidRDefault="000013D2" w:rsidP="000013D2">
      <w:pPr>
        <w:pStyle w:val="Heading2"/>
        <w:numPr>
          <w:ilvl w:val="1"/>
          <w:numId w:val="44"/>
        </w:numPr>
        <w:spacing w:after="120"/>
        <w:ind w:left="709" w:hanging="709"/>
        <w:rPr>
          <w:sz w:val="24"/>
          <w:szCs w:val="24"/>
        </w:rPr>
      </w:pPr>
      <w:r>
        <w:rPr>
          <w:sz w:val="24"/>
          <w:szCs w:val="24"/>
        </w:rPr>
        <w:t>Prices are to remain firm for the Term of the Agreement, including any Extension Options if invoked.</w:t>
      </w:r>
    </w:p>
    <w:p w14:paraId="3CABCB2D" w14:textId="77777777" w:rsidR="000013D2" w:rsidRDefault="000013D2" w:rsidP="000013D2">
      <w:pPr>
        <w:pStyle w:val="Heading1"/>
        <w:numPr>
          <w:ilvl w:val="0"/>
          <w:numId w:val="0"/>
        </w:numPr>
        <w:ind w:left="720" w:hanging="720"/>
      </w:pPr>
    </w:p>
    <w:p w14:paraId="259E5398" w14:textId="77777777" w:rsidR="000013D2" w:rsidRDefault="000013D2" w:rsidP="000013D2">
      <w:pPr>
        <w:pStyle w:val="Heading1"/>
        <w:numPr>
          <w:ilvl w:val="0"/>
          <w:numId w:val="44"/>
        </w:numPr>
        <w:spacing w:after="120"/>
        <w:ind w:left="709" w:hanging="709"/>
        <w:rPr>
          <w:sz w:val="32"/>
          <w:szCs w:val="32"/>
        </w:rPr>
      </w:pPr>
      <w:bookmarkStart w:id="123" w:name="_heading=h.z337ya" w:colFirst="0" w:colLast="0"/>
      <w:bookmarkEnd w:id="123"/>
      <w:r>
        <w:rPr>
          <w:sz w:val="32"/>
          <w:szCs w:val="32"/>
        </w:rPr>
        <w:t>STAFF AND CUSTOMER SERVICE</w:t>
      </w:r>
    </w:p>
    <w:p w14:paraId="45F9A451" w14:textId="77777777" w:rsidR="000013D2" w:rsidRDefault="000013D2" w:rsidP="000013D2">
      <w:pPr>
        <w:pStyle w:val="Heading2"/>
        <w:numPr>
          <w:ilvl w:val="1"/>
          <w:numId w:val="44"/>
        </w:numPr>
        <w:spacing w:after="120"/>
        <w:ind w:left="709" w:hanging="709"/>
        <w:rPr>
          <w:sz w:val="24"/>
          <w:szCs w:val="24"/>
        </w:rPr>
      </w:pPr>
      <w:r>
        <w:rPr>
          <w:sz w:val="24"/>
          <w:szCs w:val="24"/>
        </w:rPr>
        <w:t>The Authority requires the appointed Supplier to provide a sufficient level of resource throughout the Term of the Agreement in order to consistently deliver a quality service to DBS.</w:t>
      </w:r>
    </w:p>
    <w:p w14:paraId="152196D0" w14:textId="77777777" w:rsidR="000013D2" w:rsidRDefault="000013D2" w:rsidP="000013D2">
      <w:pPr>
        <w:pStyle w:val="Heading2"/>
        <w:numPr>
          <w:ilvl w:val="1"/>
          <w:numId w:val="44"/>
        </w:numPr>
        <w:spacing w:after="120"/>
        <w:ind w:left="709" w:hanging="709"/>
        <w:rPr>
          <w:sz w:val="24"/>
          <w:szCs w:val="24"/>
        </w:rPr>
      </w:pPr>
      <w:r>
        <w:rPr>
          <w:sz w:val="24"/>
          <w:szCs w:val="24"/>
        </w:rPr>
        <w:t xml:space="preserve">Supplier’s staff assigned to the Agreement shall have the relevant qualifications and experience to deliver the Agreement. </w:t>
      </w:r>
    </w:p>
    <w:p w14:paraId="44A365CE" w14:textId="77777777" w:rsidR="000013D2" w:rsidRDefault="000013D2" w:rsidP="000013D2">
      <w:pPr>
        <w:pStyle w:val="Heading2"/>
        <w:numPr>
          <w:ilvl w:val="1"/>
          <w:numId w:val="44"/>
        </w:numPr>
        <w:spacing w:after="120"/>
        <w:ind w:left="709" w:hanging="709"/>
        <w:rPr>
          <w:sz w:val="24"/>
          <w:szCs w:val="24"/>
        </w:rPr>
      </w:pPr>
      <w:r>
        <w:rPr>
          <w:sz w:val="24"/>
          <w:szCs w:val="24"/>
        </w:rPr>
        <w:t xml:space="preserve">The appointed Supplier shall ensure that its staff understand the Authority’s vision and objectives and will provide excellent customer service to the Authority throughout the Term of the Agreement.  </w:t>
      </w:r>
    </w:p>
    <w:p w14:paraId="4B856B2C" w14:textId="77777777" w:rsidR="000013D2" w:rsidRDefault="000013D2" w:rsidP="000013D2">
      <w:pPr>
        <w:numPr>
          <w:ilvl w:val="1"/>
          <w:numId w:val="44"/>
        </w:numPr>
        <w:spacing w:after="120"/>
        <w:ind w:left="709" w:hanging="709"/>
        <w:jc w:val="both"/>
        <w:rPr>
          <w:sz w:val="24"/>
        </w:rPr>
      </w:pPr>
      <w:r>
        <w:rPr>
          <w:sz w:val="24"/>
        </w:rPr>
        <w:t>The appointed Supplier shall provide a sufficient level of resource throughout the Term of the Agreement in order to consistently deliver a quality service.</w:t>
      </w:r>
    </w:p>
    <w:p w14:paraId="586D60EF" w14:textId="77777777" w:rsidR="000013D2" w:rsidRDefault="000013D2" w:rsidP="000013D2">
      <w:pPr>
        <w:pStyle w:val="Heading1"/>
        <w:numPr>
          <w:ilvl w:val="0"/>
          <w:numId w:val="0"/>
        </w:numPr>
        <w:ind w:left="720"/>
      </w:pPr>
    </w:p>
    <w:p w14:paraId="772C8484" w14:textId="77777777" w:rsidR="000013D2" w:rsidRDefault="000013D2" w:rsidP="000013D2"/>
    <w:p w14:paraId="01E4B80A" w14:textId="77777777" w:rsidR="000013D2" w:rsidRDefault="000013D2" w:rsidP="000013D2">
      <w:pPr>
        <w:pStyle w:val="Heading1"/>
        <w:numPr>
          <w:ilvl w:val="0"/>
          <w:numId w:val="44"/>
        </w:numPr>
        <w:spacing w:after="120"/>
        <w:ind w:left="709" w:hanging="709"/>
        <w:rPr>
          <w:sz w:val="32"/>
          <w:szCs w:val="32"/>
        </w:rPr>
      </w:pPr>
      <w:bookmarkStart w:id="124" w:name="_heading=h.3j2qqm3" w:colFirst="0" w:colLast="0"/>
      <w:bookmarkEnd w:id="124"/>
      <w:r>
        <w:rPr>
          <w:sz w:val="32"/>
          <w:szCs w:val="32"/>
        </w:rPr>
        <w:t>service levels and performance</w:t>
      </w:r>
    </w:p>
    <w:p w14:paraId="3E750351" w14:textId="77777777" w:rsidR="000013D2" w:rsidRDefault="000013D2" w:rsidP="000013D2">
      <w:pPr>
        <w:pStyle w:val="Heading2"/>
        <w:numPr>
          <w:ilvl w:val="1"/>
          <w:numId w:val="44"/>
        </w:numPr>
        <w:spacing w:after="120"/>
        <w:ind w:left="709" w:hanging="709"/>
        <w:rPr>
          <w:sz w:val="24"/>
          <w:szCs w:val="24"/>
        </w:rPr>
      </w:pPr>
      <w:r>
        <w:rPr>
          <w:sz w:val="24"/>
          <w:szCs w:val="24"/>
        </w:rPr>
        <w:t>The Authority will measure the quality of the Supplier’s delivery by:</w:t>
      </w:r>
    </w:p>
    <w:p w14:paraId="2A0D104C" w14:textId="77777777" w:rsidR="000013D2" w:rsidRDefault="000013D2" w:rsidP="000013D2">
      <w:pPr>
        <w:pStyle w:val="Heading3"/>
        <w:numPr>
          <w:ilvl w:val="0"/>
          <w:numId w:val="0"/>
        </w:numPr>
        <w:spacing w:after="120"/>
        <w:ind w:left="1440"/>
        <w:rPr>
          <w:sz w:val="24"/>
          <w:szCs w:val="24"/>
        </w:rPr>
      </w:pP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63"/>
        <w:gridCol w:w="1762"/>
        <w:gridCol w:w="3746"/>
        <w:gridCol w:w="1628"/>
      </w:tblGrid>
      <w:tr w:rsidR="000013D2" w:rsidRPr="00AF377A" w14:paraId="66481432" w14:textId="77777777" w:rsidTr="00FE6A15">
        <w:tc>
          <w:tcPr>
            <w:tcW w:w="1163" w:type="dxa"/>
            <w:shd w:val="clear" w:color="auto" w:fill="B8CCE4"/>
          </w:tcPr>
          <w:p w14:paraId="5237043B" w14:textId="77777777" w:rsidR="000013D2" w:rsidRPr="00AF377A" w:rsidRDefault="000013D2" w:rsidP="00FE6A15">
            <w:pPr>
              <w:pStyle w:val="Heading2"/>
              <w:numPr>
                <w:ilvl w:val="0"/>
                <w:numId w:val="0"/>
              </w:numPr>
              <w:jc w:val="center"/>
              <w:rPr>
                <w:sz w:val="24"/>
                <w:szCs w:val="24"/>
              </w:rPr>
            </w:pPr>
            <w:r w:rsidRPr="00AF377A">
              <w:rPr>
                <w:sz w:val="24"/>
                <w:szCs w:val="24"/>
              </w:rPr>
              <w:t>KPI/SLA</w:t>
            </w:r>
          </w:p>
        </w:tc>
        <w:tc>
          <w:tcPr>
            <w:tcW w:w="1762" w:type="dxa"/>
            <w:shd w:val="clear" w:color="auto" w:fill="B8CCE4"/>
          </w:tcPr>
          <w:p w14:paraId="23AA365C" w14:textId="77777777" w:rsidR="000013D2" w:rsidRPr="00AF377A" w:rsidRDefault="000013D2" w:rsidP="00FE6A15">
            <w:pPr>
              <w:pStyle w:val="Heading2"/>
              <w:numPr>
                <w:ilvl w:val="0"/>
                <w:numId w:val="0"/>
              </w:numPr>
              <w:jc w:val="center"/>
              <w:rPr>
                <w:sz w:val="24"/>
                <w:szCs w:val="24"/>
              </w:rPr>
            </w:pPr>
            <w:r w:rsidRPr="00AF377A">
              <w:rPr>
                <w:sz w:val="24"/>
                <w:szCs w:val="24"/>
              </w:rPr>
              <w:t>Service Area</w:t>
            </w:r>
          </w:p>
        </w:tc>
        <w:tc>
          <w:tcPr>
            <w:tcW w:w="3746" w:type="dxa"/>
            <w:shd w:val="clear" w:color="auto" w:fill="B8CCE4"/>
          </w:tcPr>
          <w:p w14:paraId="53F4229D" w14:textId="77777777" w:rsidR="000013D2" w:rsidRPr="00AF377A" w:rsidRDefault="000013D2" w:rsidP="00FE6A15">
            <w:pPr>
              <w:pStyle w:val="Heading2"/>
              <w:numPr>
                <w:ilvl w:val="0"/>
                <w:numId w:val="0"/>
              </w:numPr>
              <w:jc w:val="center"/>
              <w:rPr>
                <w:sz w:val="24"/>
                <w:szCs w:val="24"/>
              </w:rPr>
            </w:pPr>
            <w:r w:rsidRPr="00AF377A">
              <w:rPr>
                <w:sz w:val="24"/>
                <w:szCs w:val="24"/>
              </w:rPr>
              <w:t>KPI/SLA description</w:t>
            </w:r>
          </w:p>
        </w:tc>
        <w:tc>
          <w:tcPr>
            <w:tcW w:w="1628" w:type="dxa"/>
            <w:shd w:val="clear" w:color="auto" w:fill="B8CCE4"/>
          </w:tcPr>
          <w:p w14:paraId="57E0CDE8" w14:textId="77777777" w:rsidR="000013D2" w:rsidRPr="00AF377A" w:rsidRDefault="000013D2" w:rsidP="00FE6A15">
            <w:pPr>
              <w:pStyle w:val="Heading2"/>
              <w:numPr>
                <w:ilvl w:val="0"/>
                <w:numId w:val="0"/>
              </w:numPr>
              <w:jc w:val="center"/>
              <w:rPr>
                <w:sz w:val="24"/>
                <w:szCs w:val="24"/>
              </w:rPr>
            </w:pPr>
            <w:r w:rsidRPr="00AF377A">
              <w:rPr>
                <w:sz w:val="24"/>
                <w:szCs w:val="24"/>
              </w:rPr>
              <w:t>Target</w:t>
            </w:r>
          </w:p>
        </w:tc>
      </w:tr>
      <w:tr w:rsidR="000013D2" w:rsidRPr="00AF377A" w14:paraId="6A21A301" w14:textId="77777777" w:rsidTr="00FE6A15">
        <w:tc>
          <w:tcPr>
            <w:tcW w:w="1163" w:type="dxa"/>
          </w:tcPr>
          <w:p w14:paraId="763BB6F9" w14:textId="77777777" w:rsidR="000013D2" w:rsidRPr="000629AA" w:rsidRDefault="000013D2" w:rsidP="00FE6A15">
            <w:pPr>
              <w:pStyle w:val="Heading2"/>
              <w:numPr>
                <w:ilvl w:val="0"/>
                <w:numId w:val="0"/>
              </w:numPr>
              <w:jc w:val="center"/>
              <w:rPr>
                <w:b/>
                <w:sz w:val="24"/>
                <w:szCs w:val="24"/>
              </w:rPr>
            </w:pPr>
            <w:r w:rsidRPr="000629AA">
              <w:rPr>
                <w:sz w:val="24"/>
                <w:szCs w:val="24"/>
              </w:rPr>
              <w:t>1</w:t>
            </w:r>
          </w:p>
        </w:tc>
        <w:tc>
          <w:tcPr>
            <w:tcW w:w="1762" w:type="dxa"/>
          </w:tcPr>
          <w:p w14:paraId="6BE7757A" w14:textId="77777777" w:rsidR="000013D2" w:rsidRPr="000629AA" w:rsidRDefault="000013D2" w:rsidP="00FE6A15">
            <w:pPr>
              <w:pStyle w:val="Heading2"/>
              <w:numPr>
                <w:ilvl w:val="0"/>
                <w:numId w:val="0"/>
              </w:numPr>
              <w:jc w:val="left"/>
              <w:rPr>
                <w:b/>
                <w:sz w:val="24"/>
                <w:szCs w:val="24"/>
              </w:rPr>
            </w:pPr>
            <w:r w:rsidRPr="000629AA">
              <w:rPr>
                <w:sz w:val="24"/>
                <w:szCs w:val="24"/>
              </w:rPr>
              <w:t>Certification</w:t>
            </w:r>
          </w:p>
        </w:tc>
        <w:tc>
          <w:tcPr>
            <w:tcW w:w="3746" w:type="dxa"/>
          </w:tcPr>
          <w:p w14:paraId="2992AF73" w14:textId="77777777" w:rsidR="000013D2" w:rsidRPr="000629AA" w:rsidRDefault="000013D2" w:rsidP="00FE6A15">
            <w:pPr>
              <w:pStyle w:val="Heading2"/>
              <w:numPr>
                <w:ilvl w:val="0"/>
                <w:numId w:val="0"/>
              </w:numPr>
              <w:rPr>
                <w:b/>
                <w:sz w:val="24"/>
                <w:szCs w:val="24"/>
              </w:rPr>
            </w:pPr>
            <w:r w:rsidRPr="000629AA">
              <w:rPr>
                <w:sz w:val="24"/>
                <w:szCs w:val="24"/>
              </w:rPr>
              <w:t>All certification to be completed by the dates outlined in the Key Milestones table so as to ensure there is no gap in certification of DBS Operations and Barring QMS.</w:t>
            </w:r>
          </w:p>
        </w:tc>
        <w:tc>
          <w:tcPr>
            <w:tcW w:w="1628" w:type="dxa"/>
          </w:tcPr>
          <w:p w14:paraId="7B61986E" w14:textId="77777777" w:rsidR="000013D2" w:rsidRPr="000629AA" w:rsidRDefault="000013D2" w:rsidP="00FE6A15">
            <w:pPr>
              <w:pStyle w:val="Heading2"/>
              <w:numPr>
                <w:ilvl w:val="0"/>
                <w:numId w:val="0"/>
              </w:numPr>
              <w:jc w:val="center"/>
              <w:rPr>
                <w:b/>
                <w:sz w:val="24"/>
                <w:szCs w:val="24"/>
              </w:rPr>
            </w:pPr>
            <w:r w:rsidRPr="000629AA">
              <w:rPr>
                <w:sz w:val="24"/>
                <w:szCs w:val="24"/>
              </w:rPr>
              <w:t>100%</w:t>
            </w:r>
          </w:p>
        </w:tc>
      </w:tr>
      <w:tr w:rsidR="000013D2" w:rsidRPr="00AF377A" w14:paraId="47326D0D" w14:textId="77777777" w:rsidTr="00FE6A15">
        <w:tc>
          <w:tcPr>
            <w:tcW w:w="1163" w:type="dxa"/>
          </w:tcPr>
          <w:p w14:paraId="27773EB2" w14:textId="77777777" w:rsidR="000013D2" w:rsidRPr="000629AA" w:rsidRDefault="000013D2" w:rsidP="00FE6A15">
            <w:pPr>
              <w:pStyle w:val="Heading2"/>
              <w:numPr>
                <w:ilvl w:val="0"/>
                <w:numId w:val="0"/>
              </w:numPr>
              <w:jc w:val="center"/>
              <w:rPr>
                <w:b/>
                <w:sz w:val="24"/>
                <w:szCs w:val="24"/>
              </w:rPr>
            </w:pPr>
            <w:r w:rsidRPr="000629AA">
              <w:rPr>
                <w:sz w:val="24"/>
                <w:szCs w:val="24"/>
              </w:rPr>
              <w:t>2</w:t>
            </w:r>
          </w:p>
        </w:tc>
        <w:tc>
          <w:tcPr>
            <w:tcW w:w="1762" w:type="dxa"/>
          </w:tcPr>
          <w:p w14:paraId="24AD0AA2" w14:textId="77777777" w:rsidR="000013D2" w:rsidRPr="000629AA" w:rsidRDefault="000013D2" w:rsidP="00FE6A15">
            <w:pPr>
              <w:pStyle w:val="Heading2"/>
              <w:numPr>
                <w:ilvl w:val="0"/>
                <w:numId w:val="0"/>
              </w:numPr>
              <w:rPr>
                <w:b/>
                <w:sz w:val="24"/>
                <w:szCs w:val="24"/>
              </w:rPr>
            </w:pPr>
            <w:r w:rsidRPr="000629AA">
              <w:rPr>
                <w:sz w:val="24"/>
                <w:szCs w:val="24"/>
              </w:rPr>
              <w:t>Surveillance Visits</w:t>
            </w:r>
          </w:p>
        </w:tc>
        <w:tc>
          <w:tcPr>
            <w:tcW w:w="3746" w:type="dxa"/>
          </w:tcPr>
          <w:p w14:paraId="1D7DA5C5" w14:textId="77777777" w:rsidR="000013D2" w:rsidRPr="000629AA" w:rsidRDefault="000013D2" w:rsidP="00FE6A15">
            <w:pPr>
              <w:pStyle w:val="Heading2"/>
              <w:numPr>
                <w:ilvl w:val="0"/>
                <w:numId w:val="0"/>
              </w:numPr>
              <w:rPr>
                <w:b/>
                <w:sz w:val="24"/>
                <w:szCs w:val="24"/>
              </w:rPr>
            </w:pPr>
            <w:r w:rsidRPr="000629AA">
              <w:rPr>
                <w:sz w:val="24"/>
                <w:szCs w:val="24"/>
              </w:rPr>
              <w:t>Surveillance visit to take place every 6 months and in line with the Supplier’s Mobilisation and Delivery Plan.</w:t>
            </w:r>
          </w:p>
        </w:tc>
        <w:tc>
          <w:tcPr>
            <w:tcW w:w="1628" w:type="dxa"/>
          </w:tcPr>
          <w:p w14:paraId="784D43E4" w14:textId="77777777" w:rsidR="000013D2" w:rsidRPr="000629AA" w:rsidRDefault="000013D2" w:rsidP="00FE6A15">
            <w:pPr>
              <w:pStyle w:val="Heading2"/>
              <w:numPr>
                <w:ilvl w:val="0"/>
                <w:numId w:val="0"/>
              </w:numPr>
              <w:jc w:val="center"/>
              <w:rPr>
                <w:b/>
                <w:sz w:val="24"/>
                <w:szCs w:val="24"/>
              </w:rPr>
            </w:pPr>
            <w:r w:rsidRPr="000629AA">
              <w:rPr>
                <w:sz w:val="24"/>
                <w:szCs w:val="24"/>
              </w:rPr>
              <w:t>100%</w:t>
            </w:r>
          </w:p>
        </w:tc>
      </w:tr>
      <w:tr w:rsidR="000013D2" w:rsidRPr="00AF377A" w14:paraId="7B60B3C1" w14:textId="77777777" w:rsidTr="00FE6A15">
        <w:tc>
          <w:tcPr>
            <w:tcW w:w="1163" w:type="dxa"/>
          </w:tcPr>
          <w:p w14:paraId="748E62DD" w14:textId="77777777" w:rsidR="000013D2" w:rsidRPr="000629AA" w:rsidRDefault="000013D2" w:rsidP="00FE6A15">
            <w:pPr>
              <w:pStyle w:val="Heading2"/>
              <w:numPr>
                <w:ilvl w:val="0"/>
                <w:numId w:val="0"/>
              </w:numPr>
              <w:jc w:val="center"/>
              <w:rPr>
                <w:b/>
                <w:sz w:val="24"/>
                <w:szCs w:val="24"/>
              </w:rPr>
            </w:pPr>
            <w:r w:rsidRPr="000629AA">
              <w:rPr>
                <w:sz w:val="24"/>
                <w:szCs w:val="24"/>
              </w:rPr>
              <w:t>3</w:t>
            </w:r>
          </w:p>
        </w:tc>
        <w:tc>
          <w:tcPr>
            <w:tcW w:w="1762" w:type="dxa"/>
          </w:tcPr>
          <w:p w14:paraId="15739BA5" w14:textId="77777777" w:rsidR="000013D2" w:rsidRPr="000629AA" w:rsidRDefault="000013D2" w:rsidP="00FE6A15">
            <w:pPr>
              <w:pStyle w:val="Heading2"/>
              <w:numPr>
                <w:ilvl w:val="0"/>
                <w:numId w:val="0"/>
              </w:numPr>
              <w:rPr>
                <w:b/>
                <w:sz w:val="24"/>
                <w:szCs w:val="24"/>
              </w:rPr>
            </w:pPr>
            <w:r w:rsidRPr="000629AA">
              <w:rPr>
                <w:sz w:val="24"/>
                <w:szCs w:val="24"/>
              </w:rPr>
              <w:t>Reporting</w:t>
            </w:r>
          </w:p>
        </w:tc>
        <w:tc>
          <w:tcPr>
            <w:tcW w:w="3746" w:type="dxa"/>
          </w:tcPr>
          <w:p w14:paraId="0F26B707" w14:textId="77777777" w:rsidR="000013D2" w:rsidRPr="000629AA" w:rsidRDefault="000013D2" w:rsidP="00FE6A15">
            <w:pPr>
              <w:pStyle w:val="Heading2"/>
              <w:numPr>
                <w:ilvl w:val="0"/>
                <w:numId w:val="0"/>
              </w:numPr>
              <w:rPr>
                <w:b/>
                <w:sz w:val="24"/>
                <w:szCs w:val="24"/>
              </w:rPr>
            </w:pPr>
            <w:r w:rsidRPr="000629AA">
              <w:rPr>
                <w:sz w:val="24"/>
                <w:szCs w:val="24"/>
              </w:rPr>
              <w:t>Written surveillance reports to be provided to DBS within 7 calendar days of each 6 monthly surveillance visit.</w:t>
            </w:r>
          </w:p>
        </w:tc>
        <w:tc>
          <w:tcPr>
            <w:tcW w:w="1628" w:type="dxa"/>
          </w:tcPr>
          <w:p w14:paraId="5B482FDA" w14:textId="77777777" w:rsidR="000013D2" w:rsidRPr="000629AA" w:rsidRDefault="000013D2" w:rsidP="00FE6A15">
            <w:pPr>
              <w:pStyle w:val="Heading2"/>
              <w:numPr>
                <w:ilvl w:val="0"/>
                <w:numId w:val="0"/>
              </w:numPr>
              <w:jc w:val="center"/>
              <w:rPr>
                <w:b/>
                <w:sz w:val="24"/>
                <w:szCs w:val="24"/>
              </w:rPr>
            </w:pPr>
            <w:r w:rsidRPr="000629AA">
              <w:rPr>
                <w:sz w:val="24"/>
                <w:szCs w:val="24"/>
              </w:rPr>
              <w:t>100%</w:t>
            </w:r>
          </w:p>
        </w:tc>
      </w:tr>
    </w:tbl>
    <w:p w14:paraId="47DCF317" w14:textId="77777777" w:rsidR="000013D2" w:rsidRDefault="000013D2" w:rsidP="000013D2">
      <w:pPr>
        <w:pStyle w:val="Heading1"/>
        <w:numPr>
          <w:ilvl w:val="0"/>
          <w:numId w:val="0"/>
        </w:numPr>
      </w:pPr>
    </w:p>
    <w:p w14:paraId="02669C7D" w14:textId="77777777" w:rsidR="000013D2" w:rsidRDefault="000013D2" w:rsidP="000013D2">
      <w:pPr>
        <w:pStyle w:val="Heading2"/>
        <w:numPr>
          <w:ilvl w:val="1"/>
          <w:numId w:val="44"/>
        </w:numPr>
        <w:rPr>
          <w:sz w:val="24"/>
          <w:szCs w:val="24"/>
        </w:rPr>
      </w:pPr>
      <w:r>
        <w:rPr>
          <w:sz w:val="24"/>
          <w:szCs w:val="24"/>
        </w:rPr>
        <w:t>In the event of poor performance through the failure to deliver KPIs to time and of appropriate quality, the Authority shall meet with the Supplier to understand the root causes of the issue. The Supplier shall formulate a Performance Improvement Plan to rectify these issues and meet the requirements in this Statement of Requirements.</w:t>
      </w:r>
    </w:p>
    <w:p w14:paraId="358E26CD" w14:textId="77777777" w:rsidR="000013D2" w:rsidRDefault="000013D2" w:rsidP="000013D2">
      <w:pPr>
        <w:pStyle w:val="Heading2"/>
        <w:numPr>
          <w:ilvl w:val="1"/>
          <w:numId w:val="44"/>
        </w:numPr>
      </w:pPr>
      <w:r>
        <w:t>The Authority may, without prejudice to any other rights and remedies under this Agreement, withhold or reduce payments in the event of unsatisfactory performance.</w:t>
      </w:r>
    </w:p>
    <w:p w14:paraId="29735394" w14:textId="77777777" w:rsidR="000013D2" w:rsidRDefault="000013D2" w:rsidP="000013D2">
      <w:pPr>
        <w:pStyle w:val="Heading2"/>
        <w:numPr>
          <w:ilvl w:val="1"/>
          <w:numId w:val="44"/>
        </w:numPr>
        <w:rPr>
          <w:sz w:val="24"/>
          <w:szCs w:val="24"/>
        </w:rPr>
      </w:pPr>
      <w:r>
        <w:rPr>
          <w:sz w:val="24"/>
          <w:szCs w:val="24"/>
        </w:rPr>
        <w:t>If poor performance continues, following formal written warnings, early termination of the Agreement will also be considered.</w:t>
      </w:r>
    </w:p>
    <w:p w14:paraId="485A1BB9" w14:textId="77777777" w:rsidR="000013D2" w:rsidRDefault="000013D2" w:rsidP="000013D2">
      <w:pPr>
        <w:pStyle w:val="Heading3"/>
        <w:numPr>
          <w:ilvl w:val="2"/>
          <w:numId w:val="44"/>
        </w:numPr>
        <w:rPr>
          <w:sz w:val="24"/>
          <w:szCs w:val="24"/>
        </w:rPr>
      </w:pPr>
      <w:r>
        <w:rPr>
          <w:sz w:val="24"/>
          <w:szCs w:val="24"/>
        </w:rPr>
        <w:t>The Authority will monitor the work of the Supplier throughout the Term of the Agreement through regular contact between the Supplier and the Authority’s day-to-day contact.</w:t>
      </w:r>
    </w:p>
    <w:p w14:paraId="43E66292" w14:textId="77777777" w:rsidR="000013D2" w:rsidRDefault="000013D2" w:rsidP="000013D2">
      <w:pPr>
        <w:pStyle w:val="Heading3"/>
        <w:numPr>
          <w:ilvl w:val="2"/>
          <w:numId w:val="44"/>
        </w:numPr>
        <w:rPr>
          <w:sz w:val="24"/>
          <w:szCs w:val="24"/>
        </w:rPr>
      </w:pPr>
      <w:r>
        <w:rPr>
          <w:sz w:val="24"/>
          <w:szCs w:val="24"/>
        </w:rPr>
        <w:t>The Authority will manage poor performance by the Supplier as set out in section 15 and in line with the terms and conditions of the resultant Agreement.</w:t>
      </w:r>
    </w:p>
    <w:p w14:paraId="7860571F" w14:textId="77777777" w:rsidR="000013D2" w:rsidRDefault="000013D2" w:rsidP="000013D2">
      <w:pPr>
        <w:pStyle w:val="Heading1"/>
        <w:numPr>
          <w:ilvl w:val="0"/>
          <w:numId w:val="44"/>
        </w:numPr>
        <w:spacing w:after="120"/>
        <w:rPr>
          <w:sz w:val="32"/>
          <w:szCs w:val="32"/>
        </w:rPr>
      </w:pPr>
      <w:bookmarkStart w:id="125" w:name="_heading=h.1y810tw" w:colFirst="0" w:colLast="0"/>
      <w:bookmarkEnd w:id="125"/>
      <w:r>
        <w:rPr>
          <w:sz w:val="32"/>
          <w:szCs w:val="32"/>
        </w:rPr>
        <w:t>Security and CONFIDENTIALITY requirements</w:t>
      </w:r>
    </w:p>
    <w:p w14:paraId="22FB4988" w14:textId="77777777" w:rsidR="000013D2" w:rsidRDefault="000013D2" w:rsidP="000013D2">
      <w:pPr>
        <w:pStyle w:val="Heading2"/>
        <w:numPr>
          <w:ilvl w:val="1"/>
          <w:numId w:val="44"/>
        </w:numPr>
        <w:rPr>
          <w:sz w:val="24"/>
          <w:szCs w:val="24"/>
        </w:rPr>
      </w:pPr>
      <w:r>
        <w:rPr>
          <w:sz w:val="24"/>
          <w:szCs w:val="24"/>
        </w:rPr>
        <w:t xml:space="preserve">The appointed Supplier will be required to provide confirmation of Security Clearance (SC) in accordance with Baseline Personnel Security Standard requirements for persons engaged in the performance and/or provision of all Services to DBS. </w:t>
      </w:r>
    </w:p>
    <w:p w14:paraId="1D40B742" w14:textId="77777777" w:rsidR="000013D2" w:rsidRDefault="000013D2" w:rsidP="000013D2">
      <w:pPr>
        <w:pStyle w:val="Heading2"/>
        <w:numPr>
          <w:ilvl w:val="1"/>
          <w:numId w:val="44"/>
        </w:numPr>
        <w:rPr>
          <w:sz w:val="24"/>
          <w:szCs w:val="24"/>
        </w:rPr>
      </w:pPr>
      <w:r>
        <w:rPr>
          <w:sz w:val="24"/>
          <w:szCs w:val="24"/>
        </w:rPr>
        <w:t>Due to the sensitive nature of the work carried out by DBS, the Supplier may also be requested to confirm that its operatives visiting and working on site are required to comply with government security standards to the level of “Secret.” (</w:t>
      </w:r>
      <w:hyperlink r:id="rId18">
        <w:r>
          <w:rPr>
            <w:color w:val="0000FF"/>
            <w:sz w:val="24"/>
            <w:szCs w:val="24"/>
            <w:u w:val="single"/>
          </w:rPr>
          <w:t>https://www.gov.uk/government/publications/government-security-classifications</w:t>
        </w:r>
      </w:hyperlink>
      <w:r>
        <w:rPr>
          <w:sz w:val="24"/>
          <w:szCs w:val="24"/>
        </w:rPr>
        <w:t>)</w:t>
      </w:r>
    </w:p>
    <w:p w14:paraId="56C31214" w14:textId="77777777" w:rsidR="000013D2" w:rsidRPr="00AF377A" w:rsidRDefault="000013D2" w:rsidP="000013D2">
      <w:pPr>
        <w:pStyle w:val="Heading2"/>
        <w:numPr>
          <w:ilvl w:val="1"/>
          <w:numId w:val="44"/>
        </w:numPr>
        <w:rPr>
          <w:sz w:val="24"/>
          <w:szCs w:val="24"/>
        </w:rPr>
      </w:pPr>
      <w:r>
        <w:rPr>
          <w:sz w:val="24"/>
          <w:szCs w:val="24"/>
        </w:rPr>
        <w:t>The Authority holds documentation that is crucial to its decision-making process. The Authority owns Intellectual Property Rights on such documentation and the appointed Supplier must not disclose it to third parties under any circumstances.</w:t>
      </w:r>
    </w:p>
    <w:p w14:paraId="14995E76" w14:textId="77777777" w:rsidR="000013D2" w:rsidRDefault="000013D2" w:rsidP="000013D2">
      <w:pPr>
        <w:pStyle w:val="Heading1"/>
        <w:numPr>
          <w:ilvl w:val="0"/>
          <w:numId w:val="44"/>
        </w:numPr>
        <w:spacing w:after="120"/>
        <w:ind w:left="709" w:hanging="709"/>
        <w:rPr>
          <w:sz w:val="32"/>
          <w:szCs w:val="32"/>
        </w:rPr>
      </w:pPr>
      <w:bookmarkStart w:id="126" w:name="_heading=h.4i7ojhp" w:colFirst="0" w:colLast="0"/>
      <w:bookmarkEnd w:id="126"/>
      <w:r>
        <w:rPr>
          <w:sz w:val="32"/>
          <w:szCs w:val="32"/>
        </w:rPr>
        <w:t xml:space="preserve">payment AND INVOICING </w:t>
      </w:r>
    </w:p>
    <w:p w14:paraId="5AC99C7F" w14:textId="77777777" w:rsidR="000013D2" w:rsidRDefault="000013D2" w:rsidP="000013D2">
      <w:pPr>
        <w:pStyle w:val="Heading2"/>
        <w:numPr>
          <w:ilvl w:val="1"/>
          <w:numId w:val="44"/>
        </w:numPr>
        <w:spacing w:after="120"/>
        <w:ind w:left="709" w:hanging="709"/>
        <w:rPr>
          <w:sz w:val="24"/>
          <w:szCs w:val="24"/>
        </w:rPr>
      </w:pPr>
      <w:r>
        <w:rPr>
          <w:sz w:val="24"/>
          <w:szCs w:val="24"/>
        </w:rPr>
        <w:t xml:space="preserve">Payment can only be made following satisfactory delivery of pre-agreed certified products and deliverables. </w:t>
      </w:r>
    </w:p>
    <w:p w14:paraId="0385A6DB" w14:textId="77777777" w:rsidR="000013D2" w:rsidRDefault="000013D2" w:rsidP="000013D2">
      <w:pPr>
        <w:pStyle w:val="Heading2"/>
        <w:numPr>
          <w:ilvl w:val="1"/>
          <w:numId w:val="44"/>
        </w:numPr>
        <w:spacing w:after="120"/>
        <w:ind w:left="709" w:hanging="709"/>
        <w:rPr>
          <w:sz w:val="24"/>
          <w:szCs w:val="24"/>
        </w:rPr>
      </w:pPr>
      <w:r>
        <w:rPr>
          <w:sz w:val="24"/>
          <w:szCs w:val="24"/>
        </w:rPr>
        <w:t xml:space="preserve">Payment for the Services shall be made on a consumption-based approach, i.e. the Authority will pay the Supplier for Services actually delivered. Invoices shall be submitted within 5 working days following the delivery of such Services. Invoices can be submitted electronically or via post. </w:t>
      </w:r>
    </w:p>
    <w:p w14:paraId="395ED68F" w14:textId="77777777" w:rsidR="000013D2" w:rsidRDefault="000013D2" w:rsidP="000013D2">
      <w:pPr>
        <w:pStyle w:val="Heading2"/>
        <w:numPr>
          <w:ilvl w:val="1"/>
          <w:numId w:val="44"/>
        </w:numPr>
        <w:spacing w:after="120"/>
        <w:ind w:left="709" w:hanging="709"/>
        <w:rPr>
          <w:sz w:val="24"/>
          <w:szCs w:val="24"/>
        </w:rPr>
      </w:pPr>
      <w:r>
        <w:rPr>
          <w:sz w:val="24"/>
          <w:szCs w:val="24"/>
        </w:rPr>
        <w:t xml:space="preserve">Before payment can be considered, each invoice must include a detailed elemental breakdown of work completed and the associated costs. </w:t>
      </w:r>
    </w:p>
    <w:p w14:paraId="0659EBDE" w14:textId="77777777" w:rsidR="000013D2" w:rsidRDefault="000013D2" w:rsidP="000013D2">
      <w:pPr>
        <w:pStyle w:val="Heading2"/>
        <w:numPr>
          <w:ilvl w:val="1"/>
          <w:numId w:val="44"/>
        </w:numPr>
        <w:spacing w:after="120"/>
        <w:ind w:left="709" w:hanging="709"/>
        <w:rPr>
          <w:sz w:val="24"/>
          <w:szCs w:val="24"/>
        </w:rPr>
      </w:pPr>
      <w:r>
        <w:rPr>
          <w:sz w:val="24"/>
          <w:szCs w:val="24"/>
        </w:rPr>
        <w:t>Invoices must include any Purchase Order number(s) issued by the Authority.</w:t>
      </w:r>
    </w:p>
    <w:p w14:paraId="42BA54CD" w14:textId="77777777" w:rsidR="000013D2" w:rsidRDefault="000013D2" w:rsidP="000013D2">
      <w:pPr>
        <w:pStyle w:val="Heading2"/>
        <w:numPr>
          <w:ilvl w:val="1"/>
          <w:numId w:val="44"/>
        </w:numPr>
        <w:spacing w:after="120"/>
        <w:ind w:left="709" w:hanging="709"/>
        <w:rPr>
          <w:sz w:val="24"/>
          <w:szCs w:val="24"/>
        </w:rPr>
      </w:pPr>
      <w:r>
        <w:rPr>
          <w:sz w:val="24"/>
          <w:szCs w:val="24"/>
        </w:rPr>
        <w:t>The address for invoicing is:</w:t>
      </w:r>
    </w:p>
    <w:p w14:paraId="01541C4F" w14:textId="77777777" w:rsidR="000013D2" w:rsidRDefault="000013D2" w:rsidP="000013D2">
      <w:pPr>
        <w:pStyle w:val="Heading3"/>
        <w:numPr>
          <w:ilvl w:val="0"/>
          <w:numId w:val="0"/>
        </w:numPr>
        <w:spacing w:after="0"/>
        <w:ind w:left="1440"/>
        <w:jc w:val="left"/>
        <w:rPr>
          <w:sz w:val="24"/>
          <w:szCs w:val="24"/>
        </w:rPr>
      </w:pPr>
      <w:r>
        <w:rPr>
          <w:sz w:val="24"/>
          <w:szCs w:val="24"/>
        </w:rPr>
        <w:t>Disclosure &amp; Barring Service</w:t>
      </w:r>
      <w:r>
        <w:rPr>
          <w:sz w:val="24"/>
          <w:szCs w:val="24"/>
        </w:rPr>
        <w:br/>
        <w:t>PO Box 5112</w:t>
      </w:r>
      <w:r>
        <w:rPr>
          <w:sz w:val="24"/>
          <w:szCs w:val="24"/>
        </w:rPr>
        <w:br/>
        <w:t>Phoenix House</w:t>
      </w:r>
      <w:r>
        <w:rPr>
          <w:sz w:val="24"/>
          <w:szCs w:val="24"/>
        </w:rPr>
        <w:br/>
        <w:t>Newport</w:t>
      </w:r>
    </w:p>
    <w:p w14:paraId="12CEC264" w14:textId="77777777" w:rsidR="000013D2" w:rsidRDefault="000013D2" w:rsidP="000013D2">
      <w:pPr>
        <w:pStyle w:val="Heading3"/>
        <w:numPr>
          <w:ilvl w:val="0"/>
          <w:numId w:val="0"/>
        </w:numPr>
        <w:spacing w:after="0"/>
        <w:ind w:left="1440"/>
        <w:jc w:val="left"/>
        <w:rPr>
          <w:sz w:val="24"/>
          <w:szCs w:val="24"/>
        </w:rPr>
      </w:pPr>
      <w:r>
        <w:rPr>
          <w:sz w:val="24"/>
          <w:szCs w:val="24"/>
        </w:rPr>
        <w:t>Gwent</w:t>
      </w:r>
    </w:p>
    <w:p w14:paraId="210438F1" w14:textId="77777777" w:rsidR="000013D2" w:rsidRDefault="000013D2" w:rsidP="000013D2">
      <w:pPr>
        <w:pStyle w:val="Heading3"/>
        <w:numPr>
          <w:ilvl w:val="0"/>
          <w:numId w:val="0"/>
        </w:numPr>
        <w:spacing w:after="0"/>
        <w:ind w:left="1440"/>
        <w:jc w:val="left"/>
        <w:rPr>
          <w:sz w:val="24"/>
          <w:szCs w:val="24"/>
        </w:rPr>
      </w:pPr>
      <w:r>
        <w:rPr>
          <w:sz w:val="24"/>
          <w:szCs w:val="24"/>
        </w:rPr>
        <w:t>NP10 8FZ</w:t>
      </w:r>
    </w:p>
    <w:p w14:paraId="3A0946E3" w14:textId="77777777" w:rsidR="000013D2" w:rsidRDefault="000013D2" w:rsidP="000013D2">
      <w:pPr>
        <w:pStyle w:val="Heading3"/>
        <w:numPr>
          <w:ilvl w:val="0"/>
          <w:numId w:val="0"/>
        </w:numPr>
        <w:spacing w:after="0"/>
        <w:ind w:left="1440"/>
        <w:jc w:val="left"/>
        <w:rPr>
          <w:sz w:val="24"/>
          <w:szCs w:val="24"/>
        </w:rPr>
      </w:pPr>
    </w:p>
    <w:p w14:paraId="10F13FAF" w14:textId="77777777" w:rsidR="000013D2" w:rsidRDefault="000013D2" w:rsidP="000013D2">
      <w:pPr>
        <w:pStyle w:val="Heading3"/>
        <w:numPr>
          <w:ilvl w:val="0"/>
          <w:numId w:val="0"/>
        </w:numPr>
        <w:spacing w:after="0"/>
        <w:ind w:left="1440"/>
        <w:jc w:val="left"/>
        <w:rPr>
          <w:sz w:val="24"/>
          <w:szCs w:val="24"/>
        </w:rPr>
      </w:pPr>
      <w:r>
        <w:rPr>
          <w:sz w:val="24"/>
          <w:szCs w:val="24"/>
        </w:rPr>
        <w:t>Tel: 08450 100125</w:t>
      </w:r>
      <w:r>
        <w:rPr>
          <w:sz w:val="24"/>
          <w:szCs w:val="24"/>
        </w:rPr>
        <w:br/>
        <w:t>Fax: 01633 581514</w:t>
      </w:r>
    </w:p>
    <w:p w14:paraId="1224C3D7" w14:textId="156013BB" w:rsidR="000013D2" w:rsidRDefault="000013D2" w:rsidP="000013D2">
      <w:pPr>
        <w:pStyle w:val="Heading3"/>
        <w:numPr>
          <w:ilvl w:val="0"/>
          <w:numId w:val="0"/>
        </w:numPr>
        <w:ind w:left="1440"/>
        <w:jc w:val="left"/>
        <w:rPr>
          <w:sz w:val="24"/>
          <w:szCs w:val="24"/>
        </w:rPr>
      </w:pPr>
      <w:r>
        <w:rPr>
          <w:sz w:val="24"/>
          <w:szCs w:val="24"/>
        </w:rPr>
        <w:t xml:space="preserve">Email: </w:t>
      </w:r>
      <w:r w:rsidR="001E0005">
        <w:rPr>
          <w:sz w:val="24"/>
          <w:szCs w:val="24"/>
        </w:rPr>
        <w:t>REDACTED TEXT</w:t>
      </w:r>
      <w:r>
        <w:rPr>
          <w:sz w:val="24"/>
          <w:szCs w:val="24"/>
        </w:rPr>
        <w:br/>
        <w:t>VAT Number GB: 888818055</w:t>
      </w:r>
    </w:p>
    <w:p w14:paraId="2779C97A" w14:textId="67ED068F" w:rsidR="000013D2" w:rsidRDefault="000013D2" w:rsidP="000013D2">
      <w:pPr>
        <w:pStyle w:val="Heading2"/>
        <w:numPr>
          <w:ilvl w:val="1"/>
          <w:numId w:val="44"/>
        </w:numPr>
        <w:spacing w:after="120"/>
        <w:ind w:left="709" w:hanging="709"/>
        <w:rPr>
          <w:color w:val="000000"/>
          <w:sz w:val="24"/>
          <w:szCs w:val="24"/>
        </w:rPr>
      </w:pPr>
      <w:r>
        <w:rPr>
          <w:sz w:val="24"/>
          <w:szCs w:val="24"/>
        </w:rPr>
        <w:t xml:space="preserve">Invoices should also be </w:t>
      </w:r>
      <w:r>
        <w:rPr>
          <w:sz w:val="24"/>
          <w:szCs w:val="24"/>
          <w:u w:val="single"/>
        </w:rPr>
        <w:t>copied</w:t>
      </w:r>
      <w:r>
        <w:rPr>
          <w:sz w:val="24"/>
          <w:szCs w:val="24"/>
        </w:rPr>
        <w:t xml:space="preserve"> via </w:t>
      </w:r>
      <w:r w:rsidR="001E0005">
        <w:rPr>
          <w:sz w:val="24"/>
          <w:szCs w:val="24"/>
        </w:rPr>
        <w:t>email to REDACTED TEXT</w:t>
      </w:r>
    </w:p>
    <w:p w14:paraId="063313E8" w14:textId="77777777" w:rsidR="000013D2" w:rsidRDefault="000013D2" w:rsidP="000013D2">
      <w:pPr>
        <w:pStyle w:val="Heading2"/>
        <w:numPr>
          <w:ilvl w:val="1"/>
          <w:numId w:val="44"/>
        </w:numPr>
        <w:spacing w:after="120"/>
        <w:ind w:left="709" w:hanging="709"/>
        <w:rPr>
          <w:color w:val="000000"/>
          <w:sz w:val="24"/>
          <w:szCs w:val="24"/>
        </w:rPr>
      </w:pPr>
      <w:r>
        <w:rPr>
          <w:color w:val="000000"/>
          <w:sz w:val="24"/>
          <w:szCs w:val="24"/>
        </w:rPr>
        <w:t>Payment will be made 30 days following receipt of a correct and valid invoice.</w:t>
      </w:r>
    </w:p>
    <w:p w14:paraId="708F62CD" w14:textId="77777777" w:rsidR="000013D2" w:rsidRDefault="000013D2" w:rsidP="000013D2">
      <w:pPr>
        <w:pStyle w:val="Heading1"/>
        <w:numPr>
          <w:ilvl w:val="0"/>
          <w:numId w:val="0"/>
        </w:numPr>
        <w:rPr>
          <w:highlight w:val="yellow"/>
        </w:rPr>
      </w:pPr>
    </w:p>
    <w:p w14:paraId="47CE432A" w14:textId="77777777" w:rsidR="000013D2" w:rsidRDefault="000013D2" w:rsidP="000013D2">
      <w:pPr>
        <w:pStyle w:val="Heading1"/>
        <w:numPr>
          <w:ilvl w:val="0"/>
          <w:numId w:val="44"/>
        </w:numPr>
        <w:spacing w:after="120"/>
        <w:ind w:left="709" w:hanging="709"/>
        <w:rPr>
          <w:sz w:val="32"/>
          <w:szCs w:val="32"/>
        </w:rPr>
      </w:pPr>
      <w:bookmarkStart w:id="127" w:name="_heading=h.2xcytpi" w:colFirst="0" w:colLast="0"/>
      <w:bookmarkEnd w:id="127"/>
      <w:r>
        <w:rPr>
          <w:sz w:val="32"/>
          <w:szCs w:val="32"/>
        </w:rPr>
        <w:t xml:space="preserve">CONTRACT MANAGEMENT </w:t>
      </w:r>
    </w:p>
    <w:p w14:paraId="4EF3834A" w14:textId="77777777" w:rsidR="000013D2" w:rsidRDefault="000013D2" w:rsidP="000013D2">
      <w:pPr>
        <w:pStyle w:val="Heading2"/>
        <w:numPr>
          <w:ilvl w:val="1"/>
          <w:numId w:val="44"/>
        </w:numPr>
        <w:spacing w:after="120"/>
        <w:ind w:left="709" w:hanging="709"/>
        <w:rPr>
          <w:sz w:val="24"/>
          <w:szCs w:val="24"/>
        </w:rPr>
      </w:pPr>
      <w:r>
        <w:rPr>
          <w:sz w:val="24"/>
          <w:szCs w:val="24"/>
        </w:rPr>
        <w:t>Attendance at any Agreement review meetings shall be at the Supplier’s own expense.</w:t>
      </w:r>
    </w:p>
    <w:p w14:paraId="6F009056" w14:textId="77777777" w:rsidR="000013D2" w:rsidRPr="00AF377A" w:rsidRDefault="000013D2" w:rsidP="000013D2">
      <w:pPr>
        <w:pStyle w:val="Heading1"/>
        <w:numPr>
          <w:ilvl w:val="0"/>
          <w:numId w:val="44"/>
        </w:numPr>
        <w:spacing w:after="120"/>
        <w:rPr>
          <w:sz w:val="32"/>
          <w:szCs w:val="32"/>
        </w:rPr>
      </w:pPr>
      <w:bookmarkStart w:id="128" w:name="_heading=h.1ci93xb" w:colFirst="0" w:colLast="0"/>
      <w:bookmarkEnd w:id="128"/>
      <w:r>
        <w:rPr>
          <w:sz w:val="32"/>
          <w:szCs w:val="32"/>
        </w:rPr>
        <w:t xml:space="preserve">Location </w:t>
      </w:r>
    </w:p>
    <w:p w14:paraId="03AE2703" w14:textId="77777777" w:rsidR="000013D2" w:rsidRDefault="000013D2" w:rsidP="000013D2">
      <w:pPr>
        <w:pStyle w:val="Heading2"/>
        <w:numPr>
          <w:ilvl w:val="1"/>
          <w:numId w:val="44"/>
        </w:numPr>
        <w:spacing w:after="120"/>
        <w:ind w:left="709" w:hanging="709"/>
        <w:rPr>
          <w:sz w:val="24"/>
          <w:szCs w:val="24"/>
        </w:rPr>
      </w:pPr>
      <w:r>
        <w:rPr>
          <w:sz w:val="24"/>
          <w:szCs w:val="24"/>
        </w:rPr>
        <w:t>The location of the Services may from time to time be carried out remotely at the absolute discretion of the Authority, as well as physically at:</w:t>
      </w:r>
    </w:p>
    <w:p w14:paraId="4B1B43A1" w14:textId="77777777" w:rsidR="000013D2" w:rsidRDefault="000013D2" w:rsidP="000013D2">
      <w:pPr>
        <w:ind w:left="709"/>
        <w:rPr>
          <w:sz w:val="24"/>
        </w:rPr>
      </w:pPr>
    </w:p>
    <w:p w14:paraId="6FFE5166" w14:textId="77777777" w:rsidR="000013D2" w:rsidRDefault="000013D2" w:rsidP="000013D2">
      <w:pPr>
        <w:ind w:left="709"/>
        <w:rPr>
          <w:sz w:val="24"/>
        </w:rPr>
      </w:pPr>
      <w:r>
        <w:rPr>
          <w:sz w:val="24"/>
        </w:rPr>
        <w:t>The Disclosure and Barring Service (Darlington)</w:t>
      </w:r>
    </w:p>
    <w:p w14:paraId="0A85B510" w14:textId="77777777" w:rsidR="000013D2" w:rsidRDefault="000013D2" w:rsidP="000013D2">
      <w:pPr>
        <w:ind w:left="709"/>
        <w:rPr>
          <w:sz w:val="24"/>
        </w:rPr>
      </w:pPr>
      <w:r>
        <w:rPr>
          <w:sz w:val="24"/>
        </w:rPr>
        <w:t>Stephenson House</w:t>
      </w:r>
    </w:p>
    <w:p w14:paraId="467FD5CB" w14:textId="77777777" w:rsidR="000013D2" w:rsidRDefault="000013D2" w:rsidP="000013D2">
      <w:pPr>
        <w:ind w:left="709"/>
        <w:rPr>
          <w:sz w:val="24"/>
        </w:rPr>
      </w:pPr>
      <w:r>
        <w:rPr>
          <w:sz w:val="24"/>
        </w:rPr>
        <w:t>Morton Palms Business Park</w:t>
      </w:r>
    </w:p>
    <w:p w14:paraId="3139A251" w14:textId="77777777" w:rsidR="000013D2" w:rsidRDefault="000013D2" w:rsidP="000013D2">
      <w:pPr>
        <w:ind w:left="709"/>
        <w:rPr>
          <w:sz w:val="24"/>
        </w:rPr>
      </w:pPr>
      <w:r>
        <w:rPr>
          <w:sz w:val="24"/>
        </w:rPr>
        <w:t>Alderman Best Way</w:t>
      </w:r>
    </w:p>
    <w:p w14:paraId="0B14C18A" w14:textId="77777777" w:rsidR="000013D2" w:rsidRDefault="000013D2" w:rsidP="000013D2">
      <w:pPr>
        <w:ind w:left="709"/>
        <w:rPr>
          <w:sz w:val="24"/>
        </w:rPr>
      </w:pPr>
      <w:r>
        <w:rPr>
          <w:sz w:val="24"/>
        </w:rPr>
        <w:t>Darlington</w:t>
      </w:r>
    </w:p>
    <w:p w14:paraId="365182E1" w14:textId="77777777" w:rsidR="000013D2" w:rsidRDefault="000013D2" w:rsidP="000013D2">
      <w:pPr>
        <w:ind w:left="709"/>
        <w:rPr>
          <w:sz w:val="24"/>
        </w:rPr>
      </w:pPr>
      <w:r>
        <w:rPr>
          <w:sz w:val="24"/>
        </w:rPr>
        <w:t xml:space="preserve">DL1 4WB </w:t>
      </w:r>
    </w:p>
    <w:p w14:paraId="7016D0F8" w14:textId="77777777" w:rsidR="000013D2" w:rsidRDefault="000013D2" w:rsidP="000013D2">
      <w:pPr>
        <w:ind w:left="709"/>
        <w:rPr>
          <w:sz w:val="24"/>
        </w:rPr>
      </w:pPr>
    </w:p>
    <w:p w14:paraId="365BB520" w14:textId="77777777" w:rsidR="000013D2" w:rsidRDefault="000013D2" w:rsidP="000013D2">
      <w:pPr>
        <w:ind w:left="709"/>
        <w:rPr>
          <w:sz w:val="24"/>
        </w:rPr>
      </w:pPr>
      <w:r>
        <w:rPr>
          <w:sz w:val="24"/>
        </w:rPr>
        <w:t>The Disclosure and Barring Service (Liverpool)</w:t>
      </w:r>
    </w:p>
    <w:p w14:paraId="7740705A" w14:textId="77777777" w:rsidR="000013D2" w:rsidRDefault="000013D2" w:rsidP="000013D2">
      <w:pPr>
        <w:ind w:left="709"/>
        <w:rPr>
          <w:sz w:val="24"/>
        </w:rPr>
      </w:pPr>
      <w:r>
        <w:rPr>
          <w:sz w:val="24"/>
        </w:rPr>
        <w:t>Shannon Court</w:t>
      </w:r>
    </w:p>
    <w:p w14:paraId="7E2323D4" w14:textId="77777777" w:rsidR="000013D2" w:rsidRDefault="000013D2" w:rsidP="000013D2">
      <w:pPr>
        <w:ind w:left="709"/>
        <w:rPr>
          <w:sz w:val="24"/>
        </w:rPr>
      </w:pPr>
      <w:r>
        <w:rPr>
          <w:sz w:val="24"/>
        </w:rPr>
        <w:t>10 Princes Parade</w:t>
      </w:r>
    </w:p>
    <w:p w14:paraId="25227507" w14:textId="77777777" w:rsidR="000013D2" w:rsidRDefault="000013D2" w:rsidP="000013D2">
      <w:pPr>
        <w:ind w:left="709"/>
        <w:rPr>
          <w:sz w:val="24"/>
        </w:rPr>
      </w:pPr>
      <w:r>
        <w:rPr>
          <w:sz w:val="24"/>
        </w:rPr>
        <w:t>Liverpool</w:t>
      </w:r>
    </w:p>
    <w:p w14:paraId="35F04E82" w14:textId="77777777" w:rsidR="000013D2" w:rsidRDefault="000013D2" w:rsidP="000013D2">
      <w:pPr>
        <w:ind w:left="709"/>
        <w:rPr>
          <w:sz w:val="24"/>
        </w:rPr>
      </w:pPr>
      <w:r>
        <w:rPr>
          <w:sz w:val="24"/>
        </w:rPr>
        <w:t>L3 1QY</w:t>
      </w:r>
    </w:p>
    <w:p w14:paraId="5F009735" w14:textId="77777777" w:rsidR="000013D2" w:rsidRDefault="000013D2" w:rsidP="000013D2">
      <w:pPr>
        <w:pStyle w:val="Heading1"/>
        <w:numPr>
          <w:ilvl w:val="0"/>
          <w:numId w:val="0"/>
        </w:numPr>
        <w:ind w:left="720"/>
      </w:pPr>
    </w:p>
    <w:p w14:paraId="7255604F" w14:textId="77777777" w:rsidR="000013D2" w:rsidRDefault="000013D2">
      <w:pPr>
        <w:rPr>
          <w:rFonts w:cs="Arial"/>
          <w:b/>
          <w:szCs w:val="22"/>
        </w:rPr>
      </w:pPr>
    </w:p>
    <w:p w14:paraId="6EC42A65" w14:textId="77777777" w:rsidR="000013D2" w:rsidRDefault="000013D2">
      <w:pPr>
        <w:rPr>
          <w:rFonts w:cs="Arial"/>
          <w:b/>
          <w:szCs w:val="22"/>
        </w:rPr>
      </w:pPr>
    </w:p>
    <w:p w14:paraId="769B49EB" w14:textId="77777777" w:rsidR="000013D2" w:rsidRDefault="000013D2">
      <w:pPr>
        <w:rPr>
          <w:rFonts w:cs="Arial"/>
          <w:b/>
          <w:szCs w:val="22"/>
        </w:rPr>
      </w:pPr>
    </w:p>
    <w:p w14:paraId="3E6FA57F" w14:textId="77777777" w:rsidR="000013D2" w:rsidRDefault="000013D2">
      <w:pPr>
        <w:rPr>
          <w:rFonts w:cs="Arial"/>
          <w:b/>
          <w:szCs w:val="22"/>
        </w:rPr>
      </w:pPr>
    </w:p>
    <w:p w14:paraId="5C2CCCFB" w14:textId="77777777" w:rsidR="000013D2" w:rsidRDefault="000013D2">
      <w:pPr>
        <w:rPr>
          <w:rFonts w:cs="Arial"/>
          <w:b/>
          <w:szCs w:val="22"/>
        </w:rPr>
      </w:pPr>
    </w:p>
    <w:p w14:paraId="3DC09CD7" w14:textId="77777777" w:rsidR="000013D2" w:rsidRDefault="000013D2">
      <w:pPr>
        <w:rPr>
          <w:rFonts w:cs="Arial"/>
          <w:b/>
          <w:szCs w:val="22"/>
        </w:rPr>
      </w:pPr>
    </w:p>
    <w:p w14:paraId="214DADE9" w14:textId="77777777" w:rsidR="000013D2" w:rsidRDefault="000013D2">
      <w:pPr>
        <w:rPr>
          <w:rFonts w:cs="Arial"/>
          <w:b/>
          <w:szCs w:val="22"/>
        </w:rPr>
      </w:pPr>
    </w:p>
    <w:p w14:paraId="3C159A43" w14:textId="77777777" w:rsidR="000013D2" w:rsidRDefault="000013D2">
      <w:pPr>
        <w:rPr>
          <w:rFonts w:cs="Arial"/>
          <w:b/>
          <w:szCs w:val="22"/>
        </w:rPr>
      </w:pPr>
    </w:p>
    <w:p w14:paraId="7CA1F054" w14:textId="4018D57A" w:rsidR="00A649DF" w:rsidRDefault="00820A23" w:rsidP="001167A3">
      <w:pPr>
        <w:widowControl w:val="0"/>
        <w:tabs>
          <w:tab w:val="num" w:pos="540"/>
        </w:tabs>
        <w:spacing w:after="100" w:afterAutospacing="1"/>
        <w:ind w:left="851" w:hanging="851"/>
        <w:jc w:val="center"/>
        <w:outlineLvl w:val="0"/>
        <w:rPr>
          <w:rFonts w:eastAsia="Times New Roman"/>
          <w:b/>
          <w:szCs w:val="22"/>
          <w:lang w:eastAsia="en-US"/>
        </w:rPr>
      </w:pPr>
      <w:bookmarkStart w:id="129" w:name="_Toc444688624"/>
      <w:r>
        <w:rPr>
          <w:rFonts w:eastAsia="Times New Roman"/>
          <w:b/>
          <w:szCs w:val="22"/>
          <w:lang w:eastAsia="en-US"/>
        </w:rPr>
        <w:t>A</w:t>
      </w:r>
      <w:r w:rsidR="00A649DF" w:rsidRPr="001167A3">
        <w:rPr>
          <w:rFonts w:eastAsia="Times New Roman"/>
          <w:b/>
          <w:szCs w:val="22"/>
          <w:lang w:eastAsia="en-US"/>
        </w:rPr>
        <w:t>NNEX 4 – SUPPLIER</w:t>
      </w:r>
      <w:r w:rsidR="00B22181">
        <w:rPr>
          <w:rFonts w:eastAsia="Times New Roman"/>
          <w:b/>
          <w:szCs w:val="22"/>
          <w:lang w:eastAsia="en-US"/>
        </w:rPr>
        <w:t>’</w:t>
      </w:r>
      <w:r w:rsidR="00A649DF" w:rsidRPr="001167A3">
        <w:rPr>
          <w:rFonts w:eastAsia="Times New Roman"/>
          <w:b/>
          <w:szCs w:val="22"/>
          <w:lang w:eastAsia="en-US"/>
        </w:rPr>
        <w:t>S RESPONSE</w:t>
      </w:r>
      <w:bookmarkEnd w:id="129"/>
    </w:p>
    <w:p w14:paraId="4D5AF130" w14:textId="4D9431BF"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p>
    <w:p w14:paraId="3901D31C" w14:textId="321EBEE8" w:rsidR="00174DC0" w:rsidRDefault="001D0431">
      <w:pPr>
        <w:rPr>
          <w:rFonts w:eastAsia="Times New Roman"/>
          <w:b/>
          <w:szCs w:val="22"/>
          <w:lang w:eastAsia="en-US"/>
        </w:rPr>
      </w:pPr>
      <w:bookmarkStart w:id="130" w:name="_Toc437243999"/>
      <w:r>
        <w:rPr>
          <w:rFonts w:eastAsia="Times New Roman"/>
          <w:b/>
          <w:szCs w:val="22"/>
          <w:lang w:eastAsia="en-US"/>
        </w:rPr>
        <w:t>REDACTED TEXT</w:t>
      </w:r>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31" w:name="_Toc444688625"/>
      <w:r w:rsidRPr="00506046">
        <w:rPr>
          <w:rFonts w:eastAsia="Times New Roman"/>
          <w:b/>
          <w:szCs w:val="22"/>
          <w:lang w:eastAsia="en-US"/>
        </w:rPr>
        <w:t>ANNEX 5 – CLARIFICATIONS</w:t>
      </w:r>
      <w:bookmarkEnd w:id="130"/>
      <w:bookmarkEnd w:id="131"/>
    </w:p>
    <w:p w14:paraId="49E69A79" w14:textId="66A065D3" w:rsidR="007F43A5" w:rsidRDefault="001D0431">
      <w:pPr>
        <w:rPr>
          <w:rFonts w:cs="Arial"/>
          <w:szCs w:val="22"/>
        </w:rPr>
      </w:pPr>
      <w:r>
        <w:rPr>
          <w:rFonts w:cs="Arial"/>
          <w:szCs w:val="22"/>
        </w:rPr>
        <w:t>REDACTED TEXT</w:t>
      </w:r>
      <w:r w:rsidR="004B1AF8" w:rsidRPr="000049C2">
        <w:rPr>
          <w:rFonts w:cs="Arial"/>
          <w:szCs w:val="22"/>
        </w:rPr>
        <w:br w:type="page"/>
      </w:r>
    </w:p>
    <w:p w14:paraId="519D1D55" w14:textId="5E4CF883" w:rsidR="004B1AF8" w:rsidRDefault="004B1AF8">
      <w:pPr>
        <w:rPr>
          <w:rFonts w:cs="Arial"/>
          <w:szCs w:val="22"/>
        </w:rPr>
      </w:pPr>
    </w:p>
    <w:p w14:paraId="062A4802" w14:textId="77777777" w:rsidR="007F43A5" w:rsidRDefault="007F43A5">
      <w:pPr>
        <w:rPr>
          <w:rFonts w:eastAsia="Times New Roman" w:cs="Arial"/>
          <w:szCs w:val="22"/>
          <w:highlight w:val="yellow"/>
          <w:lang w:eastAsia="en-US"/>
        </w:rPr>
      </w:pP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32" w:name="_Toc439318929"/>
      <w:bookmarkStart w:id="133" w:name="_Toc444688626"/>
      <w:r w:rsidRPr="000F5FE2">
        <w:rPr>
          <w:rFonts w:eastAsia="Times New Roman"/>
          <w:b/>
          <w:szCs w:val="22"/>
          <w:lang w:eastAsia="en-US"/>
        </w:rPr>
        <w:t>ANNEX 6 – ADDITIONAL TERMS &amp; CONDITIONS</w:t>
      </w:r>
      <w:bookmarkEnd w:id="132"/>
      <w:bookmarkEnd w:id="133"/>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34" w:name="2et92p0" w:colFirst="0" w:colLast="0"/>
      <w:bookmarkEnd w:id="134"/>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35" w:name="tyjcwt" w:colFirst="0" w:colLast="0"/>
      <w:bookmarkEnd w:id="135"/>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36" w:name="3dy6vkm" w:colFirst="0" w:colLast="0"/>
      <w:bookmarkEnd w:id="136"/>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37" w:name="1t3h5sf" w:colFirst="0" w:colLast="0"/>
      <w:bookmarkEnd w:id="137"/>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38" w:name="4d34og8" w:colFirst="0" w:colLast="0"/>
      <w:bookmarkEnd w:id="138"/>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39" w:name="2s8eyo1" w:colFirst="0" w:colLast="0"/>
      <w:bookmarkEnd w:id="139"/>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40" w:name="17dp8vu" w:colFirst="0" w:colLast="0"/>
      <w:bookmarkEnd w:id="140"/>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41" w:name="3rdcrjn" w:colFirst="0" w:colLast="0"/>
      <w:bookmarkEnd w:id="141"/>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42" w:name="26in1rg" w:colFirst="0" w:colLast="0"/>
      <w:bookmarkEnd w:id="142"/>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43" w:name="lnxbz9" w:colFirst="0" w:colLast="0"/>
      <w:bookmarkEnd w:id="143"/>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44" w:name="35nkun2" w:colFirst="0" w:colLast="0"/>
      <w:bookmarkEnd w:id="144"/>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45" w:name="1ksv4uv" w:colFirst="0" w:colLast="0"/>
      <w:bookmarkEnd w:id="145"/>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46" w:name="44sinio" w:colFirst="0" w:colLast="0"/>
      <w:bookmarkEnd w:id="146"/>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47" w:name="2jxsxqh" w:colFirst="0" w:colLast="0"/>
      <w:bookmarkEnd w:id="147"/>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7435B99A" w:rsidR="00865B8F" w:rsidRPr="00D25599" w:rsidRDefault="0064715B" w:rsidP="00865B8F">
      <w:pPr>
        <w:keepNext/>
        <w:spacing w:before="240" w:after="240"/>
        <w:ind w:left="360" w:firstLine="360"/>
        <w:rPr>
          <w:rFonts w:ascii="Calibri" w:eastAsia="Calibri" w:hAnsi="Calibri"/>
          <w:b/>
          <w:lang w:eastAsia="en-US"/>
        </w:rPr>
      </w:pPr>
      <w:r w:rsidRPr="0064715B">
        <w:rPr>
          <w:rFonts w:ascii="Calibri" w:eastAsia="Calibri" w:hAnsi="Calibri"/>
          <w:b/>
          <w:lang w:eastAsia="en-US"/>
        </w:rPr>
        <w:t>REDACTED TEXT</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1DCE02EA" w14:textId="77777777" w:rsidR="0064715B" w:rsidRPr="0064715B" w:rsidRDefault="0064715B" w:rsidP="0064715B">
      <w:pPr>
        <w:pStyle w:val="ListParagraph"/>
        <w:keepNext/>
        <w:spacing w:before="240" w:after="240"/>
        <w:ind w:left="360" w:firstLine="360"/>
        <w:rPr>
          <w:rFonts w:ascii="Calibri" w:eastAsia="Calibri" w:hAnsi="Calibri"/>
          <w:b/>
          <w:lang w:eastAsia="en-US"/>
        </w:rPr>
      </w:pPr>
      <w:r w:rsidRPr="0064715B">
        <w:rPr>
          <w:rFonts w:ascii="Calibri" w:eastAsia="Calibri" w:hAnsi="Calibri"/>
          <w:b/>
          <w:lang w:eastAsia="en-US"/>
        </w:rPr>
        <w:t>REDACTED TEXT</w:t>
      </w:r>
    </w:p>
    <w:p w14:paraId="62080356" w14:textId="5E69B0DE" w:rsidR="00865B8F" w:rsidRPr="00D25599" w:rsidRDefault="00865B8F" w:rsidP="00865B8F">
      <w:pPr>
        <w:keepNext/>
        <w:spacing w:before="240" w:after="240" w:line="240" w:lineRule="exact"/>
        <w:ind w:left="1440" w:hanging="731"/>
        <w:rPr>
          <w:rFonts w:eastAsia="Calibri"/>
          <w:b/>
          <w:lang w:val="en-US" w:eastAsia="en-US"/>
        </w:rPr>
      </w:pP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5936"/>
      </w:tblGrid>
      <w:tr w:rsidR="00865B8F" w:rsidRPr="007A4AB1" w14:paraId="077AA5BA" w14:textId="77777777" w:rsidTr="00C457D6">
        <w:trPr>
          <w:trHeight w:val="716"/>
        </w:trPr>
        <w:tc>
          <w:tcPr>
            <w:tcW w:w="308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5936" w:type="dxa"/>
            <w:shd w:val="clear" w:color="auto" w:fill="BFBFBF"/>
            <w:vAlign w:val="center"/>
          </w:tcPr>
          <w:p w14:paraId="4E7C0939" w14:textId="18B0EF17" w:rsidR="00865B8F" w:rsidRPr="007A4AB1" w:rsidRDefault="00116645" w:rsidP="00031F13">
            <w:pPr>
              <w:spacing w:line="240" w:lineRule="exact"/>
              <w:jc w:val="center"/>
              <w:rPr>
                <w:rFonts w:eastAsia="Calibri" w:cs="Arial"/>
                <w:lang w:val="en-US" w:eastAsia="en-US"/>
              </w:rPr>
            </w:pPr>
            <w:r w:rsidRPr="00695D1D">
              <w:rPr>
                <w:rFonts w:cs="Arial"/>
              </w:rPr>
              <w:t>CCCC20B54</w:t>
            </w:r>
          </w:p>
        </w:tc>
      </w:tr>
      <w:tr w:rsidR="00865B8F" w:rsidRPr="007A4AB1" w14:paraId="7637F0FE" w14:textId="77777777" w:rsidTr="00C457D6">
        <w:trPr>
          <w:trHeight w:val="716"/>
        </w:trPr>
        <w:tc>
          <w:tcPr>
            <w:tcW w:w="308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5936" w:type="dxa"/>
            <w:shd w:val="clear" w:color="auto" w:fill="BFBFBF"/>
            <w:vAlign w:val="center"/>
          </w:tcPr>
          <w:p w14:paraId="07BCEF60" w14:textId="2D1CF011" w:rsidR="00865B8F" w:rsidRPr="007A4AB1" w:rsidRDefault="00116645" w:rsidP="00865B8F">
            <w:pPr>
              <w:spacing w:line="240" w:lineRule="exact"/>
              <w:jc w:val="center"/>
              <w:rPr>
                <w:rFonts w:eastAsia="Calibri" w:cs="Arial"/>
                <w:b/>
                <w:highlight w:val="yellow"/>
                <w:lang w:val="en-US" w:eastAsia="en-US"/>
              </w:rPr>
            </w:pPr>
            <w:r w:rsidRPr="00116645">
              <w:rPr>
                <w:rFonts w:cs="Arial"/>
              </w:rPr>
              <w:t>11th December 2020</w:t>
            </w:r>
          </w:p>
        </w:tc>
      </w:tr>
      <w:tr w:rsidR="00865B8F" w:rsidRPr="007A4AB1" w14:paraId="31290F0B" w14:textId="77777777" w:rsidTr="00C457D6">
        <w:trPr>
          <w:trHeight w:val="716"/>
        </w:trPr>
        <w:tc>
          <w:tcPr>
            <w:tcW w:w="308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5936"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C457D6">
        <w:trPr>
          <w:trHeight w:val="1630"/>
        </w:trPr>
        <w:tc>
          <w:tcPr>
            <w:tcW w:w="3083" w:type="dxa"/>
            <w:shd w:val="clear" w:color="auto" w:fill="auto"/>
          </w:tcPr>
          <w:p w14:paraId="0F32D6D1" w14:textId="16CCD852" w:rsidR="00865B8F" w:rsidRPr="007A4AB1" w:rsidRDefault="00865B8F" w:rsidP="00865B8F">
            <w:pPr>
              <w:spacing w:line="240" w:lineRule="exact"/>
              <w:rPr>
                <w:rFonts w:eastAsia="Calibri" w:cs="Arial"/>
                <w:lang w:val="en-US" w:eastAsia="en-US"/>
              </w:rPr>
            </w:pPr>
          </w:p>
        </w:tc>
        <w:tc>
          <w:tcPr>
            <w:tcW w:w="5936" w:type="dxa"/>
            <w:shd w:val="clear" w:color="auto" w:fill="auto"/>
          </w:tcPr>
          <w:p w14:paraId="7F586B54" w14:textId="537ECD9D" w:rsidR="00865B8F" w:rsidRPr="007A4AB1" w:rsidRDefault="00116645" w:rsidP="00865B8F">
            <w:pPr>
              <w:spacing w:line="240" w:lineRule="exact"/>
              <w:rPr>
                <w:rFonts w:eastAsia="Calibri" w:cs="Arial"/>
                <w:lang w:val="en-US" w:eastAsia="en-US"/>
              </w:rPr>
            </w:pPr>
            <w:r>
              <w:rPr>
                <w:rFonts w:eastAsia="Calibri" w:cs="Arial"/>
                <w:lang w:val="en-US" w:eastAsia="en-US"/>
              </w:rPr>
              <w:t>Processing of any personal data and access to any personal data are outside the scope of this contract.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48" w:name="_Toc440457130"/>
      <w:bookmarkStart w:id="149" w:name="_Toc444688627"/>
      <w:r w:rsidRPr="00D66848">
        <w:rPr>
          <w:rFonts w:eastAsia="Times New Roman"/>
          <w:b/>
          <w:szCs w:val="22"/>
          <w:lang w:eastAsia="en-US"/>
        </w:rPr>
        <w:t>ANNEX 7 – CHANGE CONTROL FORMS</w:t>
      </w:r>
      <w:bookmarkEnd w:id="148"/>
      <w:bookmarkEnd w:id="149"/>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7F43A5" w:rsidRDefault="007F43A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7F43A5" w:rsidRDefault="007F43A5"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7F43A5" w:rsidRDefault="007F43A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7F43A5" w:rsidRDefault="007F43A5"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7F43A5" w:rsidRDefault="007F43A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7F43A5" w:rsidRDefault="007F43A5"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7F43A5" w:rsidRDefault="007F43A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7F43A5" w:rsidRDefault="007F43A5"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7F43A5" w:rsidRDefault="007F43A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7F43A5" w:rsidRDefault="007F43A5"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7F43A5" w:rsidRDefault="007F43A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7F43A5" w:rsidRDefault="007F43A5"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7F43A5" w:rsidRDefault="007F43A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7F43A5" w:rsidRDefault="007F43A5"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7F43A5" w:rsidRDefault="007F43A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7F43A5" w:rsidRDefault="007F43A5"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7F43A5" w:rsidRDefault="007F43A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7F43A5" w:rsidRDefault="007F43A5"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E1FF4" w14:textId="77777777" w:rsidR="009F5741" w:rsidRDefault="009F5741">
      <w:pPr>
        <w:spacing w:line="20" w:lineRule="exact"/>
      </w:pPr>
    </w:p>
  </w:endnote>
  <w:endnote w:type="continuationSeparator" w:id="0">
    <w:p w14:paraId="6D7C6A1C" w14:textId="77777777" w:rsidR="009F5741" w:rsidRDefault="009F5741">
      <w:pPr>
        <w:spacing w:line="20" w:lineRule="exact"/>
      </w:pPr>
      <w:r>
        <w:t xml:space="preserve"> </w:t>
      </w:r>
    </w:p>
  </w:endnote>
  <w:endnote w:type="continuationNotice" w:id="1">
    <w:p w14:paraId="61C39A8F" w14:textId="77777777" w:rsidR="009F5741" w:rsidRDefault="009F574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imSun"/>
    <w:panose1 w:val="00000000000000000000"/>
    <w:charset w:val="86"/>
    <w:family w:val="auto"/>
    <w:notTrueType/>
    <w:pitch w:val="variable"/>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7F43A5" w:rsidRDefault="007F43A5"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7F43A5" w:rsidRDefault="007F43A5"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7F43A5" w:rsidRDefault="007F43A5"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7F43A5" w:rsidRPr="00C34E12" w:rsidRDefault="007F43A5"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7F43A5" w:rsidRDefault="007F43A5"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7F43A5" w:rsidRPr="00A65391" w:rsidRDefault="007F43A5"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7F43A5" w:rsidRPr="00CE50FE" w:rsidRDefault="007F43A5" w:rsidP="00F70073">
        <w:pPr>
          <w:pStyle w:val="Footer"/>
          <w:pBdr>
            <w:top w:val="single" w:sz="4" w:space="1" w:color="auto"/>
          </w:pBdr>
          <w:jc w:val="center"/>
          <w:rPr>
            <w:sz w:val="20"/>
            <w:szCs w:val="20"/>
          </w:rPr>
        </w:pPr>
        <w:r w:rsidRPr="00CE50FE">
          <w:rPr>
            <w:sz w:val="20"/>
            <w:szCs w:val="20"/>
          </w:rPr>
          <w:t>OFFICIAL</w:t>
        </w:r>
      </w:p>
      <w:p w14:paraId="6369C02F" w14:textId="77777777" w:rsidR="007F43A5" w:rsidRPr="00CE50FE" w:rsidRDefault="007F43A5"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7F43A5" w:rsidRPr="00CE50FE" w:rsidRDefault="007F43A5"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37E3A6E5" w:rsidR="007F43A5" w:rsidRPr="00CE50FE" w:rsidRDefault="007F43A5" w:rsidP="00F70073">
        <w:pPr>
          <w:pStyle w:val="Footer"/>
          <w:pBdr>
            <w:top w:val="single" w:sz="4" w:space="1" w:color="auto"/>
          </w:pBdr>
          <w:jc w:val="right"/>
          <w:rPr>
            <w:sz w:val="20"/>
            <w:szCs w:val="20"/>
          </w:rPr>
        </w:pPr>
        <w:r>
          <w:rPr>
            <w:sz w:val="20"/>
            <w:szCs w:val="20"/>
          </w:rPr>
          <w:t>V2.1 11</w:t>
        </w:r>
        <w:r w:rsidRPr="005617F3">
          <w:rPr>
            <w:sz w:val="20"/>
            <w:szCs w:val="20"/>
            <w:vertAlign w:val="superscript"/>
          </w:rPr>
          <w:t>TH</w:t>
        </w:r>
        <w:r>
          <w:rPr>
            <w:sz w:val="20"/>
            <w:szCs w:val="20"/>
          </w:rPr>
          <w:t xml:space="preserve"> December 2020</w:t>
        </w:r>
      </w:p>
      <w:p w14:paraId="3085C604" w14:textId="73306FA9" w:rsidR="007F43A5" w:rsidRDefault="007F43A5"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826B2C">
          <w:rPr>
            <w:noProof/>
            <w:sz w:val="20"/>
            <w:szCs w:val="20"/>
          </w:rPr>
          <w:t>2</w:t>
        </w:r>
        <w:r w:rsidRPr="00CE50FE">
          <w:rPr>
            <w:noProof/>
            <w:sz w:val="20"/>
            <w:szCs w:val="20"/>
          </w:rPr>
          <w:fldChar w:fldCharType="end"/>
        </w:r>
      </w:p>
    </w:sdtContent>
  </w:sdt>
  <w:p w14:paraId="170A480B" w14:textId="77777777" w:rsidR="007F43A5" w:rsidRPr="00360755" w:rsidRDefault="007F43A5"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485B8" w14:textId="77777777" w:rsidR="009F5741" w:rsidRDefault="009F5741">
      <w:r>
        <w:separator/>
      </w:r>
    </w:p>
  </w:footnote>
  <w:footnote w:type="continuationSeparator" w:id="0">
    <w:p w14:paraId="50AA3F1C" w14:textId="77777777" w:rsidR="009F5741" w:rsidRDefault="009F5741">
      <w:r>
        <w:continuationSeparator/>
      </w:r>
    </w:p>
  </w:footnote>
  <w:footnote w:type="continuationNotice" w:id="1">
    <w:p w14:paraId="7F4656FB" w14:textId="77777777" w:rsidR="009F5741" w:rsidRDefault="009F57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7F43A5" w:rsidRDefault="007F43A5"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7F43A5" w:rsidRDefault="007F43A5" w:rsidP="00F3190B">
    <w:pPr>
      <w:pStyle w:val="Header"/>
      <w:jc w:val="center"/>
      <w:rPr>
        <w:b/>
      </w:rPr>
    </w:pPr>
  </w:p>
  <w:p w14:paraId="64559850" w14:textId="77777777" w:rsidR="007F43A5" w:rsidRDefault="007F43A5"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7F43A5" w:rsidRDefault="007F43A5"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5555D4A8" w:rsidR="007F43A5" w:rsidRDefault="007F43A5"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683C5045" w14:textId="2F2CF811" w:rsidR="007F43A5" w:rsidRDefault="007F43A5" w:rsidP="005617F3">
    <w:pPr>
      <w:pStyle w:val="Header"/>
      <w:pBdr>
        <w:bottom w:val="single" w:sz="4" w:space="1" w:color="auto"/>
      </w:pBdr>
      <w:tabs>
        <w:tab w:val="left" w:pos="1800"/>
        <w:tab w:val="center" w:pos="4514"/>
      </w:tabs>
      <w:jc w:val="center"/>
      <w:rPr>
        <w:rFonts w:cs="Arial"/>
        <w:sz w:val="20"/>
        <w:szCs w:val="20"/>
      </w:rPr>
    </w:pPr>
    <w:r>
      <w:rPr>
        <w:rFonts w:cs="Arial"/>
        <w:sz w:val="20"/>
        <w:szCs w:val="20"/>
      </w:rPr>
      <w:t>Provision of ISO 900 Accreditation Services for</w:t>
    </w:r>
  </w:p>
  <w:p w14:paraId="6B356762" w14:textId="02C8870A" w:rsidR="007F43A5" w:rsidRDefault="007F43A5" w:rsidP="005617F3">
    <w:pPr>
      <w:pStyle w:val="Header"/>
      <w:pBdr>
        <w:bottom w:val="single" w:sz="4" w:space="1" w:color="auto"/>
      </w:pBdr>
      <w:tabs>
        <w:tab w:val="left" w:pos="1800"/>
        <w:tab w:val="center" w:pos="4514"/>
      </w:tabs>
      <w:jc w:val="center"/>
      <w:rPr>
        <w:rFonts w:cs="Arial"/>
        <w:sz w:val="20"/>
        <w:szCs w:val="20"/>
      </w:rPr>
    </w:pPr>
    <w:r>
      <w:rPr>
        <w:rFonts w:cs="Arial"/>
        <w:sz w:val="20"/>
        <w:szCs w:val="20"/>
      </w:rPr>
      <w:t>Disclosure &amp; Barring Service</w:t>
    </w:r>
  </w:p>
  <w:p w14:paraId="231476FB" w14:textId="4FE46AE3" w:rsidR="007F43A5" w:rsidRDefault="007F43A5"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reference: CCCC20B54</w:t>
    </w:r>
  </w:p>
  <w:p w14:paraId="41FED4DA" w14:textId="77777777" w:rsidR="007F43A5" w:rsidRDefault="007F43A5" w:rsidP="00F70073">
    <w:pPr>
      <w:pStyle w:val="Header"/>
      <w:pBdr>
        <w:bottom w:val="single" w:sz="4" w:space="1" w:color="auto"/>
      </w:pBdr>
      <w:jc w:val="center"/>
    </w:pPr>
  </w:p>
  <w:p w14:paraId="68388EBA" w14:textId="77777777" w:rsidR="007F43A5" w:rsidRDefault="007F43A5"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20F3803"/>
    <w:multiLevelType w:val="hybridMultilevel"/>
    <w:tmpl w:val="5BCAD9F8"/>
    <w:lvl w:ilvl="0" w:tplc="DCB84026">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CA331E"/>
    <w:multiLevelType w:val="hybridMultilevel"/>
    <w:tmpl w:val="A4328072"/>
    <w:lvl w:ilvl="0" w:tplc="2B7C82D2">
      <w:start w:val="1"/>
      <w:numFmt w:val="bullet"/>
      <w:lvlText w:val="•"/>
      <w:lvlJc w:val="left"/>
      <w:pPr>
        <w:ind w:left="1282"/>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1" w:tplc="396E81A6">
      <w:start w:val="1"/>
      <w:numFmt w:val="bullet"/>
      <w:lvlText w:val="o"/>
      <w:lvlJc w:val="left"/>
      <w:pPr>
        <w:ind w:left="1737"/>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2" w:tplc="4AE24948">
      <w:start w:val="1"/>
      <w:numFmt w:val="bullet"/>
      <w:lvlText w:val="▪"/>
      <w:lvlJc w:val="left"/>
      <w:pPr>
        <w:ind w:left="2457"/>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3" w:tplc="A3E4065C">
      <w:start w:val="1"/>
      <w:numFmt w:val="bullet"/>
      <w:lvlText w:val="•"/>
      <w:lvlJc w:val="left"/>
      <w:pPr>
        <w:ind w:left="3177"/>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4" w:tplc="70BAF816">
      <w:start w:val="1"/>
      <w:numFmt w:val="bullet"/>
      <w:lvlText w:val="o"/>
      <w:lvlJc w:val="left"/>
      <w:pPr>
        <w:ind w:left="3897"/>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5" w:tplc="143A4698">
      <w:start w:val="1"/>
      <w:numFmt w:val="bullet"/>
      <w:lvlText w:val="▪"/>
      <w:lvlJc w:val="left"/>
      <w:pPr>
        <w:ind w:left="4617"/>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6" w:tplc="B8E84EF6">
      <w:start w:val="1"/>
      <w:numFmt w:val="bullet"/>
      <w:lvlText w:val="•"/>
      <w:lvlJc w:val="left"/>
      <w:pPr>
        <w:ind w:left="5337"/>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7" w:tplc="95A66916">
      <w:start w:val="1"/>
      <w:numFmt w:val="bullet"/>
      <w:lvlText w:val="o"/>
      <w:lvlJc w:val="left"/>
      <w:pPr>
        <w:ind w:left="6057"/>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8" w:tplc="0FF2F882">
      <w:start w:val="1"/>
      <w:numFmt w:val="bullet"/>
      <w:lvlText w:val="▪"/>
      <w:lvlJc w:val="left"/>
      <w:pPr>
        <w:ind w:left="6777"/>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abstractNum>
  <w:abstractNum w:abstractNumId="10"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321A5F"/>
    <w:multiLevelType w:val="multilevel"/>
    <w:tmpl w:val="DC88FE38"/>
    <w:lvl w:ilvl="0">
      <w:start w:val="2"/>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9"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28051495"/>
    <w:multiLevelType w:val="hybridMultilevel"/>
    <w:tmpl w:val="B46ABEEE"/>
    <w:lvl w:ilvl="0" w:tplc="392A4BE0">
      <w:start w:val="1"/>
      <w:numFmt w:val="decimal"/>
      <w:lvlText w:val="%1."/>
      <w:lvlJc w:val="left"/>
      <w:pPr>
        <w:ind w:left="128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1DE67F22">
      <w:start w:val="1"/>
      <w:numFmt w:val="lowerLetter"/>
      <w:lvlText w:val="%2"/>
      <w:lvlJc w:val="left"/>
      <w:pPr>
        <w:ind w:left="144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D6FACC60">
      <w:start w:val="1"/>
      <w:numFmt w:val="lowerRoman"/>
      <w:lvlText w:val="%3"/>
      <w:lvlJc w:val="left"/>
      <w:pPr>
        <w:ind w:left="216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3A30909E">
      <w:start w:val="1"/>
      <w:numFmt w:val="decimal"/>
      <w:lvlText w:val="%4"/>
      <w:lvlJc w:val="left"/>
      <w:pPr>
        <w:ind w:left="288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9EB4077E">
      <w:start w:val="1"/>
      <w:numFmt w:val="lowerLetter"/>
      <w:lvlText w:val="%5"/>
      <w:lvlJc w:val="left"/>
      <w:pPr>
        <w:ind w:left="360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EB060C5C">
      <w:start w:val="1"/>
      <w:numFmt w:val="lowerRoman"/>
      <w:lvlText w:val="%6"/>
      <w:lvlJc w:val="left"/>
      <w:pPr>
        <w:ind w:left="432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845EA6BC">
      <w:start w:val="1"/>
      <w:numFmt w:val="decimal"/>
      <w:lvlText w:val="%7"/>
      <w:lvlJc w:val="left"/>
      <w:pPr>
        <w:ind w:left="504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146CECEE">
      <w:start w:val="1"/>
      <w:numFmt w:val="lowerLetter"/>
      <w:lvlText w:val="%8"/>
      <w:lvlJc w:val="left"/>
      <w:pPr>
        <w:ind w:left="576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09D22A84">
      <w:start w:val="1"/>
      <w:numFmt w:val="lowerRoman"/>
      <w:lvlText w:val="%9"/>
      <w:lvlJc w:val="left"/>
      <w:pPr>
        <w:ind w:left="648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2" w15:restartNumberingAfterBreak="0">
    <w:nsid w:val="2D652FBB"/>
    <w:multiLevelType w:val="hybridMultilevel"/>
    <w:tmpl w:val="B908188A"/>
    <w:lvl w:ilvl="0" w:tplc="C6BC9526">
      <w:start w:val="1"/>
      <w:numFmt w:val="bullet"/>
      <w:lvlText w:val="•"/>
      <w:lvlJc w:val="left"/>
      <w:pPr>
        <w:ind w:left="1282"/>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1" w:tplc="57ACC43E">
      <w:start w:val="1"/>
      <w:numFmt w:val="bullet"/>
      <w:lvlText w:val="o"/>
      <w:lvlJc w:val="left"/>
      <w:pPr>
        <w:ind w:left="1737"/>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2" w:tplc="146609AA">
      <w:start w:val="1"/>
      <w:numFmt w:val="bullet"/>
      <w:lvlText w:val="▪"/>
      <w:lvlJc w:val="left"/>
      <w:pPr>
        <w:ind w:left="2457"/>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3" w:tplc="3BD4AFD2">
      <w:start w:val="1"/>
      <w:numFmt w:val="bullet"/>
      <w:lvlText w:val="•"/>
      <w:lvlJc w:val="left"/>
      <w:pPr>
        <w:ind w:left="3177"/>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4" w:tplc="7944974E">
      <w:start w:val="1"/>
      <w:numFmt w:val="bullet"/>
      <w:lvlText w:val="o"/>
      <w:lvlJc w:val="left"/>
      <w:pPr>
        <w:ind w:left="3897"/>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5" w:tplc="2788F348">
      <w:start w:val="1"/>
      <w:numFmt w:val="bullet"/>
      <w:lvlText w:val="▪"/>
      <w:lvlJc w:val="left"/>
      <w:pPr>
        <w:ind w:left="4617"/>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6" w:tplc="AD9496CC">
      <w:start w:val="1"/>
      <w:numFmt w:val="bullet"/>
      <w:lvlText w:val="•"/>
      <w:lvlJc w:val="left"/>
      <w:pPr>
        <w:ind w:left="5337"/>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7" w:tplc="9AEA7496">
      <w:start w:val="1"/>
      <w:numFmt w:val="bullet"/>
      <w:lvlText w:val="o"/>
      <w:lvlJc w:val="left"/>
      <w:pPr>
        <w:ind w:left="6057"/>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8" w:tplc="07209DE4">
      <w:start w:val="1"/>
      <w:numFmt w:val="bullet"/>
      <w:lvlText w:val="▪"/>
      <w:lvlJc w:val="left"/>
      <w:pPr>
        <w:ind w:left="6777"/>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abstractNum>
  <w:abstractNum w:abstractNumId="23"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4"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8"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43F71CA4"/>
    <w:multiLevelType w:val="multilevel"/>
    <w:tmpl w:val="1332CCD4"/>
    <w:numStyleLink w:val="111111"/>
  </w:abstractNum>
  <w:abstractNum w:abstractNumId="31"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5" w15:restartNumberingAfterBreak="0">
    <w:nsid w:val="50120976"/>
    <w:multiLevelType w:val="hybridMultilevel"/>
    <w:tmpl w:val="48F4144C"/>
    <w:lvl w:ilvl="0" w:tplc="E748746C">
      <w:start w:val="1"/>
      <w:numFmt w:val="decimal"/>
      <w:lvlText w:val="%1)"/>
      <w:lvlJc w:val="left"/>
      <w:pPr>
        <w:ind w:left="12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DA7EBC00">
      <w:start w:val="1"/>
      <w:numFmt w:val="lowerLetter"/>
      <w:lvlText w:val="%2"/>
      <w:lvlJc w:val="left"/>
      <w:pPr>
        <w:ind w:left="144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C79E6E8E">
      <w:start w:val="1"/>
      <w:numFmt w:val="lowerRoman"/>
      <w:lvlText w:val="%3"/>
      <w:lvlJc w:val="left"/>
      <w:pPr>
        <w:ind w:left="216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D4C41576">
      <w:start w:val="1"/>
      <w:numFmt w:val="decimal"/>
      <w:lvlText w:val="%4"/>
      <w:lvlJc w:val="left"/>
      <w:pPr>
        <w:ind w:left="288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A0FA0F1A">
      <w:start w:val="1"/>
      <w:numFmt w:val="lowerLetter"/>
      <w:lvlText w:val="%5"/>
      <w:lvlJc w:val="left"/>
      <w:pPr>
        <w:ind w:left="360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D062DD4C">
      <w:start w:val="1"/>
      <w:numFmt w:val="lowerRoman"/>
      <w:lvlText w:val="%6"/>
      <w:lvlJc w:val="left"/>
      <w:pPr>
        <w:ind w:left="432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5B24FD16">
      <w:start w:val="1"/>
      <w:numFmt w:val="decimal"/>
      <w:lvlText w:val="%7"/>
      <w:lvlJc w:val="left"/>
      <w:pPr>
        <w:ind w:left="504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E07C87F4">
      <w:start w:val="1"/>
      <w:numFmt w:val="lowerLetter"/>
      <w:lvlText w:val="%8"/>
      <w:lvlJc w:val="left"/>
      <w:pPr>
        <w:ind w:left="576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1292F22E">
      <w:start w:val="1"/>
      <w:numFmt w:val="lowerRoman"/>
      <w:lvlText w:val="%9"/>
      <w:lvlJc w:val="left"/>
      <w:pPr>
        <w:ind w:left="648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7" w15:restartNumberingAfterBreak="0">
    <w:nsid w:val="561A7C42"/>
    <w:multiLevelType w:val="hybridMultilevel"/>
    <w:tmpl w:val="7CEA9352"/>
    <w:lvl w:ilvl="0" w:tplc="1414AA86">
      <w:start w:val="1"/>
      <w:numFmt w:val="bullet"/>
      <w:lvlText w:val="•"/>
      <w:lvlJc w:val="left"/>
      <w:pPr>
        <w:ind w:left="1571"/>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1" w:tplc="579682A2">
      <w:start w:val="1"/>
      <w:numFmt w:val="bullet"/>
      <w:lvlText w:val="o"/>
      <w:lvlJc w:val="left"/>
      <w:pPr>
        <w:ind w:left="1721"/>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2" w:tplc="1E1A0D7A">
      <w:start w:val="1"/>
      <w:numFmt w:val="bullet"/>
      <w:lvlText w:val="▪"/>
      <w:lvlJc w:val="left"/>
      <w:pPr>
        <w:ind w:left="2441"/>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3" w:tplc="432EBECA">
      <w:start w:val="1"/>
      <w:numFmt w:val="bullet"/>
      <w:lvlText w:val="•"/>
      <w:lvlJc w:val="left"/>
      <w:pPr>
        <w:ind w:left="3161"/>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4" w:tplc="D86AFDF4">
      <w:start w:val="1"/>
      <w:numFmt w:val="bullet"/>
      <w:lvlText w:val="o"/>
      <w:lvlJc w:val="left"/>
      <w:pPr>
        <w:ind w:left="3881"/>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5" w:tplc="2CA63A84">
      <w:start w:val="1"/>
      <w:numFmt w:val="bullet"/>
      <w:lvlText w:val="▪"/>
      <w:lvlJc w:val="left"/>
      <w:pPr>
        <w:ind w:left="4601"/>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6" w:tplc="496ADBF0">
      <w:start w:val="1"/>
      <w:numFmt w:val="bullet"/>
      <w:lvlText w:val="•"/>
      <w:lvlJc w:val="left"/>
      <w:pPr>
        <w:ind w:left="5321"/>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7" w:tplc="222C67C8">
      <w:start w:val="1"/>
      <w:numFmt w:val="bullet"/>
      <w:lvlText w:val="o"/>
      <w:lvlJc w:val="left"/>
      <w:pPr>
        <w:ind w:left="6041"/>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lvl w:ilvl="8" w:tplc="C7D4BBFE">
      <w:start w:val="1"/>
      <w:numFmt w:val="bullet"/>
      <w:lvlText w:val="▪"/>
      <w:lvlJc w:val="left"/>
      <w:pPr>
        <w:ind w:left="6761"/>
      </w:pPr>
      <w:rPr>
        <w:rFonts w:ascii="Segoe UI Symbol" w:eastAsia="Segoe UI Symbol" w:hAnsi="Segoe UI Symbol" w:cs="Segoe UI Symbol"/>
        <w:b w:val="0"/>
        <w:i w:val="0"/>
        <w:strike w:val="0"/>
        <w:dstrike w:val="0"/>
        <w:color w:val="FF0000"/>
        <w:sz w:val="21"/>
        <w:szCs w:val="21"/>
        <w:u w:val="none" w:color="000000"/>
        <w:bdr w:val="none" w:sz="0" w:space="0" w:color="auto"/>
        <w:shd w:val="clear" w:color="auto" w:fill="auto"/>
        <w:vertAlign w:val="baseline"/>
      </w:rPr>
    </w:lvl>
  </w:abstractNum>
  <w:abstractNum w:abstractNumId="38"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5AB05FA0"/>
    <w:multiLevelType w:val="multilevel"/>
    <w:tmpl w:val="AB820B0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0"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1"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42"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452DAE"/>
    <w:multiLevelType w:val="hybridMultilevel"/>
    <w:tmpl w:val="A0E4E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9"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0"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1"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2"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3"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36"/>
  </w:num>
  <w:num w:numId="3">
    <w:abstractNumId w:val="21"/>
  </w:num>
  <w:num w:numId="4">
    <w:abstractNumId w:val="23"/>
  </w:num>
  <w:num w:numId="5">
    <w:abstractNumId w:val="6"/>
  </w:num>
  <w:num w:numId="6">
    <w:abstractNumId w:val="33"/>
  </w:num>
  <w:num w:numId="7">
    <w:abstractNumId w:val="26"/>
  </w:num>
  <w:num w:numId="8">
    <w:abstractNumId w:val="17"/>
  </w:num>
  <w:num w:numId="9">
    <w:abstractNumId w:val="4"/>
  </w:num>
  <w:num w:numId="10">
    <w:abstractNumId w:val="3"/>
  </w:num>
  <w:num w:numId="11">
    <w:abstractNumId w:val="2"/>
  </w:num>
  <w:num w:numId="12">
    <w:abstractNumId w:val="1"/>
  </w:num>
  <w:num w:numId="13">
    <w:abstractNumId w:val="0"/>
  </w:num>
  <w:num w:numId="14">
    <w:abstractNumId w:val="51"/>
  </w:num>
  <w:num w:numId="15">
    <w:abstractNumId w:val="12"/>
  </w:num>
  <w:num w:numId="16">
    <w:abstractNumId w:val="45"/>
  </w:num>
  <w:num w:numId="17">
    <w:abstractNumId w:val="11"/>
  </w:num>
  <w:num w:numId="18">
    <w:abstractNumId w:val="28"/>
  </w:num>
  <w:num w:numId="19">
    <w:abstractNumId w:val="25"/>
  </w:num>
  <w:num w:numId="20">
    <w:abstractNumId w:val="41"/>
  </w:num>
  <w:num w:numId="21">
    <w:abstractNumId w:val="16"/>
  </w:num>
  <w:num w:numId="22">
    <w:abstractNumId w:val="49"/>
  </w:num>
  <w:num w:numId="23">
    <w:abstractNumId w:val="18"/>
  </w:num>
  <w:num w:numId="24">
    <w:abstractNumId w:val="40"/>
  </w:num>
  <w:num w:numId="25">
    <w:abstractNumId w:val="27"/>
  </w:num>
  <w:num w:numId="26">
    <w:abstractNumId w:val="30"/>
  </w:num>
  <w:num w:numId="27">
    <w:abstractNumId w:val="48"/>
  </w:num>
  <w:num w:numId="28">
    <w:abstractNumId w:val="53"/>
  </w:num>
  <w:num w:numId="29">
    <w:abstractNumId w:val="24"/>
  </w:num>
  <w:num w:numId="30">
    <w:abstractNumId w:val="31"/>
  </w:num>
  <w:num w:numId="31">
    <w:abstractNumId w:val="43"/>
  </w:num>
  <w:num w:numId="32">
    <w:abstractNumId w:val="42"/>
  </w:num>
  <w:num w:numId="33">
    <w:abstractNumId w:val="52"/>
  </w:num>
  <w:num w:numId="34">
    <w:abstractNumId w:val="19"/>
  </w:num>
  <w:num w:numId="35">
    <w:abstractNumId w:val="38"/>
  </w:num>
  <w:num w:numId="36">
    <w:abstractNumId w:val="29"/>
  </w:num>
  <w:num w:numId="37">
    <w:abstractNumId w:val="10"/>
  </w:num>
  <w:num w:numId="38">
    <w:abstractNumId w:val="32"/>
  </w:num>
  <w:num w:numId="39">
    <w:abstractNumId w:val="44"/>
  </w:num>
  <w:num w:numId="40">
    <w:abstractNumId w:val="14"/>
  </w:num>
  <w:num w:numId="41">
    <w:abstractNumId w:val="46"/>
  </w:num>
  <w:num w:numId="42">
    <w:abstractNumId w:val="50"/>
  </w:num>
  <w:num w:numId="43">
    <w:abstractNumId w:val="39"/>
  </w:num>
  <w:num w:numId="44">
    <w:abstractNumId w:val="15"/>
  </w:num>
  <w:num w:numId="45">
    <w:abstractNumId w:val="5"/>
  </w:num>
  <w:num w:numId="46">
    <w:abstractNumId w:val="9"/>
  </w:num>
  <w:num w:numId="47">
    <w:abstractNumId w:val="22"/>
  </w:num>
  <w:num w:numId="48">
    <w:abstractNumId w:val="37"/>
  </w:num>
  <w:num w:numId="49">
    <w:abstractNumId w:val="35"/>
  </w:num>
  <w:num w:numId="50">
    <w:abstractNumId w:val="20"/>
  </w:num>
  <w:num w:numId="51">
    <w:abstractNumId w:val="51"/>
  </w:num>
  <w:num w:numId="52">
    <w:abstractNumId w:val="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3D2"/>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5F9D"/>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0F71"/>
    <w:rsid w:val="000C1CC0"/>
    <w:rsid w:val="000C212E"/>
    <w:rsid w:val="000C2484"/>
    <w:rsid w:val="000C2E05"/>
    <w:rsid w:val="000C5EC7"/>
    <w:rsid w:val="000C68BF"/>
    <w:rsid w:val="000C7C2B"/>
    <w:rsid w:val="000D147E"/>
    <w:rsid w:val="000D569C"/>
    <w:rsid w:val="000E3471"/>
    <w:rsid w:val="000E4C53"/>
    <w:rsid w:val="000E5CEF"/>
    <w:rsid w:val="000E6CD7"/>
    <w:rsid w:val="000F0BB3"/>
    <w:rsid w:val="000F232D"/>
    <w:rsid w:val="000F258D"/>
    <w:rsid w:val="000F3348"/>
    <w:rsid w:val="000F3500"/>
    <w:rsid w:val="000F3E1D"/>
    <w:rsid w:val="000F758E"/>
    <w:rsid w:val="00100507"/>
    <w:rsid w:val="00100B77"/>
    <w:rsid w:val="0010318E"/>
    <w:rsid w:val="0010453E"/>
    <w:rsid w:val="0010577C"/>
    <w:rsid w:val="00105FBC"/>
    <w:rsid w:val="00106AAD"/>
    <w:rsid w:val="001108AE"/>
    <w:rsid w:val="00110F67"/>
    <w:rsid w:val="00113459"/>
    <w:rsid w:val="00116645"/>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5C6"/>
    <w:rsid w:val="0017368C"/>
    <w:rsid w:val="00173728"/>
    <w:rsid w:val="00174DC0"/>
    <w:rsid w:val="00176541"/>
    <w:rsid w:val="00176DF8"/>
    <w:rsid w:val="00177577"/>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31"/>
    <w:rsid w:val="001D0473"/>
    <w:rsid w:val="001D1ADF"/>
    <w:rsid w:val="001D3018"/>
    <w:rsid w:val="001D3164"/>
    <w:rsid w:val="001D54F2"/>
    <w:rsid w:val="001D6212"/>
    <w:rsid w:val="001D6B59"/>
    <w:rsid w:val="001E0005"/>
    <w:rsid w:val="001E22CE"/>
    <w:rsid w:val="001E2477"/>
    <w:rsid w:val="001E349D"/>
    <w:rsid w:val="001E378F"/>
    <w:rsid w:val="001E3BC9"/>
    <w:rsid w:val="001E49D6"/>
    <w:rsid w:val="001E5810"/>
    <w:rsid w:val="001F0B69"/>
    <w:rsid w:val="001F13E1"/>
    <w:rsid w:val="001F2926"/>
    <w:rsid w:val="001F2F1C"/>
    <w:rsid w:val="001F300D"/>
    <w:rsid w:val="001F3B05"/>
    <w:rsid w:val="001F4B65"/>
    <w:rsid w:val="001F7956"/>
    <w:rsid w:val="002014DC"/>
    <w:rsid w:val="00201525"/>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2E2B"/>
    <w:rsid w:val="002848C1"/>
    <w:rsid w:val="0028697F"/>
    <w:rsid w:val="00286F62"/>
    <w:rsid w:val="002876FE"/>
    <w:rsid w:val="00287E75"/>
    <w:rsid w:val="002A08BF"/>
    <w:rsid w:val="002A4485"/>
    <w:rsid w:val="002A5258"/>
    <w:rsid w:val="002A7D10"/>
    <w:rsid w:val="002A7DA6"/>
    <w:rsid w:val="002B1E1B"/>
    <w:rsid w:val="002B2191"/>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04815"/>
    <w:rsid w:val="00313354"/>
    <w:rsid w:val="00314691"/>
    <w:rsid w:val="00321C83"/>
    <w:rsid w:val="00323541"/>
    <w:rsid w:val="00323EAA"/>
    <w:rsid w:val="00324CA3"/>
    <w:rsid w:val="00330C5C"/>
    <w:rsid w:val="003316AA"/>
    <w:rsid w:val="003341DC"/>
    <w:rsid w:val="00336059"/>
    <w:rsid w:val="00336839"/>
    <w:rsid w:val="00340625"/>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2F9D"/>
    <w:rsid w:val="00424EDF"/>
    <w:rsid w:val="0042514C"/>
    <w:rsid w:val="0042602C"/>
    <w:rsid w:val="00426AB4"/>
    <w:rsid w:val="00427A64"/>
    <w:rsid w:val="0043067F"/>
    <w:rsid w:val="00430BCB"/>
    <w:rsid w:val="004324B4"/>
    <w:rsid w:val="00442EDE"/>
    <w:rsid w:val="0044692F"/>
    <w:rsid w:val="00447F11"/>
    <w:rsid w:val="0045279B"/>
    <w:rsid w:val="00453EE6"/>
    <w:rsid w:val="00456D90"/>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7F3"/>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1352"/>
    <w:rsid w:val="00632838"/>
    <w:rsid w:val="00635465"/>
    <w:rsid w:val="006373DB"/>
    <w:rsid w:val="00641ACD"/>
    <w:rsid w:val="00642C89"/>
    <w:rsid w:val="0064354C"/>
    <w:rsid w:val="006455A0"/>
    <w:rsid w:val="0064629E"/>
    <w:rsid w:val="00646754"/>
    <w:rsid w:val="00646B4C"/>
    <w:rsid w:val="0064715B"/>
    <w:rsid w:val="00650B3E"/>
    <w:rsid w:val="00653D40"/>
    <w:rsid w:val="00654173"/>
    <w:rsid w:val="00654669"/>
    <w:rsid w:val="00657DE2"/>
    <w:rsid w:val="006600A8"/>
    <w:rsid w:val="006607BF"/>
    <w:rsid w:val="006641E1"/>
    <w:rsid w:val="006645BF"/>
    <w:rsid w:val="0066549E"/>
    <w:rsid w:val="00667389"/>
    <w:rsid w:val="00671C2E"/>
    <w:rsid w:val="0067289D"/>
    <w:rsid w:val="00672F69"/>
    <w:rsid w:val="006754B9"/>
    <w:rsid w:val="006772C0"/>
    <w:rsid w:val="00680C72"/>
    <w:rsid w:val="006811A8"/>
    <w:rsid w:val="006812C9"/>
    <w:rsid w:val="00682677"/>
    <w:rsid w:val="00683380"/>
    <w:rsid w:val="006849F7"/>
    <w:rsid w:val="00684CF6"/>
    <w:rsid w:val="0068585D"/>
    <w:rsid w:val="0068678A"/>
    <w:rsid w:val="0069053C"/>
    <w:rsid w:val="00690EFB"/>
    <w:rsid w:val="00691DF1"/>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2F3D"/>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4CF2"/>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462A8"/>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7F2"/>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43A5"/>
    <w:rsid w:val="007F521C"/>
    <w:rsid w:val="007F78F3"/>
    <w:rsid w:val="00800097"/>
    <w:rsid w:val="0080204D"/>
    <w:rsid w:val="00802735"/>
    <w:rsid w:val="00803EDF"/>
    <w:rsid w:val="00804229"/>
    <w:rsid w:val="008042A5"/>
    <w:rsid w:val="0080626B"/>
    <w:rsid w:val="00811C30"/>
    <w:rsid w:val="0081457C"/>
    <w:rsid w:val="00820A23"/>
    <w:rsid w:val="00820DEC"/>
    <w:rsid w:val="00821734"/>
    <w:rsid w:val="008227FE"/>
    <w:rsid w:val="00825DD7"/>
    <w:rsid w:val="00826B2C"/>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86822"/>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1632"/>
    <w:rsid w:val="009021F5"/>
    <w:rsid w:val="0090447A"/>
    <w:rsid w:val="00905BFB"/>
    <w:rsid w:val="009064EA"/>
    <w:rsid w:val="009066E0"/>
    <w:rsid w:val="00910C56"/>
    <w:rsid w:val="00911C93"/>
    <w:rsid w:val="00912B1E"/>
    <w:rsid w:val="00913679"/>
    <w:rsid w:val="0091531E"/>
    <w:rsid w:val="00915583"/>
    <w:rsid w:val="00921CA3"/>
    <w:rsid w:val="00922215"/>
    <w:rsid w:val="009228F7"/>
    <w:rsid w:val="00923A8C"/>
    <w:rsid w:val="00923ACC"/>
    <w:rsid w:val="0092410B"/>
    <w:rsid w:val="00926AFD"/>
    <w:rsid w:val="00926B67"/>
    <w:rsid w:val="00932346"/>
    <w:rsid w:val="00932D6C"/>
    <w:rsid w:val="00934359"/>
    <w:rsid w:val="009448C5"/>
    <w:rsid w:val="0094512F"/>
    <w:rsid w:val="00946CD3"/>
    <w:rsid w:val="00951437"/>
    <w:rsid w:val="00951FEC"/>
    <w:rsid w:val="00954454"/>
    <w:rsid w:val="009572E2"/>
    <w:rsid w:val="00964906"/>
    <w:rsid w:val="00965F55"/>
    <w:rsid w:val="00970943"/>
    <w:rsid w:val="00970C86"/>
    <w:rsid w:val="00971A11"/>
    <w:rsid w:val="00972263"/>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47B7"/>
    <w:rsid w:val="009A76E4"/>
    <w:rsid w:val="009B0A14"/>
    <w:rsid w:val="009B0E63"/>
    <w:rsid w:val="009B384A"/>
    <w:rsid w:val="009C0259"/>
    <w:rsid w:val="009C2B62"/>
    <w:rsid w:val="009C3578"/>
    <w:rsid w:val="009C3DAF"/>
    <w:rsid w:val="009D08E6"/>
    <w:rsid w:val="009D12CD"/>
    <w:rsid w:val="009D29AF"/>
    <w:rsid w:val="009D7801"/>
    <w:rsid w:val="009D7C05"/>
    <w:rsid w:val="009E2289"/>
    <w:rsid w:val="009E22EF"/>
    <w:rsid w:val="009E38B3"/>
    <w:rsid w:val="009E38E8"/>
    <w:rsid w:val="009E4191"/>
    <w:rsid w:val="009E46E8"/>
    <w:rsid w:val="009E5B6C"/>
    <w:rsid w:val="009E7CA6"/>
    <w:rsid w:val="009F0DAB"/>
    <w:rsid w:val="009F5741"/>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17D82"/>
    <w:rsid w:val="00A203DA"/>
    <w:rsid w:val="00A20E77"/>
    <w:rsid w:val="00A2190A"/>
    <w:rsid w:val="00A24675"/>
    <w:rsid w:val="00A26DB5"/>
    <w:rsid w:val="00A3180D"/>
    <w:rsid w:val="00A33F0B"/>
    <w:rsid w:val="00A3598E"/>
    <w:rsid w:val="00A3630D"/>
    <w:rsid w:val="00A363DA"/>
    <w:rsid w:val="00A37384"/>
    <w:rsid w:val="00A37462"/>
    <w:rsid w:val="00A4055F"/>
    <w:rsid w:val="00A413AE"/>
    <w:rsid w:val="00A425FC"/>
    <w:rsid w:val="00A42DD1"/>
    <w:rsid w:val="00A44246"/>
    <w:rsid w:val="00A452B4"/>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2181"/>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2D2D"/>
    <w:rsid w:val="00B55F78"/>
    <w:rsid w:val="00B561E8"/>
    <w:rsid w:val="00B57549"/>
    <w:rsid w:val="00B57CA4"/>
    <w:rsid w:val="00B61BEB"/>
    <w:rsid w:val="00B64C19"/>
    <w:rsid w:val="00B67970"/>
    <w:rsid w:val="00B720D3"/>
    <w:rsid w:val="00B7286F"/>
    <w:rsid w:val="00B73770"/>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6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57D6"/>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881"/>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6143"/>
    <w:rsid w:val="00D178E0"/>
    <w:rsid w:val="00D21E06"/>
    <w:rsid w:val="00D21FB5"/>
    <w:rsid w:val="00D23214"/>
    <w:rsid w:val="00D25599"/>
    <w:rsid w:val="00D27F67"/>
    <w:rsid w:val="00D320CA"/>
    <w:rsid w:val="00D32B32"/>
    <w:rsid w:val="00D336B8"/>
    <w:rsid w:val="00D336EC"/>
    <w:rsid w:val="00D33D1E"/>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B41"/>
    <w:rsid w:val="00DC6E1E"/>
    <w:rsid w:val="00DD2473"/>
    <w:rsid w:val="00DD4374"/>
    <w:rsid w:val="00DD5C1D"/>
    <w:rsid w:val="00DD6502"/>
    <w:rsid w:val="00DD6E07"/>
    <w:rsid w:val="00DD714C"/>
    <w:rsid w:val="00DE0CDD"/>
    <w:rsid w:val="00DE1254"/>
    <w:rsid w:val="00DE29D7"/>
    <w:rsid w:val="00DE3681"/>
    <w:rsid w:val="00DE4A84"/>
    <w:rsid w:val="00DF451D"/>
    <w:rsid w:val="00DF4C9B"/>
    <w:rsid w:val="00DF522F"/>
    <w:rsid w:val="00E024D2"/>
    <w:rsid w:val="00E030C9"/>
    <w:rsid w:val="00E05439"/>
    <w:rsid w:val="00E05F1D"/>
    <w:rsid w:val="00E074E6"/>
    <w:rsid w:val="00E078DF"/>
    <w:rsid w:val="00E10534"/>
    <w:rsid w:val="00E115D7"/>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2EC5"/>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931D6"/>
    <w:rsid w:val="00EA0871"/>
    <w:rsid w:val="00EA3CBF"/>
    <w:rsid w:val="00EA6A93"/>
    <w:rsid w:val="00EB062D"/>
    <w:rsid w:val="00EB1275"/>
    <w:rsid w:val="00EB3DF3"/>
    <w:rsid w:val="00EB512C"/>
    <w:rsid w:val="00EB57A6"/>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38F0"/>
    <w:rsid w:val="00EF5B11"/>
    <w:rsid w:val="00EF73C1"/>
    <w:rsid w:val="00F000D3"/>
    <w:rsid w:val="00F00429"/>
    <w:rsid w:val="00F015C6"/>
    <w:rsid w:val="00F072DE"/>
    <w:rsid w:val="00F07323"/>
    <w:rsid w:val="00F10E1E"/>
    <w:rsid w:val="00F1110B"/>
    <w:rsid w:val="00F144A0"/>
    <w:rsid w:val="00F16205"/>
    <w:rsid w:val="00F172D8"/>
    <w:rsid w:val="00F2043B"/>
    <w:rsid w:val="00F2112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18ED"/>
    <w:rsid w:val="00F62BC7"/>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BEB"/>
    <w:rsid w:val="00FD6F08"/>
    <w:rsid w:val="00FE008E"/>
    <w:rsid w:val="00FE0D7E"/>
    <w:rsid w:val="00FE2F95"/>
    <w:rsid w:val="00FE6A1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Blank 3,Comments,Cover,TSOL 6th Level X.1.1.1.1,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TSOL 7th Level X.1.1.1.1.1,h8,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Blank 3 Char,Comments Char,Cover Char,TSOL 6th Level X.1.1.1.1 Char,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TSOL 7th Level X.1.1.1.1.1 Char,h8 Char,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89577">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166169712">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ov.uk/government/publications/government-security-classification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iso.org/iso/home/standards/management-standards/iso_9000.htm"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71A972C8-B60B-484F-AC6F-1E31E441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6</Pages>
  <Words>10844</Words>
  <Characters>61815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72514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Lisa Gale</cp:lastModifiedBy>
  <cp:revision>2</cp:revision>
  <cp:lastPrinted>2012-12-10T12:26:00Z</cp:lastPrinted>
  <dcterms:created xsi:type="dcterms:W3CDTF">2021-02-09T14:35:00Z</dcterms:created>
  <dcterms:modified xsi:type="dcterms:W3CDTF">2021-02-09T14:35:00Z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