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03DB2214" w14:textId="37B96520" w:rsidR="00BB7F6F" w:rsidRPr="00E80277" w:rsidRDefault="00BB7F6F" w:rsidP="009D159D">
            <w:pPr>
              <w:rPr>
                <w:rFonts w:asciiTheme="minorHAnsi" w:hAnsiTheme="minorHAnsi"/>
                <w:sz w:val="20"/>
              </w:rPr>
            </w:pPr>
            <w:r w:rsidRPr="00E80277">
              <w:rPr>
                <w:rFonts w:asciiTheme="minorHAnsi" w:hAnsiTheme="minorHAnsi"/>
                <w:sz w:val="20"/>
              </w:rPr>
              <w:t xml:space="preserve">And </w:t>
            </w:r>
            <w:r w:rsidR="00753F22">
              <w:rPr>
                <w:rFonts w:asciiTheme="minorHAnsi" w:hAnsiTheme="minorHAnsi"/>
                <w:sz w:val="20"/>
              </w:rPr>
              <w:t>Oldham Seals Limited</w:t>
            </w: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6FB80397" w14:textId="77777777" w:rsidR="00BB7F6F" w:rsidRPr="00E80277" w:rsidRDefault="00BB7F6F" w:rsidP="00E80277">
            <w:pPr>
              <w:ind w:left="720"/>
              <w:rPr>
                <w:rFonts w:asciiTheme="minorHAnsi" w:hAnsiTheme="minorHAnsi"/>
                <w:sz w:val="20"/>
              </w:rPr>
            </w:pPr>
            <w:r w:rsidRPr="006D6C54">
              <w:rPr>
                <w:rFonts w:asciiTheme="minorHAnsi" w:hAnsiTheme="minorHAnsi"/>
              </w:rPr>
              <w:t xml:space="preserve">   #3324</w:t>
            </w:r>
          </w:p>
        </w:tc>
        <w:tc>
          <w:tcPr>
            <w:tcW w:w="5154" w:type="dxa"/>
            <w:tcBorders>
              <w:top w:val="nil"/>
              <w:left w:val="single" w:sz="4" w:space="0" w:color="000000"/>
              <w:bottom w:val="nil"/>
              <w:right w:val="single" w:sz="4" w:space="0" w:color="000000"/>
            </w:tcBorders>
            <w:shd w:val="clear" w:color="auto" w:fill="FFFFFF"/>
          </w:tcPr>
          <w:p w14:paraId="136189E9" w14:textId="77777777" w:rsidR="009A755E" w:rsidRDefault="00E80277" w:rsidP="009A755E">
            <w:pPr>
              <w:rPr>
                <w:rFonts w:ascii="Arial" w:eastAsia="Times New Roman" w:hAnsi="Arial"/>
                <w:sz w:val="24"/>
                <w:szCs w:val="24"/>
                <w:lang w:val="en-GB"/>
              </w:rPr>
            </w:pPr>
            <w:r w:rsidRPr="00E80277">
              <w:rPr>
                <w:rFonts w:asciiTheme="minorHAnsi" w:hAnsiTheme="minorHAnsi"/>
                <w:sz w:val="20"/>
              </w:rPr>
              <w:t>Address</w:t>
            </w:r>
            <w:r w:rsidR="00BB7F6F" w:rsidRPr="00E80277">
              <w:rPr>
                <w:rFonts w:asciiTheme="minorHAnsi" w:hAnsiTheme="minorHAnsi"/>
                <w:sz w:val="20"/>
              </w:rPr>
              <w:t>:</w:t>
            </w:r>
            <w:r w:rsidR="009A755E" w:rsidRPr="009A755E">
              <w:rPr>
                <w:rFonts w:ascii="Arial" w:eastAsia="Times New Roman" w:hAnsi="Arial"/>
                <w:sz w:val="24"/>
                <w:szCs w:val="24"/>
                <w:lang w:val="en-GB"/>
              </w:rPr>
              <w:t xml:space="preserve"> </w:t>
            </w:r>
          </w:p>
          <w:p w14:paraId="3B57D584" w14:textId="77777777" w:rsidR="00A77C96" w:rsidRPr="00A77C96" w:rsidRDefault="00A77C96" w:rsidP="00A77C96">
            <w:pPr>
              <w:ind w:left="720"/>
              <w:rPr>
                <w:rFonts w:asciiTheme="minorHAnsi" w:hAnsiTheme="minorHAnsi"/>
                <w:sz w:val="20"/>
                <w:lang w:val="en-GB"/>
              </w:rPr>
            </w:pPr>
            <w:proofErr w:type="spellStart"/>
            <w:r w:rsidRPr="00A77C96">
              <w:rPr>
                <w:rFonts w:asciiTheme="minorHAnsi" w:hAnsiTheme="minorHAnsi"/>
                <w:sz w:val="20"/>
                <w:lang w:val="en-GB"/>
              </w:rPr>
              <w:t>Jetpac</w:t>
            </w:r>
            <w:proofErr w:type="spellEnd"/>
            <w:r w:rsidRPr="00A77C96">
              <w:rPr>
                <w:rFonts w:asciiTheme="minorHAnsi" w:hAnsiTheme="minorHAnsi"/>
                <w:sz w:val="20"/>
                <w:lang w:val="en-GB"/>
              </w:rPr>
              <w:t xml:space="preserve"> Works,</w:t>
            </w:r>
          </w:p>
          <w:p w14:paraId="33A70976" w14:textId="77777777" w:rsidR="00A77C96" w:rsidRPr="00A77C96" w:rsidRDefault="00A77C96" w:rsidP="00A77C96">
            <w:pPr>
              <w:ind w:left="720"/>
              <w:rPr>
                <w:rFonts w:asciiTheme="minorHAnsi" w:hAnsiTheme="minorHAnsi"/>
                <w:sz w:val="20"/>
                <w:lang w:val="en-GB"/>
              </w:rPr>
            </w:pPr>
            <w:r w:rsidRPr="00A77C96">
              <w:rPr>
                <w:rFonts w:asciiTheme="minorHAnsi" w:hAnsiTheme="minorHAnsi"/>
                <w:sz w:val="20"/>
                <w:lang w:val="en-GB"/>
              </w:rPr>
              <w:t>Spur Road,</w:t>
            </w:r>
          </w:p>
          <w:p w14:paraId="2A22CBE9" w14:textId="77777777" w:rsidR="00A77C96" w:rsidRPr="00A77C96" w:rsidRDefault="00A77C96" w:rsidP="00A77C96">
            <w:pPr>
              <w:ind w:left="720"/>
              <w:rPr>
                <w:rFonts w:asciiTheme="minorHAnsi" w:hAnsiTheme="minorHAnsi"/>
                <w:sz w:val="20"/>
                <w:lang w:val="en-GB"/>
              </w:rPr>
            </w:pPr>
            <w:r w:rsidRPr="00A77C96">
              <w:rPr>
                <w:rFonts w:asciiTheme="minorHAnsi" w:hAnsiTheme="minorHAnsi"/>
                <w:sz w:val="20"/>
                <w:lang w:val="en-GB"/>
              </w:rPr>
              <w:t xml:space="preserve">Quarry Lane Industrial </w:t>
            </w:r>
          </w:p>
          <w:p w14:paraId="13F56D88" w14:textId="77777777" w:rsidR="00A77C96" w:rsidRPr="00A77C96" w:rsidRDefault="00A77C96" w:rsidP="00A77C96">
            <w:pPr>
              <w:ind w:left="720"/>
              <w:rPr>
                <w:rFonts w:asciiTheme="minorHAnsi" w:hAnsiTheme="minorHAnsi"/>
                <w:sz w:val="20"/>
                <w:lang w:val="en-GB"/>
              </w:rPr>
            </w:pPr>
            <w:r w:rsidRPr="00A77C96">
              <w:rPr>
                <w:rFonts w:asciiTheme="minorHAnsi" w:hAnsiTheme="minorHAnsi"/>
                <w:sz w:val="20"/>
                <w:lang w:val="en-GB"/>
              </w:rPr>
              <w:t>Chichester</w:t>
            </w:r>
          </w:p>
          <w:p w14:paraId="4977C39C" w14:textId="77777777" w:rsidR="00A77C96" w:rsidRPr="00A77C96" w:rsidRDefault="00A77C96" w:rsidP="00A77C96">
            <w:pPr>
              <w:ind w:left="720"/>
              <w:rPr>
                <w:rFonts w:asciiTheme="minorHAnsi" w:hAnsiTheme="minorHAnsi"/>
                <w:sz w:val="20"/>
                <w:lang w:val="en-GB"/>
              </w:rPr>
            </w:pPr>
            <w:r w:rsidRPr="00A77C96">
              <w:rPr>
                <w:rFonts w:asciiTheme="minorHAnsi" w:hAnsiTheme="minorHAnsi"/>
                <w:sz w:val="20"/>
                <w:lang w:val="en-GB"/>
              </w:rPr>
              <w:t>West Sussex</w:t>
            </w:r>
          </w:p>
          <w:p w14:paraId="12982346" w14:textId="77777777" w:rsidR="00A77C96" w:rsidRPr="00A77C96" w:rsidRDefault="00A77C96" w:rsidP="00A77C96">
            <w:pPr>
              <w:ind w:left="720"/>
              <w:rPr>
                <w:rFonts w:asciiTheme="minorHAnsi" w:hAnsiTheme="minorHAnsi"/>
                <w:sz w:val="20"/>
                <w:lang w:val="en-GB"/>
              </w:rPr>
            </w:pPr>
            <w:r w:rsidRPr="00A77C96">
              <w:rPr>
                <w:rFonts w:asciiTheme="minorHAnsi" w:hAnsiTheme="minorHAnsi"/>
                <w:sz w:val="20"/>
                <w:lang w:val="en-GB"/>
              </w:rPr>
              <w:t xml:space="preserve">PO19 8PR </w:t>
            </w:r>
          </w:p>
          <w:p w14:paraId="797021B6" w14:textId="6B7DCAA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5042B50E" w:rsidR="00BB7F6F" w:rsidRDefault="00BB7F6F" w:rsidP="009D159D">
            <w:pPr>
              <w:rPr>
                <w:rFonts w:asciiTheme="minorHAnsi" w:hAnsiTheme="minorHAnsi"/>
                <w:sz w:val="20"/>
              </w:rPr>
            </w:pPr>
            <w:r w:rsidRPr="00E80277">
              <w:rPr>
                <w:rFonts w:asciiTheme="minorHAnsi" w:hAnsiTheme="minorHAnsi"/>
                <w:sz w:val="20"/>
              </w:rPr>
              <w:t>E-mail Address:</w:t>
            </w:r>
            <w:r w:rsidR="00193494">
              <w:rPr>
                <w:rFonts w:asciiTheme="minorHAnsi" w:hAnsiTheme="minorHAnsi"/>
                <w:sz w:val="20"/>
              </w:rPr>
              <w:t xml:space="preserve"> </w:t>
            </w:r>
            <w:r w:rsidR="00A77C96" w:rsidRPr="00A77C96">
              <w:rPr>
                <w:rFonts w:asciiTheme="minorHAnsi" w:hAnsiTheme="minorHAnsi"/>
                <w:sz w:val="20"/>
              </w:rPr>
              <w:t>sblake@oldhamseals.co.uk</w:t>
            </w:r>
          </w:p>
          <w:p w14:paraId="2A28C4A3" w14:textId="77777777" w:rsidR="00A77C96" w:rsidRPr="00E80277" w:rsidRDefault="00A77C96" w:rsidP="009D159D">
            <w:pPr>
              <w:rPr>
                <w:rFonts w:asciiTheme="minorHAnsi" w:hAnsiTheme="minorHAnsi"/>
                <w:sz w:val="20"/>
              </w:rPr>
            </w:pPr>
          </w:p>
          <w:p w14:paraId="43250C4E" w14:textId="41C51BDF" w:rsidR="00BB7F6F" w:rsidRPr="00E80277" w:rsidRDefault="00BB7F6F" w:rsidP="00193494">
            <w:pPr>
              <w:rPr>
                <w:rFonts w:asciiTheme="minorHAnsi" w:hAnsiTheme="minorHAnsi"/>
                <w:sz w:val="20"/>
              </w:rPr>
            </w:pPr>
            <w:r w:rsidRPr="00E80277">
              <w:rPr>
                <w:rFonts w:asciiTheme="minorHAnsi" w:hAnsiTheme="minorHAnsi"/>
                <w:sz w:val="20"/>
              </w:rPr>
              <w:t xml:space="preserve"> Telephone Number</w:t>
            </w:r>
            <w:r w:rsidR="00FC0744">
              <w:rPr>
                <w:rFonts w:asciiTheme="minorHAnsi" w:hAnsiTheme="minorHAnsi"/>
                <w:sz w:val="20"/>
              </w:rPr>
              <w:t xml:space="preserve">: </w:t>
            </w:r>
            <w:r w:rsidR="002726EA" w:rsidRPr="002726EA">
              <w:rPr>
                <w:rFonts w:asciiTheme="minorHAnsi" w:hAnsiTheme="minorHAnsi"/>
                <w:b/>
                <w:bCs/>
                <w:sz w:val="20"/>
              </w:rPr>
              <w:t>01243 956992</w:t>
            </w: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lastRenderedPageBreak/>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lastRenderedPageBreak/>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w:t>
      </w:r>
      <w:r>
        <w:rPr>
          <w:rFonts w:ascii="Arial" w:hAnsi="Arial" w:cs="Arial"/>
          <w:color w:val="000000"/>
        </w:rPr>
        <w:lastRenderedPageBreak/>
        <w:t>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lastRenderedPageBreak/>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 xml:space="preserve">Where the Authority or the Contractor wishes to introduce a </w:t>
      </w:r>
      <w:proofErr w:type="gramStart"/>
      <w:r>
        <w:rPr>
          <w:rFonts w:ascii="Arial" w:hAnsi="Arial" w:cs="Arial"/>
          <w:color w:val="000000"/>
          <w:szCs w:val="20"/>
        </w:rPr>
        <w:t>change</w:t>
      </w:r>
      <w:proofErr w:type="gramEnd"/>
      <w:r>
        <w:rPr>
          <w:rFonts w:ascii="Arial" w:hAnsi="Arial" w:cs="Arial"/>
          <w:color w:val="00000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lastRenderedPageBreak/>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 xml:space="preserve">Notwithstanding anything to the contrary elsewhere in the Contract, no right is granted to </w:t>
      </w:r>
      <w:r>
        <w:rPr>
          <w:rFonts w:ascii="Arial" w:hAnsi="Arial" w:cs="Arial"/>
          <w:color w:val="000000"/>
        </w:rPr>
        <w:lastRenderedPageBreak/>
        <w:t xml:space="preserve">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 xml:space="preserve">is treated in confidence by them and not disclosed except with the prior written </w:t>
      </w:r>
      <w:r>
        <w:rPr>
          <w:rFonts w:ascii="Arial" w:hAnsi="Arial" w:cs="Arial"/>
          <w:color w:val="000000"/>
        </w:rPr>
        <w:lastRenderedPageBreak/>
        <w:t>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professional adviser, consultant or other person </w:t>
      </w:r>
      <w:r>
        <w:rPr>
          <w:rFonts w:ascii="Arial" w:hAnsi="Arial" w:cs="Arial"/>
          <w:color w:val="000000"/>
        </w:rPr>
        <w:lastRenderedPageBreak/>
        <w:t>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w:t>
      </w:r>
      <w:r>
        <w:rPr>
          <w:rFonts w:ascii="Arial" w:hAnsi="Arial" w:cs="Arial"/>
          <w:color w:val="000000"/>
        </w:rPr>
        <w:lastRenderedPageBreak/>
        <w:t>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if transmitted between 09:00 and 17:00 hours on a Business Day (recipient’s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lastRenderedPageBreak/>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 xml:space="preserve">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 xml:space="preserve">Where because of its size or nature it is not possible to mark a Contractor Deliverable with the </w:t>
      </w:r>
      <w:proofErr w:type="gramStart"/>
      <w:r>
        <w:rPr>
          <w:rFonts w:ascii="Arial" w:hAnsi="Arial" w:cs="Arial"/>
          <w:color w:val="000000"/>
          <w:szCs w:val="20"/>
        </w:rPr>
        <w:t>required particulars, the</w:t>
      </w:r>
      <w:proofErr w:type="gramEnd"/>
      <w:r>
        <w:rPr>
          <w:rFonts w:ascii="Arial" w:hAnsi="Arial" w:cs="Arial"/>
          <w:color w:val="000000"/>
          <w:szCs w:val="20"/>
        </w:rPr>
        <w:t xml:space="preserv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shall supply Commercial Packaging meeting the standards and requirements of Def Stan 81-041 (Part 1).  In </w:t>
      </w:r>
      <w:proofErr w:type="gramStart"/>
      <w:r>
        <w:rPr>
          <w:rFonts w:ascii="Arial" w:hAnsi="Arial" w:cs="Arial"/>
          <w:color w:val="000000"/>
        </w:rPr>
        <w:t>addition</w:t>
      </w:r>
      <w:proofErr w:type="gramEnd"/>
      <w:r>
        <w:rPr>
          <w:rFonts w:ascii="Arial" w:hAnsi="Arial" w:cs="Arial"/>
          <w:color w:val="000000"/>
        </w:rPr>
        <w:t xml:space="preserve">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labelled to enable the contents to be identified without need to breach 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rPr>
        <w:t>provided that</w:t>
      </w:r>
      <w:proofErr w:type="gramEnd"/>
      <w:r>
        <w:rPr>
          <w:rFonts w:ascii="Arial" w:hAnsi="Arial" w:cs="Arial"/>
          <w:color w:val="000000"/>
        </w:rPr>
        <w:t xml:space="preserve">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 xml:space="preserve">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 xml:space="preserve">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 xml:space="preserve">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Contractor or their subcontractor is </w:t>
      </w:r>
      <w:proofErr w:type="gramStart"/>
      <w:r>
        <w:rPr>
          <w:rFonts w:ascii="Arial" w:hAnsi="Arial" w:cs="Arial"/>
          <w:color w:val="000000"/>
        </w:rPr>
        <w:t>registered</w:t>
      </w:r>
      <w:proofErr w:type="gramEnd"/>
      <w:r>
        <w:rPr>
          <w:rFonts w:ascii="Arial" w:hAnsi="Arial" w:cs="Arial"/>
          <w:color w:val="000000"/>
        </w:rPr>
        <w:t xml:space="preserve">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w:t>
      </w:r>
      <w:r>
        <w:rPr>
          <w:rFonts w:ascii="Arial" w:hAnsi="Arial" w:cs="Arial"/>
          <w:color w:val="000000"/>
        </w:rPr>
        <w:lastRenderedPageBreak/>
        <w:t>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lastRenderedPageBreak/>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the full </w:t>
      </w:r>
      <w:proofErr w:type="gramStart"/>
      <w:r>
        <w:rPr>
          <w:rFonts w:ascii="Arial" w:hAnsi="Arial" w:cs="Arial"/>
          <w:color w:val="000000"/>
        </w:rPr>
        <w:t>thirteen digit</w:t>
      </w:r>
      <w:proofErr w:type="gramEnd"/>
      <w:r>
        <w:rPr>
          <w:rFonts w:ascii="Arial" w:hAnsi="Arial" w:cs="Arial"/>
          <w:color w:val="000000"/>
        </w:rPr>
        <w:t xml:space="preserve">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proofErr w:type="gramStart"/>
      <w:r>
        <w:rPr>
          <w:rFonts w:ascii="Arial" w:hAnsi="Arial" w:cs="Arial"/>
          <w:color w:val="000000"/>
        </w:rPr>
        <w:t>With the exception of</w:t>
      </w:r>
      <w:proofErr w:type="gramEnd"/>
      <w:r>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Unless specifically stated otherwise in the invitation to tender or the Contract, </w:t>
      </w:r>
      <w:r>
        <w:rPr>
          <w:rFonts w:ascii="Arial" w:hAnsi="Arial" w:cs="Arial"/>
          <w:color w:val="000000"/>
        </w:rPr>
        <w:lastRenderedPageBreak/>
        <w:t>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w:t>
      </w:r>
      <w:r>
        <w:rPr>
          <w:rFonts w:ascii="Arial" w:hAnsi="Arial" w:cs="Arial"/>
          <w:color w:val="000000"/>
        </w:rPr>
        <w:lastRenderedPageBreak/>
        <w:t>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lastRenderedPageBreak/>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lastRenderedPageBreak/>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w:t>
      </w:r>
      <w:proofErr w:type="gramStart"/>
      <w:r>
        <w:rPr>
          <w:rFonts w:ascii="Arial" w:hAnsi="Arial" w:cs="Arial"/>
          <w:color w:val="000000"/>
        </w:rPr>
        <w:t>at  www.fao.org</w:t>
      </w:r>
      <w:proofErr w:type="gramEnd"/>
      <w:r>
        <w:rPr>
          <w:rFonts w:ascii="Arial" w:hAnsi="Arial" w:cs="Arial"/>
          <w:color w:val="000000"/>
        </w:rPr>
        <w:t>).</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the end </w:t>
      </w:r>
      <w:proofErr w:type="gramStart"/>
      <w:r>
        <w:rPr>
          <w:rFonts w:ascii="Arial" w:hAnsi="Arial" w:cs="Arial"/>
          <w:color w:val="000000"/>
        </w:rPr>
        <w:t>use</w:t>
      </w:r>
      <w:proofErr w:type="gramEnd"/>
      <w:r>
        <w:rPr>
          <w:rFonts w:ascii="Arial" w:hAnsi="Arial" w:cs="Arial"/>
          <w:color w:val="000000"/>
        </w:rPr>
        <w:t xml:space="preserv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Authority determines that it is best placed to make such request the Contractor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Contractor subcontracts work under the Contract, which is likely to be </w:t>
      </w:r>
      <w:r>
        <w:rPr>
          <w:rFonts w:ascii="Arial" w:hAnsi="Arial" w:cs="Arial"/>
          <w:color w:val="000000"/>
        </w:rPr>
        <w:lastRenderedPageBreak/>
        <w:t xml:space="preserve">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following receipt of materiel from a subcontractor or any of its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rPr>
        <w:t>circumstances</w:t>
      </w:r>
      <w:proofErr w:type="gramEnd"/>
      <w:r>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w:t>
      </w:r>
      <w:r>
        <w:rPr>
          <w:rFonts w:ascii="Arial" w:hAnsi="Arial" w:cs="Arial"/>
          <w:color w:val="000000"/>
        </w:rPr>
        <w:lastRenderedPageBreak/>
        <w:t xml:space="preserve">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lastRenderedPageBreak/>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lastRenderedPageBreak/>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lastRenderedPageBreak/>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w:t>
      </w:r>
      <w:r>
        <w:rPr>
          <w:rFonts w:ascii="Arial" w:hAnsi="Arial" w:cs="Arial"/>
          <w:color w:val="000000"/>
        </w:rPr>
        <w:lastRenderedPageBreak/>
        <w:t xml:space="preserve">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Contractor’s obligations nor as a waiver of its rights and remedies under this </w:t>
      </w:r>
      <w:r>
        <w:rPr>
          <w:rFonts w:ascii="Arial" w:hAnsi="Arial" w:cs="Arial"/>
          <w:color w:val="000000"/>
        </w:rPr>
        <w:lastRenderedPageBreak/>
        <w:t>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rPr>
        <w:t>takes into account</w:t>
      </w:r>
      <w:proofErr w:type="gramEnd"/>
      <w:r>
        <w:rPr>
          <w:rFonts w:ascii="Arial" w:hAnsi="Arial" w:cs="Arial"/>
          <w:color w:val="000000"/>
        </w:rPr>
        <w:t xml:space="preserve">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w:t>
      </w:r>
      <w:r>
        <w:rPr>
          <w:rFonts w:ascii="Arial" w:hAnsi="Arial" w:cs="Arial"/>
          <w:color w:val="000000"/>
        </w:rPr>
        <w:lastRenderedPageBreak/>
        <w:t>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proofErr w:type="gramStart"/>
      <w:r>
        <w:rPr>
          <w:rFonts w:ascii="Arial" w:hAnsi="Arial" w:cs="Arial"/>
        </w:rPr>
        <w:t>In the event that</w:t>
      </w:r>
      <w:proofErr w:type="gramEnd"/>
      <w:r>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Where the Contractor enters into a </w:t>
      </w:r>
      <w:proofErr w:type="gramStart"/>
      <w:r>
        <w:rPr>
          <w:rFonts w:ascii="Arial" w:hAnsi="Arial" w:cs="Arial"/>
          <w:color w:val="000000"/>
        </w:rPr>
        <w:t>Subcontract</w:t>
      </w:r>
      <w:proofErr w:type="gramEnd"/>
      <w:r>
        <w:rPr>
          <w:rFonts w:ascii="Arial" w:hAnsi="Arial" w:cs="Arial"/>
          <w:color w:val="000000"/>
        </w:rPr>
        <w:t xml:space="preserve">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 xml:space="preserve">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 xml:space="preserve">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w:t>
            </w:r>
            <w:proofErr w:type="gramStart"/>
            <w:r>
              <w:rPr>
                <w:rFonts w:ascii="Arial" w:hAnsi="Arial" w:cs="Arial"/>
                <w:i/>
                <w:iCs/>
                <w:color w:val="000000"/>
              </w:rPr>
              <w:t>particular website</w:t>
            </w:r>
            <w:proofErr w:type="gramEnd"/>
            <w:r>
              <w:rPr>
                <w:rFonts w:ascii="Arial" w:hAnsi="Arial" w:cs="Arial"/>
                <w:i/>
                <w:iCs/>
                <w:color w:val="000000"/>
              </w:rPr>
              <w:t xml:space="preserv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color w:val="000000"/>
              </w:rPr>
              <w:t>, as the case may be, and</w:t>
            </w:r>
            <w:proofErr w:type="gramEnd"/>
            <w:r>
              <w:rPr>
                <w:rFonts w:ascii="Arial" w:hAnsi="Arial" w:cs="Arial"/>
                <w:color w:val="000000"/>
              </w:rPr>
              <w:t xml:space="preserve">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51"/>
        <w:gridCol w:w="1717"/>
        <w:gridCol w:w="2214"/>
        <w:gridCol w:w="2303"/>
        <w:gridCol w:w="1306"/>
        <w:gridCol w:w="632"/>
        <w:gridCol w:w="926"/>
        <w:gridCol w:w="782"/>
        <w:gridCol w:w="1088"/>
        <w:gridCol w:w="1334"/>
        <w:gridCol w:w="1383"/>
      </w:tblGrid>
      <w:tr w:rsidR="003A2206" w14:paraId="2C055437" w14:textId="77777777" w:rsidTr="003A2206">
        <w:trPr>
          <w:trHeight w:val="397"/>
        </w:trPr>
        <w:tc>
          <w:tcPr>
            <w:tcW w:w="194" w:type="pct"/>
            <w:shd w:val="clear" w:color="auto" w:fill="auto"/>
            <w:vAlign w:val="center"/>
          </w:tcPr>
          <w:p w14:paraId="28E3B641" w14:textId="6BAFAA1D" w:rsidR="003A2206" w:rsidRDefault="003A2206" w:rsidP="002726EA">
            <w:pPr>
              <w:jc w:val="center"/>
              <w:rPr>
                <w:rFonts w:ascii="Calibri" w:hAnsi="Calibri"/>
                <w:color w:val="000000"/>
                <w:sz w:val="20"/>
                <w:szCs w:val="20"/>
                <w:lang w:eastAsia="en-GB"/>
              </w:rPr>
            </w:pPr>
            <w:r>
              <w:rPr>
                <w:rFonts w:ascii="Calibri" w:hAnsi="Calibri"/>
                <w:color w:val="000000"/>
                <w:sz w:val="20"/>
                <w:szCs w:val="20"/>
              </w:rPr>
              <w:lastRenderedPageBreak/>
              <w:t>3</w:t>
            </w:r>
          </w:p>
        </w:tc>
        <w:tc>
          <w:tcPr>
            <w:tcW w:w="343" w:type="pct"/>
            <w:shd w:val="clear" w:color="auto" w:fill="auto"/>
            <w:vAlign w:val="center"/>
          </w:tcPr>
          <w:p w14:paraId="42D397A2" w14:textId="4D1E053C" w:rsidR="003A2206" w:rsidRPr="00B600B0" w:rsidRDefault="003A2206" w:rsidP="002726EA">
            <w:pPr>
              <w:jc w:val="center"/>
              <w:rPr>
                <w:rFonts w:ascii="Calibri" w:eastAsia="Arial" w:hAnsi="Calibri" w:cs="Arial"/>
                <w:sz w:val="20"/>
                <w:szCs w:val="20"/>
              </w:rPr>
            </w:pPr>
            <w:r>
              <w:rPr>
                <w:rFonts w:ascii="Calibri" w:eastAsia="Arial" w:hAnsi="Calibri" w:cs="Arial"/>
                <w:sz w:val="20"/>
                <w:szCs w:val="20"/>
              </w:rPr>
              <w:t>G906</w:t>
            </w:r>
          </w:p>
        </w:tc>
        <w:tc>
          <w:tcPr>
            <w:tcW w:w="560" w:type="pct"/>
            <w:shd w:val="clear" w:color="auto" w:fill="auto"/>
            <w:vAlign w:val="center"/>
          </w:tcPr>
          <w:p w14:paraId="4A6CE849" w14:textId="13BB9B74" w:rsidR="003A2206" w:rsidRPr="000F2AF0" w:rsidRDefault="003A2206" w:rsidP="002726EA">
            <w:pPr>
              <w:jc w:val="center"/>
              <w:rPr>
                <w:rFonts w:ascii="Calibri" w:hAnsi="Calibri"/>
                <w:color w:val="000000"/>
                <w:sz w:val="20"/>
              </w:rPr>
            </w:pPr>
            <w:r w:rsidRPr="000F2AF0">
              <w:rPr>
                <w:rFonts w:ascii="Calibri" w:hAnsi="Calibri"/>
                <w:color w:val="000000"/>
                <w:sz w:val="20"/>
              </w:rPr>
              <w:t>6210 991614095</w:t>
            </w:r>
          </w:p>
        </w:tc>
        <w:tc>
          <w:tcPr>
            <w:tcW w:w="722" w:type="pct"/>
            <w:shd w:val="clear" w:color="auto" w:fill="auto"/>
            <w:vAlign w:val="center"/>
          </w:tcPr>
          <w:p w14:paraId="4F180878" w14:textId="1F475DA6" w:rsidR="003A2206" w:rsidRDefault="003A2206" w:rsidP="002726EA">
            <w:pPr>
              <w:jc w:val="center"/>
              <w:rPr>
                <w:rFonts w:ascii="Calibri" w:hAnsi="Calibri"/>
                <w:color w:val="000000"/>
                <w:sz w:val="20"/>
                <w:szCs w:val="20"/>
                <w:lang w:eastAsia="en-GB"/>
              </w:rPr>
            </w:pPr>
            <w:r>
              <w:rPr>
                <w:rFonts w:ascii="Calibri" w:hAnsi="Calibri"/>
                <w:color w:val="000000"/>
                <w:sz w:val="20"/>
                <w:szCs w:val="20"/>
              </w:rPr>
              <w:t xml:space="preserve">LED4/115AC/MBC RED </w:t>
            </w:r>
          </w:p>
        </w:tc>
        <w:tc>
          <w:tcPr>
            <w:tcW w:w="751" w:type="pct"/>
            <w:shd w:val="clear" w:color="auto" w:fill="auto"/>
            <w:vAlign w:val="center"/>
          </w:tcPr>
          <w:p w14:paraId="6809B62A" w14:textId="0FE07F1A" w:rsidR="003A2206" w:rsidRDefault="003A2206" w:rsidP="002726EA">
            <w:pPr>
              <w:jc w:val="center"/>
              <w:rPr>
                <w:rFonts w:ascii="Calibri" w:hAnsi="Calibri"/>
                <w:color w:val="000000"/>
                <w:sz w:val="20"/>
                <w:szCs w:val="20"/>
              </w:rPr>
            </w:pPr>
            <w:r>
              <w:rPr>
                <w:rFonts w:ascii="Calibri" w:hAnsi="Calibri"/>
                <w:color w:val="000000"/>
                <w:sz w:val="20"/>
                <w:szCs w:val="20"/>
              </w:rPr>
              <w:t xml:space="preserve">Light, Indicator </w:t>
            </w:r>
          </w:p>
        </w:tc>
        <w:tc>
          <w:tcPr>
            <w:tcW w:w="426" w:type="pct"/>
            <w:shd w:val="clear" w:color="auto" w:fill="auto"/>
            <w:vAlign w:val="center"/>
          </w:tcPr>
          <w:p w14:paraId="579E498A" w14:textId="3278BB19" w:rsidR="003A2206" w:rsidRDefault="003A2206" w:rsidP="002726EA">
            <w:pPr>
              <w:jc w:val="center"/>
              <w:rPr>
                <w:rFonts w:ascii="Calibri" w:hAnsi="Calibri"/>
                <w:color w:val="000000"/>
                <w:sz w:val="20"/>
                <w:szCs w:val="20"/>
              </w:rPr>
            </w:pPr>
            <w:r>
              <w:rPr>
                <w:rFonts w:ascii="Calibri" w:hAnsi="Calibri"/>
                <w:color w:val="000000"/>
                <w:sz w:val="20"/>
                <w:szCs w:val="20"/>
              </w:rPr>
              <w:t>F000</w:t>
            </w:r>
          </w:p>
        </w:tc>
        <w:tc>
          <w:tcPr>
            <w:tcW w:w="206" w:type="pct"/>
            <w:shd w:val="clear" w:color="auto" w:fill="auto"/>
            <w:vAlign w:val="center"/>
          </w:tcPr>
          <w:p w14:paraId="6E781CA1" w14:textId="5CAE7FD4" w:rsidR="003A2206" w:rsidRDefault="003A2206" w:rsidP="002726EA">
            <w:pPr>
              <w:jc w:val="center"/>
              <w:rPr>
                <w:rFonts w:ascii="Calibri" w:hAnsi="Calibri"/>
                <w:color w:val="000000"/>
                <w:sz w:val="20"/>
                <w:szCs w:val="20"/>
              </w:rPr>
            </w:pPr>
            <w:r>
              <w:rPr>
                <w:rFonts w:ascii="Calibri" w:hAnsi="Calibri"/>
                <w:color w:val="000000"/>
                <w:sz w:val="20"/>
                <w:szCs w:val="20"/>
              </w:rPr>
              <w:t>7</w:t>
            </w:r>
          </w:p>
        </w:tc>
        <w:tc>
          <w:tcPr>
            <w:tcW w:w="302" w:type="pct"/>
            <w:shd w:val="clear" w:color="000000" w:fill="FFFFFF"/>
            <w:vAlign w:val="center"/>
          </w:tcPr>
          <w:p w14:paraId="10EF431A" w14:textId="2D6AC860" w:rsidR="003A2206" w:rsidRDefault="003A2206" w:rsidP="002726EA">
            <w:pPr>
              <w:jc w:val="center"/>
              <w:rPr>
                <w:rFonts w:ascii="Calibri" w:hAnsi="Calibri"/>
                <w:color w:val="000000"/>
                <w:sz w:val="20"/>
                <w:szCs w:val="20"/>
              </w:rPr>
            </w:pPr>
            <w:r>
              <w:rPr>
                <w:rFonts w:ascii="Calibri" w:hAnsi="Calibri"/>
                <w:color w:val="000000"/>
                <w:sz w:val="20"/>
                <w:szCs w:val="20"/>
              </w:rPr>
              <w:t xml:space="preserve">EA </w:t>
            </w:r>
          </w:p>
        </w:tc>
        <w:tc>
          <w:tcPr>
            <w:tcW w:w="1496" w:type="pct"/>
            <w:gridSpan w:val="4"/>
            <w:vMerge w:val="restart"/>
            <w:shd w:val="clear" w:color="auto" w:fill="auto"/>
            <w:vAlign w:val="center"/>
          </w:tcPr>
          <w:p w14:paraId="750DC32C" w14:textId="1844167D" w:rsidR="003A2206" w:rsidRPr="003A2206" w:rsidRDefault="003A2206" w:rsidP="003A2206">
            <w:pPr>
              <w:jc w:val="center"/>
              <w:rPr>
                <w:rFonts w:ascii="Calibri" w:hAnsi="Calibri"/>
                <w:b/>
                <w:color w:val="000000"/>
                <w:sz w:val="20"/>
                <w:szCs w:val="20"/>
              </w:rPr>
            </w:pPr>
            <w:bookmarkStart w:id="11" w:name="_GoBack"/>
            <w:r w:rsidRPr="003A2206">
              <w:rPr>
                <w:rFonts w:ascii="Calibri" w:hAnsi="Calibri"/>
                <w:b/>
                <w:color w:val="000000"/>
                <w:sz w:val="20"/>
                <w:szCs w:val="20"/>
              </w:rPr>
              <w:t>REDACTED</w:t>
            </w:r>
            <w:bookmarkEnd w:id="11"/>
          </w:p>
        </w:tc>
      </w:tr>
      <w:tr w:rsidR="003A2206" w14:paraId="0E282109" w14:textId="77777777" w:rsidTr="003A2206">
        <w:trPr>
          <w:trHeight w:val="397"/>
        </w:trPr>
        <w:tc>
          <w:tcPr>
            <w:tcW w:w="194" w:type="pct"/>
            <w:shd w:val="clear" w:color="auto" w:fill="auto"/>
            <w:vAlign w:val="center"/>
          </w:tcPr>
          <w:p w14:paraId="6DE59F79" w14:textId="4828FD9C" w:rsidR="003A2206" w:rsidRDefault="003A2206" w:rsidP="002726EA">
            <w:pPr>
              <w:jc w:val="center"/>
              <w:rPr>
                <w:rFonts w:ascii="Calibri" w:hAnsi="Calibri"/>
              </w:rPr>
            </w:pPr>
            <w:r>
              <w:rPr>
                <w:rFonts w:ascii="Calibri" w:hAnsi="Calibri"/>
                <w:color w:val="000000"/>
                <w:sz w:val="20"/>
                <w:szCs w:val="20"/>
              </w:rPr>
              <w:t>4</w:t>
            </w:r>
          </w:p>
        </w:tc>
        <w:tc>
          <w:tcPr>
            <w:tcW w:w="343" w:type="pct"/>
            <w:shd w:val="clear" w:color="auto" w:fill="auto"/>
            <w:vAlign w:val="center"/>
          </w:tcPr>
          <w:p w14:paraId="1D23CC83" w14:textId="67963411" w:rsidR="003A2206" w:rsidRDefault="003A2206" w:rsidP="002726EA">
            <w:pPr>
              <w:jc w:val="center"/>
              <w:rPr>
                <w:rFonts w:ascii="Calibri" w:eastAsia="Arial" w:hAnsi="Calibri"/>
              </w:rPr>
            </w:pPr>
            <w:r>
              <w:rPr>
                <w:rFonts w:ascii="Calibri" w:eastAsia="Arial" w:hAnsi="Calibri" w:cs="Arial"/>
                <w:sz w:val="20"/>
                <w:szCs w:val="20"/>
              </w:rPr>
              <w:t>G906</w:t>
            </w:r>
          </w:p>
        </w:tc>
        <w:tc>
          <w:tcPr>
            <w:tcW w:w="560" w:type="pct"/>
            <w:shd w:val="clear" w:color="auto" w:fill="auto"/>
            <w:vAlign w:val="center"/>
          </w:tcPr>
          <w:p w14:paraId="01697245" w14:textId="08586DAF" w:rsidR="003A2206" w:rsidRPr="00B76993" w:rsidRDefault="003A2206" w:rsidP="002726EA">
            <w:pPr>
              <w:jc w:val="center"/>
              <w:rPr>
                <w:rFonts w:ascii="Calibri" w:hAnsi="Calibri"/>
              </w:rPr>
            </w:pPr>
            <w:r w:rsidRPr="000F2AF0">
              <w:rPr>
                <w:rFonts w:ascii="Calibri" w:hAnsi="Calibri"/>
                <w:color w:val="000000"/>
                <w:sz w:val="20"/>
              </w:rPr>
              <w:t>6210 993311607</w:t>
            </w:r>
          </w:p>
        </w:tc>
        <w:tc>
          <w:tcPr>
            <w:tcW w:w="722" w:type="pct"/>
            <w:shd w:val="clear" w:color="auto" w:fill="auto"/>
            <w:vAlign w:val="center"/>
          </w:tcPr>
          <w:p w14:paraId="455168C7" w14:textId="43748F91" w:rsidR="003A2206" w:rsidRDefault="003A2206" w:rsidP="002726EA">
            <w:pPr>
              <w:jc w:val="center"/>
              <w:rPr>
                <w:rFonts w:ascii="Calibri" w:hAnsi="Calibri"/>
                <w:color w:val="000000"/>
              </w:rPr>
            </w:pPr>
            <w:r>
              <w:rPr>
                <w:rFonts w:ascii="Calibri" w:hAnsi="Calibri"/>
                <w:color w:val="000000"/>
                <w:sz w:val="20"/>
                <w:szCs w:val="20"/>
              </w:rPr>
              <w:t xml:space="preserve">LED4/G/110AC/MBC </w:t>
            </w:r>
          </w:p>
        </w:tc>
        <w:tc>
          <w:tcPr>
            <w:tcW w:w="751" w:type="pct"/>
            <w:shd w:val="clear" w:color="auto" w:fill="auto"/>
            <w:vAlign w:val="center"/>
          </w:tcPr>
          <w:p w14:paraId="5F2D7E79" w14:textId="69B481F8" w:rsidR="003A2206" w:rsidRDefault="003A2206" w:rsidP="002726EA">
            <w:pPr>
              <w:jc w:val="center"/>
              <w:rPr>
                <w:rFonts w:ascii="Calibri" w:hAnsi="Calibri"/>
                <w:color w:val="000000"/>
              </w:rPr>
            </w:pPr>
            <w:r>
              <w:rPr>
                <w:rFonts w:ascii="Calibri" w:hAnsi="Calibri"/>
                <w:color w:val="000000"/>
                <w:sz w:val="20"/>
                <w:szCs w:val="20"/>
              </w:rPr>
              <w:t xml:space="preserve">Light, Indicator </w:t>
            </w:r>
          </w:p>
        </w:tc>
        <w:tc>
          <w:tcPr>
            <w:tcW w:w="426" w:type="pct"/>
            <w:shd w:val="clear" w:color="auto" w:fill="auto"/>
            <w:vAlign w:val="center"/>
          </w:tcPr>
          <w:p w14:paraId="6F59C7A3" w14:textId="4CEAEE32" w:rsidR="003A2206" w:rsidRDefault="003A2206" w:rsidP="002726EA">
            <w:pPr>
              <w:jc w:val="center"/>
              <w:rPr>
                <w:rFonts w:ascii="Calibri" w:hAnsi="Calibri"/>
                <w:color w:val="000000"/>
              </w:rPr>
            </w:pPr>
            <w:r>
              <w:rPr>
                <w:rFonts w:ascii="Calibri" w:hAnsi="Calibri"/>
                <w:color w:val="000000"/>
                <w:sz w:val="20"/>
                <w:szCs w:val="20"/>
              </w:rPr>
              <w:t>F000</w:t>
            </w:r>
          </w:p>
        </w:tc>
        <w:tc>
          <w:tcPr>
            <w:tcW w:w="206" w:type="pct"/>
            <w:shd w:val="clear" w:color="auto" w:fill="auto"/>
            <w:vAlign w:val="center"/>
          </w:tcPr>
          <w:p w14:paraId="624CB6B1" w14:textId="6BC0CB9A" w:rsidR="003A2206" w:rsidRDefault="003A2206" w:rsidP="002726EA">
            <w:pPr>
              <w:jc w:val="center"/>
              <w:rPr>
                <w:rFonts w:ascii="Calibri" w:hAnsi="Calibri"/>
                <w:color w:val="000000"/>
              </w:rPr>
            </w:pPr>
            <w:r>
              <w:rPr>
                <w:rFonts w:ascii="Calibri" w:hAnsi="Calibri"/>
                <w:color w:val="000000"/>
                <w:sz w:val="20"/>
                <w:szCs w:val="20"/>
              </w:rPr>
              <w:t>7</w:t>
            </w:r>
          </w:p>
        </w:tc>
        <w:tc>
          <w:tcPr>
            <w:tcW w:w="302" w:type="pct"/>
            <w:shd w:val="clear" w:color="000000" w:fill="FFFFFF"/>
            <w:vAlign w:val="center"/>
          </w:tcPr>
          <w:p w14:paraId="34099585" w14:textId="5E4FD22C" w:rsidR="003A2206" w:rsidRDefault="003A2206" w:rsidP="002726EA">
            <w:pPr>
              <w:jc w:val="center"/>
              <w:rPr>
                <w:rFonts w:ascii="Calibri" w:hAnsi="Calibri"/>
                <w:color w:val="000000"/>
              </w:rPr>
            </w:pPr>
            <w:r>
              <w:rPr>
                <w:rFonts w:ascii="Calibri" w:hAnsi="Calibri"/>
                <w:color w:val="000000"/>
                <w:sz w:val="20"/>
                <w:szCs w:val="20"/>
              </w:rPr>
              <w:t xml:space="preserve">EA </w:t>
            </w:r>
          </w:p>
        </w:tc>
        <w:tc>
          <w:tcPr>
            <w:tcW w:w="1496" w:type="pct"/>
            <w:gridSpan w:val="4"/>
            <w:vMerge/>
            <w:shd w:val="clear" w:color="auto" w:fill="auto"/>
            <w:vAlign w:val="center"/>
          </w:tcPr>
          <w:p w14:paraId="385E2116" w14:textId="561C8054" w:rsidR="003A2206" w:rsidRDefault="003A2206" w:rsidP="004202C0">
            <w:pPr>
              <w:jc w:val="center"/>
              <w:rPr>
                <w:rFonts w:ascii="Calibri" w:hAnsi="Calibri"/>
                <w:color w:val="000000"/>
              </w:rPr>
            </w:pPr>
          </w:p>
        </w:tc>
      </w:tr>
      <w:tr w:rsidR="003A2206" w14:paraId="26B834CC" w14:textId="77777777" w:rsidTr="003A2206">
        <w:trPr>
          <w:trHeight w:val="397"/>
        </w:trPr>
        <w:tc>
          <w:tcPr>
            <w:tcW w:w="194" w:type="pct"/>
            <w:shd w:val="clear" w:color="auto" w:fill="auto"/>
            <w:vAlign w:val="center"/>
          </w:tcPr>
          <w:p w14:paraId="6922F15B" w14:textId="56398002" w:rsidR="003A2206" w:rsidRDefault="003A2206" w:rsidP="002726EA">
            <w:pPr>
              <w:jc w:val="center"/>
              <w:rPr>
                <w:rFonts w:ascii="Calibri" w:hAnsi="Calibri"/>
              </w:rPr>
            </w:pPr>
            <w:r>
              <w:rPr>
                <w:rFonts w:ascii="Calibri" w:hAnsi="Calibri"/>
                <w:color w:val="000000"/>
                <w:sz w:val="20"/>
                <w:szCs w:val="20"/>
              </w:rPr>
              <w:t>5</w:t>
            </w:r>
          </w:p>
        </w:tc>
        <w:tc>
          <w:tcPr>
            <w:tcW w:w="343" w:type="pct"/>
            <w:shd w:val="clear" w:color="auto" w:fill="auto"/>
            <w:vAlign w:val="center"/>
          </w:tcPr>
          <w:p w14:paraId="7C920E04" w14:textId="76F0B4A6" w:rsidR="003A2206" w:rsidRDefault="003A2206" w:rsidP="002726EA">
            <w:pPr>
              <w:jc w:val="center"/>
              <w:rPr>
                <w:rFonts w:ascii="Calibri" w:eastAsia="Arial" w:hAnsi="Calibri"/>
              </w:rPr>
            </w:pPr>
            <w:r>
              <w:rPr>
                <w:rFonts w:ascii="Calibri" w:eastAsia="Arial" w:hAnsi="Calibri" w:cs="Arial"/>
                <w:sz w:val="20"/>
                <w:szCs w:val="20"/>
              </w:rPr>
              <w:t>G906</w:t>
            </w:r>
          </w:p>
        </w:tc>
        <w:tc>
          <w:tcPr>
            <w:tcW w:w="560" w:type="pct"/>
            <w:shd w:val="clear" w:color="auto" w:fill="auto"/>
            <w:vAlign w:val="center"/>
          </w:tcPr>
          <w:p w14:paraId="0A30A71E" w14:textId="0B4F420A" w:rsidR="003A2206" w:rsidRPr="00B76993" w:rsidRDefault="003A2206" w:rsidP="002726EA">
            <w:pPr>
              <w:jc w:val="center"/>
              <w:rPr>
                <w:rFonts w:ascii="Calibri" w:hAnsi="Calibri"/>
              </w:rPr>
            </w:pPr>
            <w:r w:rsidRPr="000F2AF0">
              <w:rPr>
                <w:rFonts w:ascii="Calibri" w:hAnsi="Calibri"/>
                <w:color w:val="000000"/>
                <w:sz w:val="20"/>
              </w:rPr>
              <w:t>6210 993267969</w:t>
            </w:r>
          </w:p>
        </w:tc>
        <w:tc>
          <w:tcPr>
            <w:tcW w:w="722" w:type="pct"/>
            <w:shd w:val="clear" w:color="auto" w:fill="auto"/>
            <w:vAlign w:val="center"/>
          </w:tcPr>
          <w:p w14:paraId="0787E086" w14:textId="7AA52550" w:rsidR="003A2206" w:rsidRDefault="003A2206" w:rsidP="002726EA">
            <w:pPr>
              <w:jc w:val="center"/>
              <w:rPr>
                <w:rFonts w:ascii="Calibri" w:hAnsi="Calibri"/>
                <w:color w:val="000000"/>
              </w:rPr>
            </w:pPr>
            <w:r>
              <w:rPr>
                <w:rFonts w:ascii="Calibri" w:hAnsi="Calibri"/>
                <w:color w:val="000000"/>
                <w:sz w:val="20"/>
                <w:szCs w:val="20"/>
              </w:rPr>
              <w:t xml:space="preserve">LED4/W/110AC/MBC </w:t>
            </w:r>
          </w:p>
        </w:tc>
        <w:tc>
          <w:tcPr>
            <w:tcW w:w="751" w:type="pct"/>
            <w:shd w:val="clear" w:color="auto" w:fill="auto"/>
            <w:vAlign w:val="center"/>
          </w:tcPr>
          <w:p w14:paraId="02BD381F" w14:textId="2C956A4C" w:rsidR="003A2206" w:rsidRDefault="003A2206" w:rsidP="002726EA">
            <w:pPr>
              <w:jc w:val="center"/>
              <w:rPr>
                <w:rFonts w:ascii="Calibri" w:hAnsi="Calibri"/>
                <w:color w:val="000000"/>
              </w:rPr>
            </w:pPr>
            <w:r>
              <w:rPr>
                <w:rFonts w:ascii="Calibri" w:hAnsi="Calibri"/>
                <w:color w:val="000000"/>
                <w:sz w:val="20"/>
                <w:szCs w:val="20"/>
              </w:rPr>
              <w:t xml:space="preserve">Light, Indicator </w:t>
            </w:r>
          </w:p>
        </w:tc>
        <w:tc>
          <w:tcPr>
            <w:tcW w:w="426" w:type="pct"/>
            <w:shd w:val="clear" w:color="auto" w:fill="auto"/>
            <w:vAlign w:val="center"/>
          </w:tcPr>
          <w:p w14:paraId="301E9CA8" w14:textId="7B1B9F60" w:rsidR="003A2206" w:rsidRDefault="003A2206" w:rsidP="002726EA">
            <w:pPr>
              <w:jc w:val="center"/>
              <w:rPr>
                <w:rFonts w:ascii="Calibri" w:hAnsi="Calibri"/>
                <w:color w:val="000000"/>
              </w:rPr>
            </w:pPr>
            <w:r>
              <w:rPr>
                <w:rFonts w:ascii="Calibri" w:hAnsi="Calibri"/>
                <w:color w:val="000000"/>
                <w:sz w:val="20"/>
                <w:szCs w:val="20"/>
              </w:rPr>
              <w:t>F000</w:t>
            </w:r>
          </w:p>
        </w:tc>
        <w:tc>
          <w:tcPr>
            <w:tcW w:w="206" w:type="pct"/>
            <w:shd w:val="clear" w:color="auto" w:fill="auto"/>
            <w:vAlign w:val="center"/>
          </w:tcPr>
          <w:p w14:paraId="216CB6FF" w14:textId="6DBE27CC" w:rsidR="003A2206" w:rsidRDefault="003A2206" w:rsidP="002726EA">
            <w:pPr>
              <w:jc w:val="center"/>
              <w:rPr>
                <w:rFonts w:ascii="Calibri" w:hAnsi="Calibri"/>
                <w:color w:val="000000"/>
              </w:rPr>
            </w:pPr>
            <w:r>
              <w:rPr>
                <w:rFonts w:ascii="Calibri" w:hAnsi="Calibri"/>
                <w:color w:val="000000"/>
                <w:sz w:val="20"/>
                <w:szCs w:val="20"/>
              </w:rPr>
              <w:t>7</w:t>
            </w:r>
          </w:p>
        </w:tc>
        <w:tc>
          <w:tcPr>
            <w:tcW w:w="302" w:type="pct"/>
            <w:shd w:val="clear" w:color="000000" w:fill="FFFFFF"/>
            <w:vAlign w:val="center"/>
          </w:tcPr>
          <w:p w14:paraId="62B51692" w14:textId="3309BC1D" w:rsidR="003A2206" w:rsidRDefault="003A2206" w:rsidP="002726EA">
            <w:pPr>
              <w:jc w:val="center"/>
              <w:rPr>
                <w:rFonts w:ascii="Calibri" w:hAnsi="Calibri"/>
                <w:color w:val="000000"/>
              </w:rPr>
            </w:pPr>
            <w:r>
              <w:rPr>
                <w:rFonts w:ascii="Calibri" w:hAnsi="Calibri"/>
                <w:color w:val="000000"/>
                <w:sz w:val="20"/>
                <w:szCs w:val="20"/>
              </w:rPr>
              <w:t xml:space="preserve">EA </w:t>
            </w:r>
          </w:p>
        </w:tc>
        <w:tc>
          <w:tcPr>
            <w:tcW w:w="1496" w:type="pct"/>
            <w:gridSpan w:val="4"/>
            <w:vMerge/>
            <w:shd w:val="clear" w:color="auto" w:fill="auto"/>
            <w:vAlign w:val="center"/>
          </w:tcPr>
          <w:p w14:paraId="55C5F797" w14:textId="3DE18726" w:rsidR="003A2206" w:rsidRDefault="003A2206" w:rsidP="004202C0">
            <w:pPr>
              <w:jc w:val="center"/>
              <w:rPr>
                <w:rFonts w:ascii="Calibri" w:hAnsi="Calibri"/>
                <w:color w:val="000000"/>
              </w:rPr>
            </w:pPr>
          </w:p>
        </w:tc>
      </w:tr>
      <w:tr w:rsidR="003A2206" w14:paraId="61D4C128" w14:textId="77777777" w:rsidTr="003A2206">
        <w:trPr>
          <w:trHeight w:val="397"/>
        </w:trPr>
        <w:tc>
          <w:tcPr>
            <w:tcW w:w="194" w:type="pct"/>
            <w:shd w:val="clear" w:color="auto" w:fill="auto"/>
            <w:vAlign w:val="center"/>
          </w:tcPr>
          <w:p w14:paraId="45166386" w14:textId="4103A0EF" w:rsidR="003A2206" w:rsidRDefault="003A2206" w:rsidP="002726EA">
            <w:pPr>
              <w:jc w:val="center"/>
              <w:rPr>
                <w:rFonts w:ascii="Calibri" w:hAnsi="Calibri"/>
              </w:rPr>
            </w:pPr>
            <w:r w:rsidRPr="00002282">
              <w:rPr>
                <w:rFonts w:ascii="Calibri" w:hAnsi="Calibri"/>
                <w:bCs/>
                <w:color w:val="000000"/>
                <w:sz w:val="20"/>
              </w:rPr>
              <w:t>16</w:t>
            </w:r>
          </w:p>
        </w:tc>
        <w:tc>
          <w:tcPr>
            <w:tcW w:w="343" w:type="pct"/>
            <w:shd w:val="clear" w:color="auto" w:fill="auto"/>
            <w:vAlign w:val="center"/>
          </w:tcPr>
          <w:p w14:paraId="06F4E812" w14:textId="4341C57E" w:rsidR="003A2206" w:rsidRDefault="003A2206" w:rsidP="002726EA">
            <w:pPr>
              <w:jc w:val="center"/>
              <w:rPr>
                <w:rFonts w:ascii="Calibri" w:eastAsia="Arial" w:hAnsi="Calibri"/>
              </w:rPr>
            </w:pPr>
            <w:r w:rsidRPr="00002282">
              <w:rPr>
                <w:rFonts w:ascii="Calibri" w:hAnsi="Calibri"/>
                <w:color w:val="000000"/>
                <w:sz w:val="20"/>
              </w:rPr>
              <w:t>G711</w:t>
            </w:r>
          </w:p>
        </w:tc>
        <w:tc>
          <w:tcPr>
            <w:tcW w:w="560" w:type="pct"/>
            <w:shd w:val="clear" w:color="auto" w:fill="auto"/>
            <w:vAlign w:val="center"/>
          </w:tcPr>
          <w:p w14:paraId="7C77AC96" w14:textId="4D42565A" w:rsidR="003A2206" w:rsidRPr="00B76993" w:rsidRDefault="003A2206" w:rsidP="002726EA">
            <w:pPr>
              <w:jc w:val="center"/>
              <w:rPr>
                <w:rFonts w:ascii="Calibri" w:hAnsi="Calibri"/>
              </w:rPr>
            </w:pPr>
            <w:r w:rsidRPr="00002282">
              <w:rPr>
                <w:rFonts w:ascii="Calibri" w:hAnsi="Calibri"/>
                <w:color w:val="000000"/>
                <w:sz w:val="20"/>
              </w:rPr>
              <w:t>9340 016431911</w:t>
            </w:r>
          </w:p>
        </w:tc>
        <w:tc>
          <w:tcPr>
            <w:tcW w:w="722" w:type="pct"/>
            <w:shd w:val="clear" w:color="auto" w:fill="auto"/>
            <w:vAlign w:val="center"/>
          </w:tcPr>
          <w:p w14:paraId="16250396" w14:textId="04F7A3E6" w:rsidR="003A2206" w:rsidRDefault="003A2206" w:rsidP="002726EA">
            <w:pPr>
              <w:jc w:val="center"/>
              <w:rPr>
                <w:rFonts w:ascii="Calibri" w:hAnsi="Calibri"/>
                <w:color w:val="000000"/>
              </w:rPr>
            </w:pPr>
            <w:r>
              <w:rPr>
                <w:rFonts w:ascii="Calibri" w:hAnsi="Calibri"/>
                <w:color w:val="000000"/>
                <w:sz w:val="20"/>
                <w:szCs w:val="20"/>
              </w:rPr>
              <w:t>90000217</w:t>
            </w:r>
          </w:p>
        </w:tc>
        <w:tc>
          <w:tcPr>
            <w:tcW w:w="751" w:type="pct"/>
            <w:shd w:val="clear" w:color="auto" w:fill="auto"/>
            <w:vAlign w:val="center"/>
          </w:tcPr>
          <w:p w14:paraId="2507462B" w14:textId="2B5762EE" w:rsidR="003A2206" w:rsidRDefault="003A2206" w:rsidP="002726EA">
            <w:pPr>
              <w:jc w:val="center"/>
              <w:rPr>
                <w:rFonts w:ascii="Calibri" w:hAnsi="Calibri"/>
                <w:color w:val="000000"/>
              </w:rPr>
            </w:pPr>
            <w:r>
              <w:rPr>
                <w:rFonts w:ascii="Calibri" w:hAnsi="Calibri"/>
                <w:color w:val="000000"/>
                <w:sz w:val="20"/>
                <w:szCs w:val="20"/>
              </w:rPr>
              <w:t xml:space="preserve">Window, Observation </w:t>
            </w:r>
          </w:p>
        </w:tc>
        <w:tc>
          <w:tcPr>
            <w:tcW w:w="426" w:type="pct"/>
            <w:shd w:val="clear" w:color="auto" w:fill="auto"/>
            <w:vAlign w:val="center"/>
          </w:tcPr>
          <w:p w14:paraId="231BADB3" w14:textId="527B1D06" w:rsidR="003A2206" w:rsidRDefault="003A2206" w:rsidP="002726EA">
            <w:pPr>
              <w:jc w:val="center"/>
              <w:rPr>
                <w:rFonts w:ascii="Calibri" w:hAnsi="Calibri"/>
                <w:color w:val="000000"/>
              </w:rPr>
            </w:pPr>
            <w:r>
              <w:rPr>
                <w:rFonts w:ascii="Calibri" w:hAnsi="Calibri"/>
                <w:color w:val="000000"/>
                <w:sz w:val="20"/>
                <w:szCs w:val="20"/>
              </w:rPr>
              <w:t>F000</w:t>
            </w:r>
          </w:p>
        </w:tc>
        <w:tc>
          <w:tcPr>
            <w:tcW w:w="206" w:type="pct"/>
            <w:shd w:val="clear" w:color="auto" w:fill="auto"/>
            <w:vAlign w:val="center"/>
          </w:tcPr>
          <w:p w14:paraId="77E369D7" w14:textId="581563D8" w:rsidR="003A2206" w:rsidRDefault="003A2206" w:rsidP="002726EA">
            <w:pPr>
              <w:jc w:val="center"/>
              <w:rPr>
                <w:rFonts w:ascii="Calibri" w:hAnsi="Calibri"/>
                <w:color w:val="000000"/>
              </w:rPr>
            </w:pPr>
            <w:r>
              <w:rPr>
                <w:rFonts w:ascii="Calibri" w:hAnsi="Calibri"/>
                <w:color w:val="000000"/>
                <w:sz w:val="20"/>
                <w:szCs w:val="20"/>
              </w:rPr>
              <w:t>8</w:t>
            </w:r>
          </w:p>
        </w:tc>
        <w:tc>
          <w:tcPr>
            <w:tcW w:w="302" w:type="pct"/>
            <w:shd w:val="clear" w:color="000000" w:fill="FFFFFF"/>
            <w:vAlign w:val="center"/>
          </w:tcPr>
          <w:p w14:paraId="6A6057B0" w14:textId="47A42830" w:rsidR="003A2206" w:rsidRDefault="003A2206" w:rsidP="002726EA">
            <w:pPr>
              <w:jc w:val="center"/>
              <w:rPr>
                <w:rFonts w:ascii="Calibri" w:hAnsi="Calibri"/>
                <w:color w:val="000000"/>
              </w:rPr>
            </w:pPr>
            <w:r>
              <w:rPr>
                <w:rFonts w:ascii="Calibri" w:hAnsi="Calibri"/>
                <w:color w:val="000000"/>
                <w:sz w:val="20"/>
                <w:szCs w:val="20"/>
              </w:rPr>
              <w:t xml:space="preserve">EA </w:t>
            </w:r>
          </w:p>
        </w:tc>
        <w:tc>
          <w:tcPr>
            <w:tcW w:w="1496" w:type="pct"/>
            <w:gridSpan w:val="4"/>
            <w:vMerge/>
            <w:shd w:val="clear" w:color="auto" w:fill="auto"/>
            <w:vAlign w:val="center"/>
          </w:tcPr>
          <w:p w14:paraId="06CC2C86" w14:textId="690859F3" w:rsidR="003A2206" w:rsidRDefault="003A2206" w:rsidP="004202C0">
            <w:pPr>
              <w:jc w:val="center"/>
              <w:rPr>
                <w:rFonts w:ascii="Calibri" w:hAnsi="Calibri"/>
                <w:color w:val="000000"/>
              </w:rPr>
            </w:pPr>
          </w:p>
        </w:tc>
      </w:tr>
      <w:tr w:rsidR="003A2206" w14:paraId="4D282FA3" w14:textId="77777777" w:rsidTr="003A2206">
        <w:trPr>
          <w:trHeight w:val="397"/>
        </w:trPr>
        <w:tc>
          <w:tcPr>
            <w:tcW w:w="194" w:type="pct"/>
            <w:shd w:val="clear" w:color="auto" w:fill="auto"/>
            <w:vAlign w:val="center"/>
          </w:tcPr>
          <w:p w14:paraId="5EBA9937" w14:textId="7865C4F5" w:rsidR="003A2206" w:rsidRDefault="003A2206" w:rsidP="002726EA">
            <w:pPr>
              <w:jc w:val="center"/>
              <w:rPr>
                <w:rFonts w:ascii="Calibri" w:hAnsi="Calibri"/>
              </w:rPr>
            </w:pPr>
            <w:r w:rsidRPr="00002282">
              <w:rPr>
                <w:rFonts w:ascii="Calibri" w:hAnsi="Calibri"/>
                <w:bCs/>
                <w:color w:val="000000"/>
                <w:sz w:val="20"/>
              </w:rPr>
              <w:t>19</w:t>
            </w:r>
          </w:p>
        </w:tc>
        <w:tc>
          <w:tcPr>
            <w:tcW w:w="343" w:type="pct"/>
            <w:shd w:val="clear" w:color="auto" w:fill="auto"/>
            <w:vAlign w:val="center"/>
          </w:tcPr>
          <w:p w14:paraId="3794B79C" w14:textId="7341E86E" w:rsidR="003A2206" w:rsidRDefault="003A2206" w:rsidP="002726EA">
            <w:pPr>
              <w:jc w:val="center"/>
              <w:rPr>
                <w:rFonts w:ascii="Calibri" w:eastAsia="Arial" w:hAnsi="Calibri"/>
              </w:rPr>
            </w:pPr>
            <w:r w:rsidRPr="00002282">
              <w:rPr>
                <w:rFonts w:ascii="Calibri" w:hAnsi="Calibri"/>
                <w:color w:val="000000"/>
                <w:sz w:val="20"/>
              </w:rPr>
              <w:t>G711</w:t>
            </w:r>
          </w:p>
        </w:tc>
        <w:tc>
          <w:tcPr>
            <w:tcW w:w="560" w:type="pct"/>
            <w:shd w:val="clear" w:color="auto" w:fill="auto"/>
            <w:vAlign w:val="center"/>
          </w:tcPr>
          <w:p w14:paraId="5F54B356" w14:textId="427EC6DC" w:rsidR="003A2206" w:rsidRPr="00B76993" w:rsidRDefault="003A2206" w:rsidP="002726EA">
            <w:pPr>
              <w:jc w:val="center"/>
              <w:rPr>
                <w:rFonts w:ascii="Calibri" w:hAnsi="Calibri"/>
              </w:rPr>
            </w:pPr>
            <w:r w:rsidRPr="00002282">
              <w:rPr>
                <w:rFonts w:ascii="Calibri" w:hAnsi="Calibri"/>
                <w:color w:val="000000"/>
                <w:sz w:val="20"/>
              </w:rPr>
              <w:t>4460 016431923</w:t>
            </w:r>
          </w:p>
        </w:tc>
        <w:tc>
          <w:tcPr>
            <w:tcW w:w="722" w:type="pct"/>
            <w:shd w:val="clear" w:color="auto" w:fill="auto"/>
            <w:vAlign w:val="center"/>
          </w:tcPr>
          <w:p w14:paraId="4F70D803" w14:textId="149FCC5A" w:rsidR="003A2206" w:rsidRDefault="003A2206" w:rsidP="002726EA">
            <w:pPr>
              <w:jc w:val="center"/>
              <w:rPr>
                <w:rFonts w:ascii="Calibri" w:hAnsi="Calibri"/>
                <w:color w:val="000000"/>
              </w:rPr>
            </w:pPr>
            <w:r w:rsidRPr="0003039F">
              <w:rPr>
                <w:rFonts w:ascii="Calibri" w:hAnsi="Calibri"/>
                <w:color w:val="000000"/>
                <w:sz w:val="20"/>
                <w:szCs w:val="20"/>
              </w:rPr>
              <w:t xml:space="preserve">40000121-3 </w:t>
            </w:r>
          </w:p>
        </w:tc>
        <w:tc>
          <w:tcPr>
            <w:tcW w:w="751" w:type="pct"/>
            <w:shd w:val="clear" w:color="auto" w:fill="auto"/>
            <w:vAlign w:val="center"/>
          </w:tcPr>
          <w:p w14:paraId="371BC8E7" w14:textId="516F57C9" w:rsidR="003A2206" w:rsidRDefault="003A2206" w:rsidP="002726EA">
            <w:pPr>
              <w:jc w:val="center"/>
              <w:rPr>
                <w:rFonts w:ascii="Calibri" w:hAnsi="Calibri"/>
                <w:color w:val="000000"/>
              </w:rPr>
            </w:pPr>
            <w:r>
              <w:rPr>
                <w:rFonts w:ascii="Calibri" w:hAnsi="Calibri"/>
                <w:color w:val="000000"/>
                <w:sz w:val="20"/>
                <w:szCs w:val="20"/>
              </w:rPr>
              <w:t xml:space="preserve">Unitary Kit </w:t>
            </w:r>
          </w:p>
        </w:tc>
        <w:tc>
          <w:tcPr>
            <w:tcW w:w="426" w:type="pct"/>
            <w:shd w:val="clear" w:color="auto" w:fill="auto"/>
            <w:vAlign w:val="center"/>
          </w:tcPr>
          <w:p w14:paraId="3FF70947" w14:textId="3787919D" w:rsidR="003A2206" w:rsidRDefault="003A2206" w:rsidP="002726EA">
            <w:pPr>
              <w:jc w:val="center"/>
              <w:rPr>
                <w:rFonts w:ascii="Calibri" w:hAnsi="Calibri"/>
                <w:color w:val="000000"/>
              </w:rPr>
            </w:pPr>
            <w:r>
              <w:rPr>
                <w:rFonts w:ascii="Calibri" w:hAnsi="Calibri"/>
                <w:color w:val="000000"/>
                <w:sz w:val="20"/>
                <w:szCs w:val="20"/>
              </w:rPr>
              <w:t>F000</w:t>
            </w:r>
          </w:p>
        </w:tc>
        <w:tc>
          <w:tcPr>
            <w:tcW w:w="206" w:type="pct"/>
            <w:shd w:val="clear" w:color="auto" w:fill="auto"/>
            <w:vAlign w:val="center"/>
          </w:tcPr>
          <w:p w14:paraId="032BCDF3" w14:textId="66E9F479" w:rsidR="003A2206" w:rsidRDefault="003A2206" w:rsidP="002726EA">
            <w:pPr>
              <w:jc w:val="center"/>
              <w:rPr>
                <w:rFonts w:ascii="Calibri" w:hAnsi="Calibri"/>
                <w:color w:val="000000"/>
              </w:rPr>
            </w:pPr>
            <w:r>
              <w:rPr>
                <w:rFonts w:ascii="Calibri" w:hAnsi="Calibri"/>
                <w:color w:val="000000"/>
                <w:sz w:val="20"/>
                <w:szCs w:val="20"/>
              </w:rPr>
              <w:t>8</w:t>
            </w:r>
          </w:p>
        </w:tc>
        <w:tc>
          <w:tcPr>
            <w:tcW w:w="302" w:type="pct"/>
            <w:shd w:val="clear" w:color="000000" w:fill="FFFFFF"/>
            <w:vAlign w:val="center"/>
          </w:tcPr>
          <w:p w14:paraId="42889EFF" w14:textId="3854A7E4" w:rsidR="003A2206" w:rsidRDefault="003A2206" w:rsidP="002726EA">
            <w:pPr>
              <w:jc w:val="center"/>
              <w:rPr>
                <w:rFonts w:ascii="Calibri" w:hAnsi="Calibri"/>
                <w:color w:val="000000"/>
              </w:rPr>
            </w:pPr>
            <w:r>
              <w:rPr>
                <w:rFonts w:ascii="Calibri" w:hAnsi="Calibri"/>
                <w:color w:val="000000"/>
                <w:sz w:val="20"/>
                <w:szCs w:val="20"/>
              </w:rPr>
              <w:t xml:space="preserve">EA </w:t>
            </w:r>
          </w:p>
        </w:tc>
        <w:tc>
          <w:tcPr>
            <w:tcW w:w="1496" w:type="pct"/>
            <w:gridSpan w:val="4"/>
            <w:vMerge/>
            <w:shd w:val="clear" w:color="auto" w:fill="auto"/>
            <w:vAlign w:val="center"/>
          </w:tcPr>
          <w:p w14:paraId="4EAC9049" w14:textId="76B8A00F" w:rsidR="003A2206" w:rsidRDefault="003A2206" w:rsidP="004202C0">
            <w:pPr>
              <w:jc w:val="center"/>
              <w:rPr>
                <w:rFonts w:ascii="Calibri" w:hAnsi="Calibri"/>
                <w:color w:val="000000"/>
              </w:rPr>
            </w:pPr>
          </w:p>
        </w:tc>
      </w:tr>
      <w:tr w:rsidR="003A2206" w14:paraId="7DE320CF" w14:textId="77777777" w:rsidTr="003A2206">
        <w:trPr>
          <w:trHeight w:val="397"/>
        </w:trPr>
        <w:tc>
          <w:tcPr>
            <w:tcW w:w="194" w:type="pct"/>
            <w:shd w:val="clear" w:color="auto" w:fill="auto"/>
            <w:vAlign w:val="center"/>
          </w:tcPr>
          <w:p w14:paraId="3D77C12D" w14:textId="1CD9EEC3" w:rsidR="003A2206" w:rsidRDefault="003A2206" w:rsidP="002726EA">
            <w:pPr>
              <w:jc w:val="center"/>
              <w:rPr>
                <w:rFonts w:ascii="Calibri" w:hAnsi="Calibri"/>
              </w:rPr>
            </w:pPr>
            <w:r w:rsidRPr="00002282">
              <w:rPr>
                <w:rFonts w:ascii="Calibri" w:hAnsi="Calibri"/>
                <w:bCs/>
                <w:color w:val="000000"/>
                <w:sz w:val="20"/>
              </w:rPr>
              <w:t>34</w:t>
            </w:r>
          </w:p>
        </w:tc>
        <w:tc>
          <w:tcPr>
            <w:tcW w:w="343" w:type="pct"/>
            <w:shd w:val="clear" w:color="auto" w:fill="auto"/>
            <w:vAlign w:val="center"/>
          </w:tcPr>
          <w:p w14:paraId="363AA215" w14:textId="6FA973FF" w:rsidR="003A2206" w:rsidRDefault="003A2206" w:rsidP="002726EA">
            <w:pPr>
              <w:jc w:val="center"/>
              <w:rPr>
                <w:rFonts w:ascii="Calibri" w:eastAsia="Arial" w:hAnsi="Calibri"/>
              </w:rPr>
            </w:pPr>
            <w:r w:rsidRPr="00A1030A">
              <w:rPr>
                <w:rFonts w:ascii="Calibri" w:eastAsia="Arial" w:hAnsi="Calibri" w:cs="Arial"/>
                <w:sz w:val="20"/>
                <w:szCs w:val="20"/>
              </w:rPr>
              <w:t>F217</w:t>
            </w:r>
          </w:p>
        </w:tc>
        <w:tc>
          <w:tcPr>
            <w:tcW w:w="560" w:type="pct"/>
            <w:shd w:val="clear" w:color="auto" w:fill="auto"/>
            <w:vAlign w:val="center"/>
          </w:tcPr>
          <w:p w14:paraId="0268C517" w14:textId="52D3F093" w:rsidR="003A2206" w:rsidRPr="00B76993" w:rsidRDefault="003A2206" w:rsidP="002726EA">
            <w:pPr>
              <w:jc w:val="center"/>
              <w:rPr>
                <w:rFonts w:ascii="Calibri" w:hAnsi="Calibri"/>
              </w:rPr>
            </w:pPr>
            <w:r w:rsidRPr="00A1030A">
              <w:rPr>
                <w:rFonts w:ascii="Calibri" w:hAnsi="Calibri"/>
                <w:color w:val="000000"/>
                <w:sz w:val="20"/>
              </w:rPr>
              <w:t>6210 996149407</w:t>
            </w:r>
          </w:p>
        </w:tc>
        <w:tc>
          <w:tcPr>
            <w:tcW w:w="722" w:type="pct"/>
            <w:shd w:val="clear" w:color="auto" w:fill="auto"/>
            <w:vAlign w:val="center"/>
          </w:tcPr>
          <w:p w14:paraId="085DC572" w14:textId="27C129D2" w:rsidR="003A2206" w:rsidRDefault="003A2206" w:rsidP="002726EA">
            <w:pPr>
              <w:jc w:val="center"/>
              <w:rPr>
                <w:rFonts w:ascii="Calibri" w:hAnsi="Calibri"/>
                <w:color w:val="000000"/>
              </w:rPr>
            </w:pPr>
            <w:r w:rsidRPr="0003039F">
              <w:rPr>
                <w:rFonts w:ascii="Calibri" w:hAnsi="Calibri"/>
                <w:color w:val="000000"/>
                <w:sz w:val="20"/>
              </w:rPr>
              <w:t>P/N TEMU/110/MBC/4</w:t>
            </w:r>
          </w:p>
        </w:tc>
        <w:tc>
          <w:tcPr>
            <w:tcW w:w="751" w:type="pct"/>
            <w:shd w:val="clear" w:color="auto" w:fill="auto"/>
            <w:vAlign w:val="center"/>
          </w:tcPr>
          <w:p w14:paraId="106C61D6" w14:textId="386E1EC7" w:rsidR="003A2206" w:rsidRDefault="003A2206" w:rsidP="002726EA">
            <w:pPr>
              <w:jc w:val="center"/>
              <w:rPr>
                <w:rFonts w:ascii="Calibri" w:hAnsi="Calibri"/>
                <w:color w:val="000000"/>
              </w:rPr>
            </w:pPr>
            <w:r>
              <w:rPr>
                <w:rFonts w:ascii="Calibri" w:hAnsi="Calibri"/>
                <w:color w:val="000000"/>
                <w:sz w:val="20"/>
                <w:szCs w:val="20"/>
              </w:rPr>
              <w:t xml:space="preserve">LIGHT, INDICATOR </w:t>
            </w:r>
          </w:p>
        </w:tc>
        <w:tc>
          <w:tcPr>
            <w:tcW w:w="426" w:type="pct"/>
            <w:shd w:val="clear" w:color="auto" w:fill="auto"/>
            <w:vAlign w:val="center"/>
          </w:tcPr>
          <w:p w14:paraId="28F21AC9" w14:textId="739F88B0" w:rsidR="003A2206" w:rsidRDefault="003A2206" w:rsidP="002726EA">
            <w:pPr>
              <w:jc w:val="center"/>
              <w:rPr>
                <w:rFonts w:ascii="Calibri" w:hAnsi="Calibri"/>
                <w:color w:val="000000"/>
              </w:rPr>
            </w:pPr>
            <w:r>
              <w:rPr>
                <w:rFonts w:ascii="Calibri" w:hAnsi="Calibri"/>
                <w:color w:val="000000"/>
                <w:sz w:val="20"/>
                <w:szCs w:val="20"/>
              </w:rPr>
              <w:t>F000</w:t>
            </w:r>
          </w:p>
        </w:tc>
        <w:tc>
          <w:tcPr>
            <w:tcW w:w="206" w:type="pct"/>
            <w:shd w:val="clear" w:color="auto" w:fill="auto"/>
            <w:vAlign w:val="center"/>
          </w:tcPr>
          <w:p w14:paraId="6AFA699F" w14:textId="4A4BC451" w:rsidR="003A2206" w:rsidRDefault="003A2206" w:rsidP="002726EA">
            <w:pPr>
              <w:jc w:val="center"/>
              <w:rPr>
                <w:rFonts w:ascii="Calibri" w:hAnsi="Calibri"/>
                <w:color w:val="000000"/>
              </w:rPr>
            </w:pPr>
            <w:r>
              <w:rPr>
                <w:rFonts w:ascii="Calibri" w:hAnsi="Calibri"/>
                <w:color w:val="000000"/>
                <w:sz w:val="20"/>
                <w:szCs w:val="20"/>
              </w:rPr>
              <w:t>7</w:t>
            </w:r>
          </w:p>
        </w:tc>
        <w:tc>
          <w:tcPr>
            <w:tcW w:w="302" w:type="pct"/>
            <w:shd w:val="clear" w:color="000000" w:fill="FFFFFF"/>
            <w:vAlign w:val="center"/>
          </w:tcPr>
          <w:p w14:paraId="23B2DDBB" w14:textId="57B74558" w:rsidR="003A2206" w:rsidRDefault="003A2206" w:rsidP="002726EA">
            <w:pPr>
              <w:jc w:val="center"/>
              <w:rPr>
                <w:rFonts w:ascii="Calibri" w:hAnsi="Calibri"/>
                <w:color w:val="000000"/>
              </w:rPr>
            </w:pPr>
            <w:r>
              <w:rPr>
                <w:rFonts w:ascii="Calibri" w:hAnsi="Calibri"/>
                <w:color w:val="000000"/>
                <w:sz w:val="20"/>
                <w:szCs w:val="20"/>
              </w:rPr>
              <w:t xml:space="preserve">EA </w:t>
            </w:r>
          </w:p>
        </w:tc>
        <w:tc>
          <w:tcPr>
            <w:tcW w:w="1496" w:type="pct"/>
            <w:gridSpan w:val="4"/>
            <w:vMerge/>
            <w:shd w:val="clear" w:color="auto" w:fill="auto"/>
            <w:vAlign w:val="center"/>
          </w:tcPr>
          <w:p w14:paraId="62414AE5" w14:textId="324E5429" w:rsidR="003A2206" w:rsidRDefault="003A2206" w:rsidP="002726EA">
            <w:pPr>
              <w:jc w:val="center"/>
              <w:rPr>
                <w:rFonts w:ascii="Calibri" w:hAnsi="Calibri"/>
                <w:color w:val="000000"/>
              </w:rPr>
            </w:pPr>
          </w:p>
        </w:tc>
      </w:tr>
      <w:tr w:rsidR="002726EA" w14:paraId="75CF3EA4" w14:textId="77777777" w:rsidTr="007C59DB">
        <w:trPr>
          <w:trHeight w:val="397"/>
        </w:trPr>
        <w:tc>
          <w:tcPr>
            <w:tcW w:w="194" w:type="pct"/>
            <w:shd w:val="clear" w:color="auto" w:fill="auto"/>
            <w:vAlign w:val="center"/>
          </w:tcPr>
          <w:p w14:paraId="7DD48BB0" w14:textId="77777777" w:rsidR="002726EA" w:rsidRDefault="002726EA" w:rsidP="002726EA">
            <w:pPr>
              <w:jc w:val="center"/>
              <w:rPr>
                <w:rFonts w:ascii="Calibri" w:hAnsi="Calibri"/>
              </w:rPr>
            </w:pPr>
          </w:p>
        </w:tc>
        <w:tc>
          <w:tcPr>
            <w:tcW w:w="343" w:type="pct"/>
            <w:shd w:val="clear" w:color="auto" w:fill="auto"/>
            <w:vAlign w:val="bottom"/>
          </w:tcPr>
          <w:p w14:paraId="5DFFD493" w14:textId="77777777" w:rsidR="002726EA" w:rsidRDefault="002726EA" w:rsidP="002726EA">
            <w:pPr>
              <w:jc w:val="center"/>
              <w:rPr>
                <w:rFonts w:ascii="Calibri" w:eastAsia="Arial" w:hAnsi="Calibri"/>
              </w:rPr>
            </w:pPr>
          </w:p>
        </w:tc>
        <w:tc>
          <w:tcPr>
            <w:tcW w:w="560" w:type="pct"/>
            <w:shd w:val="clear" w:color="auto" w:fill="auto"/>
            <w:vAlign w:val="bottom"/>
          </w:tcPr>
          <w:p w14:paraId="3A8AEC23" w14:textId="77777777" w:rsidR="002726EA" w:rsidRPr="00B76993" w:rsidRDefault="002726EA" w:rsidP="002726EA">
            <w:pPr>
              <w:jc w:val="center"/>
              <w:rPr>
                <w:rFonts w:ascii="Calibri" w:hAnsi="Calibri"/>
              </w:rPr>
            </w:pPr>
          </w:p>
        </w:tc>
        <w:tc>
          <w:tcPr>
            <w:tcW w:w="722" w:type="pct"/>
            <w:shd w:val="clear" w:color="auto" w:fill="auto"/>
            <w:vAlign w:val="bottom"/>
          </w:tcPr>
          <w:p w14:paraId="7E91C14B" w14:textId="77777777" w:rsidR="002726EA" w:rsidRDefault="002726EA" w:rsidP="002726EA">
            <w:pPr>
              <w:jc w:val="center"/>
              <w:rPr>
                <w:rFonts w:ascii="Calibri" w:hAnsi="Calibri"/>
                <w:color w:val="000000"/>
              </w:rPr>
            </w:pPr>
          </w:p>
        </w:tc>
        <w:tc>
          <w:tcPr>
            <w:tcW w:w="751" w:type="pct"/>
            <w:shd w:val="clear" w:color="auto" w:fill="auto"/>
            <w:vAlign w:val="center"/>
          </w:tcPr>
          <w:p w14:paraId="38B15E7F" w14:textId="77777777" w:rsidR="002726EA" w:rsidRDefault="002726EA" w:rsidP="002726EA">
            <w:pPr>
              <w:jc w:val="center"/>
              <w:rPr>
                <w:rFonts w:ascii="Calibri" w:hAnsi="Calibri"/>
                <w:color w:val="000000"/>
              </w:rPr>
            </w:pPr>
          </w:p>
        </w:tc>
        <w:tc>
          <w:tcPr>
            <w:tcW w:w="426" w:type="pct"/>
            <w:shd w:val="clear" w:color="auto" w:fill="auto"/>
            <w:vAlign w:val="bottom"/>
          </w:tcPr>
          <w:p w14:paraId="0782F88B" w14:textId="77777777" w:rsidR="002726EA" w:rsidRDefault="002726EA" w:rsidP="002726EA">
            <w:pPr>
              <w:jc w:val="center"/>
              <w:rPr>
                <w:rFonts w:ascii="Calibri" w:hAnsi="Calibri"/>
                <w:color w:val="000000"/>
              </w:rPr>
            </w:pPr>
          </w:p>
        </w:tc>
        <w:tc>
          <w:tcPr>
            <w:tcW w:w="206" w:type="pct"/>
            <w:shd w:val="clear" w:color="auto" w:fill="auto"/>
            <w:vAlign w:val="center"/>
          </w:tcPr>
          <w:p w14:paraId="4685AE22" w14:textId="77777777" w:rsidR="002726EA" w:rsidRDefault="002726EA" w:rsidP="002726EA">
            <w:pPr>
              <w:jc w:val="center"/>
              <w:rPr>
                <w:rFonts w:ascii="Calibri" w:hAnsi="Calibri"/>
                <w:color w:val="000000"/>
              </w:rPr>
            </w:pPr>
          </w:p>
        </w:tc>
        <w:tc>
          <w:tcPr>
            <w:tcW w:w="302" w:type="pct"/>
            <w:shd w:val="clear" w:color="000000" w:fill="FFFFFF"/>
            <w:vAlign w:val="bottom"/>
          </w:tcPr>
          <w:p w14:paraId="11762CB0" w14:textId="77777777" w:rsidR="002726EA" w:rsidRDefault="002726EA" w:rsidP="002726EA">
            <w:pPr>
              <w:jc w:val="center"/>
              <w:rPr>
                <w:rFonts w:ascii="Calibri" w:hAnsi="Calibri"/>
                <w:color w:val="000000"/>
              </w:rPr>
            </w:pPr>
          </w:p>
        </w:tc>
        <w:tc>
          <w:tcPr>
            <w:tcW w:w="255" w:type="pct"/>
            <w:shd w:val="clear" w:color="auto" w:fill="auto"/>
            <w:vAlign w:val="center"/>
          </w:tcPr>
          <w:p w14:paraId="7D9D29B6" w14:textId="15D58950" w:rsidR="002726EA" w:rsidRDefault="002726EA" w:rsidP="002726EA">
            <w:pPr>
              <w:jc w:val="center"/>
              <w:rPr>
                <w:rFonts w:ascii="Calibri" w:hAnsi="Calibri"/>
                <w:color w:val="000000"/>
              </w:rPr>
            </w:pPr>
          </w:p>
        </w:tc>
        <w:tc>
          <w:tcPr>
            <w:tcW w:w="355" w:type="pct"/>
            <w:shd w:val="clear" w:color="auto" w:fill="auto"/>
            <w:vAlign w:val="center"/>
          </w:tcPr>
          <w:p w14:paraId="115619CA" w14:textId="4A030249" w:rsidR="002726EA" w:rsidRPr="002726EA" w:rsidRDefault="002726EA" w:rsidP="002726EA">
            <w:pPr>
              <w:jc w:val="center"/>
              <w:rPr>
                <w:rFonts w:asciiTheme="minorHAnsi" w:hAnsiTheme="minorHAnsi"/>
              </w:rPr>
            </w:pPr>
            <w:r w:rsidRPr="002726EA">
              <w:rPr>
                <w:rFonts w:asciiTheme="minorHAnsi" w:hAnsiTheme="minorHAnsi"/>
              </w:rPr>
              <w:t>Total Firm Price</w:t>
            </w:r>
          </w:p>
        </w:tc>
        <w:tc>
          <w:tcPr>
            <w:tcW w:w="435" w:type="pct"/>
            <w:shd w:val="clear" w:color="auto" w:fill="auto"/>
            <w:vAlign w:val="center"/>
          </w:tcPr>
          <w:p w14:paraId="2F2818CD" w14:textId="77777777" w:rsidR="002726EA" w:rsidRDefault="002726EA" w:rsidP="002726EA">
            <w:pPr>
              <w:jc w:val="center"/>
              <w:rPr>
                <w:rFonts w:ascii="Calibri" w:hAnsi="Calibri"/>
                <w:color w:val="000000"/>
              </w:rPr>
            </w:pPr>
          </w:p>
        </w:tc>
        <w:tc>
          <w:tcPr>
            <w:tcW w:w="451" w:type="pct"/>
            <w:shd w:val="clear" w:color="auto" w:fill="auto"/>
            <w:vAlign w:val="center"/>
          </w:tcPr>
          <w:p w14:paraId="1B3DB270" w14:textId="77777777" w:rsidR="002726EA" w:rsidRPr="00EE7C58" w:rsidRDefault="002726EA" w:rsidP="002726EA">
            <w:pPr>
              <w:rPr>
                <w:rFonts w:ascii="Calibri" w:hAnsi="Calibri"/>
                <w:b/>
                <w:color w:val="000000"/>
                <w:sz w:val="24"/>
              </w:rPr>
            </w:pPr>
            <w:r w:rsidRPr="00EE7C58">
              <w:rPr>
                <w:rFonts w:ascii="Calibri" w:hAnsi="Calibri"/>
                <w:b/>
                <w:color w:val="000000"/>
                <w:sz w:val="24"/>
              </w:rPr>
              <w:t xml:space="preserve">    </w:t>
            </w:r>
          </w:p>
          <w:p w14:paraId="28F33021" w14:textId="77777777" w:rsidR="002726EA" w:rsidRDefault="002726EA" w:rsidP="002726EA">
            <w:pPr>
              <w:jc w:val="center"/>
              <w:rPr>
                <w:rFonts w:ascii="Calibri" w:hAnsi="Calibri"/>
                <w:color w:val="000000"/>
              </w:rPr>
            </w:pPr>
            <w:r>
              <w:rPr>
                <w:rFonts w:ascii="Calibri" w:hAnsi="Calibri"/>
                <w:color w:val="000000"/>
              </w:rPr>
              <w:t>£2352.97</w:t>
            </w:r>
          </w:p>
          <w:p w14:paraId="148A39BB" w14:textId="77777777" w:rsidR="002726EA" w:rsidRPr="00084694" w:rsidRDefault="002726EA" w:rsidP="002726EA">
            <w:pPr>
              <w:jc w:val="center"/>
              <w:rPr>
                <w:rFonts w:ascii="Calibri" w:hAnsi="Calibri"/>
                <w:color w:val="000000"/>
                <w:lang w:eastAsia="en-GB"/>
              </w:rPr>
            </w:pPr>
          </w:p>
          <w:p w14:paraId="304C2FB7" w14:textId="77777777" w:rsidR="002726EA" w:rsidRDefault="002726EA" w:rsidP="002726EA">
            <w:pPr>
              <w:jc w:val="center"/>
              <w:rPr>
                <w:rFonts w:ascii="Calibri" w:hAnsi="Calibri"/>
                <w:color w:val="000000"/>
              </w:rPr>
            </w:pP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p w14:paraId="1A456FFE" w14:textId="77777777" w:rsidR="00087C8D" w:rsidRDefault="00087C8D" w:rsidP="00212E27">
      <w:pPr>
        <w:rPr>
          <w:rFonts w:ascii="Arial" w:eastAsia="Arial" w:hAnsi="Arial"/>
          <w:sz w:val="20"/>
        </w:rPr>
      </w:pPr>
    </w:p>
    <w:p w14:paraId="5D404681" w14:textId="05DD9DD5" w:rsidR="00405A16" w:rsidRDefault="00405A16" w:rsidP="00212E27">
      <w:pPr>
        <w:rPr>
          <w:rFonts w:ascii="Arial" w:eastAsia="Arial" w:hAnsi="Arial"/>
          <w:sz w:val="20"/>
        </w:rPr>
      </w:pPr>
    </w:p>
    <w:p w14:paraId="21FC9520" w14:textId="77777777" w:rsidR="00405A16" w:rsidRPr="00212E27" w:rsidRDefault="00405A16"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tbl>
      <w:tblPr>
        <w:tblpPr w:leftFromText="180" w:rightFromText="180" w:vertAnchor="text" w:horzAnchor="margin" w:tblpXSpec="center" w:tblpY="17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405A16" w:rsidRPr="00833C2C" w14:paraId="514AC7C2" w14:textId="77777777" w:rsidTr="00405A16">
        <w:trPr>
          <w:trHeight w:val="734"/>
        </w:trPr>
        <w:tc>
          <w:tcPr>
            <w:tcW w:w="643" w:type="pct"/>
            <w:shd w:val="clear" w:color="auto" w:fill="auto"/>
          </w:tcPr>
          <w:p w14:paraId="1C565FF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Item Number</w:t>
            </w:r>
          </w:p>
        </w:tc>
        <w:tc>
          <w:tcPr>
            <w:tcW w:w="4357" w:type="pct"/>
            <w:shd w:val="clear" w:color="auto" w:fill="auto"/>
          </w:tcPr>
          <w:p w14:paraId="38AC9E8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Consignee Address (XY code only)</w:t>
            </w:r>
          </w:p>
        </w:tc>
      </w:tr>
      <w:tr w:rsidR="00405A16" w:rsidRPr="00833C2C" w14:paraId="0372B7CD" w14:textId="77777777" w:rsidTr="00405A16">
        <w:trPr>
          <w:trHeight w:val="452"/>
        </w:trPr>
        <w:tc>
          <w:tcPr>
            <w:tcW w:w="643" w:type="pct"/>
            <w:shd w:val="clear" w:color="auto" w:fill="auto"/>
          </w:tcPr>
          <w:p w14:paraId="3CDE3D16" w14:textId="77777777" w:rsidR="00405A16" w:rsidRPr="0030589A" w:rsidRDefault="00405A16" w:rsidP="00405A16">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34DA4624" w14:textId="77777777" w:rsidR="00405A16" w:rsidRPr="0030589A" w:rsidRDefault="00405A16" w:rsidP="00405A16">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34C1A20E" w14:textId="77777777" w:rsidR="00405A16" w:rsidRPr="0030589A" w:rsidRDefault="00405A16" w:rsidP="00405A16">
            <w:pPr>
              <w:rPr>
                <w:rFonts w:ascii="Arial" w:eastAsia="Arial" w:hAnsi="Arial" w:cs="Arial"/>
                <w:color w:val="000000" w:themeColor="text1"/>
                <w:szCs w:val="20"/>
              </w:rPr>
            </w:pPr>
          </w:p>
        </w:tc>
      </w:tr>
    </w:tbl>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Pr>
                <w:rFonts w:ascii="Arial" w:eastAsia="Arial" w:hAnsi="Arial"/>
                <w:color w:val="000000"/>
                <w:sz w:val="20"/>
              </w:rPr>
              <w:t xml:space="preserve"> ..</w:t>
            </w:r>
            <w:proofErr w:type="gramEnd"/>
            <w:r>
              <w:rPr>
                <w:rFonts w:ascii="Arial" w:eastAsia="Arial" w:hAnsi="Arial"/>
                <w:color w:val="000000"/>
                <w:sz w:val="20"/>
              </w:rPr>
              <w:t xml:space="preserve">N/A.. 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w:t>
            </w:r>
            <w:proofErr w:type="gramStart"/>
            <w:r w:rsidRPr="00B3206D">
              <w:rPr>
                <w:rFonts w:ascii="Arial" w:eastAsia="Arial" w:hAnsi="Arial"/>
                <w:color w:val="000000"/>
                <w:sz w:val="20"/>
              </w:rPr>
              <w:t xml:space="preserve">at </w:t>
            </w:r>
            <w:r>
              <w:rPr>
                <w:rFonts w:ascii="Arial" w:eastAsia="Arial" w:hAnsi="Arial"/>
                <w:color w:val="000000"/>
                <w:sz w:val="20"/>
              </w:rPr>
              <w:t xml:space="preserve"> </w:t>
            </w:r>
            <w:r w:rsidRPr="00B3206D">
              <w:rPr>
                <w:rFonts w:ascii="Arial" w:eastAsia="Arial" w:hAnsi="Arial"/>
                <w:color w:val="000000"/>
                <w:sz w:val="20"/>
              </w:rPr>
              <w:t>clause</w:t>
            </w:r>
            <w:proofErr w:type="gramEnd"/>
            <w:r w:rsidRPr="00B3206D">
              <w:rPr>
                <w:rFonts w:ascii="Arial" w:eastAsia="Arial" w:hAnsi="Arial"/>
                <w:color w:val="000000"/>
                <w:sz w:val="20"/>
              </w:rPr>
              <w:t xml:space="preserv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roofErr w:type="gramStart"/>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@mod.gov.uk</w:t>
            </w:r>
            <w:proofErr w:type="gramEnd"/>
            <w:r w:rsidRPr="007878B8">
              <w:rPr>
                <w:rFonts w:ascii="Arial" w:eastAsia="Times New Roman" w:hAnsi="Arial" w:cs="Arial"/>
                <w:sz w:val="13"/>
                <w:szCs w:val="13"/>
                <w:lang w:val="en-GB"/>
              </w:rPr>
              <w:t xml:space="preserve">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C2124F"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4A12F555" w:rsidR="0030589A" w:rsidRPr="003A2206" w:rsidRDefault="003A2206" w:rsidP="003A2206">
            <w:pPr>
              <w:spacing w:before="204" w:after="127" w:line="230" w:lineRule="exact"/>
              <w:ind w:left="216"/>
              <w:jc w:val="center"/>
              <w:textAlignment w:val="baseline"/>
              <w:rPr>
                <w:rFonts w:ascii="Arial" w:eastAsia="Arial" w:hAnsi="Arial"/>
                <w:b/>
                <w:color w:val="000000"/>
                <w:sz w:val="20"/>
              </w:rPr>
            </w:pPr>
            <w:r w:rsidRPr="003A2206">
              <w:rPr>
                <w:rFonts w:ascii="Arial" w:eastAsia="Arial" w:hAnsi="Arial"/>
                <w:b/>
                <w:color w:val="000000"/>
                <w:sz w:val="20"/>
              </w:rPr>
              <w:t>REDACTED</w:t>
            </w:r>
          </w:p>
        </w:tc>
      </w:tr>
      <w:tr w:rsidR="0030589A" w14:paraId="2703EC10" w14:textId="77777777" w:rsidTr="00C91FB3">
        <w:trPr>
          <w:trHeight w:hRule="exact" w:val="1366"/>
        </w:trPr>
        <w:tc>
          <w:tcPr>
            <w:tcW w:w="10732" w:type="dxa"/>
            <w:tcBorders>
              <w:top w:val="double" w:sz="10" w:space="0" w:color="000000"/>
              <w:left w:val="double" w:sz="10" w:space="0" w:color="000000"/>
              <w:bottom w:val="double" w:sz="10" w:space="0" w:color="000000"/>
              <w:right w:val="double" w:sz="10" w:space="0" w:color="000000"/>
            </w:tcBorders>
          </w:tcPr>
          <w:p w14:paraId="1A7C20D3" w14:textId="2F7AE13F" w:rsidR="0030589A" w:rsidRDefault="0030589A" w:rsidP="00C91FB3">
            <w:pPr>
              <w:spacing w:before="177" w:after="479" w:line="227" w:lineRule="exact"/>
              <w:textAlignment w:val="baseline"/>
              <w:rPr>
                <w:rFonts w:ascii="Arial" w:eastAsia="Arial" w:hAnsi="Arial"/>
                <w:b/>
                <w:color w:val="000000"/>
                <w:sz w:val="19"/>
              </w:rPr>
            </w:pPr>
          </w:p>
        </w:tc>
      </w:tr>
      <w:tr w:rsidR="0030589A" w14:paraId="5584B0F5" w14:textId="77777777" w:rsidTr="00C91FB3">
        <w:trPr>
          <w:trHeight w:hRule="exact" w:val="1131"/>
        </w:trPr>
        <w:tc>
          <w:tcPr>
            <w:tcW w:w="10732" w:type="dxa"/>
            <w:tcBorders>
              <w:top w:val="double" w:sz="10" w:space="0" w:color="000000"/>
              <w:left w:val="double" w:sz="10" w:space="0" w:color="000000"/>
              <w:bottom w:val="double" w:sz="10" w:space="0" w:color="000000"/>
              <w:right w:val="double" w:sz="10" w:space="0" w:color="000000"/>
            </w:tcBorders>
          </w:tcPr>
          <w:p w14:paraId="6CE62E22" w14:textId="1D00EC12" w:rsidR="0030589A" w:rsidRPr="009E722D" w:rsidRDefault="0030589A" w:rsidP="00C91FB3">
            <w:pPr>
              <w:pStyle w:val="ListParagraph"/>
              <w:spacing w:before="177" w:after="479" w:line="227" w:lineRule="exact"/>
              <w:textAlignment w:val="baseline"/>
              <w:rPr>
                <w:rFonts w:ascii="Arial" w:hAnsi="Arial" w:cs="Arial"/>
                <w:color w:val="000000"/>
                <w:sz w:val="19"/>
                <w:szCs w:val="19"/>
              </w:rPr>
            </w:pPr>
          </w:p>
        </w:tc>
      </w:tr>
      <w:tr w:rsidR="0030589A" w14:paraId="4DBA3A6C" w14:textId="77777777" w:rsidTr="009E722D">
        <w:trPr>
          <w:trHeight w:hRule="exact" w:val="1708"/>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BA6484">
            <w:pPr>
              <w:spacing w:before="177" w:after="479" w:line="227" w:lineRule="exact"/>
              <w:ind w:left="216"/>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C91FB3">
        <w:trPr>
          <w:trHeight w:hRule="exact" w:val="2934"/>
        </w:trPr>
        <w:tc>
          <w:tcPr>
            <w:tcW w:w="10732" w:type="dxa"/>
            <w:tcBorders>
              <w:top w:val="double" w:sz="10" w:space="0" w:color="000000"/>
              <w:left w:val="double" w:sz="10" w:space="0" w:color="000000"/>
              <w:bottom w:val="double" w:sz="10" w:space="0" w:color="000000"/>
              <w:right w:val="double" w:sz="10" w:space="0" w:color="000000"/>
            </w:tcBorders>
          </w:tcPr>
          <w:p w14:paraId="380ECB95" w14:textId="5FD3DFBA" w:rsidR="00E04F85" w:rsidRDefault="00E04F85" w:rsidP="009E722D">
            <w:pPr>
              <w:spacing w:before="120" w:after="176" w:line="230" w:lineRule="exact"/>
              <w:ind w:left="216"/>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p>
    <w:p w14:paraId="080DD681" w14:textId="77ED6888" w:rsidR="0030589A" w:rsidRPr="00C55F96" w:rsidRDefault="0030589A" w:rsidP="0030589A">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15EABE79" w14:textId="77777777" w:rsidR="0030589A" w:rsidRDefault="0030589A" w:rsidP="0030589A">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6999F6DB" w14:textId="77777777" w:rsidR="0030589A" w:rsidRPr="0025452A" w:rsidRDefault="0030589A" w:rsidP="0030589A">
      <w:pPr>
        <w:spacing w:before="7" w:line="459" w:lineRule="exact"/>
        <w:textAlignment w:val="baseline"/>
        <w:rPr>
          <w:rFonts w:ascii="Arial" w:eastAsia="Arial" w:hAnsi="Arial"/>
          <w:strike/>
          <w:color w:val="000000"/>
          <w:sz w:val="20"/>
        </w:rPr>
      </w:pPr>
      <w:r w:rsidRPr="0025452A">
        <w:rPr>
          <w:rFonts w:ascii="Arial" w:eastAsia="Arial" w:hAnsi="Arial"/>
          <w:strike/>
          <w:color w:val="000000"/>
          <w:sz w:val="20"/>
        </w:rPr>
        <w:t xml:space="preserve">Contract No: </w:t>
      </w:r>
      <w:r w:rsidRPr="0025452A">
        <w:rPr>
          <w:rFonts w:ascii="Arial" w:eastAsia="Arial" w:hAnsi="Arial"/>
          <w:strike/>
          <w:color w:val="000000"/>
          <w:sz w:val="20"/>
        </w:rPr>
        <w:br/>
        <w:t xml:space="preserve">Contract Title: </w:t>
      </w:r>
      <w:r w:rsidRPr="0025452A">
        <w:rPr>
          <w:rFonts w:ascii="Arial" w:eastAsia="Arial" w:hAnsi="Arial"/>
          <w:strike/>
          <w:color w:val="000000"/>
          <w:sz w:val="20"/>
        </w:rPr>
        <w:br/>
        <w:t xml:space="preserve">Contractor: </w:t>
      </w:r>
      <w:r w:rsidRPr="0025452A">
        <w:rPr>
          <w:rFonts w:ascii="Arial" w:eastAsia="Arial" w:hAnsi="Arial"/>
          <w:strike/>
          <w:color w:val="000000"/>
          <w:sz w:val="20"/>
        </w:rPr>
        <w:br/>
        <w:t xml:space="preserve">Date of Contract: </w:t>
      </w:r>
    </w:p>
    <w:p w14:paraId="52A013A9" w14:textId="77777777" w:rsidR="0030589A" w:rsidRPr="0025452A" w:rsidRDefault="0030589A" w:rsidP="0030589A">
      <w:pPr>
        <w:spacing w:before="229" w:line="231" w:lineRule="exact"/>
        <w:textAlignment w:val="baseline"/>
        <w:rPr>
          <w:rFonts w:ascii="Arial" w:eastAsia="Arial" w:hAnsi="Arial"/>
          <w:strike/>
          <w:color w:val="000000"/>
          <w:spacing w:val="-1"/>
          <w:sz w:val="20"/>
        </w:rPr>
      </w:pPr>
      <w:r w:rsidRPr="0025452A">
        <w:rPr>
          <w:rFonts w:ascii="Arial" w:eastAsia="Arial" w:hAnsi="Arial"/>
          <w:strike/>
          <w:color w:val="000000"/>
          <w:spacing w:val="-1"/>
          <w:sz w:val="20"/>
        </w:rPr>
        <w:t>* To the best of our knowledge there are no hazardous Contractor Deliverables, materials or substances to be supplied.</w:t>
      </w:r>
    </w:p>
    <w:p w14:paraId="621F2E02" w14:textId="77777777" w:rsidR="0030589A" w:rsidRPr="0025452A" w:rsidRDefault="0030589A" w:rsidP="0030589A">
      <w:pPr>
        <w:spacing w:before="230" w:after="363" w:line="230" w:lineRule="exact"/>
        <w:textAlignment w:val="baseline"/>
        <w:rPr>
          <w:rFonts w:ascii="Arial" w:eastAsia="Arial" w:hAnsi="Arial"/>
          <w:strike/>
          <w:color w:val="000000"/>
          <w:spacing w:val="5"/>
          <w:sz w:val="20"/>
        </w:rPr>
      </w:pPr>
      <w:r w:rsidRPr="0025452A">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EndPr/>
        <w:sdtContent>
          <w:r w:rsidR="00D741B4" w:rsidRPr="0025452A">
            <w:rPr>
              <w:rFonts w:ascii="MS Gothic" w:eastAsia="MS Gothic" w:hAnsi="MS Gothic" w:hint="eastAsia"/>
              <w:strike/>
              <w:color w:val="000000"/>
              <w:spacing w:val="5"/>
              <w:sz w:val="20"/>
            </w:rPr>
            <w:t>☒</w:t>
          </w:r>
        </w:sdtContent>
      </w:sdt>
      <w:r w:rsidRPr="0025452A">
        <w:rPr>
          <w:rFonts w:ascii="Arial" w:eastAsia="Arial" w:hAnsi="Arial"/>
          <w:strike/>
          <w:color w:val="000000"/>
          <w:spacing w:val="5"/>
          <w:sz w:val="20"/>
        </w:rPr>
        <w:t>) as appropriate</w:t>
      </w:r>
    </w:p>
    <w:p w14:paraId="6134E6FB" w14:textId="77777777" w:rsidR="0030589A" w:rsidRPr="0025452A" w:rsidRDefault="0030589A" w:rsidP="0030589A">
      <w:pPr>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To the best of our knowledge the hazards associated with Articles, Deliverables, materials or substances to be supplied</w:t>
      </w:r>
      <w:r w:rsidRPr="0025452A" w:rsidDel="00D35946">
        <w:rPr>
          <w:rFonts w:ascii="Arial" w:eastAsia="Times New Roman" w:hAnsi="Arial" w:cs="Arial"/>
          <w:strike/>
          <w:sz w:val="20"/>
          <w:szCs w:val="20"/>
          <w:lang w:val="en-GB" w:eastAsia="en-GB"/>
        </w:rPr>
        <w:t xml:space="preserve"> </w:t>
      </w:r>
      <w:r w:rsidRPr="0025452A">
        <w:rPr>
          <w:rFonts w:ascii="Arial" w:eastAsia="Times New Roman" w:hAnsi="Arial" w:cs="Arial"/>
          <w:strike/>
          <w:sz w:val="20"/>
          <w:szCs w:val="20"/>
          <w:lang w:val="en-GB" w:eastAsia="en-GB"/>
        </w:rPr>
        <w:t>under the Contract are identified in the Safety Data Sheets (Qty:</w:t>
      </w:r>
      <w:r w:rsidRPr="0025452A">
        <w:rPr>
          <w:rFonts w:ascii="Arial" w:eastAsia="Times New Roman" w:hAnsi="Arial" w:cs="Arial"/>
          <w:strike/>
          <w:sz w:val="20"/>
          <w:szCs w:val="20"/>
          <w:lang w:val="en-GB" w:eastAsia="en-GB"/>
        </w:rPr>
        <w:fldChar w:fldCharType="begin">
          <w:ffData>
            <w:name w:val="Text5"/>
            <w:enabled/>
            <w:calcOnExit w:val="0"/>
            <w:textInput/>
          </w:ffData>
        </w:fldChar>
      </w:r>
      <w:bookmarkStart w:id="12" w:name="Text5"/>
      <w:r w:rsidRPr="0025452A">
        <w:rPr>
          <w:rFonts w:ascii="Arial" w:eastAsia="Times New Roman" w:hAnsi="Arial" w:cs="Arial"/>
          <w:strike/>
          <w:sz w:val="20"/>
          <w:szCs w:val="20"/>
          <w:lang w:val="en-GB" w:eastAsia="en-GB"/>
        </w:rPr>
        <w:instrText xml:space="preserve"> FORMTEXT </w:instrText>
      </w:r>
      <w:r w:rsidRPr="0025452A">
        <w:rPr>
          <w:rFonts w:ascii="Arial" w:eastAsia="Times New Roman" w:hAnsi="Arial" w:cs="Arial"/>
          <w:strike/>
          <w:sz w:val="20"/>
          <w:szCs w:val="20"/>
          <w:lang w:val="en-GB" w:eastAsia="en-GB"/>
        </w:rPr>
      </w:r>
      <w:r w:rsidRPr="0025452A">
        <w:rPr>
          <w:rFonts w:ascii="Arial" w:eastAsia="Times New Roman" w:hAnsi="Arial" w:cs="Arial"/>
          <w:strike/>
          <w:sz w:val="20"/>
          <w:szCs w:val="20"/>
          <w:lang w:val="en-GB" w:eastAsia="en-GB"/>
        </w:rPr>
        <w:fldChar w:fldCharType="separate"/>
      </w:r>
      <w:r w:rsidRPr="0025452A">
        <w:rPr>
          <w:rFonts w:ascii="Arial" w:eastAsia="Times New Roman" w:hAnsi="Arial" w:cs="Arial"/>
          <w:strike/>
          <w:noProof/>
          <w:sz w:val="20"/>
          <w:szCs w:val="20"/>
          <w:lang w:val="en-GB" w:eastAsia="en-GB"/>
        </w:rPr>
        <w:t> </w:t>
      </w:r>
      <w:r w:rsidRPr="0025452A">
        <w:rPr>
          <w:rFonts w:ascii="Arial" w:eastAsia="Times New Roman" w:hAnsi="Arial" w:cs="Arial"/>
          <w:strike/>
          <w:noProof/>
          <w:sz w:val="20"/>
          <w:szCs w:val="20"/>
          <w:lang w:val="en-GB" w:eastAsia="en-GB"/>
        </w:rPr>
        <w:t> </w:t>
      </w:r>
      <w:r w:rsidRPr="0025452A">
        <w:rPr>
          <w:rFonts w:ascii="Arial" w:eastAsia="Times New Roman" w:hAnsi="Arial" w:cs="Arial"/>
          <w:strike/>
          <w:noProof/>
          <w:sz w:val="20"/>
          <w:szCs w:val="20"/>
          <w:lang w:val="en-GB" w:eastAsia="en-GB"/>
        </w:rPr>
        <w:t> </w:t>
      </w:r>
      <w:r w:rsidRPr="0025452A">
        <w:rPr>
          <w:rFonts w:ascii="Arial" w:eastAsia="Times New Roman" w:hAnsi="Arial" w:cs="Arial"/>
          <w:strike/>
          <w:noProof/>
          <w:sz w:val="20"/>
          <w:szCs w:val="20"/>
          <w:lang w:val="en-GB" w:eastAsia="en-GB"/>
        </w:rPr>
        <w:t> </w:t>
      </w:r>
      <w:r w:rsidRPr="0025452A">
        <w:rPr>
          <w:rFonts w:ascii="Arial" w:eastAsia="Times New Roman" w:hAnsi="Arial" w:cs="Arial"/>
          <w:strike/>
          <w:noProof/>
          <w:sz w:val="20"/>
          <w:szCs w:val="20"/>
          <w:lang w:val="en-GB" w:eastAsia="en-GB"/>
        </w:rPr>
        <w:t> </w:t>
      </w:r>
      <w:r w:rsidRPr="0025452A">
        <w:rPr>
          <w:rFonts w:ascii="Arial" w:eastAsia="Times New Roman" w:hAnsi="Arial" w:cs="Arial"/>
          <w:strike/>
          <w:sz w:val="20"/>
          <w:szCs w:val="20"/>
          <w:lang w:val="en-GB" w:eastAsia="en-GB"/>
        </w:rPr>
        <w:fldChar w:fldCharType="end"/>
      </w:r>
      <w:bookmarkEnd w:id="12"/>
      <w:r w:rsidRPr="0025452A">
        <w:rPr>
          <w:rFonts w:ascii="Arial" w:eastAsia="Times New Roman" w:hAnsi="Arial" w:cs="Arial"/>
          <w:strike/>
          <w:sz w:val="20"/>
          <w:szCs w:val="20"/>
          <w:lang w:val="en-GB" w:eastAsia="en-GB"/>
        </w:rPr>
        <w:t>) attached in accordance with either:</w:t>
      </w:r>
    </w:p>
    <w:p w14:paraId="458E065F" w14:textId="77777777" w:rsidR="0030589A" w:rsidRPr="0025452A" w:rsidRDefault="0030589A" w:rsidP="0030589A">
      <w:pPr>
        <w:rPr>
          <w:rFonts w:ascii="Arial" w:eastAsia="Times New Roman" w:hAnsi="Arial" w:cs="Arial"/>
          <w:strike/>
          <w:sz w:val="20"/>
          <w:szCs w:val="20"/>
          <w:lang w:val="en-GB" w:eastAsia="en-GB"/>
        </w:rPr>
      </w:pPr>
    </w:p>
    <w:p w14:paraId="74974685" w14:textId="77777777" w:rsidR="0030589A" w:rsidRPr="0025452A" w:rsidRDefault="0030589A" w:rsidP="0030589A">
      <w:pPr>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xml:space="preserve">DEFCON 68 </w:t>
      </w:r>
      <w:r w:rsidR="00AA7B5B" w:rsidRPr="0025452A">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3" w:name="Check2"/>
      <w:r w:rsidR="00AA7B5B" w:rsidRPr="0025452A">
        <w:rPr>
          <w:rFonts w:ascii="Arial" w:eastAsia="Times New Roman" w:hAnsi="Arial" w:cs="Arial"/>
          <w:strike/>
          <w:sz w:val="20"/>
          <w:szCs w:val="20"/>
          <w:lang w:val="en-GB" w:eastAsia="en-GB"/>
        </w:rPr>
        <w:instrText xml:space="preserve"> FORMCHECKBOX </w:instrText>
      </w:r>
      <w:r w:rsidR="00C2124F" w:rsidRPr="0025452A">
        <w:rPr>
          <w:rFonts w:ascii="Arial" w:eastAsia="Times New Roman" w:hAnsi="Arial" w:cs="Arial"/>
          <w:strike/>
          <w:sz w:val="20"/>
          <w:szCs w:val="20"/>
          <w:lang w:val="en-GB" w:eastAsia="en-GB"/>
        </w:rPr>
      </w:r>
      <w:r w:rsidR="00C2124F" w:rsidRPr="0025452A">
        <w:rPr>
          <w:rFonts w:ascii="Arial" w:eastAsia="Times New Roman" w:hAnsi="Arial" w:cs="Arial"/>
          <w:strike/>
          <w:sz w:val="20"/>
          <w:szCs w:val="20"/>
          <w:lang w:val="en-GB" w:eastAsia="en-GB"/>
        </w:rPr>
        <w:fldChar w:fldCharType="separate"/>
      </w:r>
      <w:r w:rsidR="00AA7B5B" w:rsidRPr="0025452A">
        <w:rPr>
          <w:rFonts w:ascii="Arial" w:eastAsia="Times New Roman" w:hAnsi="Arial" w:cs="Arial"/>
          <w:strike/>
          <w:sz w:val="20"/>
          <w:szCs w:val="20"/>
          <w:lang w:val="en-GB" w:eastAsia="en-GB"/>
        </w:rPr>
        <w:fldChar w:fldCharType="end"/>
      </w:r>
      <w:bookmarkEnd w:id="13"/>
      <w:r w:rsidRPr="0025452A">
        <w:rPr>
          <w:rFonts w:ascii="Arial" w:eastAsia="Times New Roman" w:hAnsi="Arial" w:cs="Arial"/>
          <w:strike/>
          <w:sz w:val="20"/>
          <w:szCs w:val="20"/>
          <w:lang w:val="en-GB" w:eastAsia="en-GB"/>
        </w:rPr>
        <w:t xml:space="preserve"> ; or</w:t>
      </w:r>
    </w:p>
    <w:p w14:paraId="6A795E9D" w14:textId="77777777" w:rsidR="0030589A" w:rsidRPr="0025452A" w:rsidRDefault="0030589A" w:rsidP="0030589A">
      <w:pPr>
        <w:rPr>
          <w:rFonts w:ascii="Arial" w:eastAsia="Times New Roman" w:hAnsi="Arial" w:cs="Arial"/>
          <w:strike/>
          <w:sz w:val="20"/>
          <w:szCs w:val="20"/>
          <w:lang w:val="en-GB" w:eastAsia="en-GB"/>
        </w:rPr>
      </w:pPr>
    </w:p>
    <w:p w14:paraId="4D2FA871" w14:textId="77777777" w:rsidR="0030589A" w:rsidRPr="0025452A" w:rsidRDefault="0030589A" w:rsidP="0030589A">
      <w:pPr>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xml:space="preserve">Condition 9 of Standardised Contract 1A/B Conditions </w:t>
      </w:r>
      <w:r w:rsidRPr="0025452A">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25452A">
        <w:rPr>
          <w:rFonts w:ascii="Arial" w:eastAsia="Times New Roman" w:hAnsi="Arial" w:cs="Arial"/>
          <w:strike/>
          <w:sz w:val="20"/>
          <w:szCs w:val="20"/>
          <w:lang w:val="en-GB" w:eastAsia="en-GB"/>
        </w:rPr>
        <w:instrText xml:space="preserve"> FORMCHECKBOX </w:instrText>
      </w:r>
      <w:r w:rsidR="00C2124F" w:rsidRPr="0025452A">
        <w:rPr>
          <w:rFonts w:ascii="Arial" w:eastAsia="Times New Roman" w:hAnsi="Arial" w:cs="Arial"/>
          <w:strike/>
          <w:sz w:val="20"/>
          <w:szCs w:val="20"/>
          <w:lang w:val="en-GB" w:eastAsia="en-GB"/>
        </w:rPr>
      </w:r>
      <w:r w:rsidR="00C2124F" w:rsidRPr="0025452A">
        <w:rPr>
          <w:rFonts w:ascii="Arial" w:eastAsia="Times New Roman" w:hAnsi="Arial" w:cs="Arial"/>
          <w:strike/>
          <w:sz w:val="20"/>
          <w:szCs w:val="20"/>
          <w:lang w:val="en-GB" w:eastAsia="en-GB"/>
        </w:rPr>
        <w:fldChar w:fldCharType="separate"/>
      </w:r>
      <w:r w:rsidRPr="0025452A">
        <w:rPr>
          <w:rFonts w:ascii="Arial" w:eastAsia="Times New Roman" w:hAnsi="Arial" w:cs="Arial"/>
          <w:strike/>
          <w:sz w:val="20"/>
          <w:szCs w:val="20"/>
          <w:lang w:val="en-GB" w:eastAsia="en-GB"/>
        </w:rPr>
        <w:fldChar w:fldCharType="end"/>
      </w:r>
      <w:r w:rsidRPr="0025452A">
        <w:rPr>
          <w:rFonts w:ascii="Arial" w:eastAsia="Times New Roman" w:hAnsi="Arial" w:cs="Arial"/>
          <w:strike/>
          <w:sz w:val="20"/>
          <w:szCs w:val="20"/>
          <w:lang w:val="en-GB" w:eastAsia="en-GB"/>
        </w:rPr>
        <w:t xml:space="preserve">; </w:t>
      </w:r>
    </w:p>
    <w:p w14:paraId="385DD71C" w14:textId="77777777" w:rsidR="0030589A" w:rsidRPr="0025452A" w:rsidRDefault="0030589A" w:rsidP="0030589A">
      <w:pPr>
        <w:rPr>
          <w:rFonts w:ascii="Arial" w:eastAsia="Times New Roman" w:hAnsi="Arial" w:cs="Arial"/>
          <w:strike/>
          <w:sz w:val="20"/>
          <w:szCs w:val="20"/>
          <w:lang w:val="en-GB" w:eastAsia="en-GB"/>
        </w:rPr>
      </w:pPr>
    </w:p>
    <w:p w14:paraId="031221C5" w14:textId="77777777" w:rsidR="0030589A" w:rsidRPr="0025452A" w:rsidRDefault="0030589A" w:rsidP="0030589A">
      <w:pPr>
        <w:outlineLvl w:val="0"/>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xml:space="preserve">Contractor’s Signature: </w:t>
      </w:r>
    </w:p>
    <w:p w14:paraId="69A638D0" w14:textId="77777777" w:rsidR="0030589A" w:rsidRPr="0025452A" w:rsidRDefault="0030589A" w:rsidP="0030589A">
      <w:pPr>
        <w:outlineLvl w:val="0"/>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xml:space="preserve">Name: </w:t>
      </w:r>
    </w:p>
    <w:p w14:paraId="28DE70E3" w14:textId="77777777" w:rsidR="0030589A" w:rsidRPr="0025452A" w:rsidRDefault="0030589A" w:rsidP="0030589A">
      <w:pPr>
        <w:rPr>
          <w:rFonts w:ascii="Arial" w:eastAsia="Times New Roman" w:hAnsi="Arial" w:cs="Arial"/>
          <w:strike/>
          <w:sz w:val="20"/>
          <w:szCs w:val="20"/>
          <w:lang w:val="en-GB" w:eastAsia="en-GB"/>
        </w:rPr>
      </w:pPr>
    </w:p>
    <w:p w14:paraId="789D7F77" w14:textId="77777777" w:rsidR="0030589A" w:rsidRPr="0025452A" w:rsidRDefault="0030589A" w:rsidP="0030589A">
      <w:pPr>
        <w:outlineLvl w:val="0"/>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xml:space="preserve">Job Title: </w:t>
      </w:r>
    </w:p>
    <w:p w14:paraId="4D2FF19D" w14:textId="77777777" w:rsidR="0030589A" w:rsidRPr="0025452A" w:rsidRDefault="0030589A" w:rsidP="0030589A">
      <w:pPr>
        <w:rPr>
          <w:rFonts w:ascii="Arial" w:eastAsia="Times New Roman" w:hAnsi="Arial" w:cs="Arial"/>
          <w:strike/>
          <w:sz w:val="20"/>
          <w:szCs w:val="20"/>
          <w:lang w:val="en-GB" w:eastAsia="en-GB"/>
        </w:rPr>
      </w:pPr>
    </w:p>
    <w:p w14:paraId="4354F7C4" w14:textId="2D547E50" w:rsidR="0030589A" w:rsidRPr="0025452A" w:rsidRDefault="0030589A" w:rsidP="0030589A">
      <w:pPr>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xml:space="preserve">Date: </w:t>
      </w:r>
    </w:p>
    <w:p w14:paraId="2DB1EAFA" w14:textId="77777777" w:rsidR="0030589A" w:rsidRPr="0025452A" w:rsidRDefault="0030589A" w:rsidP="0030589A">
      <w:pPr>
        <w:rPr>
          <w:rFonts w:ascii="Arial" w:eastAsia="Times New Roman" w:hAnsi="Arial" w:cs="Arial"/>
          <w:strike/>
          <w:sz w:val="20"/>
          <w:szCs w:val="20"/>
          <w:lang w:val="en-GB" w:eastAsia="en-GB"/>
        </w:rPr>
      </w:pPr>
    </w:p>
    <w:p w14:paraId="1D904B52" w14:textId="77777777" w:rsidR="0030589A" w:rsidRPr="0025452A" w:rsidRDefault="0030589A" w:rsidP="0030589A">
      <w:pPr>
        <w:rPr>
          <w:rFonts w:ascii="Arial" w:eastAsia="Times New Roman" w:hAnsi="Arial" w:cs="Arial"/>
          <w:strike/>
          <w:sz w:val="20"/>
          <w:szCs w:val="20"/>
          <w:lang w:val="en-GB" w:eastAsia="en-GB"/>
        </w:rPr>
      </w:pPr>
      <w:r w:rsidRPr="0025452A">
        <w:rPr>
          <w:rFonts w:ascii="Arial" w:eastAsia="Times New Roman" w:hAnsi="Arial" w:cs="Arial"/>
          <w:strike/>
          <w:sz w:val="20"/>
          <w:szCs w:val="20"/>
          <w:lang w:val="en-GB" w:eastAsia="en-GB"/>
        </w:rPr>
        <w:t>* check box (</w:t>
      </w:r>
      <w:r w:rsidRPr="0025452A">
        <w:rPr>
          <w:rFonts w:ascii="Arial" w:eastAsia="Times New Roman" w:hAnsi="Arial" w:cs="Arial"/>
          <w:strike/>
          <w:sz w:val="20"/>
          <w:szCs w:val="20"/>
          <w:lang w:val="en-GB" w:eastAsia="en-GB"/>
        </w:rPr>
        <w:sym w:font="Wingdings 2" w:char="F054"/>
      </w:r>
      <w:r w:rsidRPr="0025452A">
        <w:rPr>
          <w:rFonts w:ascii="Arial" w:eastAsia="Times New Roman" w:hAnsi="Arial" w:cs="Arial"/>
          <w:strike/>
          <w:sz w:val="20"/>
          <w:szCs w:val="20"/>
          <w:lang w:val="en-GB" w:eastAsia="en-GB"/>
        </w:rPr>
        <w:t xml:space="preserve">) as appropriate </w:t>
      </w:r>
      <w:bookmarkStart w:id="14" w:name="_Hlk6995754"/>
    </w:p>
    <w:p w14:paraId="43A63BBE" w14:textId="77777777" w:rsidR="0030589A" w:rsidRPr="0025452A" w:rsidRDefault="0030589A" w:rsidP="0030589A">
      <w:pPr>
        <w:rPr>
          <w:rFonts w:ascii="Arial" w:eastAsia="Times New Roman" w:hAnsi="Arial" w:cs="Arial"/>
          <w:strike/>
          <w:sz w:val="20"/>
          <w:szCs w:val="20"/>
          <w:lang w:val="en-GB" w:eastAsia="en-GB"/>
        </w:rPr>
      </w:pPr>
    </w:p>
    <w:p w14:paraId="5B4EAF47" w14:textId="77777777" w:rsidR="0030589A" w:rsidRPr="0025452A" w:rsidRDefault="0030589A" w:rsidP="0030589A">
      <w:pPr>
        <w:rPr>
          <w:rFonts w:ascii="Arial" w:eastAsia="Times New Roman" w:hAnsi="Arial" w:cs="Arial"/>
          <w:strike/>
          <w:sz w:val="20"/>
          <w:szCs w:val="20"/>
          <w:lang w:val="en-GB" w:eastAsia="en-GB"/>
        </w:rPr>
      </w:pPr>
    </w:p>
    <w:p w14:paraId="74A72D07" w14:textId="77777777" w:rsidR="0030589A" w:rsidRPr="0025452A" w:rsidRDefault="0030589A" w:rsidP="0030589A">
      <w:pPr>
        <w:rPr>
          <w:rFonts w:ascii="Arial" w:eastAsia="Times New Roman" w:hAnsi="Arial" w:cs="Arial"/>
          <w:strike/>
          <w:sz w:val="20"/>
          <w:szCs w:val="20"/>
          <w:lang w:val="en-GB" w:eastAsia="en-GB"/>
        </w:rPr>
      </w:pPr>
    </w:p>
    <w:p w14:paraId="4C775782" w14:textId="77777777" w:rsidR="0030589A" w:rsidRPr="0025452A" w:rsidRDefault="0030589A" w:rsidP="0030589A">
      <w:pPr>
        <w:rPr>
          <w:rFonts w:ascii="Arial" w:eastAsia="Times New Roman" w:hAnsi="Arial" w:cs="Arial"/>
          <w:strike/>
          <w:sz w:val="20"/>
          <w:szCs w:val="20"/>
          <w:lang w:val="en-GB" w:eastAsia="en-GB"/>
        </w:rPr>
      </w:pPr>
      <w:r w:rsidRPr="0025452A">
        <w:rPr>
          <w:strike/>
          <w:noProof/>
        </w:rPr>
        <mc:AlternateContent>
          <mc:Choice Requires="wps">
            <w:drawing>
              <wp:anchor distT="0" distB="0" distL="114300" distR="114300" simplePos="0" relativeHeight="251664384" behindDoc="0" locked="0" layoutInCell="1" allowOverlap="1" wp14:anchorId="583D361C" wp14:editId="3F51A870">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0DAE"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1964FAB5" w14:textId="77777777" w:rsidR="0030589A" w:rsidRPr="0025452A" w:rsidRDefault="0030589A" w:rsidP="0030589A">
      <w:pPr>
        <w:spacing w:before="318" w:line="230" w:lineRule="exact"/>
        <w:textAlignment w:val="baseline"/>
        <w:rPr>
          <w:rFonts w:ascii="Arial" w:eastAsia="Arial" w:hAnsi="Arial"/>
          <w:strike/>
          <w:color w:val="000000"/>
          <w:sz w:val="20"/>
        </w:rPr>
      </w:pPr>
      <w:r w:rsidRPr="0025452A">
        <w:rPr>
          <w:rFonts w:ascii="Arial" w:eastAsia="Arial" w:hAnsi="Arial"/>
          <w:strike/>
          <w:color w:val="000000"/>
          <w:sz w:val="20"/>
        </w:rPr>
        <w:t>To be completed by the Authority</w:t>
      </w:r>
    </w:p>
    <w:p w14:paraId="51F2BB7C" w14:textId="77777777" w:rsidR="0030589A" w:rsidRPr="0025452A" w:rsidRDefault="0030589A" w:rsidP="0030589A">
      <w:pPr>
        <w:spacing w:before="231" w:line="230" w:lineRule="exact"/>
        <w:textAlignment w:val="baseline"/>
        <w:rPr>
          <w:rFonts w:ascii="Arial" w:eastAsia="Arial" w:hAnsi="Arial"/>
          <w:strike/>
          <w:color w:val="000000"/>
          <w:sz w:val="20"/>
        </w:rPr>
      </w:pPr>
      <w:r w:rsidRPr="0025452A">
        <w:rPr>
          <w:rFonts w:ascii="Arial" w:eastAsia="Arial" w:hAnsi="Arial"/>
          <w:strike/>
          <w:color w:val="000000"/>
          <w:sz w:val="20"/>
        </w:rPr>
        <w:t>Domestic Management Code (DMC):</w:t>
      </w:r>
    </w:p>
    <w:p w14:paraId="680F53B2" w14:textId="77777777" w:rsidR="0030589A" w:rsidRPr="0025452A" w:rsidRDefault="0030589A" w:rsidP="0030589A">
      <w:pPr>
        <w:spacing w:before="231" w:line="230" w:lineRule="exact"/>
        <w:textAlignment w:val="baseline"/>
        <w:rPr>
          <w:rFonts w:ascii="Arial" w:eastAsia="Arial" w:hAnsi="Arial"/>
          <w:strike/>
          <w:color w:val="000000"/>
          <w:spacing w:val="-1"/>
          <w:sz w:val="20"/>
        </w:rPr>
      </w:pPr>
      <w:r w:rsidRPr="0025452A">
        <w:rPr>
          <w:rFonts w:ascii="Arial" w:eastAsia="Arial" w:hAnsi="Arial"/>
          <w:strike/>
          <w:color w:val="000000"/>
          <w:spacing w:val="-1"/>
          <w:sz w:val="20"/>
        </w:rPr>
        <w:t>NATO Stock Number:</w:t>
      </w:r>
    </w:p>
    <w:p w14:paraId="2F0AB0BA" w14:textId="77777777" w:rsidR="0030589A" w:rsidRPr="0025452A" w:rsidRDefault="0030589A" w:rsidP="0030589A">
      <w:pPr>
        <w:spacing w:before="231" w:line="230" w:lineRule="exact"/>
        <w:textAlignment w:val="baseline"/>
        <w:rPr>
          <w:rFonts w:ascii="Arial" w:eastAsia="Arial" w:hAnsi="Arial"/>
          <w:strike/>
          <w:color w:val="000000"/>
          <w:spacing w:val="-1"/>
          <w:sz w:val="20"/>
        </w:rPr>
      </w:pPr>
      <w:r w:rsidRPr="0025452A">
        <w:rPr>
          <w:rFonts w:ascii="Arial" w:eastAsia="Arial" w:hAnsi="Arial"/>
          <w:strike/>
          <w:color w:val="000000"/>
          <w:spacing w:val="-1"/>
          <w:sz w:val="20"/>
        </w:rPr>
        <w:t>Contact Name:</w:t>
      </w:r>
    </w:p>
    <w:p w14:paraId="482A99F9" w14:textId="77777777" w:rsidR="0030589A" w:rsidRPr="0025452A" w:rsidRDefault="0030589A" w:rsidP="0030589A">
      <w:pPr>
        <w:spacing w:before="230" w:line="230" w:lineRule="exact"/>
        <w:textAlignment w:val="baseline"/>
        <w:rPr>
          <w:rFonts w:ascii="Arial" w:eastAsia="Arial" w:hAnsi="Arial"/>
          <w:strike/>
          <w:color w:val="000000"/>
          <w:spacing w:val="-1"/>
          <w:sz w:val="20"/>
        </w:rPr>
      </w:pPr>
      <w:r w:rsidRPr="0025452A">
        <w:rPr>
          <w:rFonts w:ascii="Arial" w:eastAsia="Arial" w:hAnsi="Arial"/>
          <w:strike/>
          <w:color w:val="000000"/>
          <w:spacing w:val="-1"/>
          <w:sz w:val="20"/>
        </w:rPr>
        <w:t>Contact Address:</w:t>
      </w:r>
    </w:p>
    <w:p w14:paraId="2561CD76" w14:textId="77777777" w:rsidR="0030589A" w:rsidRPr="0025452A" w:rsidRDefault="0030589A" w:rsidP="0030589A">
      <w:pPr>
        <w:spacing w:before="226" w:line="230" w:lineRule="exact"/>
        <w:textAlignment w:val="baseline"/>
        <w:rPr>
          <w:rFonts w:ascii="Arial" w:eastAsia="Arial" w:hAnsi="Arial"/>
          <w:strike/>
          <w:color w:val="000000"/>
          <w:spacing w:val="-1"/>
          <w:sz w:val="20"/>
        </w:rPr>
      </w:pPr>
      <w:r w:rsidRPr="0025452A">
        <w:rPr>
          <w:rFonts w:ascii="Arial" w:eastAsia="Arial" w:hAnsi="Arial"/>
          <w:strike/>
          <w:color w:val="000000"/>
          <w:spacing w:val="-1"/>
          <w:sz w:val="20"/>
        </w:rPr>
        <w:t>Copy to be forwarded to:</w:t>
      </w:r>
    </w:p>
    <w:p w14:paraId="3413DFD7" w14:textId="77777777" w:rsidR="0030589A" w:rsidRPr="0025452A" w:rsidRDefault="0030589A" w:rsidP="0030589A">
      <w:pPr>
        <w:spacing w:before="351" w:line="230" w:lineRule="exact"/>
        <w:textAlignment w:val="baseline"/>
        <w:rPr>
          <w:rFonts w:ascii="Arial" w:eastAsia="Arial" w:hAnsi="Arial"/>
          <w:strike/>
          <w:color w:val="000000"/>
          <w:sz w:val="20"/>
        </w:rPr>
      </w:pPr>
      <w:r w:rsidRPr="0025452A">
        <w:rPr>
          <w:rFonts w:ascii="Arial" w:eastAsia="Arial" w:hAnsi="Arial"/>
          <w:strike/>
          <w:color w:val="000000"/>
          <w:sz w:val="20"/>
        </w:rPr>
        <w:t>Hazardous Stores Information System (HSIS)</w:t>
      </w:r>
    </w:p>
    <w:p w14:paraId="797F08E1" w14:textId="77777777" w:rsidR="0030589A" w:rsidRPr="0025452A" w:rsidRDefault="0030589A" w:rsidP="0030589A">
      <w:pPr>
        <w:spacing w:before="1" w:line="230" w:lineRule="exact"/>
        <w:textAlignment w:val="baseline"/>
        <w:rPr>
          <w:rFonts w:ascii="Arial" w:eastAsia="Arial" w:hAnsi="Arial"/>
          <w:strike/>
          <w:color w:val="000000"/>
          <w:sz w:val="20"/>
        </w:rPr>
      </w:pPr>
      <w:r w:rsidRPr="0025452A">
        <w:rPr>
          <w:rFonts w:ascii="Arial" w:eastAsia="Arial" w:hAnsi="Arial"/>
          <w:strike/>
          <w:color w:val="000000"/>
          <w:sz w:val="20"/>
        </w:rPr>
        <w:t>Defence Safety Authority (DSA)</w:t>
      </w:r>
    </w:p>
    <w:p w14:paraId="19848E69" w14:textId="77777777" w:rsidR="0030589A" w:rsidRPr="0025452A" w:rsidRDefault="0030589A" w:rsidP="0030589A">
      <w:pPr>
        <w:spacing w:line="230" w:lineRule="exact"/>
        <w:textAlignment w:val="baseline"/>
        <w:rPr>
          <w:rFonts w:ascii="Arial" w:eastAsia="Arial" w:hAnsi="Arial"/>
          <w:strike/>
          <w:color w:val="000000"/>
          <w:sz w:val="20"/>
        </w:rPr>
      </w:pPr>
      <w:r w:rsidRPr="0025452A">
        <w:rPr>
          <w:rFonts w:ascii="Arial" w:eastAsia="Arial" w:hAnsi="Arial"/>
          <w:strike/>
          <w:color w:val="000000"/>
          <w:sz w:val="20"/>
        </w:rPr>
        <w:t>Movement Transport Safety Regulator (MTSR)</w:t>
      </w:r>
    </w:p>
    <w:p w14:paraId="0D581090" w14:textId="77777777" w:rsidR="0030589A" w:rsidRPr="0025452A" w:rsidRDefault="0030589A" w:rsidP="0030589A">
      <w:pPr>
        <w:spacing w:line="230" w:lineRule="exact"/>
        <w:textAlignment w:val="baseline"/>
        <w:rPr>
          <w:rFonts w:ascii="Arial" w:eastAsia="Arial" w:hAnsi="Arial"/>
          <w:strike/>
          <w:color w:val="000000"/>
          <w:sz w:val="20"/>
        </w:rPr>
      </w:pPr>
      <w:r w:rsidRPr="0025452A">
        <w:rPr>
          <w:rFonts w:ascii="Arial" w:eastAsia="Arial" w:hAnsi="Arial"/>
          <w:strike/>
          <w:color w:val="000000"/>
          <w:sz w:val="20"/>
        </w:rPr>
        <w:t>Hazel Building Level 1, #H019</w:t>
      </w:r>
    </w:p>
    <w:p w14:paraId="0680238E" w14:textId="77777777" w:rsidR="0030589A" w:rsidRPr="0025452A" w:rsidRDefault="0030589A" w:rsidP="0030589A">
      <w:pPr>
        <w:spacing w:before="1" w:line="230" w:lineRule="exact"/>
        <w:textAlignment w:val="baseline"/>
        <w:rPr>
          <w:rFonts w:ascii="Arial" w:eastAsia="Arial" w:hAnsi="Arial"/>
          <w:strike/>
          <w:color w:val="000000"/>
          <w:sz w:val="20"/>
        </w:rPr>
      </w:pPr>
      <w:r w:rsidRPr="0025452A">
        <w:rPr>
          <w:rFonts w:ascii="Arial" w:eastAsia="Arial" w:hAnsi="Arial"/>
          <w:strike/>
          <w:color w:val="000000"/>
          <w:sz w:val="20"/>
        </w:rPr>
        <w:t>MOD Abbey Wood (North)</w:t>
      </w:r>
    </w:p>
    <w:p w14:paraId="7CE0BDBF" w14:textId="77777777" w:rsidR="0030589A" w:rsidRPr="0025452A" w:rsidRDefault="0030589A" w:rsidP="0030589A">
      <w:pPr>
        <w:spacing w:line="230" w:lineRule="exact"/>
        <w:textAlignment w:val="baseline"/>
        <w:rPr>
          <w:rFonts w:ascii="Arial" w:eastAsia="Arial" w:hAnsi="Arial"/>
          <w:strike/>
          <w:color w:val="000000"/>
          <w:spacing w:val="-1"/>
          <w:sz w:val="20"/>
        </w:rPr>
      </w:pPr>
      <w:r w:rsidRPr="0025452A">
        <w:rPr>
          <w:rFonts w:ascii="Arial" w:eastAsia="Arial" w:hAnsi="Arial"/>
          <w:strike/>
          <w:color w:val="000000"/>
          <w:spacing w:val="-1"/>
          <w:sz w:val="20"/>
        </w:rPr>
        <w:t>Bristol BS34 8QW</w:t>
      </w:r>
    </w:p>
    <w:p w14:paraId="54DC4D4F" w14:textId="77777777" w:rsidR="0030589A" w:rsidRDefault="0030589A" w:rsidP="0030589A">
      <w:pPr>
        <w:sectPr w:rsidR="0030589A" w:rsidSect="001149A0">
          <w:pgSz w:w="11909" w:h="16843"/>
          <w:pgMar w:top="1020" w:right="1561" w:bottom="1560" w:left="1403" w:header="284" w:footer="720" w:gutter="0"/>
          <w:cols w:space="720"/>
        </w:sectPr>
      </w:pPr>
    </w:p>
    <w:p w14:paraId="228EB288" w14:textId="72773061" w:rsidR="0030589A" w:rsidRPr="003F03A0" w:rsidRDefault="0030589A" w:rsidP="0030589A">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sidR="00E749F5">
        <w:rPr>
          <w:rFonts w:ascii="Arial" w:eastAsia="Arial" w:hAnsi="Arial"/>
          <w:b/>
          <w:color w:val="000000"/>
          <w:sz w:val="20"/>
        </w:rPr>
        <w:t>4</w:t>
      </w:r>
      <w:r w:rsidR="003A22AF">
        <w:rPr>
          <w:rFonts w:ascii="Arial" w:eastAsia="Arial" w:hAnsi="Arial"/>
          <w:b/>
          <w:color w:val="000000"/>
          <w:sz w:val="20"/>
        </w:rPr>
        <w:t>5</w:t>
      </w:r>
    </w:p>
    <w:p w14:paraId="5763D549" w14:textId="77777777" w:rsidR="0030589A" w:rsidRDefault="0030589A" w:rsidP="0030589A">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BFA2F1B" w14:textId="77777777" w:rsidR="0030589A" w:rsidRDefault="0030589A" w:rsidP="0030589A">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30589A" w14:paraId="0FE6105F" w14:textId="77777777" w:rsidTr="001149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37EDF3A1" w14:textId="77777777" w:rsidR="0030589A" w:rsidRPr="006F3F6D" w:rsidRDefault="0030589A" w:rsidP="001149A0">
            <w:pPr>
              <w:spacing w:before="80" w:after="704"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 xml:space="preserve">Schedule of </w:t>
            </w:r>
            <w:r w:rsidRPr="006F3F6D">
              <w:rPr>
                <w:rFonts w:ascii="Arial" w:eastAsia="Arial" w:hAnsi="Arial"/>
                <w:b/>
                <w:strike/>
                <w:color w:val="000000"/>
                <w:sz w:val="20"/>
              </w:rPr>
              <w:br/>
              <w:t xml:space="preserve">Requirements </w:t>
            </w:r>
            <w:r w:rsidRPr="006F3F6D">
              <w:rPr>
                <w:rFonts w:ascii="Arial" w:eastAsia="Arial" w:hAnsi="Arial"/>
                <w:b/>
                <w:strike/>
                <w:color w:val="000000"/>
                <w:sz w:val="20"/>
              </w:rPr>
              <w:br/>
              <w:t xml:space="preserve">item and </w:t>
            </w:r>
            <w:r w:rsidRPr="006F3F6D">
              <w:rPr>
                <w:rFonts w:ascii="Arial" w:eastAsia="Arial" w:hAnsi="Arial"/>
                <w:b/>
                <w:strike/>
                <w:color w:val="000000"/>
                <w:sz w:val="20"/>
              </w:rPr>
              <w:br/>
              <w:t xml:space="preserve">timber product </w:t>
            </w:r>
            <w:r w:rsidRPr="006F3F6D">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3EA832A4" w14:textId="77777777" w:rsidR="0030589A" w:rsidRPr="006F3F6D" w:rsidRDefault="0030589A" w:rsidP="001149A0">
            <w:pPr>
              <w:spacing w:before="82" w:after="12"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 xml:space="preserve">Volume of </w:t>
            </w:r>
            <w:r w:rsidRPr="006F3F6D">
              <w:rPr>
                <w:rFonts w:ascii="Arial" w:eastAsia="Arial" w:hAnsi="Arial"/>
                <w:b/>
                <w:strike/>
                <w:color w:val="000000"/>
                <w:sz w:val="20"/>
              </w:rPr>
              <w:br/>
              <w:t xml:space="preserve">timber </w:t>
            </w:r>
            <w:r w:rsidRPr="006F3F6D">
              <w:rPr>
                <w:rFonts w:ascii="Arial" w:eastAsia="Arial" w:hAnsi="Arial"/>
                <w:b/>
                <w:strike/>
                <w:color w:val="000000"/>
                <w:sz w:val="20"/>
              </w:rPr>
              <w:br/>
              <w:t xml:space="preserve">Delivered to </w:t>
            </w:r>
            <w:r w:rsidRPr="006F3F6D">
              <w:rPr>
                <w:rFonts w:ascii="Arial" w:eastAsia="Arial" w:hAnsi="Arial"/>
                <w:b/>
                <w:strike/>
                <w:color w:val="000000"/>
                <w:sz w:val="20"/>
              </w:rPr>
              <w:br/>
              <w:t xml:space="preserve">the Authority </w:t>
            </w:r>
            <w:r w:rsidRPr="006F3F6D">
              <w:rPr>
                <w:rFonts w:ascii="Arial" w:eastAsia="Arial" w:hAnsi="Arial"/>
                <w:b/>
                <w:strike/>
                <w:color w:val="000000"/>
                <w:sz w:val="20"/>
              </w:rPr>
              <w:br/>
              <w:t xml:space="preserve">with FSC, </w:t>
            </w:r>
            <w:r w:rsidRPr="006F3F6D">
              <w:rPr>
                <w:rFonts w:ascii="Arial" w:eastAsia="Arial" w:hAnsi="Arial"/>
                <w:b/>
                <w:strike/>
                <w:color w:val="000000"/>
                <w:sz w:val="20"/>
              </w:rPr>
              <w:br/>
              <w:t xml:space="preserve">PEFC or </w:t>
            </w:r>
            <w:r w:rsidRPr="006F3F6D">
              <w:rPr>
                <w:rFonts w:ascii="Arial" w:eastAsia="Arial" w:hAnsi="Arial"/>
                <w:b/>
                <w:strike/>
                <w:color w:val="000000"/>
                <w:sz w:val="20"/>
              </w:rPr>
              <w:br/>
              <w:t xml:space="preserve">equivalent </w:t>
            </w:r>
            <w:r w:rsidRPr="006F3F6D">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55AB9E89" w14:textId="77777777" w:rsidR="0030589A" w:rsidRPr="006F3F6D" w:rsidRDefault="0030589A" w:rsidP="001149A0">
            <w:pPr>
              <w:spacing w:before="81" w:after="473"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 xml:space="preserve">Volume of </w:t>
            </w:r>
            <w:r w:rsidRPr="006F3F6D">
              <w:rPr>
                <w:rFonts w:ascii="Arial" w:eastAsia="Arial" w:hAnsi="Arial"/>
                <w:b/>
                <w:strike/>
                <w:color w:val="000000"/>
                <w:sz w:val="20"/>
              </w:rPr>
              <w:br/>
              <w:t xml:space="preserve">timber </w:t>
            </w:r>
            <w:r w:rsidRPr="006F3F6D">
              <w:rPr>
                <w:rFonts w:ascii="Arial" w:eastAsia="Arial" w:hAnsi="Arial"/>
                <w:b/>
                <w:strike/>
                <w:color w:val="000000"/>
                <w:sz w:val="20"/>
              </w:rPr>
              <w:br/>
              <w:t xml:space="preserve">Delivered to </w:t>
            </w:r>
            <w:r w:rsidRPr="006F3F6D">
              <w:rPr>
                <w:rFonts w:ascii="Arial" w:eastAsia="Arial" w:hAnsi="Arial"/>
                <w:b/>
                <w:strike/>
                <w:color w:val="000000"/>
                <w:sz w:val="20"/>
              </w:rPr>
              <w:br/>
              <w:t xml:space="preserve">the Authority </w:t>
            </w:r>
            <w:r w:rsidRPr="006F3F6D">
              <w:rPr>
                <w:rFonts w:ascii="Arial" w:eastAsia="Arial" w:hAnsi="Arial"/>
                <w:b/>
                <w:strike/>
                <w:color w:val="000000"/>
                <w:sz w:val="20"/>
              </w:rPr>
              <w:br/>
              <w:t xml:space="preserve">with other </w:t>
            </w:r>
            <w:r w:rsidRPr="006F3F6D">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33EDC942" w14:textId="77777777" w:rsidR="0030589A" w:rsidRPr="006F3F6D" w:rsidRDefault="0030589A" w:rsidP="001149A0">
            <w:pPr>
              <w:spacing w:before="81" w:after="243"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 xml:space="preserve">Volume (as Delivered </w:t>
            </w:r>
            <w:r w:rsidRPr="006F3F6D">
              <w:rPr>
                <w:rFonts w:ascii="Arial" w:eastAsia="Arial" w:hAnsi="Arial"/>
                <w:b/>
                <w:strike/>
                <w:color w:val="000000"/>
                <w:sz w:val="20"/>
              </w:rPr>
              <w:br/>
              <w:t xml:space="preserve">to the Authority) of </w:t>
            </w:r>
            <w:r w:rsidRPr="006F3F6D">
              <w:rPr>
                <w:rFonts w:ascii="Arial" w:eastAsia="Arial" w:hAnsi="Arial"/>
                <w:b/>
                <w:strike/>
                <w:color w:val="000000"/>
                <w:sz w:val="20"/>
              </w:rPr>
              <w:br/>
              <w:t xml:space="preserve">timber without </w:t>
            </w:r>
            <w:r w:rsidRPr="006F3F6D">
              <w:rPr>
                <w:rFonts w:ascii="Arial" w:eastAsia="Arial" w:hAnsi="Arial"/>
                <w:b/>
                <w:strike/>
                <w:color w:val="000000"/>
                <w:sz w:val="20"/>
              </w:rPr>
              <w:br/>
              <w:t xml:space="preserve">evidence of compliance </w:t>
            </w:r>
            <w:r w:rsidRPr="006F3F6D">
              <w:rPr>
                <w:rFonts w:ascii="Arial" w:eastAsia="Arial" w:hAnsi="Arial"/>
                <w:b/>
                <w:strike/>
                <w:color w:val="000000"/>
                <w:sz w:val="20"/>
              </w:rPr>
              <w:br/>
              <w:t xml:space="preserve">with Government </w:t>
            </w:r>
            <w:r w:rsidRPr="006F3F6D">
              <w:rPr>
                <w:rFonts w:ascii="Arial" w:eastAsia="Arial" w:hAnsi="Arial"/>
                <w:b/>
                <w:strike/>
                <w:color w:val="000000"/>
                <w:sz w:val="20"/>
              </w:rPr>
              <w:br/>
              <w:t xml:space="preserve">Timber Procurement </w:t>
            </w:r>
            <w:r w:rsidRPr="006F3F6D">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444EBA80" w14:textId="77777777" w:rsidR="0030589A" w:rsidRPr="006F3F6D" w:rsidRDefault="0030589A" w:rsidP="001149A0">
            <w:pPr>
              <w:spacing w:before="84"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Total volume</w:t>
            </w:r>
          </w:p>
          <w:p w14:paraId="1B558BF5" w14:textId="77777777" w:rsidR="0030589A" w:rsidRPr="006F3F6D" w:rsidRDefault="0030589A" w:rsidP="001149A0">
            <w:pPr>
              <w:spacing w:line="228" w:lineRule="exact"/>
              <w:ind w:left="216" w:firstLine="216"/>
              <w:textAlignment w:val="baseline"/>
              <w:rPr>
                <w:rFonts w:ascii="Arial" w:eastAsia="Arial" w:hAnsi="Arial"/>
                <w:b/>
                <w:strike/>
                <w:color w:val="000000"/>
                <w:sz w:val="20"/>
              </w:rPr>
            </w:pPr>
            <w:r w:rsidRPr="006F3F6D">
              <w:rPr>
                <w:rFonts w:ascii="Arial" w:eastAsia="Arial" w:hAnsi="Arial"/>
                <w:b/>
                <w:strike/>
                <w:color w:val="000000"/>
                <w:sz w:val="20"/>
              </w:rPr>
              <w:t>of timber Delivered to the Authority</w:t>
            </w:r>
          </w:p>
          <w:p w14:paraId="3BE6E61C" w14:textId="77777777" w:rsidR="0030589A" w:rsidRPr="006F3F6D" w:rsidRDefault="0030589A" w:rsidP="001149A0">
            <w:pPr>
              <w:spacing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under the</w:t>
            </w:r>
          </w:p>
          <w:p w14:paraId="24168B2D" w14:textId="77777777" w:rsidR="0030589A" w:rsidRPr="006F3F6D" w:rsidRDefault="0030589A" w:rsidP="001149A0">
            <w:pPr>
              <w:spacing w:before="1" w:after="473" w:line="230" w:lineRule="exact"/>
              <w:jc w:val="center"/>
              <w:textAlignment w:val="baseline"/>
              <w:rPr>
                <w:rFonts w:ascii="Arial" w:eastAsia="Arial" w:hAnsi="Arial"/>
                <w:b/>
                <w:strike/>
                <w:color w:val="000000"/>
                <w:sz w:val="20"/>
              </w:rPr>
            </w:pPr>
            <w:r w:rsidRPr="006F3F6D">
              <w:rPr>
                <w:rFonts w:ascii="Arial" w:eastAsia="Arial" w:hAnsi="Arial"/>
                <w:b/>
                <w:strike/>
                <w:color w:val="000000"/>
                <w:sz w:val="20"/>
              </w:rPr>
              <w:t>Contract</w:t>
            </w:r>
          </w:p>
        </w:tc>
      </w:tr>
      <w:tr w:rsidR="0030589A" w14:paraId="37B1FDE1"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80EC9E2"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A638D83"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838AD17"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154FE4E"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4ACE3F5"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r w:rsidR="0030589A" w14:paraId="040577E0"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2656C57"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7FA2A02"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32A77D9"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F44B9F6"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9F156B"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r w:rsidR="0030589A" w14:paraId="0A202C9E"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60D48339"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3BAFA0C"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7177E1E"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B4E23FB"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2FC74148"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r w:rsidR="0030589A" w14:paraId="10376724"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F5C6B7D"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679455D4"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0AD816E"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B4B2383"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9E4E86"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r w:rsidR="0030589A" w14:paraId="25DC933E"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387C7851"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A2083A9"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C67A1C4"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EB5BEF5"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D6BA66D"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r w:rsidR="0030589A" w14:paraId="571FA4D5" w14:textId="77777777" w:rsidTr="001149A0">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1A097DE1"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92ED7BC"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5172D94"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353C37FF"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23CF213"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bl>
    <w:p w14:paraId="740368BA" w14:textId="77777777" w:rsidR="0030589A" w:rsidRPr="00BB79D3" w:rsidRDefault="0030589A" w:rsidP="0030589A">
      <w:pPr>
        <w:rPr>
          <w:rFonts w:ascii="Arial" w:eastAsia="Arial" w:hAnsi="Arial"/>
          <w:sz w:val="20"/>
        </w:rPr>
      </w:pPr>
    </w:p>
    <w:p w14:paraId="41D5903F" w14:textId="77777777" w:rsidR="0030589A" w:rsidRDefault="0030589A"/>
    <w:sectPr w:rsidR="0030589A"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599E0" w14:textId="77777777" w:rsidR="00C2124F" w:rsidRDefault="00C2124F" w:rsidP="00212E27">
      <w:r>
        <w:separator/>
      </w:r>
    </w:p>
  </w:endnote>
  <w:endnote w:type="continuationSeparator" w:id="0">
    <w:p w14:paraId="1449593A" w14:textId="77777777" w:rsidR="00C2124F" w:rsidRDefault="00C2124F"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7D8B8" w14:textId="77777777" w:rsidR="00C2124F" w:rsidRDefault="00C2124F" w:rsidP="00212E27">
      <w:r>
        <w:separator/>
      </w:r>
    </w:p>
  </w:footnote>
  <w:footnote w:type="continuationSeparator" w:id="0">
    <w:p w14:paraId="389AE769" w14:textId="77777777" w:rsidR="00C2124F" w:rsidRDefault="00C2124F"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206217" w:rsidRDefault="00206217"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206217" w:rsidRDefault="00206217" w:rsidP="001149A0">
    <w:pPr>
      <w:pStyle w:val="Header"/>
      <w:tabs>
        <w:tab w:val="center" w:pos="4540"/>
        <w:tab w:val="left" w:pos="8375"/>
      </w:tabs>
      <w:jc w:val="right"/>
    </w:pPr>
    <w:r>
      <w:tab/>
      <w:t>OFFICIAL – COMMERCIAL                                                                                                                    MSCIPLOT45</w:t>
    </w:r>
  </w:p>
  <w:p w14:paraId="3F247635" w14:textId="77777777" w:rsidR="00206217" w:rsidRDefault="00206217" w:rsidP="001149A0">
    <w:pPr>
      <w:pStyle w:val="Header"/>
      <w:tabs>
        <w:tab w:val="left" w:pos="585"/>
        <w:tab w:val="center" w:pos="4540"/>
        <w:tab w:val="left" w:pos="8375"/>
      </w:tabs>
    </w:pPr>
    <w:r>
      <w:tab/>
    </w:r>
    <w:r>
      <w:tab/>
    </w:r>
    <w:r>
      <w:tab/>
    </w:r>
    <w:r>
      <w:tab/>
    </w:r>
    <w:r>
      <w:tab/>
    </w:r>
  </w:p>
  <w:p w14:paraId="74D79CBA" w14:textId="56D20D6E" w:rsidR="00206217" w:rsidRDefault="00206217"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206217" w:rsidRDefault="00206217"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206217"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206217" w:rsidRPr="00C40E41" w:rsidRDefault="00206217" w:rsidP="001149A0">
          <w:pPr>
            <w:jc w:val="center"/>
            <w:rPr>
              <w:rFonts w:ascii="Arial" w:eastAsia="Arial" w:hAnsi="Arial" w:cs="Arial"/>
              <w:bCs/>
              <w:sz w:val="20"/>
              <w:szCs w:val="20"/>
              <w:lang w:val="en-GB"/>
            </w:rPr>
          </w:pPr>
        </w:p>
        <w:p w14:paraId="48E450F0" w14:textId="77777777" w:rsidR="00206217" w:rsidRPr="00C40E41" w:rsidRDefault="00206217" w:rsidP="001149A0">
          <w:pPr>
            <w:jc w:val="center"/>
            <w:rPr>
              <w:rFonts w:ascii="Arial" w:eastAsia="Arial" w:hAnsi="Arial" w:cs="Arial"/>
              <w:bCs/>
              <w:sz w:val="20"/>
              <w:szCs w:val="20"/>
              <w:lang w:val="en-GB"/>
            </w:rPr>
          </w:pPr>
        </w:p>
        <w:p w14:paraId="7A01E957" w14:textId="77777777" w:rsidR="00206217" w:rsidRPr="00C40E41" w:rsidRDefault="00206217" w:rsidP="001149A0">
          <w:pPr>
            <w:jc w:val="center"/>
            <w:rPr>
              <w:rFonts w:ascii="Arial" w:eastAsia="Arial" w:hAnsi="Arial" w:cs="Arial"/>
              <w:bCs/>
              <w:sz w:val="20"/>
              <w:szCs w:val="20"/>
              <w:lang w:val="en-GB"/>
            </w:rPr>
          </w:pPr>
        </w:p>
        <w:p w14:paraId="3661ACDC"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206217" w:rsidRPr="00C40E41" w:rsidRDefault="00206217"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206217"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206217" w:rsidRPr="00C40E41" w:rsidRDefault="00206217"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206217" w:rsidRPr="00C40E41" w:rsidRDefault="00206217"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206217" w:rsidRDefault="00206217"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206217" w:rsidRDefault="00206217"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 w:numId="113">
    <w:abstractNumId w:val="0"/>
  </w:num>
  <w:num w:numId="114">
    <w:abstractNumId w:val="4"/>
  </w:num>
  <w:num w:numId="115">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518D8"/>
    <w:rsid w:val="00065E48"/>
    <w:rsid w:val="00087C8D"/>
    <w:rsid w:val="000B7B69"/>
    <w:rsid w:val="000C7192"/>
    <w:rsid w:val="0011280D"/>
    <w:rsid w:val="001149A0"/>
    <w:rsid w:val="00130AB8"/>
    <w:rsid w:val="00142A91"/>
    <w:rsid w:val="00156B69"/>
    <w:rsid w:val="00193494"/>
    <w:rsid w:val="001D7DF0"/>
    <w:rsid w:val="002022A0"/>
    <w:rsid w:val="002033C2"/>
    <w:rsid w:val="00206217"/>
    <w:rsid w:val="00212E27"/>
    <w:rsid w:val="0025452A"/>
    <w:rsid w:val="002726EA"/>
    <w:rsid w:val="00280EFE"/>
    <w:rsid w:val="0030589A"/>
    <w:rsid w:val="003309FB"/>
    <w:rsid w:val="00383713"/>
    <w:rsid w:val="003A2206"/>
    <w:rsid w:val="003A22AF"/>
    <w:rsid w:val="003F1321"/>
    <w:rsid w:val="004012DF"/>
    <w:rsid w:val="00405A16"/>
    <w:rsid w:val="0048316C"/>
    <w:rsid w:val="004E7F4F"/>
    <w:rsid w:val="005075EE"/>
    <w:rsid w:val="005B529F"/>
    <w:rsid w:val="005E2D75"/>
    <w:rsid w:val="006735BB"/>
    <w:rsid w:val="006B602E"/>
    <w:rsid w:val="006D6C54"/>
    <w:rsid w:val="006F3F6D"/>
    <w:rsid w:val="00710F98"/>
    <w:rsid w:val="0072144C"/>
    <w:rsid w:val="00726C24"/>
    <w:rsid w:val="00743BBD"/>
    <w:rsid w:val="00753F22"/>
    <w:rsid w:val="00755EF9"/>
    <w:rsid w:val="007B1305"/>
    <w:rsid w:val="007B7BD1"/>
    <w:rsid w:val="007D1EF2"/>
    <w:rsid w:val="00807450"/>
    <w:rsid w:val="0084185D"/>
    <w:rsid w:val="008C2393"/>
    <w:rsid w:val="008C5E0E"/>
    <w:rsid w:val="00915EFF"/>
    <w:rsid w:val="009362E0"/>
    <w:rsid w:val="00954AF3"/>
    <w:rsid w:val="00991E81"/>
    <w:rsid w:val="009A755E"/>
    <w:rsid w:val="009D159D"/>
    <w:rsid w:val="009E722D"/>
    <w:rsid w:val="00A35DEB"/>
    <w:rsid w:val="00A44C09"/>
    <w:rsid w:val="00A70A77"/>
    <w:rsid w:val="00A733F6"/>
    <w:rsid w:val="00A77C96"/>
    <w:rsid w:val="00A85195"/>
    <w:rsid w:val="00A86735"/>
    <w:rsid w:val="00AA7B5B"/>
    <w:rsid w:val="00AE4376"/>
    <w:rsid w:val="00AF2807"/>
    <w:rsid w:val="00B03FD4"/>
    <w:rsid w:val="00B0761B"/>
    <w:rsid w:val="00B674C6"/>
    <w:rsid w:val="00BA6484"/>
    <w:rsid w:val="00BB7F6F"/>
    <w:rsid w:val="00C2124F"/>
    <w:rsid w:val="00C25332"/>
    <w:rsid w:val="00C25CED"/>
    <w:rsid w:val="00C678F1"/>
    <w:rsid w:val="00C91FB3"/>
    <w:rsid w:val="00D741B4"/>
    <w:rsid w:val="00D92657"/>
    <w:rsid w:val="00DB05F7"/>
    <w:rsid w:val="00DC52D9"/>
    <w:rsid w:val="00DD36C7"/>
    <w:rsid w:val="00E04F85"/>
    <w:rsid w:val="00E632AC"/>
    <w:rsid w:val="00E749F5"/>
    <w:rsid w:val="00E80277"/>
    <w:rsid w:val="00EB56DE"/>
    <w:rsid w:val="00F3484D"/>
    <w:rsid w:val="00FC0744"/>
    <w:rsid w:val="00FC36F0"/>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 w:type="character" w:styleId="UnresolvedMention">
    <w:name w:val="Unresolved Mention"/>
    <w:basedOn w:val="DefaultParagraphFont"/>
    <w:uiPriority w:val="99"/>
    <w:semiHidden/>
    <w:unhideWhenUsed/>
    <w:rsid w:val="00A7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0281">
      <w:bodyDiv w:val="1"/>
      <w:marLeft w:val="0"/>
      <w:marRight w:val="0"/>
      <w:marTop w:val="0"/>
      <w:marBottom w:val="0"/>
      <w:divBdr>
        <w:top w:val="none" w:sz="0" w:space="0" w:color="auto"/>
        <w:left w:val="none" w:sz="0" w:space="0" w:color="auto"/>
        <w:bottom w:val="none" w:sz="0" w:space="0" w:color="auto"/>
        <w:right w:val="none" w:sz="0" w:space="0" w:color="auto"/>
      </w:divBdr>
    </w:div>
    <w:div w:id="330838919">
      <w:bodyDiv w:val="1"/>
      <w:marLeft w:val="0"/>
      <w:marRight w:val="0"/>
      <w:marTop w:val="0"/>
      <w:marBottom w:val="0"/>
      <w:divBdr>
        <w:top w:val="none" w:sz="0" w:space="0" w:color="auto"/>
        <w:left w:val="none" w:sz="0" w:space="0" w:color="auto"/>
        <w:bottom w:val="none" w:sz="0" w:space="0" w:color="auto"/>
        <w:right w:val="none" w:sz="0" w:space="0" w:color="auto"/>
      </w:divBdr>
    </w:div>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137451060">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241907592">
      <w:bodyDiv w:val="1"/>
      <w:marLeft w:val="0"/>
      <w:marRight w:val="0"/>
      <w:marTop w:val="0"/>
      <w:marBottom w:val="0"/>
      <w:divBdr>
        <w:top w:val="none" w:sz="0" w:space="0" w:color="auto"/>
        <w:left w:val="none" w:sz="0" w:space="0" w:color="auto"/>
        <w:bottom w:val="none" w:sz="0" w:space="0" w:color="auto"/>
        <w:right w:val="none" w:sz="0" w:space="0" w:color="auto"/>
      </w:divBdr>
    </w:div>
    <w:div w:id="1269311846">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 w:id="18068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9063-6A4E-41EB-A09B-73983062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21652</Words>
  <Characters>123420</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3</cp:revision>
  <dcterms:created xsi:type="dcterms:W3CDTF">2020-08-05T12:53:00Z</dcterms:created>
  <dcterms:modified xsi:type="dcterms:W3CDTF">2020-08-05T12:55:00Z</dcterms:modified>
</cp:coreProperties>
</file>