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wp:posOffset>
            </wp:positionH>
            <wp:positionV relativeFrom="paragraph">
              <wp:posOffset>311785</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(iii) Lot 3–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3)</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3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3 by uploading a zip file containing the certificate(s) to question 1.35.7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 COPPs</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3. </w:t>
      </w:r>
    </w:p>
    <w:p w:rsidR="00000000" w:rsidDel="00000000" w:rsidP="00000000" w:rsidRDefault="00000000" w:rsidRPr="00000000" w14:paraId="00000017">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3.</w:t>
      </w:r>
    </w:p>
    <w:p w:rsidR="00000000" w:rsidDel="00000000" w:rsidP="00000000" w:rsidRDefault="00000000" w:rsidRPr="00000000" w14:paraId="00000018">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9">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3</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3 is HGV's from 7.5T and above.</w:t>
      </w:r>
      <w:r w:rsidDel="00000000" w:rsidR="00000000" w:rsidRPr="00000000">
        <w:rPr>
          <w:rtl w:val="0"/>
        </w:rPr>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F">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1">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5">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6">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7">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9">
      <w:pP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Attachment 2d (iii) Lot 3 – Certificate of Performance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1">
      <w:pPr>
        <w:spacing w:after="240" w:before="240" w:lineRule="auto"/>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HGVs from 7.5T and above as a minimum as this is a mandatory deliverable for Lot 3.  </w:t>
      </w:r>
    </w:p>
    <w:p w:rsidR="00000000" w:rsidDel="00000000" w:rsidP="00000000" w:rsidRDefault="00000000" w:rsidRPr="00000000" w14:paraId="00000042">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3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HGVs from 7.5T and above </w:t>
            </w:r>
            <w:r w:rsidDel="00000000" w:rsidR="00000000" w:rsidRPr="00000000">
              <w:rPr>
                <w:rFonts w:ascii="Arial" w:cs="Arial" w:eastAsia="Arial" w:hAnsi="Arial"/>
                <w:rtl w:val="0"/>
              </w:rPr>
              <w:t xml:space="preserve">(Mandatory)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Municipal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Street scene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Tractor units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Trailers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Hot boxes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Tippers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Dropsides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Crane-related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specialist HGVs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8">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69">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6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6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F">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71">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F">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bhe0t1t0BXtaAt7c6nWO1b2uNw==">AMUW2mUWmHkP0rz1Q34LKicCJXlxtr5I64oIFqOJpVtVsChU4f+Xks5S4CvBe0YkcOn/35BxQYnsLYwS5I9t7HtbNyj6B4ac/Wn1E3CnD+K6RjnAGvLoYPKJLUVyo/5NjYRj/zBDQD6R3c7ahmyY5X85CLO8diwAcQ==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2022-10-25T13:19:00Z</dcterms:created>
  <dc:creator>Beha Houlousi</dc:creator>
</cp:coreProperties>
</file>