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FDDC7" w14:textId="77777777" w:rsidR="006F588C" w:rsidRDefault="006F588C" w:rsidP="007D76BE">
      <w:pPr>
        <w:jc w:val="both"/>
        <w:rPr>
          <w:rFonts w:asciiTheme="minorHAnsi" w:hAnsiTheme="minorHAnsi"/>
          <w:b/>
        </w:rPr>
      </w:pPr>
    </w:p>
    <w:p w14:paraId="0B2A2B87" w14:textId="32BBD4D7" w:rsidR="007D76BE" w:rsidRDefault="007D76BE" w:rsidP="007D76BE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1. Name of Programme Team</w:t>
      </w:r>
    </w:p>
    <w:p w14:paraId="549C351C" w14:textId="3AAF2E0C" w:rsidR="007D76BE" w:rsidRPr="007D76BE" w:rsidRDefault="007D76BE" w:rsidP="007D76BE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Climate Change Team – WWF-UK</w:t>
      </w:r>
    </w:p>
    <w:p w14:paraId="07AE4406" w14:textId="0FC96507" w:rsidR="007D76BE" w:rsidRDefault="007D76BE" w:rsidP="007D76BE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2. N</w:t>
      </w:r>
      <w:bookmarkStart w:id="0" w:name="_GoBack"/>
      <w:bookmarkEnd w:id="0"/>
      <w:r>
        <w:rPr>
          <w:rFonts w:asciiTheme="minorHAnsi" w:hAnsiTheme="minorHAnsi"/>
          <w:b/>
        </w:rPr>
        <w:t>ame of Project</w:t>
      </w:r>
    </w:p>
    <w:p w14:paraId="468A69FD" w14:textId="77777777" w:rsidR="007D76BE" w:rsidRPr="007D76BE" w:rsidRDefault="007D76BE" w:rsidP="007D76BE">
      <w:pPr>
        <w:jc w:val="both"/>
        <w:rPr>
          <w:rFonts w:asciiTheme="minorHAnsi" w:hAnsiTheme="minorHAnsi"/>
          <w:bCs/>
        </w:rPr>
      </w:pPr>
      <w:r w:rsidRPr="007D76BE">
        <w:rPr>
          <w:rFonts w:asciiTheme="minorHAnsi" w:hAnsiTheme="minorHAnsi"/>
          <w:bCs/>
        </w:rPr>
        <w:t>Redefining Climate Leadership in the Food Industry</w:t>
      </w:r>
    </w:p>
    <w:p w14:paraId="3A727C54" w14:textId="1EB7E498" w:rsidR="007D76BE" w:rsidRDefault="007D76BE" w:rsidP="007D76BE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3. Purpose of project</w:t>
      </w:r>
    </w:p>
    <w:p w14:paraId="55186EDE" w14:textId="3D93D5BF" w:rsidR="007D76BE" w:rsidRDefault="007D76BE" w:rsidP="007D76BE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This project seeks to </w:t>
      </w:r>
      <w:r w:rsidR="00D76804">
        <w:rPr>
          <w:rFonts w:asciiTheme="minorHAnsi" w:hAnsiTheme="minorHAnsi"/>
          <w:bCs/>
        </w:rPr>
        <w:t>define</w:t>
      </w:r>
      <w:r>
        <w:rPr>
          <w:rFonts w:asciiTheme="minorHAnsi" w:hAnsiTheme="minorHAnsi"/>
          <w:bCs/>
        </w:rPr>
        <w:t xml:space="preserve"> </w:t>
      </w:r>
      <w:r w:rsidR="00D76804">
        <w:rPr>
          <w:rFonts w:asciiTheme="minorHAnsi" w:hAnsiTheme="minorHAnsi"/>
          <w:bCs/>
        </w:rPr>
        <w:t>climate leadership in the food industry, 2020 and beyond</w:t>
      </w:r>
    </w:p>
    <w:p w14:paraId="1DFE1EEC" w14:textId="243AE405" w:rsidR="00767131" w:rsidRPr="007D76BE" w:rsidRDefault="007D76BE" w:rsidP="00777DDD">
      <w:pPr>
        <w:jc w:val="both"/>
        <w:rPr>
          <w:rFonts w:asciiTheme="minorHAnsi" w:hAnsiTheme="minorHAnsi"/>
          <w:b/>
        </w:rPr>
      </w:pPr>
      <w:r w:rsidRPr="007D76BE">
        <w:rPr>
          <w:rFonts w:asciiTheme="minorHAnsi" w:hAnsiTheme="minorHAnsi"/>
          <w:b/>
        </w:rPr>
        <w:t>4. Background</w:t>
      </w:r>
    </w:p>
    <w:p w14:paraId="438C23B0" w14:textId="3583D37E" w:rsidR="001F2F9C" w:rsidRDefault="001916D6" w:rsidP="00777DDD">
      <w:pPr>
        <w:jc w:val="both"/>
      </w:pPr>
      <w:r>
        <w:t>With the impacts of climate change increasingly visible, c</w:t>
      </w:r>
      <w:r w:rsidR="003452FD" w:rsidRPr="003452FD">
        <w:t>onsumer and employee expectations for corporate climate action are soaring.</w:t>
      </w:r>
      <w:r w:rsidR="003452FD">
        <w:t xml:space="preserve"> </w:t>
      </w:r>
      <w:r w:rsidR="003452FD" w:rsidRPr="003452FD">
        <w:t>Investors are demanding to know how companies are assessing, evaluating, and reducing climate-related risks and seizing opportunities.</w:t>
      </w:r>
    </w:p>
    <w:p w14:paraId="7FEC6C3B" w14:textId="1D556157" w:rsidR="003E5332" w:rsidRDefault="003E5332" w:rsidP="00777DDD">
      <w:pPr>
        <w:jc w:val="both"/>
      </w:pPr>
      <w:r w:rsidRPr="003E5332">
        <w:t>The role of corporate climate leaders</w:t>
      </w:r>
      <w:r w:rsidR="00B158E1">
        <w:t>hip</w:t>
      </w:r>
      <w:r w:rsidRPr="003E5332">
        <w:t xml:space="preserve"> is more important than ever</w:t>
      </w:r>
      <w:r w:rsidRPr="00AB49C1">
        <w:t>.</w:t>
      </w:r>
      <w:r w:rsidRPr="00AB49C1">
        <w:rPr>
          <w:rFonts w:ascii="Cambria" w:hAnsi="Cambria" w:cs="Cambria"/>
        </w:rPr>
        <w:t> </w:t>
      </w:r>
      <w:r w:rsidRPr="00AB49C1">
        <w:t>The scale of corporate action to date has been impressive, but it is not enough to deliver a sustainable future.</w:t>
      </w:r>
      <w:r w:rsidRPr="003E5332">
        <w:t xml:space="preserve"> The bar for leadership is rising</w:t>
      </w:r>
      <w:r w:rsidR="006F7F3F">
        <w:t xml:space="preserve">, and it is imperative that </w:t>
      </w:r>
      <w:r w:rsidR="00965FCC">
        <w:t>companies bring their stakeholders, including suppliers and customers, on the journey with them.</w:t>
      </w:r>
    </w:p>
    <w:p w14:paraId="38F50CCA" w14:textId="4F7B7C23" w:rsidR="00813086" w:rsidRDefault="009F5A99" w:rsidP="00777DDD">
      <w:pPr>
        <w:jc w:val="both"/>
      </w:pPr>
      <w:r>
        <w:t>WWF is working with</w:t>
      </w:r>
      <w:r w:rsidR="00767131" w:rsidRPr="00FD6AB2">
        <w:t xml:space="preserve"> one of the largest</w:t>
      </w:r>
      <w:r w:rsidR="00767131">
        <w:t xml:space="preserve"> global food retailers</w:t>
      </w:r>
      <w:r w:rsidR="00D9750F">
        <w:t xml:space="preserve"> to help reduce their</w:t>
      </w:r>
      <w:r w:rsidR="00767131">
        <w:t xml:space="preserve"> environmental </w:t>
      </w:r>
      <w:r w:rsidR="00813086">
        <w:t>impact and</w:t>
      </w:r>
      <w:r w:rsidR="00777DDD">
        <w:t xml:space="preserve"> l</w:t>
      </w:r>
      <w:r w:rsidR="001E2B6A">
        <w:t xml:space="preserve">ead the way for others </w:t>
      </w:r>
      <w:r w:rsidR="00777DDD">
        <w:t>to do the same</w:t>
      </w:r>
      <w:r w:rsidR="00767131">
        <w:t xml:space="preserve">. </w:t>
      </w:r>
      <w:r w:rsidR="00E171B4">
        <w:t>A</w:t>
      </w:r>
      <w:r w:rsidR="003D7A72">
        <w:t xml:space="preserve">ctions </w:t>
      </w:r>
      <w:r w:rsidR="00E171B4">
        <w:t xml:space="preserve">to date </w:t>
      </w:r>
      <w:r w:rsidR="003D7A72">
        <w:t>have included:</w:t>
      </w:r>
    </w:p>
    <w:p w14:paraId="2BF87F0B" w14:textId="2C136A2F" w:rsidR="00813086" w:rsidRDefault="00813086" w:rsidP="00813086">
      <w:pPr>
        <w:pStyle w:val="ListParagraph"/>
        <w:numPr>
          <w:ilvl w:val="0"/>
          <w:numId w:val="3"/>
        </w:numPr>
        <w:jc w:val="both"/>
      </w:pPr>
      <w:r>
        <w:t>I</w:t>
      </w:r>
      <w:r w:rsidR="00767131">
        <w:t xml:space="preserve">n 2009 </w:t>
      </w:r>
      <w:r w:rsidR="007F7C0E">
        <w:t>they wer</w:t>
      </w:r>
      <w:r w:rsidR="00767131">
        <w:t xml:space="preserve">e </w:t>
      </w:r>
      <w:r w:rsidR="007F7C0E">
        <w:t xml:space="preserve">the </w:t>
      </w:r>
      <w:r w:rsidR="00767131">
        <w:t>first company to commit to becoming zero carbon by 2050</w:t>
      </w:r>
      <w:r w:rsidR="00777DDD">
        <w:t xml:space="preserve">, </w:t>
      </w:r>
    </w:p>
    <w:p w14:paraId="772EA4C8" w14:textId="3F0A316A" w:rsidR="00767131" w:rsidRDefault="00813086" w:rsidP="00C82CA3">
      <w:pPr>
        <w:pStyle w:val="ListParagraph"/>
        <w:numPr>
          <w:ilvl w:val="0"/>
          <w:numId w:val="3"/>
        </w:numPr>
        <w:jc w:val="both"/>
      </w:pPr>
      <w:r>
        <w:t>In</w:t>
      </w:r>
      <w:r w:rsidR="00777DDD">
        <w:t xml:space="preserve"> 2017 </w:t>
      </w:r>
      <w:r w:rsidR="00E171B4">
        <w:t xml:space="preserve">they </w:t>
      </w:r>
      <w:r w:rsidR="001E2B6A">
        <w:t>became</w:t>
      </w:r>
      <w:r w:rsidR="00767131">
        <w:t xml:space="preserve"> the first company in the world to set ambitious S</w:t>
      </w:r>
      <w:r w:rsidR="00777DDD">
        <w:t xml:space="preserve">cience </w:t>
      </w:r>
      <w:r w:rsidR="00767131">
        <w:t>B</w:t>
      </w:r>
      <w:r w:rsidR="00777DDD">
        <w:t xml:space="preserve">ased </w:t>
      </w:r>
      <w:r w:rsidR="00767131">
        <w:t>T</w:t>
      </w:r>
      <w:r w:rsidR="00777DDD">
        <w:t>arget</w:t>
      </w:r>
      <w:r w:rsidR="00767131">
        <w:t>s</w:t>
      </w:r>
      <w:r w:rsidR="00777DDD">
        <w:t xml:space="preserve"> (SBTs)</w:t>
      </w:r>
      <w:r w:rsidR="00767131">
        <w:t xml:space="preserve"> aligned to 1.5C</w:t>
      </w:r>
      <w:r w:rsidR="001E2B6A">
        <w:t xml:space="preserve"> for our own operations.</w:t>
      </w:r>
    </w:p>
    <w:p w14:paraId="57AE2D85" w14:textId="26CFD96A" w:rsidR="005043D4" w:rsidRDefault="005043D4" w:rsidP="005043D4">
      <w:pPr>
        <w:pStyle w:val="ListParagraph"/>
        <w:numPr>
          <w:ilvl w:val="0"/>
          <w:numId w:val="3"/>
        </w:numPr>
        <w:jc w:val="both"/>
      </w:pPr>
      <w:r>
        <w:t xml:space="preserve">In 2017 </w:t>
      </w:r>
      <w:r w:rsidR="00E171B4">
        <w:t>they</w:t>
      </w:r>
      <w:r>
        <w:t xml:space="preserve"> also set scope 3 SBTs aligned to 2C, as per the SBTi approved methodology available for a sector-wide target at the time.</w:t>
      </w:r>
    </w:p>
    <w:p w14:paraId="28075C5F" w14:textId="39BAEC00" w:rsidR="00F47FDE" w:rsidRDefault="001E2B6A" w:rsidP="001916D6">
      <w:pPr>
        <w:jc w:val="both"/>
      </w:pPr>
      <w:r>
        <w:t xml:space="preserve">Since then, </w:t>
      </w:r>
      <w:r w:rsidR="001916D6">
        <w:t>the company has</w:t>
      </w:r>
      <w:r>
        <w:t xml:space="preserve"> made strong progress in both energy </w:t>
      </w:r>
      <w:r w:rsidR="001916D6">
        <w:t>efficiencies and</w:t>
      </w:r>
      <w:r>
        <w:t xml:space="preserve"> addressing emissions hotsp</w:t>
      </w:r>
      <w:r w:rsidR="009240C5">
        <w:t xml:space="preserve">ots. </w:t>
      </w:r>
    </w:p>
    <w:p w14:paraId="52FC8D4C" w14:textId="5DB1C8A2" w:rsidR="00C6337B" w:rsidRDefault="00C6337B" w:rsidP="001916D6">
      <w:pPr>
        <w:jc w:val="both"/>
      </w:pPr>
      <w:r>
        <w:rPr>
          <w:rFonts w:asciiTheme="minorHAnsi" w:hAnsiTheme="minorHAnsi"/>
          <w:b/>
        </w:rPr>
        <w:t>5. Project Scope</w:t>
      </w:r>
    </w:p>
    <w:p w14:paraId="3B9913C1" w14:textId="110F1F39" w:rsidR="00813086" w:rsidRDefault="006B039F" w:rsidP="001916D6">
      <w:pPr>
        <w:jc w:val="both"/>
      </w:pPr>
      <w:r>
        <w:t>In order to go further</w:t>
      </w:r>
      <w:r w:rsidR="002335CF">
        <w:t xml:space="preserve"> and help shape climate leadership for the retail industry, </w:t>
      </w:r>
      <w:r w:rsidR="00D41856">
        <w:t xml:space="preserve">we are looking to work with an independent consultant to shape and define the journey of climate leadership for a multinational </w:t>
      </w:r>
      <w:r w:rsidR="00D76804">
        <w:t xml:space="preserve">food </w:t>
      </w:r>
      <w:r w:rsidR="00D41856">
        <w:t xml:space="preserve">company, today and tomorrow </w:t>
      </w:r>
      <w:r w:rsidR="00162D82">
        <w:t>(including trends, opportunities, pitfalls to watch out for, etc.)</w:t>
      </w:r>
      <w:r w:rsidR="002E1954">
        <w:t>.</w:t>
      </w:r>
      <w:r w:rsidR="00F47FDE">
        <w:t xml:space="preserve"> This should include:</w:t>
      </w:r>
    </w:p>
    <w:p w14:paraId="4DC29CCE" w14:textId="75276CDB" w:rsidR="002E1954" w:rsidRDefault="00813086" w:rsidP="002E1954">
      <w:pPr>
        <w:pStyle w:val="ListParagraph"/>
        <w:numPr>
          <w:ilvl w:val="0"/>
          <w:numId w:val="2"/>
        </w:numPr>
        <w:jc w:val="both"/>
      </w:pPr>
      <w:r>
        <w:t xml:space="preserve">Where the greatest potential innovations are to be unlocked </w:t>
      </w:r>
      <w:r w:rsidR="00162D82">
        <w:t>in technology, policy, and practice (both own operations and supply chain)</w:t>
      </w:r>
      <w:r w:rsidR="002E1954">
        <w:t>.</w:t>
      </w:r>
    </w:p>
    <w:p w14:paraId="0487FFAE" w14:textId="756F8C4E" w:rsidR="002E1954" w:rsidRDefault="002E1954" w:rsidP="002E1954">
      <w:pPr>
        <w:pStyle w:val="ListParagraph"/>
        <w:numPr>
          <w:ilvl w:val="0"/>
          <w:numId w:val="2"/>
        </w:numPr>
        <w:jc w:val="both"/>
      </w:pPr>
      <w:r>
        <w:t xml:space="preserve">A mapped view of where </w:t>
      </w:r>
      <w:r w:rsidR="00F47FDE">
        <w:t xml:space="preserve">competitors, </w:t>
      </w:r>
      <w:r>
        <w:t xml:space="preserve">peers </w:t>
      </w:r>
      <w:r w:rsidR="00F47FDE">
        <w:t xml:space="preserve">and other sector leaders </w:t>
      </w:r>
      <w:r>
        <w:t>are across various climate commitments and activities.</w:t>
      </w:r>
    </w:p>
    <w:p w14:paraId="78B72861" w14:textId="7CDBE1B5" w:rsidR="00162D82" w:rsidRDefault="00BE5E82" w:rsidP="002D368F">
      <w:pPr>
        <w:jc w:val="both"/>
      </w:pPr>
      <w:r>
        <w:t>C</w:t>
      </w:r>
      <w:r w:rsidR="00777DDD">
        <w:t>omplet</w:t>
      </w:r>
      <w:r>
        <w:t>ion of work no later than</w:t>
      </w:r>
      <w:r w:rsidR="00777DDD">
        <w:t xml:space="preserve"> </w:t>
      </w:r>
      <w:r w:rsidR="004F784D">
        <w:t>May</w:t>
      </w:r>
      <w:r w:rsidR="00777DDD">
        <w:t xml:space="preserve"> </w:t>
      </w:r>
      <w:r>
        <w:t>1</w:t>
      </w:r>
      <w:r w:rsidRPr="00BE5E82">
        <w:rPr>
          <w:vertAlign w:val="superscript"/>
        </w:rPr>
        <w:t>st</w:t>
      </w:r>
      <w:proofErr w:type="gramStart"/>
      <w:r>
        <w:t xml:space="preserve"> </w:t>
      </w:r>
      <w:r w:rsidR="00777DDD">
        <w:t>2021</w:t>
      </w:r>
      <w:proofErr w:type="gramEnd"/>
      <w:r w:rsidR="004F784D">
        <w:t>.</w:t>
      </w:r>
    </w:p>
    <w:p w14:paraId="75DFC572" w14:textId="77777777" w:rsidR="00467FAB" w:rsidRDefault="00A31D85" w:rsidP="00467FAB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6. Outputs (not exhaustive)</w:t>
      </w:r>
    </w:p>
    <w:p w14:paraId="29A03E25" w14:textId="77777777" w:rsidR="00467FAB" w:rsidRDefault="00467FAB" w:rsidP="00467FAB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</w:p>
    <w:p w14:paraId="1006A062" w14:textId="0A1C298F" w:rsidR="00162D82" w:rsidRDefault="00162D82" w:rsidP="00C82CA3">
      <w:pPr>
        <w:pStyle w:val="ListParagraph"/>
        <w:numPr>
          <w:ilvl w:val="0"/>
          <w:numId w:val="5"/>
        </w:numPr>
      </w:pPr>
      <w:r>
        <w:t xml:space="preserve">Virtual workshop to socialise interim results (with </w:t>
      </w:r>
      <w:r w:rsidR="00CC30CB">
        <w:t>WWF and core</w:t>
      </w:r>
      <w:r>
        <w:t xml:space="preserve"> </w:t>
      </w:r>
      <w:r w:rsidR="00D427FC">
        <w:t>company</w:t>
      </w:r>
      <w:r>
        <w:t xml:space="preserve"> experts)</w:t>
      </w:r>
    </w:p>
    <w:p w14:paraId="694380AD" w14:textId="6FC6A8A4" w:rsidR="00162D82" w:rsidRDefault="00162D82" w:rsidP="00C82CA3">
      <w:pPr>
        <w:pStyle w:val="ListParagraph"/>
        <w:numPr>
          <w:ilvl w:val="0"/>
          <w:numId w:val="5"/>
        </w:numPr>
      </w:pPr>
      <w:r>
        <w:t xml:space="preserve">Final report (PPT or PDF) </w:t>
      </w:r>
    </w:p>
    <w:p w14:paraId="19F84E58" w14:textId="40EFB969" w:rsidR="009B2865" w:rsidRDefault="00162D82" w:rsidP="00C82CA3">
      <w:pPr>
        <w:pStyle w:val="ListParagraph"/>
        <w:numPr>
          <w:ilvl w:val="0"/>
          <w:numId w:val="5"/>
        </w:numPr>
      </w:pPr>
      <w:r>
        <w:t xml:space="preserve">Virtual workshop to deliver </w:t>
      </w:r>
      <w:proofErr w:type="gramStart"/>
      <w:r>
        <w:t>final results</w:t>
      </w:r>
      <w:proofErr w:type="gramEnd"/>
      <w:r>
        <w:t xml:space="preserve"> (with </w:t>
      </w:r>
      <w:r w:rsidR="00CC30CB">
        <w:t xml:space="preserve">WWF, </w:t>
      </w:r>
      <w:r>
        <w:t xml:space="preserve">core </w:t>
      </w:r>
      <w:r w:rsidR="00D427FC">
        <w:t>company</w:t>
      </w:r>
      <w:r>
        <w:t xml:space="preserve"> experts + senior business leaders)</w:t>
      </w:r>
    </w:p>
    <w:p w14:paraId="1F1C650A" w14:textId="77777777" w:rsidR="009B2865" w:rsidRDefault="009B2865" w:rsidP="009B2865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7. Budget/Costs</w:t>
      </w:r>
    </w:p>
    <w:p w14:paraId="1F5D0381" w14:textId="77777777" w:rsidR="009B2865" w:rsidRDefault="009B2865" w:rsidP="009B2865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34C8A40F" w14:textId="33F16185" w:rsidR="00BE5E82" w:rsidRDefault="009B2865" w:rsidP="00BE5E82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invite respondents to indicate their budget requirements for this project within their proposal, WWF’s normal process is to make 100% of payment upon delivery of the requested products, but alternative payment schedules could be considered.</w:t>
      </w:r>
    </w:p>
    <w:p w14:paraId="4E370BE6" w14:textId="77777777" w:rsidR="00BE5E82" w:rsidRPr="00BE5E82" w:rsidRDefault="00BE5E82" w:rsidP="00BE5E82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</w:p>
    <w:p w14:paraId="532527C8" w14:textId="77777777" w:rsidR="00BE5E82" w:rsidRDefault="00BE5E82" w:rsidP="00BE5E82">
      <w:pPr>
        <w:pStyle w:val="Default"/>
        <w:tabs>
          <w:tab w:val="left" w:pos="6093"/>
        </w:tabs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8.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Submission of Proposal</w:t>
      </w:r>
    </w:p>
    <w:p w14:paraId="5373FF71" w14:textId="77777777" w:rsidR="00BE5E82" w:rsidRDefault="00BE5E82" w:rsidP="00BE5E82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241B7F73" w14:textId="77777777" w:rsidR="00BE5E82" w:rsidRDefault="00BE5E82" w:rsidP="00BE5E82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co-ordinating contractor shall submit their proposal by email by midday, 27</w:t>
      </w:r>
      <w:r>
        <w:rPr>
          <w:rFonts w:asciiTheme="minorHAnsi" w:hAnsiTheme="minorHAnsi"/>
          <w:sz w:val="22"/>
          <w:szCs w:val="22"/>
          <w:vertAlign w:val="superscript"/>
        </w:rPr>
        <w:t>th</w:t>
      </w:r>
      <w:r>
        <w:rPr>
          <w:rFonts w:asciiTheme="minorHAnsi" w:hAnsiTheme="minorHAnsi"/>
          <w:sz w:val="22"/>
          <w:szCs w:val="22"/>
        </w:rPr>
        <w:t xml:space="preserve"> January 2020 to Seán Mallon.  The proposal must contain:</w:t>
      </w:r>
    </w:p>
    <w:p w14:paraId="4DF519BF" w14:textId="77777777" w:rsidR="00BE5E82" w:rsidRDefault="00BE5E82" w:rsidP="00BE5E82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4EE98C5A" w14:textId="77777777" w:rsidR="00BE5E82" w:rsidRDefault="00BE5E82" w:rsidP="00BE5E82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their bid, consultants should set out and support with evidence where necessary their proposed approach and methodology, their relevant experience, an outline project plan and full costs and expenses.</w:t>
      </w:r>
    </w:p>
    <w:p w14:paraId="70BA3BF9" w14:textId="77777777" w:rsidR="00BE5E82" w:rsidRDefault="00BE5E82" w:rsidP="00BE5E82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Indicative timeline of work carried out and proposed delivery date.</w:t>
      </w:r>
    </w:p>
    <w:p w14:paraId="339BB326" w14:textId="77777777" w:rsidR="00BE5E82" w:rsidRDefault="00BE5E82" w:rsidP="00BE5E82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7347DA9" w14:textId="77777777" w:rsidR="00BE5E82" w:rsidRDefault="00BE5E82" w:rsidP="00BE5E82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9. Contact details</w:t>
      </w:r>
    </w:p>
    <w:p w14:paraId="33C5B9D3" w14:textId="77777777" w:rsidR="00BE5E82" w:rsidRDefault="00BE5E82" w:rsidP="00BE5E82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3B5207CA" w14:textId="790A1A61" w:rsidR="00BE5E82" w:rsidRPr="00BE5E82" w:rsidRDefault="00BE5E82" w:rsidP="00BE5E82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nominated officer for this contract will be - Seán Mallon, Climate Change Specialist, WWF-UK, </w:t>
      </w:r>
      <w:hyperlink r:id="rId11" w:history="1">
        <w:r w:rsidRPr="006F588C">
          <w:rPr>
            <w:rStyle w:val="Hyperlink"/>
            <w:rFonts w:asciiTheme="minorHAnsi" w:hAnsiTheme="minorHAnsi"/>
            <w:sz w:val="22"/>
            <w:szCs w:val="22"/>
          </w:rPr>
          <w:t>smallon@wwf.org.uk</w:t>
        </w:r>
      </w:hyperlink>
    </w:p>
    <w:p w14:paraId="7D8CB751" w14:textId="77777777" w:rsidR="004B015B" w:rsidRDefault="004B015B" w:rsidP="009B2865"/>
    <w:p w14:paraId="1A61A78D" w14:textId="77777777" w:rsidR="004B015B" w:rsidRPr="004B015B" w:rsidRDefault="004B015B" w:rsidP="004B015B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  <w:r w:rsidRPr="004B015B">
        <w:rPr>
          <w:rFonts w:asciiTheme="minorHAnsi" w:hAnsiTheme="minorHAnsi"/>
          <w:b/>
          <w:bCs/>
          <w:sz w:val="22"/>
          <w:szCs w:val="22"/>
        </w:rPr>
        <w:t>10. Preferred Contracting Approach</w:t>
      </w:r>
    </w:p>
    <w:p w14:paraId="2F657FD9" w14:textId="77777777" w:rsidR="004B015B" w:rsidRPr="004B015B" w:rsidRDefault="004B015B" w:rsidP="004B015B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3E68770" w14:textId="77777777" w:rsidR="004B015B" w:rsidRPr="00A2201A" w:rsidRDefault="004B015B" w:rsidP="004B015B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A2201A">
        <w:rPr>
          <w:rFonts w:asciiTheme="minorHAnsi" w:hAnsiTheme="minorHAnsi"/>
          <w:sz w:val="22"/>
          <w:szCs w:val="22"/>
        </w:rPr>
        <w:t>Please see attached WWF’s standard terms and conditions of contract. In your response, please indicate whether these are acceptable or whether you would wish to propose any alternative terms.</w:t>
      </w:r>
    </w:p>
    <w:p w14:paraId="5DAC6C13" w14:textId="0207BA8F" w:rsidR="009240C5" w:rsidRDefault="009240C5" w:rsidP="009B2865">
      <w:r>
        <w:br w:type="page"/>
      </w:r>
    </w:p>
    <w:p w14:paraId="3ABAFF14" w14:textId="77777777" w:rsidR="00777DDD" w:rsidRDefault="009240C5" w:rsidP="00777DDD">
      <w:pPr>
        <w:jc w:val="both"/>
        <w:rPr>
          <w:u w:val="single"/>
        </w:rPr>
      </w:pPr>
      <w:r w:rsidRPr="009240C5">
        <w:rPr>
          <w:u w:val="single"/>
        </w:rPr>
        <w:lastRenderedPageBreak/>
        <w:t>Appendix</w:t>
      </w:r>
    </w:p>
    <w:p w14:paraId="32D86481" w14:textId="77777777" w:rsidR="009240C5" w:rsidRDefault="009240C5" w:rsidP="00777DDD">
      <w:pPr>
        <w:jc w:val="both"/>
      </w:pPr>
      <w:r>
        <w:t>Impact of divestments from Asia and Poland on our current progress vs targets:</w:t>
      </w:r>
    </w:p>
    <w:tbl>
      <w:tblPr>
        <w:tblW w:w="7655" w:type="dxa"/>
        <w:jc w:val="center"/>
        <w:tblLook w:val="04A0" w:firstRow="1" w:lastRow="0" w:firstColumn="1" w:lastColumn="0" w:noHBand="0" w:noVBand="1"/>
      </w:tblPr>
      <w:tblGrid>
        <w:gridCol w:w="2268"/>
        <w:gridCol w:w="2977"/>
        <w:gridCol w:w="2410"/>
      </w:tblGrid>
      <w:tr w:rsidR="009240C5" w:rsidRPr="009240C5" w14:paraId="2DF77C82" w14:textId="77777777" w:rsidTr="00647FBF">
        <w:trPr>
          <w:trHeight w:val="576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center"/>
            <w:hideMark/>
          </w:tcPr>
          <w:p w14:paraId="32947238" w14:textId="77777777" w:rsidR="009240C5" w:rsidRPr="009240C5" w:rsidRDefault="009240C5" w:rsidP="00647FB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9240C5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2020 Status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03EEA185" w14:textId="77777777" w:rsidR="009240C5" w:rsidRPr="009240C5" w:rsidRDefault="009240C5" w:rsidP="00647FBF">
            <w:pPr>
              <w:spacing w:after="0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9240C5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% carbon emission reduction vs 2015 baseline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74B71041" w14:textId="77777777" w:rsidR="009240C5" w:rsidRPr="009240C5" w:rsidRDefault="009240C5" w:rsidP="00647FBF">
            <w:pPr>
              <w:spacing w:after="0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9240C5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% of electricity demand that is renewable</w:t>
            </w:r>
          </w:p>
        </w:tc>
      </w:tr>
      <w:tr w:rsidR="009240C5" w:rsidRPr="009240C5" w14:paraId="00FBD718" w14:textId="77777777" w:rsidTr="00647FBF">
        <w:trPr>
          <w:trHeight w:val="288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0A705A7A" w14:textId="77777777" w:rsidR="009240C5" w:rsidRPr="009240C5" w:rsidRDefault="009240C5" w:rsidP="00647FBF">
            <w:pPr>
              <w:spacing w:after="0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9240C5">
              <w:rPr>
                <w:rFonts w:ascii="Calibri" w:eastAsia="Times New Roman" w:hAnsi="Calibri" w:cs="Calibri"/>
                <w:color w:val="FFFFFF"/>
                <w:lang w:eastAsia="en-GB"/>
              </w:rPr>
              <w:t>Group pre-sales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34BA63B" w14:textId="77777777" w:rsidR="009240C5" w:rsidRPr="009240C5" w:rsidRDefault="009240C5" w:rsidP="00647FB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40C5">
              <w:rPr>
                <w:rFonts w:ascii="Calibri" w:eastAsia="Times New Roman" w:hAnsi="Calibri" w:cs="Calibri"/>
                <w:color w:val="000000"/>
                <w:lang w:eastAsia="en-GB"/>
              </w:rPr>
              <w:t>-38%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834E9D8" w14:textId="77777777" w:rsidR="009240C5" w:rsidRPr="009240C5" w:rsidRDefault="009240C5" w:rsidP="00647FB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40C5">
              <w:rPr>
                <w:rFonts w:ascii="Calibri" w:eastAsia="Times New Roman" w:hAnsi="Calibri" w:cs="Calibri"/>
                <w:color w:val="000000"/>
                <w:lang w:eastAsia="en-GB"/>
              </w:rPr>
              <w:t>68%</w:t>
            </w:r>
          </w:p>
        </w:tc>
      </w:tr>
      <w:tr w:rsidR="009240C5" w:rsidRPr="009240C5" w14:paraId="58F0BDEE" w14:textId="77777777" w:rsidTr="00647FBF">
        <w:trPr>
          <w:trHeight w:val="288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58775C1B" w14:textId="77777777" w:rsidR="009240C5" w:rsidRPr="009240C5" w:rsidRDefault="009240C5" w:rsidP="00647FBF">
            <w:pPr>
              <w:spacing w:after="0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9240C5">
              <w:rPr>
                <w:rFonts w:ascii="Calibri" w:eastAsia="Times New Roman" w:hAnsi="Calibri" w:cs="Calibri"/>
                <w:color w:val="FFFFFF"/>
                <w:lang w:eastAsia="en-GB"/>
              </w:rPr>
              <w:t>Group post-sales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6154DF9" w14:textId="77777777" w:rsidR="009240C5" w:rsidRPr="009240C5" w:rsidRDefault="009240C5" w:rsidP="00647FB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40C5">
              <w:rPr>
                <w:rFonts w:ascii="Calibri" w:eastAsia="Times New Roman" w:hAnsi="Calibri" w:cs="Calibri"/>
                <w:color w:val="000000"/>
                <w:lang w:eastAsia="en-GB"/>
              </w:rPr>
              <w:t>-46%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A5D50C7" w14:textId="77777777" w:rsidR="009240C5" w:rsidRPr="009240C5" w:rsidRDefault="009240C5" w:rsidP="00647FB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40C5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  <w:tr w:rsidR="009240C5" w:rsidRPr="009240C5" w14:paraId="7CE3C54F" w14:textId="77777777" w:rsidTr="00647FBF">
        <w:trPr>
          <w:trHeight w:val="288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26B332EC" w14:textId="77777777" w:rsidR="009240C5" w:rsidRPr="009240C5" w:rsidRDefault="009240C5" w:rsidP="00647FBF">
            <w:pPr>
              <w:spacing w:after="0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9240C5">
              <w:rPr>
                <w:rFonts w:ascii="Calibri" w:eastAsia="Times New Roman" w:hAnsi="Calibri" w:cs="Calibri"/>
                <w:color w:val="FFFFFF"/>
                <w:lang w:eastAsia="en-GB"/>
              </w:rPr>
              <w:t>Group current target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3B54AF2" w14:textId="77777777" w:rsidR="009240C5" w:rsidRPr="009240C5" w:rsidRDefault="009240C5" w:rsidP="00647FB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40C5">
              <w:rPr>
                <w:rFonts w:ascii="Calibri" w:eastAsia="Times New Roman" w:hAnsi="Calibri" w:cs="Calibri"/>
                <w:color w:val="000000"/>
                <w:lang w:eastAsia="en-GB"/>
              </w:rPr>
              <w:t>-35%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D08FD22" w14:textId="77777777" w:rsidR="009240C5" w:rsidRPr="009240C5" w:rsidRDefault="009240C5" w:rsidP="00647FB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40C5">
              <w:rPr>
                <w:rFonts w:ascii="Calibri" w:eastAsia="Times New Roman" w:hAnsi="Calibri" w:cs="Calibri"/>
                <w:color w:val="000000"/>
                <w:lang w:eastAsia="en-GB"/>
              </w:rPr>
              <w:t>65%</w:t>
            </w:r>
          </w:p>
        </w:tc>
      </w:tr>
    </w:tbl>
    <w:p w14:paraId="49155E3C" w14:textId="77777777" w:rsidR="009240C5" w:rsidRPr="009240C5" w:rsidRDefault="009240C5" w:rsidP="00777DDD">
      <w:pPr>
        <w:jc w:val="both"/>
        <w:rPr>
          <w:sz w:val="18"/>
        </w:rPr>
      </w:pPr>
      <w:r w:rsidRPr="009240C5">
        <w:rPr>
          <w:sz w:val="18"/>
        </w:rPr>
        <w:t>Fig 1.</w:t>
      </w:r>
    </w:p>
    <w:p w14:paraId="53CD0B6C" w14:textId="77777777" w:rsidR="002D368F" w:rsidRDefault="002D368F" w:rsidP="00777DDD">
      <w:pPr>
        <w:jc w:val="both"/>
        <w:rPr>
          <w:rFonts w:ascii="Arial" w:hAnsi="Arial" w:cs="Arial"/>
          <w:color w:val="000000"/>
        </w:rPr>
      </w:pPr>
    </w:p>
    <w:p w14:paraId="7C3C1016" w14:textId="26BDD09D" w:rsidR="002D368F" w:rsidRDefault="002D368F" w:rsidP="00777DDD">
      <w:pPr>
        <w:jc w:val="both"/>
      </w:pPr>
      <w:r>
        <w:t xml:space="preserve">Tesco’s current SBTi approved </w:t>
      </w:r>
      <w:r w:rsidR="007835D8">
        <w:t>targets for own operations</w:t>
      </w:r>
      <w:r>
        <w:t>:</w:t>
      </w:r>
    </w:p>
    <w:tbl>
      <w:tblPr>
        <w:tblW w:w="10520" w:type="dxa"/>
        <w:jc w:val="center"/>
        <w:tblLook w:val="04A0" w:firstRow="1" w:lastRow="0" w:firstColumn="1" w:lastColumn="0" w:noHBand="0" w:noVBand="1"/>
      </w:tblPr>
      <w:tblGrid>
        <w:gridCol w:w="3760"/>
        <w:gridCol w:w="2540"/>
        <w:gridCol w:w="2300"/>
        <w:gridCol w:w="960"/>
        <w:gridCol w:w="960"/>
      </w:tblGrid>
      <w:tr w:rsidR="002D368F" w:rsidRPr="002D368F" w14:paraId="626B69FF" w14:textId="77777777" w:rsidTr="002D368F">
        <w:trPr>
          <w:trHeight w:val="288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center"/>
            <w:hideMark/>
          </w:tcPr>
          <w:p w14:paraId="274224BD" w14:textId="77777777" w:rsidR="002D368F" w:rsidRPr="002D368F" w:rsidRDefault="002D368F" w:rsidP="002D368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2D368F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Science-based targets (2015 baseline)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2F882D2B" w14:textId="77777777" w:rsidR="002D368F" w:rsidRPr="002D368F" w:rsidRDefault="002D368F" w:rsidP="002D368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2D368F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1639A18A" w14:textId="77777777" w:rsidR="002D368F" w:rsidRPr="002D368F" w:rsidRDefault="002D368F" w:rsidP="002D368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2D368F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3BF6F995" w14:textId="77777777" w:rsidR="002D368F" w:rsidRPr="002D368F" w:rsidRDefault="002D368F" w:rsidP="002D368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2D368F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2030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0CD1A9CA" w14:textId="77777777" w:rsidR="002D368F" w:rsidRPr="002D368F" w:rsidRDefault="002D368F" w:rsidP="002D368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2D368F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2050</w:t>
            </w:r>
          </w:p>
        </w:tc>
      </w:tr>
      <w:tr w:rsidR="002D368F" w:rsidRPr="002D368F" w14:paraId="578C5F88" w14:textId="77777777" w:rsidTr="002D368F">
        <w:trPr>
          <w:trHeight w:val="288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hideMark/>
          </w:tcPr>
          <w:p w14:paraId="4DCE3DA4" w14:textId="77777777" w:rsidR="002D368F" w:rsidRPr="002D368F" w:rsidRDefault="002D368F" w:rsidP="002D368F">
            <w:pPr>
              <w:spacing w:after="0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2D368F">
              <w:rPr>
                <w:rFonts w:ascii="Calibri" w:eastAsia="Times New Roman" w:hAnsi="Calibri" w:cs="Calibri"/>
                <w:color w:val="FFFFFF"/>
                <w:lang w:eastAsia="en-GB"/>
              </w:rPr>
              <w:t xml:space="preserve">Tesco own </w:t>
            </w:r>
            <w:proofErr w:type="spellStart"/>
            <w:r w:rsidRPr="002D368F">
              <w:rPr>
                <w:rFonts w:ascii="Calibri" w:eastAsia="Times New Roman" w:hAnsi="Calibri" w:cs="Calibri"/>
                <w:color w:val="FFFFFF"/>
                <w:lang w:eastAsia="en-GB"/>
              </w:rPr>
              <w:t>opertations</w:t>
            </w:r>
            <w:proofErr w:type="spellEnd"/>
            <w:r w:rsidRPr="002D368F">
              <w:rPr>
                <w:rFonts w:ascii="Calibri" w:eastAsia="Times New Roman" w:hAnsi="Calibri" w:cs="Calibri"/>
                <w:color w:val="FFFFFF"/>
                <w:lang w:eastAsia="en-GB"/>
              </w:rPr>
              <w:t xml:space="preserve"> (1.5C trajectory)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C1FACE4" w14:textId="77777777" w:rsidR="002D368F" w:rsidRPr="002D368F" w:rsidRDefault="002D368F" w:rsidP="002D368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368F">
              <w:rPr>
                <w:rFonts w:ascii="Calibri" w:eastAsia="Times New Roman" w:hAnsi="Calibri" w:cs="Calibri"/>
                <w:color w:val="000000"/>
                <w:lang w:eastAsia="en-GB"/>
              </w:rPr>
              <w:t>-35%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638B1BE" w14:textId="77777777" w:rsidR="002D368F" w:rsidRPr="002D368F" w:rsidRDefault="002D368F" w:rsidP="002D368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368F">
              <w:rPr>
                <w:rFonts w:ascii="Calibri" w:eastAsia="Times New Roman" w:hAnsi="Calibri" w:cs="Calibri"/>
                <w:color w:val="000000"/>
                <w:lang w:eastAsia="en-GB"/>
              </w:rPr>
              <w:t>-60%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807BD3C" w14:textId="77777777" w:rsidR="002D368F" w:rsidRPr="002D368F" w:rsidRDefault="002D368F" w:rsidP="002D368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368F">
              <w:rPr>
                <w:rFonts w:ascii="Calibri" w:eastAsia="Times New Roman" w:hAnsi="Calibri" w:cs="Calibri"/>
                <w:color w:val="000000"/>
                <w:lang w:eastAsia="en-GB"/>
              </w:rPr>
              <w:t>-85%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BF38043" w14:textId="77777777" w:rsidR="002D368F" w:rsidRPr="002D368F" w:rsidRDefault="002D368F" w:rsidP="002D368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368F">
              <w:rPr>
                <w:rFonts w:ascii="Calibri" w:eastAsia="Times New Roman" w:hAnsi="Calibri" w:cs="Calibri"/>
                <w:color w:val="000000"/>
                <w:lang w:eastAsia="en-GB"/>
              </w:rPr>
              <w:t>-100%</w:t>
            </w:r>
          </w:p>
        </w:tc>
      </w:tr>
    </w:tbl>
    <w:p w14:paraId="284985C6" w14:textId="6AE7E59B" w:rsidR="009240C5" w:rsidRPr="002D368F" w:rsidRDefault="002D368F" w:rsidP="00777DDD">
      <w:pPr>
        <w:jc w:val="both"/>
        <w:rPr>
          <w:sz w:val="18"/>
        </w:rPr>
      </w:pPr>
      <w:r w:rsidRPr="009240C5">
        <w:rPr>
          <w:sz w:val="18"/>
        </w:rPr>
        <w:t xml:space="preserve">Fig </w:t>
      </w:r>
      <w:r>
        <w:rPr>
          <w:sz w:val="18"/>
        </w:rPr>
        <w:t>2.</w:t>
      </w:r>
    </w:p>
    <w:p w14:paraId="279DB3EE" w14:textId="73E79590" w:rsidR="00767131" w:rsidRDefault="00767131" w:rsidP="00767131">
      <w:pPr>
        <w:rPr>
          <w:u w:val="single"/>
        </w:rPr>
      </w:pPr>
    </w:p>
    <w:p w14:paraId="08B65E7E" w14:textId="77777777" w:rsidR="007835D8" w:rsidRPr="00317818" w:rsidRDefault="007835D8" w:rsidP="007835D8">
      <w:pPr>
        <w:jc w:val="both"/>
      </w:pPr>
      <w:r>
        <w:t>Tesco’s current SBTi approved supply chain targets:</w:t>
      </w:r>
    </w:p>
    <w:tbl>
      <w:tblPr>
        <w:tblW w:w="10520" w:type="dxa"/>
        <w:jc w:val="center"/>
        <w:tblLook w:val="04A0" w:firstRow="1" w:lastRow="0" w:firstColumn="1" w:lastColumn="0" w:noHBand="0" w:noVBand="1"/>
      </w:tblPr>
      <w:tblGrid>
        <w:gridCol w:w="3760"/>
        <w:gridCol w:w="2540"/>
        <w:gridCol w:w="2300"/>
        <w:gridCol w:w="960"/>
        <w:gridCol w:w="960"/>
      </w:tblGrid>
      <w:tr w:rsidR="007835D8" w:rsidRPr="00317818" w14:paraId="05ED58F1" w14:textId="77777777" w:rsidTr="00A16633">
        <w:trPr>
          <w:trHeight w:val="288"/>
          <w:jc w:val="center"/>
        </w:trPr>
        <w:tc>
          <w:tcPr>
            <w:tcW w:w="630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305496"/>
            <w:vAlign w:val="center"/>
            <w:hideMark/>
          </w:tcPr>
          <w:p w14:paraId="0EDDDF79" w14:textId="77777777" w:rsidR="007835D8" w:rsidRPr="00317818" w:rsidRDefault="007835D8" w:rsidP="00A1663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317818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Science-based targets (2015 baseline)</w:t>
            </w:r>
          </w:p>
        </w:tc>
        <w:tc>
          <w:tcPr>
            <w:tcW w:w="23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05496"/>
            <w:vAlign w:val="bottom"/>
            <w:hideMark/>
          </w:tcPr>
          <w:p w14:paraId="70D2CADE" w14:textId="77777777" w:rsidR="007835D8" w:rsidRPr="00317818" w:rsidRDefault="007835D8" w:rsidP="00A1663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317818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2020</w:t>
            </w:r>
          </w:p>
        </w:tc>
        <w:tc>
          <w:tcPr>
            <w:tcW w:w="9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05496"/>
            <w:vAlign w:val="bottom"/>
            <w:hideMark/>
          </w:tcPr>
          <w:p w14:paraId="61BDA367" w14:textId="77777777" w:rsidR="007835D8" w:rsidRPr="00317818" w:rsidRDefault="007835D8" w:rsidP="00A1663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317818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2025</w:t>
            </w:r>
          </w:p>
        </w:tc>
        <w:tc>
          <w:tcPr>
            <w:tcW w:w="9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05496"/>
            <w:vAlign w:val="bottom"/>
            <w:hideMark/>
          </w:tcPr>
          <w:p w14:paraId="433290E4" w14:textId="77777777" w:rsidR="007835D8" w:rsidRPr="00317818" w:rsidRDefault="007835D8" w:rsidP="00A1663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317818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2030</w:t>
            </w:r>
          </w:p>
        </w:tc>
      </w:tr>
      <w:tr w:rsidR="007835D8" w:rsidRPr="00317818" w14:paraId="43D9A628" w14:textId="77777777" w:rsidTr="00A16633">
        <w:trPr>
          <w:trHeight w:val="576"/>
          <w:jc w:val="center"/>
        </w:trPr>
        <w:tc>
          <w:tcPr>
            <w:tcW w:w="37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305496"/>
            <w:vAlign w:val="center"/>
            <w:hideMark/>
          </w:tcPr>
          <w:p w14:paraId="7D79CE6B" w14:textId="77777777" w:rsidR="007835D8" w:rsidRPr="00317818" w:rsidRDefault="007835D8" w:rsidP="00A16633">
            <w:pPr>
              <w:spacing w:after="0"/>
              <w:jc w:val="center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317818">
              <w:rPr>
                <w:rFonts w:ascii="Calibri" w:eastAsia="Times New Roman" w:hAnsi="Calibri" w:cs="Calibri"/>
                <w:color w:val="FFFFFF"/>
                <w:lang w:eastAsia="en-GB"/>
              </w:rPr>
              <w:t>Tesco supply chain (2C trajectory)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05496"/>
            <w:vAlign w:val="bottom"/>
            <w:hideMark/>
          </w:tcPr>
          <w:p w14:paraId="44F0D9E7" w14:textId="77777777" w:rsidR="007835D8" w:rsidRPr="00317818" w:rsidRDefault="007835D8" w:rsidP="00A16633">
            <w:pPr>
              <w:spacing w:after="0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317818">
              <w:rPr>
                <w:rFonts w:ascii="Calibri" w:eastAsia="Times New Roman" w:hAnsi="Calibri" w:cs="Calibri"/>
                <w:color w:val="FFFFFF"/>
                <w:lang w:eastAsia="en-GB"/>
              </w:rPr>
              <w:t>Food manufacturing and production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66E456A5" w14:textId="77777777" w:rsidR="007835D8" w:rsidRPr="00317818" w:rsidRDefault="007835D8" w:rsidP="00A1663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17818">
              <w:rPr>
                <w:rFonts w:ascii="Calibri" w:eastAsia="Times New Roman" w:hAnsi="Calibri" w:cs="Calibri"/>
                <w:color w:val="000000"/>
                <w:lang w:eastAsia="en-GB"/>
              </w:rPr>
              <w:t>-7%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60DCEF13" w14:textId="77777777" w:rsidR="007835D8" w:rsidRPr="00317818" w:rsidRDefault="007835D8" w:rsidP="00A1663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17818">
              <w:rPr>
                <w:rFonts w:ascii="Calibri" w:eastAsia="Times New Roman" w:hAnsi="Calibri" w:cs="Calibri"/>
                <w:color w:val="000000"/>
                <w:lang w:eastAsia="en-GB"/>
              </w:rPr>
              <w:t>-20%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16CCA4C4" w14:textId="77777777" w:rsidR="007835D8" w:rsidRPr="00317818" w:rsidRDefault="007835D8" w:rsidP="00A1663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17818">
              <w:rPr>
                <w:rFonts w:ascii="Calibri" w:eastAsia="Times New Roman" w:hAnsi="Calibri" w:cs="Calibri"/>
                <w:color w:val="000000"/>
                <w:lang w:eastAsia="en-GB"/>
              </w:rPr>
              <w:t>-35%</w:t>
            </w:r>
          </w:p>
        </w:tc>
      </w:tr>
      <w:tr w:rsidR="007835D8" w:rsidRPr="00317818" w14:paraId="06566E29" w14:textId="77777777" w:rsidTr="00A16633">
        <w:trPr>
          <w:trHeight w:val="288"/>
          <w:jc w:val="center"/>
        </w:trPr>
        <w:tc>
          <w:tcPr>
            <w:tcW w:w="3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FC813CB" w14:textId="77777777" w:rsidR="007835D8" w:rsidRPr="00317818" w:rsidRDefault="007835D8" w:rsidP="00A16633">
            <w:pPr>
              <w:spacing w:after="0"/>
              <w:rPr>
                <w:rFonts w:ascii="Calibri" w:eastAsia="Times New Roman" w:hAnsi="Calibri" w:cs="Calibri"/>
                <w:color w:val="FFFFFF"/>
                <w:lang w:eastAsia="en-GB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05496"/>
            <w:noWrap/>
            <w:vAlign w:val="bottom"/>
            <w:hideMark/>
          </w:tcPr>
          <w:p w14:paraId="09ABFC43" w14:textId="77777777" w:rsidR="007835D8" w:rsidRPr="00317818" w:rsidRDefault="007835D8" w:rsidP="00A16633">
            <w:pPr>
              <w:spacing w:after="0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317818">
              <w:rPr>
                <w:rFonts w:ascii="Calibri" w:eastAsia="Times New Roman" w:hAnsi="Calibri" w:cs="Calibri"/>
                <w:color w:val="FFFFFF"/>
                <w:lang w:eastAsia="en-GB"/>
              </w:rPr>
              <w:t>Agriculture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25F93B95" w14:textId="77777777" w:rsidR="007835D8" w:rsidRPr="00317818" w:rsidRDefault="007835D8" w:rsidP="00A1663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17818">
              <w:rPr>
                <w:rFonts w:ascii="Calibri" w:eastAsia="Times New Roman" w:hAnsi="Calibri" w:cs="Calibri"/>
                <w:color w:val="000000"/>
                <w:lang w:eastAsia="en-GB"/>
              </w:rPr>
              <w:t>-7%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656F812B" w14:textId="77777777" w:rsidR="007835D8" w:rsidRPr="00317818" w:rsidRDefault="007835D8" w:rsidP="00A1663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17818">
              <w:rPr>
                <w:rFonts w:ascii="Calibri" w:eastAsia="Times New Roman" w:hAnsi="Calibri" w:cs="Calibri"/>
                <w:color w:val="000000"/>
                <w:lang w:eastAsia="en-GB"/>
              </w:rPr>
              <w:t>-12%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01BB37C0" w14:textId="77777777" w:rsidR="007835D8" w:rsidRPr="00317818" w:rsidRDefault="007835D8" w:rsidP="00A1663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17818">
              <w:rPr>
                <w:rFonts w:ascii="Calibri" w:eastAsia="Times New Roman" w:hAnsi="Calibri" w:cs="Calibri"/>
                <w:color w:val="000000"/>
                <w:lang w:eastAsia="en-GB"/>
              </w:rPr>
              <w:t>-15%</w:t>
            </w:r>
          </w:p>
        </w:tc>
      </w:tr>
    </w:tbl>
    <w:p w14:paraId="1661AC87" w14:textId="123E4DA3" w:rsidR="007835D8" w:rsidRPr="007835D8" w:rsidRDefault="007835D8" w:rsidP="00767131">
      <w:pPr>
        <w:rPr>
          <w:sz w:val="18"/>
        </w:rPr>
      </w:pPr>
      <w:r w:rsidRPr="007835D8">
        <w:rPr>
          <w:sz w:val="18"/>
        </w:rPr>
        <w:t>Fig 3.</w:t>
      </w:r>
    </w:p>
    <w:sectPr w:rsidR="007835D8" w:rsidRPr="007835D8" w:rsidSect="002D368F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ACD23" w14:textId="77777777" w:rsidR="00937C27" w:rsidRDefault="00937C27" w:rsidP="007B61C8">
      <w:r>
        <w:separator/>
      </w:r>
    </w:p>
  </w:endnote>
  <w:endnote w:type="continuationSeparator" w:id="0">
    <w:p w14:paraId="4DA15B77" w14:textId="77777777" w:rsidR="00937C27" w:rsidRDefault="00937C27" w:rsidP="007B6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SCO Modern">
    <w:altName w:val="Franklin Gothic Medium Cond"/>
    <w:charset w:val="00"/>
    <w:family w:val="auto"/>
    <w:pitch w:val="variable"/>
    <w:sig w:usb0="0000020F" w:usb1="00000000" w:usb2="00000000" w:usb3="00000000" w:csb0="00000097" w:csb1="00000000"/>
  </w:font>
  <w:font w:name="Tesco">
    <w:altName w:val="Trebuchet MS"/>
    <w:charset w:val="00"/>
    <w:family w:val="swiss"/>
    <w:pitch w:val="variable"/>
    <w:sig w:usb0="800000AF" w:usb1="4000204A" w:usb2="00000000" w:usb3="00000000" w:csb0="00000001" w:csb1="00000000"/>
  </w:font>
  <w:font w:name="TESCO Moder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263F2" w14:textId="72249F7F" w:rsidR="008C6882" w:rsidRDefault="004B015B" w:rsidP="004B015B">
    <w:pPr>
      <w:pStyle w:val="Footer"/>
      <w:tabs>
        <w:tab w:val="left" w:pos="4395"/>
        <w:tab w:val="left" w:pos="7960"/>
      </w:tabs>
    </w:pPr>
    <w:r>
      <w:tab/>
    </w:r>
    <w:r w:rsidR="00BD39C3">
      <w:tab/>
    </w:r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A4644" w14:textId="77777777" w:rsidR="00937C27" w:rsidRDefault="00937C27" w:rsidP="007B61C8">
      <w:r>
        <w:separator/>
      </w:r>
    </w:p>
  </w:footnote>
  <w:footnote w:type="continuationSeparator" w:id="0">
    <w:p w14:paraId="43902A83" w14:textId="77777777" w:rsidR="00937C27" w:rsidRDefault="00937C27" w:rsidP="007B6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FB77B" w14:textId="48540FB3" w:rsidR="006F588C" w:rsidRPr="0014541C" w:rsidRDefault="006F588C" w:rsidP="006F588C">
    <w:pPr>
      <w:jc w:val="center"/>
      <w:rPr>
        <w:rFonts w:asciiTheme="minorHAnsi" w:hAnsiTheme="minorHAnsi"/>
        <w:u w:val="single"/>
      </w:rPr>
    </w:pPr>
    <w:bookmarkStart w:id="1" w:name="_Hlk23759046"/>
    <w:r>
      <w:rPr>
        <w:rFonts w:asciiTheme="minorHAnsi" w:hAnsiTheme="minorHAnsi" w:cs="Arial"/>
        <w:b/>
        <w:u w:val="single"/>
      </w:rPr>
      <w:t xml:space="preserve">Redefining climate leadership in the food industry. </w:t>
    </w:r>
    <w:r w:rsidRPr="0014541C">
      <w:rPr>
        <w:rFonts w:asciiTheme="minorHAnsi" w:hAnsiTheme="minorHAnsi" w:cs="Arial"/>
        <w:b/>
        <w:u w:val="single"/>
      </w:rPr>
      <w:t xml:space="preserve">  </w:t>
    </w:r>
  </w:p>
  <w:p w14:paraId="26E2BC6F" w14:textId="77777777" w:rsidR="006F588C" w:rsidRPr="00414231" w:rsidRDefault="006F588C" w:rsidP="006F588C">
    <w:pPr>
      <w:jc w:val="center"/>
      <w:rPr>
        <w:rFonts w:asciiTheme="minorHAnsi" w:hAnsiTheme="minorHAnsi"/>
      </w:rPr>
    </w:pPr>
    <w:r>
      <w:rPr>
        <w:rFonts w:asciiTheme="minorHAnsi" w:hAnsiTheme="minorHAnsi" w:cs="Arial"/>
        <w:b/>
      </w:rPr>
      <w:t>Statement of expression of interest -</w:t>
    </w:r>
    <w:r>
      <w:rPr>
        <w:rFonts w:asciiTheme="minorHAnsi" w:hAnsiTheme="minorHAnsi"/>
      </w:rPr>
      <w:t xml:space="preserve"> December 2020</w:t>
    </w:r>
  </w:p>
  <w:bookmarkEnd w:id="1"/>
  <w:p w14:paraId="375FEEA7" w14:textId="77777777" w:rsidR="006F588C" w:rsidRDefault="006F58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8704F"/>
    <w:multiLevelType w:val="hybridMultilevel"/>
    <w:tmpl w:val="C7D4C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57B15"/>
    <w:multiLevelType w:val="hybridMultilevel"/>
    <w:tmpl w:val="32BA99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342A4D"/>
    <w:multiLevelType w:val="hybridMultilevel"/>
    <w:tmpl w:val="F208A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95D57"/>
    <w:multiLevelType w:val="hybridMultilevel"/>
    <w:tmpl w:val="2C4E2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A0AA4"/>
    <w:multiLevelType w:val="hybridMultilevel"/>
    <w:tmpl w:val="E43A3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12929"/>
    <w:multiLevelType w:val="hybridMultilevel"/>
    <w:tmpl w:val="85163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131"/>
    <w:rsid w:val="00032466"/>
    <w:rsid w:val="00043941"/>
    <w:rsid w:val="00065BE6"/>
    <w:rsid w:val="000A4D33"/>
    <w:rsid w:val="00162D82"/>
    <w:rsid w:val="001916D6"/>
    <w:rsid w:val="001B14C4"/>
    <w:rsid w:val="001E2B6A"/>
    <w:rsid w:val="001F2F9C"/>
    <w:rsid w:val="001F5073"/>
    <w:rsid w:val="002335CF"/>
    <w:rsid w:val="0026050B"/>
    <w:rsid w:val="002A4A05"/>
    <w:rsid w:val="002D368F"/>
    <w:rsid w:val="002E0651"/>
    <w:rsid w:val="002E1954"/>
    <w:rsid w:val="003452FD"/>
    <w:rsid w:val="00384DC2"/>
    <w:rsid w:val="003B4C99"/>
    <w:rsid w:val="003B6B1B"/>
    <w:rsid w:val="003D7A72"/>
    <w:rsid w:val="003E5332"/>
    <w:rsid w:val="004447F1"/>
    <w:rsid w:val="00452AE0"/>
    <w:rsid w:val="00467FAB"/>
    <w:rsid w:val="004A5658"/>
    <w:rsid w:val="004B015B"/>
    <w:rsid w:val="004F784D"/>
    <w:rsid w:val="005043D4"/>
    <w:rsid w:val="006B039F"/>
    <w:rsid w:val="006F588C"/>
    <w:rsid w:val="006F7F3F"/>
    <w:rsid w:val="007159AE"/>
    <w:rsid w:val="00767131"/>
    <w:rsid w:val="007717BA"/>
    <w:rsid w:val="00777DDD"/>
    <w:rsid w:val="007835D8"/>
    <w:rsid w:val="007B61C8"/>
    <w:rsid w:val="007D6DE7"/>
    <w:rsid w:val="007D76BE"/>
    <w:rsid w:val="007F7C0E"/>
    <w:rsid w:val="00813086"/>
    <w:rsid w:val="008B6CD9"/>
    <w:rsid w:val="008C6882"/>
    <w:rsid w:val="009240C5"/>
    <w:rsid w:val="00937C27"/>
    <w:rsid w:val="00963990"/>
    <w:rsid w:val="00965FCC"/>
    <w:rsid w:val="009B2865"/>
    <w:rsid w:val="009B6E50"/>
    <w:rsid w:val="009F5A99"/>
    <w:rsid w:val="00A279E4"/>
    <w:rsid w:val="00A30E1D"/>
    <w:rsid w:val="00A31D85"/>
    <w:rsid w:val="00A752BB"/>
    <w:rsid w:val="00AB49C1"/>
    <w:rsid w:val="00AC34DD"/>
    <w:rsid w:val="00B158E1"/>
    <w:rsid w:val="00B3268E"/>
    <w:rsid w:val="00B81806"/>
    <w:rsid w:val="00B93CCA"/>
    <w:rsid w:val="00BD39C3"/>
    <w:rsid w:val="00BE5E82"/>
    <w:rsid w:val="00C6337B"/>
    <w:rsid w:val="00C82CA3"/>
    <w:rsid w:val="00CC30CB"/>
    <w:rsid w:val="00CF7E55"/>
    <w:rsid w:val="00D41856"/>
    <w:rsid w:val="00D427FC"/>
    <w:rsid w:val="00D56D14"/>
    <w:rsid w:val="00D76804"/>
    <w:rsid w:val="00D953D8"/>
    <w:rsid w:val="00D9750F"/>
    <w:rsid w:val="00E171B4"/>
    <w:rsid w:val="00E37AAD"/>
    <w:rsid w:val="00F07D45"/>
    <w:rsid w:val="00F47FDE"/>
    <w:rsid w:val="00FE223A"/>
    <w:rsid w:val="00FE5017"/>
    <w:rsid w:val="00FF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77112"/>
  <w15:chartTrackingRefBased/>
  <w15:docId w15:val="{4E7B2CCE-FA24-4488-ABBE-0332705A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1C8"/>
    <w:pPr>
      <w:spacing w:after="240" w:line="240" w:lineRule="auto"/>
    </w:pPr>
    <w:rPr>
      <w:rFonts w:ascii="TESCO Modern" w:hAnsi="TESCO Modern"/>
    </w:rPr>
  </w:style>
  <w:style w:type="paragraph" w:styleId="Heading1">
    <w:name w:val="heading 1"/>
    <w:basedOn w:val="Titleonpage"/>
    <w:next w:val="Normal"/>
    <w:link w:val="Heading1Char"/>
    <w:uiPriority w:val="9"/>
    <w:qFormat/>
    <w:rsid w:val="007159AE"/>
    <w:pPr>
      <w:outlineLvl w:val="0"/>
    </w:pPr>
    <w:rPr>
      <w:rFonts w:ascii="TESCO Modern" w:hAnsi="TESCO Moder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1B14C4"/>
    <w:pPr>
      <w:spacing w:before="120" w:line="216" w:lineRule="auto"/>
      <w:ind w:left="720"/>
      <w:contextualSpacing/>
    </w:pPr>
  </w:style>
  <w:style w:type="paragraph" w:customStyle="1" w:styleId="MainHeadline">
    <w:name w:val="Main Headline"/>
    <w:basedOn w:val="Normal"/>
    <w:link w:val="MainHeadlineChar"/>
    <w:qFormat/>
    <w:rsid w:val="007B61C8"/>
    <w:pPr>
      <w:spacing w:after="480"/>
    </w:pPr>
    <w:rPr>
      <w:b/>
      <w:bCs/>
      <w:color w:val="00539F"/>
      <w:sz w:val="96"/>
      <w:szCs w:val="96"/>
    </w:rPr>
  </w:style>
  <w:style w:type="paragraph" w:customStyle="1" w:styleId="Secondarycopy">
    <w:name w:val="Secondary copy"/>
    <w:basedOn w:val="Normal"/>
    <w:link w:val="SecondarycopyChar"/>
    <w:qFormat/>
    <w:rsid w:val="007159AE"/>
    <w:rPr>
      <w:b/>
      <w:color w:val="00539F"/>
      <w:sz w:val="72"/>
      <w:szCs w:val="72"/>
    </w:rPr>
  </w:style>
  <w:style w:type="character" w:customStyle="1" w:styleId="MainHeadlineChar">
    <w:name w:val="Main Headline Char"/>
    <w:basedOn w:val="DefaultParagraphFont"/>
    <w:link w:val="MainHeadline"/>
    <w:rsid w:val="007B61C8"/>
    <w:rPr>
      <w:rFonts w:ascii="TESCO Modern" w:hAnsi="TESCO Modern"/>
      <w:b/>
      <w:bCs/>
      <w:color w:val="00539F"/>
      <w:sz w:val="96"/>
      <w:szCs w:val="96"/>
    </w:rPr>
  </w:style>
  <w:style w:type="paragraph" w:customStyle="1" w:styleId="Titleonpage">
    <w:name w:val="Title on page"/>
    <w:basedOn w:val="Normal"/>
    <w:link w:val="TitleonpageChar"/>
    <w:rsid w:val="003B6B1B"/>
    <w:rPr>
      <w:rFonts w:ascii="Tesco" w:hAnsi="Tesco"/>
      <w:b/>
      <w:color w:val="00539F"/>
      <w:sz w:val="48"/>
      <w:szCs w:val="48"/>
    </w:rPr>
  </w:style>
  <w:style w:type="character" w:customStyle="1" w:styleId="SecondarycopyChar">
    <w:name w:val="Secondary copy Char"/>
    <w:basedOn w:val="DefaultParagraphFont"/>
    <w:link w:val="Secondarycopy"/>
    <w:rsid w:val="007159AE"/>
    <w:rPr>
      <w:rFonts w:ascii="TESCO Modern" w:hAnsi="TESCO Modern"/>
      <w:b/>
      <w:color w:val="00539F"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C6882"/>
    <w:pPr>
      <w:tabs>
        <w:tab w:val="center" w:pos="4513"/>
        <w:tab w:val="right" w:pos="9026"/>
      </w:tabs>
      <w:spacing w:after="0"/>
    </w:pPr>
  </w:style>
  <w:style w:type="character" w:customStyle="1" w:styleId="TitleonpageChar">
    <w:name w:val="Title on page Char"/>
    <w:basedOn w:val="DefaultParagraphFont"/>
    <w:link w:val="Titleonpage"/>
    <w:rsid w:val="003B6B1B"/>
    <w:rPr>
      <w:rFonts w:ascii="Tesco" w:hAnsi="Tesco"/>
      <w:b/>
      <w:color w:val="00539F"/>
      <w:sz w:val="48"/>
      <w:szCs w:val="48"/>
    </w:rPr>
  </w:style>
  <w:style w:type="character" w:customStyle="1" w:styleId="HeaderChar">
    <w:name w:val="Header Char"/>
    <w:basedOn w:val="DefaultParagraphFont"/>
    <w:link w:val="Header"/>
    <w:uiPriority w:val="99"/>
    <w:rsid w:val="008C6882"/>
  </w:style>
  <w:style w:type="paragraph" w:styleId="Footer">
    <w:name w:val="footer"/>
    <w:basedOn w:val="Normal"/>
    <w:link w:val="FooterChar"/>
    <w:uiPriority w:val="99"/>
    <w:unhideWhenUsed/>
    <w:rsid w:val="008C688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C6882"/>
  </w:style>
  <w:style w:type="paragraph" w:customStyle="1" w:styleId="Thankyou">
    <w:name w:val="Thank you."/>
    <w:basedOn w:val="Normal"/>
    <w:link w:val="ThankyouChar"/>
    <w:qFormat/>
    <w:rsid w:val="007159AE"/>
    <w:rPr>
      <w:b/>
      <w:color w:val="00539F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7159AE"/>
    <w:rPr>
      <w:rFonts w:ascii="TESCO Modern" w:hAnsi="TESCO Modern"/>
      <w:b/>
      <w:color w:val="00539F"/>
      <w:sz w:val="48"/>
      <w:szCs w:val="48"/>
    </w:rPr>
  </w:style>
  <w:style w:type="character" w:customStyle="1" w:styleId="ThankyouChar">
    <w:name w:val="Thank you. Char"/>
    <w:basedOn w:val="DefaultParagraphFont"/>
    <w:link w:val="Thankyou"/>
    <w:rsid w:val="007159AE"/>
    <w:rPr>
      <w:rFonts w:ascii="TESCO Modern" w:hAnsi="TESCO Modern"/>
      <w:b/>
      <w:color w:val="00539F"/>
      <w:sz w:val="96"/>
      <w:szCs w:val="96"/>
    </w:rPr>
  </w:style>
  <w:style w:type="paragraph" w:styleId="TOCHeading">
    <w:name w:val="TOC Heading"/>
    <w:basedOn w:val="Heading1"/>
    <w:next w:val="Normal"/>
    <w:uiPriority w:val="39"/>
    <w:unhideWhenUsed/>
    <w:qFormat/>
    <w:rsid w:val="003B6B1B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B6B1B"/>
    <w:pPr>
      <w:spacing w:after="100"/>
    </w:pPr>
  </w:style>
  <w:style w:type="character" w:styleId="Hyperlink">
    <w:name w:val="Hyperlink"/>
    <w:basedOn w:val="DefaultParagraphFont"/>
    <w:unhideWhenUsed/>
    <w:rsid w:val="003B6B1B"/>
    <w:rPr>
      <w:color w:val="000000" w:themeColor="hyperlink"/>
      <w:u w:val="single"/>
    </w:rPr>
  </w:style>
  <w:style w:type="table" w:styleId="TableGrid">
    <w:name w:val="Table Grid"/>
    <w:basedOn w:val="TableNormal"/>
    <w:uiPriority w:val="39"/>
    <w:rsid w:val="00043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043941"/>
    <w:pPr>
      <w:spacing w:after="0" w:line="240" w:lineRule="auto"/>
    </w:pPr>
    <w:tblPr>
      <w:tblStyleRowBandSize w:val="1"/>
      <w:tblStyleColBandSize w:val="1"/>
      <w:tblBorders>
        <w:top w:val="single" w:sz="4" w:space="0" w:color="00539F" w:themeColor="accent1"/>
        <w:left w:val="single" w:sz="4" w:space="0" w:color="00539F" w:themeColor="accent1"/>
        <w:bottom w:val="single" w:sz="4" w:space="0" w:color="00539F" w:themeColor="accent1"/>
        <w:right w:val="single" w:sz="4" w:space="0" w:color="00539F" w:themeColor="accent1"/>
      </w:tblBorders>
    </w:tblPr>
    <w:tcPr>
      <w:shd w:val="clear" w:color="auto" w:fill="auto"/>
    </w:tcPr>
    <w:tblStylePr w:type="firstRow">
      <w:rPr>
        <w:rFonts w:asciiTheme="majorHAnsi" w:hAnsiTheme="majorHAnsi"/>
        <w:b/>
        <w:bCs/>
        <w:color w:val="FFFFFF" w:themeColor="background1"/>
        <w:sz w:val="24"/>
      </w:rPr>
      <w:tblPr/>
      <w:tcPr>
        <w:shd w:val="clear" w:color="auto" w:fill="00539F" w:themeFill="accent1"/>
      </w:tcPr>
    </w:tblStylePr>
    <w:tblStylePr w:type="lastRow">
      <w:rPr>
        <w:b/>
        <w:bCs/>
      </w:rPr>
      <w:tblPr/>
      <w:tcPr>
        <w:tcBorders>
          <w:top w:val="double" w:sz="4" w:space="0" w:color="00539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39F" w:themeColor="accent1"/>
          <w:right w:val="single" w:sz="4" w:space="0" w:color="00539F" w:themeColor="accent1"/>
        </w:tcBorders>
      </w:tcPr>
    </w:tblStylePr>
    <w:tblStylePr w:type="band1Horz">
      <w:tblPr/>
      <w:tcPr>
        <w:tcBorders>
          <w:top w:val="single" w:sz="4" w:space="0" w:color="00539F" w:themeColor="accent1"/>
          <w:bottom w:val="single" w:sz="4" w:space="0" w:color="00539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39F" w:themeColor="accent1"/>
          <w:left w:val="nil"/>
        </w:tcBorders>
      </w:tcPr>
    </w:tblStylePr>
    <w:tblStylePr w:type="swCell">
      <w:tblPr/>
      <w:tcPr>
        <w:tcBorders>
          <w:top w:val="double" w:sz="4" w:space="0" w:color="00539F" w:themeColor="accent1"/>
          <w:right w:val="nil"/>
        </w:tcBorders>
      </w:tcPr>
    </w:tblStylePr>
  </w:style>
  <w:style w:type="paragraph" w:customStyle="1" w:styleId="Tableheaderrow">
    <w:name w:val="Table header row"/>
    <w:basedOn w:val="Normal"/>
    <w:link w:val="TableheaderrowChar"/>
    <w:rsid w:val="00043941"/>
    <w:rPr>
      <w:b/>
      <w:bCs/>
      <w:color w:val="FFFFFF" w:themeColor="background1"/>
      <w:sz w:val="24"/>
    </w:rPr>
  </w:style>
  <w:style w:type="character" w:customStyle="1" w:styleId="TableheaderrowChar">
    <w:name w:val="Table header row Char"/>
    <w:basedOn w:val="DefaultParagraphFont"/>
    <w:link w:val="Tableheaderrow"/>
    <w:rsid w:val="00043941"/>
    <w:rPr>
      <w:rFonts w:ascii="TESCO Modern" w:hAnsi="TESCO Modern"/>
      <w:b/>
      <w:bCs/>
      <w:color w:val="FFFFFF" w:themeColor="background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08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086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53D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62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D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D82"/>
    <w:rPr>
      <w:rFonts w:ascii="TESCO Modern" w:hAnsi="TESCO Moder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D82"/>
    <w:rPr>
      <w:rFonts w:ascii="TESCO Modern" w:hAnsi="TESCO Moder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452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E5332"/>
    <w:rPr>
      <w:b/>
      <w:bCs/>
    </w:rPr>
  </w:style>
  <w:style w:type="paragraph" w:customStyle="1" w:styleId="Default">
    <w:name w:val="Default"/>
    <w:rsid w:val="00A31D8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E5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mallon@wwf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sco">
  <a:themeElements>
    <a:clrScheme name="Custom 1">
      <a:dk1>
        <a:sysClr val="windowText" lastClr="000000"/>
      </a:dk1>
      <a:lt1>
        <a:sysClr val="window" lastClr="FFFFFF"/>
      </a:lt1>
      <a:dk2>
        <a:srgbClr val="6E6767"/>
      </a:dk2>
      <a:lt2>
        <a:srgbClr val="FFFFFF"/>
      </a:lt2>
      <a:accent1>
        <a:srgbClr val="00539F"/>
      </a:accent1>
      <a:accent2>
        <a:srgbClr val="FFA626"/>
      </a:accent2>
      <a:accent3>
        <a:srgbClr val="FF7D82"/>
      </a:accent3>
      <a:accent4>
        <a:srgbClr val="00BCD4"/>
      </a:accent4>
      <a:accent5>
        <a:srgbClr val="00BFA6"/>
      </a:accent5>
      <a:accent6>
        <a:srgbClr val="CCBAA1"/>
      </a:accent6>
      <a:hlink>
        <a:srgbClr val="000000"/>
      </a:hlink>
      <a:folHlink>
        <a:srgbClr val="000000"/>
      </a:folHlink>
    </a:clrScheme>
    <a:fontScheme name="Tesco">
      <a:majorFont>
        <a:latin typeface="TESCO Modern Bold"/>
        <a:ea typeface=""/>
        <a:cs typeface=""/>
      </a:majorFont>
      <a:minorFont>
        <a:latin typeface="TESCO Modern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>
        <a:defPPr algn="ctr">
          <a:defRPr sz="1600" dirty="0" err="1" smtClean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tailEnd type="arrow" w="med" len="sm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600" dirty="0" err="1" smtClean="0">
            <a:solidFill>
              <a:schemeClr val="tx2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Tesco" id="{395D74A4-B777-448B-8C65-A590BE8D402C}" vid="{F21F9D6D-3CCD-4C07-B46C-288106F5009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633EFCCB753A4F8AB802E5570F5D22" ma:contentTypeVersion="12" ma:contentTypeDescription="Create a new document." ma:contentTypeScope="" ma:versionID="8580a941a1afa3ec13cc7fb3cd138852">
  <xsd:schema xmlns:xsd="http://www.w3.org/2001/XMLSchema" xmlns:xs="http://www.w3.org/2001/XMLSchema" xmlns:p="http://schemas.microsoft.com/office/2006/metadata/properties" xmlns:ns3="45e59a5f-dba6-4fbd-a614-059136707042" xmlns:ns4="0ad7e2c1-71a0-48a2-80a6-9da7c92198c9" targetNamespace="http://schemas.microsoft.com/office/2006/metadata/properties" ma:root="true" ma:fieldsID="ae606d6dea8874350872dfd576a65938" ns3:_="" ns4:_="">
    <xsd:import namespace="45e59a5f-dba6-4fbd-a614-059136707042"/>
    <xsd:import namespace="0ad7e2c1-71a0-48a2-80a6-9da7c92198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59a5f-dba6-4fbd-a614-059136707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7e2c1-71a0-48a2-80a6-9da7c92198c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0D12D-5C40-40D4-808B-32A4AEE7B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E192E0-CA61-4D62-B5B4-E23266E456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6D28FF-1D3B-4639-9714-104B73848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e59a5f-dba6-4fbd-a614-059136707042"/>
    <ds:schemaRef ds:uri="0ad7e2c1-71a0-48a2-80a6-9da7c9219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72D10F-DC3E-4159-9354-5F88C0091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Tesco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Waugh, Bryony</dc:creator>
  <cp:keywords/>
  <dc:description/>
  <cp:lastModifiedBy>Tim Lowe</cp:lastModifiedBy>
  <cp:revision>3</cp:revision>
  <dcterms:created xsi:type="dcterms:W3CDTF">2020-12-23T08:10:00Z</dcterms:created>
  <dcterms:modified xsi:type="dcterms:W3CDTF">2020-12-23T08:22:00Z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0x01010059633EFCCB753A4F8AB802E5570F5D22</vt:lpwstr>
  </property>
</Properties>
</file>