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19CC2" w14:textId="77777777" w:rsidR="00443FFD" w:rsidRDefault="00443FFD">
      <w:pPr>
        <w:spacing w:after="0" w:line="240" w:lineRule="auto"/>
        <w:rPr>
          <w:rFonts w:ascii="Arial" w:eastAsia="Arial" w:hAnsi="Arial" w:cs="Arial"/>
          <w:b/>
          <w:sz w:val="36"/>
          <w:szCs w:val="36"/>
        </w:rPr>
      </w:pPr>
    </w:p>
    <w:p w14:paraId="3F019CC3" w14:textId="77777777" w:rsidR="00443FFD" w:rsidRDefault="000C052C">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3F019CC4"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3F019CC5"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443FFD" w14:paraId="3F019CC8" w14:textId="77777777">
        <w:tc>
          <w:tcPr>
            <w:tcW w:w="3060" w:type="dxa"/>
          </w:tcPr>
          <w:p w14:paraId="3F019CC6"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3F019CC7" w14:textId="61040974"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Supplier Assets used exclusively by the Supplier </w:t>
            </w:r>
            <w:r w:rsidRPr="0060036A">
              <w:rPr>
                <w:rFonts w:ascii="Arial" w:eastAsia="Arial" w:hAnsi="Arial" w:cs="Arial"/>
                <w:color w:val="000000"/>
                <w:sz w:val="24"/>
                <w:szCs w:val="24"/>
              </w:rPr>
              <w:t>or a Key Subcontractor</w:t>
            </w:r>
            <w:r>
              <w:rPr>
                <w:rFonts w:ascii="Arial" w:eastAsia="Arial" w:hAnsi="Arial" w:cs="Arial"/>
                <w:color w:val="000000"/>
                <w:sz w:val="24"/>
                <w:szCs w:val="24"/>
              </w:rPr>
              <w:t xml:space="preserve"> in the provision of the Deliverables;</w:t>
            </w:r>
          </w:p>
        </w:tc>
      </w:tr>
      <w:tr w:rsidR="00443FFD" w14:paraId="3F019CCB" w14:textId="77777777">
        <w:tc>
          <w:tcPr>
            <w:tcW w:w="3060" w:type="dxa"/>
          </w:tcPr>
          <w:p w14:paraId="3F019CC9"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3F019CCA"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443FFD" w14:paraId="3F019CCE" w14:textId="77777777">
        <w:tc>
          <w:tcPr>
            <w:tcW w:w="3060" w:type="dxa"/>
          </w:tcPr>
          <w:p w14:paraId="3F019CCC"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3F019CCD"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person appointed by each Party to </w:t>
            </w:r>
            <w:r>
              <w:rPr>
                <w:rFonts w:ascii="Arial" w:eastAsia="Arial" w:hAnsi="Arial" w:cs="Arial"/>
                <w:color w:val="000000"/>
                <w:sz w:val="24"/>
                <w:szCs w:val="24"/>
              </w:rPr>
              <w:t>manage their respective obligations under this Schedule;</w:t>
            </w:r>
          </w:p>
        </w:tc>
      </w:tr>
      <w:tr w:rsidR="00443FFD" w14:paraId="3F019CD1" w14:textId="77777777">
        <w:tc>
          <w:tcPr>
            <w:tcW w:w="3060" w:type="dxa"/>
          </w:tcPr>
          <w:p w14:paraId="3F019CCF"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3F019CD0" w14:textId="77777777" w:rsidR="00443FFD" w:rsidRDefault="000C052C">
            <w:pPr>
              <w:numPr>
                <w:ilvl w:val="0"/>
                <w:numId w:val="2"/>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443FFD" w14:paraId="3F019CD4" w14:textId="77777777">
        <w:tc>
          <w:tcPr>
            <w:tcW w:w="3060" w:type="dxa"/>
          </w:tcPr>
          <w:p w14:paraId="3F019CD2"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3F019CD3"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current net book value of the </w:t>
            </w:r>
            <w:r>
              <w:rPr>
                <w:rFonts w:ascii="Arial" w:eastAsia="Arial" w:hAnsi="Arial" w:cs="Arial"/>
                <w:color w:val="000000"/>
                <w:sz w:val="24"/>
                <w:szCs w:val="24"/>
              </w:rPr>
              <w:t>relevant Supplier Asset(s) calculated in accordance with the Framework Tender or Call-Off  Tender (if stated) or (if not stated) the depreciation policy of the Supplier (which the Supplier shall ensure is in accordance with Good Industry Practice);</w:t>
            </w:r>
          </w:p>
        </w:tc>
      </w:tr>
      <w:tr w:rsidR="00443FFD" w14:paraId="3F019CD7" w14:textId="77777777">
        <w:tc>
          <w:tcPr>
            <w:tcW w:w="3060" w:type="dxa"/>
          </w:tcPr>
          <w:p w14:paraId="3F019CD5"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3F019CD6" w14:textId="68CB2C9B"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those Supplier Assets used by the </w:t>
            </w:r>
            <w:r w:rsidRPr="0060036A">
              <w:rPr>
                <w:rFonts w:ascii="Arial" w:eastAsia="Arial" w:hAnsi="Arial" w:cs="Arial"/>
                <w:color w:val="000000"/>
                <w:sz w:val="24"/>
                <w:szCs w:val="24"/>
              </w:rPr>
              <w:t xml:space="preserve">Supplier or a Key Subcontractor in connection with the </w:t>
            </w:r>
            <w:proofErr w:type="gramStart"/>
            <w:r w:rsidRPr="0060036A">
              <w:rPr>
                <w:rFonts w:ascii="Arial" w:eastAsia="Arial" w:hAnsi="Arial" w:cs="Arial"/>
                <w:color w:val="000000"/>
                <w:sz w:val="24"/>
                <w:szCs w:val="24"/>
              </w:rPr>
              <w:t>Deliverables</w:t>
            </w:r>
            <w:proofErr w:type="gramEnd"/>
            <w:r w:rsidRPr="0060036A">
              <w:rPr>
                <w:rFonts w:ascii="Arial" w:eastAsia="Arial" w:hAnsi="Arial" w:cs="Arial"/>
                <w:color w:val="000000"/>
                <w:sz w:val="24"/>
                <w:szCs w:val="24"/>
              </w:rPr>
              <w:t xml:space="preserve"> but which are also used by the Supplier or Key Subcontractor</w:t>
            </w:r>
            <w:r w:rsidR="0060036A" w:rsidRPr="0060036A">
              <w:rPr>
                <w:rFonts w:ascii="Arial" w:eastAsia="Arial" w:hAnsi="Arial" w:cs="Arial"/>
                <w:color w:val="000000"/>
                <w:sz w:val="24"/>
                <w:szCs w:val="24"/>
              </w:rPr>
              <w:t xml:space="preserve"> </w:t>
            </w:r>
            <w:r w:rsidRPr="0060036A">
              <w:rPr>
                <w:rFonts w:ascii="Arial" w:eastAsia="Arial" w:hAnsi="Arial" w:cs="Arial"/>
                <w:color w:val="000000"/>
                <w:sz w:val="24"/>
                <w:szCs w:val="24"/>
              </w:rPr>
              <w:t>for other purposes</w:t>
            </w:r>
            <w:r>
              <w:rPr>
                <w:rFonts w:ascii="Arial" w:eastAsia="Arial" w:hAnsi="Arial" w:cs="Arial"/>
                <w:color w:val="000000"/>
                <w:sz w:val="24"/>
                <w:szCs w:val="24"/>
              </w:rPr>
              <w:t>;</w:t>
            </w:r>
          </w:p>
        </w:tc>
      </w:tr>
      <w:tr w:rsidR="00443FFD" w14:paraId="3F019CDA" w14:textId="77777777">
        <w:tc>
          <w:tcPr>
            <w:tcW w:w="3060" w:type="dxa"/>
          </w:tcPr>
          <w:p w14:paraId="3F019CD8"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3F019CD9"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443FFD" w14:paraId="3F019CDD" w14:textId="77777777">
        <w:tc>
          <w:tcPr>
            <w:tcW w:w="3060" w:type="dxa"/>
          </w:tcPr>
          <w:p w14:paraId="3F019CDB"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3F019CDC"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those goods are provided by the Buyer internally and/or by any third party;</w:t>
            </w:r>
          </w:p>
        </w:tc>
      </w:tr>
      <w:tr w:rsidR="00443FFD" w14:paraId="3F019CE0" w14:textId="77777777">
        <w:tc>
          <w:tcPr>
            <w:tcW w:w="3060" w:type="dxa"/>
          </w:tcPr>
          <w:p w14:paraId="3F019CDE"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3F019CDF"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443FFD" w14:paraId="3F019CE3" w14:textId="77777777">
        <w:tc>
          <w:tcPr>
            <w:tcW w:w="3060" w:type="dxa"/>
          </w:tcPr>
          <w:p w14:paraId="3F019CE1"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14:paraId="3F019CE2"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443FFD" w14:paraId="3F019CE6" w14:textId="77777777">
        <w:tc>
          <w:tcPr>
            <w:tcW w:w="3060" w:type="dxa"/>
          </w:tcPr>
          <w:p w14:paraId="3F019CE4"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3F019CE5"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443FFD" w14:paraId="3F019CE9" w14:textId="77777777">
        <w:tc>
          <w:tcPr>
            <w:tcW w:w="3060" w:type="dxa"/>
          </w:tcPr>
          <w:p w14:paraId="3F019CE7" w14:textId="77777777" w:rsidR="00443FFD" w:rsidRDefault="000C05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3F019CE8"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443FFD" w14:paraId="3F019CEC" w14:textId="77777777">
        <w:tc>
          <w:tcPr>
            <w:tcW w:w="3060" w:type="dxa"/>
          </w:tcPr>
          <w:p w14:paraId="3F019CEA"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3F019CEB"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443FFD" w14:paraId="3F019CEF" w14:textId="77777777">
        <w:tc>
          <w:tcPr>
            <w:tcW w:w="3060" w:type="dxa"/>
          </w:tcPr>
          <w:p w14:paraId="3F019CED"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3F019CEE"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43FFD" w14:paraId="3F019CF2" w14:textId="77777777">
        <w:tc>
          <w:tcPr>
            <w:tcW w:w="3060" w:type="dxa"/>
          </w:tcPr>
          <w:p w14:paraId="3F019CF0"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3F019CF1"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443FFD" w14:paraId="3F019CF5" w14:textId="77777777">
        <w:tc>
          <w:tcPr>
            <w:tcW w:w="3060" w:type="dxa"/>
          </w:tcPr>
          <w:p w14:paraId="3F019CF3" w14:textId="77777777" w:rsidR="00443FFD" w:rsidRDefault="000C05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3F019CF4" w14:textId="77777777" w:rsidR="00443FFD" w:rsidRDefault="000C052C">
            <w:pPr>
              <w:numPr>
                <w:ilvl w:val="0"/>
                <w:numId w:val="2"/>
              </w:num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3F019CF6"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3F019CF7"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Supplier shall within 30 days from the Start Date provide to the Buyer a copy of its </w:t>
      </w:r>
      <w:r>
        <w:rPr>
          <w:rFonts w:ascii="Arial" w:eastAsia="Arial" w:hAnsi="Arial" w:cs="Arial"/>
          <w:color w:val="000000"/>
          <w:sz w:val="24"/>
          <w:szCs w:val="24"/>
        </w:rPr>
        <w:t>depreciation policy to be used for the purposes of calculating Net Book Value.</w:t>
      </w:r>
    </w:p>
    <w:p w14:paraId="3F019CF8"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During the Contract Period, the Supplier shall promptly:</w:t>
      </w:r>
    </w:p>
    <w:p w14:paraId="3F019CF9"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create and maintain a detailed register of all Supplier Assets (including description, condition, location and </w:t>
      </w:r>
      <w:r>
        <w:rPr>
          <w:rFonts w:ascii="Arial" w:eastAsia="Arial" w:hAnsi="Arial" w:cs="Arial"/>
          <w:color w:val="000000"/>
          <w:sz w:val="24"/>
          <w:szCs w:val="24"/>
        </w:rPr>
        <w:t>details of ownership and status as either Exclusive Assets or Non-Exclusive Assets and Net Book Value) and Sub-contracts and other relevant agreements required in connection with the Deliverables; and</w:t>
      </w:r>
    </w:p>
    <w:p w14:paraId="3F019CFA"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3F019CFB" w14:textId="77777777" w:rsidR="00443FFD" w:rsidRDefault="000C052C">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3F019CFC"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3F019CFD"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3F019CFE"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w:t>
      </w:r>
      <w:r>
        <w:rPr>
          <w:rFonts w:ascii="Arial" w:eastAsia="Arial" w:hAnsi="Arial" w:cs="Arial"/>
          <w:color w:val="000000"/>
          <w:sz w:val="24"/>
          <w:szCs w:val="24"/>
        </w:rPr>
        <w:t xml:space="preserve">liverables. </w:t>
      </w:r>
    </w:p>
    <w:p w14:paraId="3F019CFF"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3F019D00"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3F019D01"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3F019D02"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3F019D03"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019D04"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F019D05"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3F019D06"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3F019D07"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3F019D08"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 xml:space="preserve">The Exit Plan shall set out, as a </w:t>
      </w:r>
      <w:r>
        <w:rPr>
          <w:rFonts w:ascii="Arial" w:eastAsia="Arial" w:hAnsi="Arial" w:cs="Arial"/>
          <w:color w:val="000000"/>
          <w:sz w:val="24"/>
          <w:szCs w:val="24"/>
        </w:rPr>
        <w:t>minimum:</w:t>
      </w:r>
    </w:p>
    <w:p w14:paraId="3F019D09"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w:t>
      </w:r>
      <w:proofErr w:type="gramStart"/>
      <w:r>
        <w:rPr>
          <w:rFonts w:ascii="Arial" w:eastAsia="Arial" w:hAnsi="Arial" w:cs="Arial"/>
          <w:color w:val="000000"/>
          <w:sz w:val="24"/>
          <w:szCs w:val="24"/>
        </w:rPr>
        <w:t>timetable;</w:t>
      </w:r>
      <w:proofErr w:type="gramEnd"/>
      <w:r>
        <w:rPr>
          <w:rFonts w:ascii="Arial" w:eastAsia="Arial" w:hAnsi="Arial" w:cs="Arial"/>
          <w:color w:val="000000"/>
          <w:sz w:val="24"/>
          <w:szCs w:val="24"/>
        </w:rPr>
        <w:t xml:space="preserve"> </w:t>
      </w:r>
    </w:p>
    <w:p w14:paraId="3F019D0A"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how the Deliverables will transfer to the Replacement Supplier and/or the </w:t>
      </w:r>
      <w:proofErr w:type="gramStart"/>
      <w:r>
        <w:rPr>
          <w:rFonts w:ascii="Arial" w:eastAsia="Arial" w:hAnsi="Arial" w:cs="Arial"/>
          <w:color w:val="000000"/>
          <w:sz w:val="24"/>
          <w:szCs w:val="24"/>
        </w:rPr>
        <w:t>Buyer;</w:t>
      </w:r>
      <w:proofErr w:type="gramEnd"/>
    </w:p>
    <w:p w14:paraId="3F019D0B"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3F019D0C"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training of key members of the Replacement Supplier’s staff in connection with the continuation of the provision of the Deliverables following the Expiry </w:t>
      </w:r>
      <w:proofErr w:type="gramStart"/>
      <w:r>
        <w:rPr>
          <w:rFonts w:ascii="Arial" w:eastAsia="Arial" w:hAnsi="Arial" w:cs="Arial"/>
          <w:color w:val="000000"/>
          <w:sz w:val="24"/>
          <w:szCs w:val="24"/>
        </w:rPr>
        <w:t>Date;</w:t>
      </w:r>
      <w:proofErr w:type="gramEnd"/>
    </w:p>
    <w:p w14:paraId="3F019D0D"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3F019D0E"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3F019D0F"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identification and return of all Buyer Property in the possession of and/or control of the Supplier or any third </w:t>
      </w:r>
      <w:proofErr w:type="gramStart"/>
      <w:r>
        <w:rPr>
          <w:rFonts w:ascii="Arial" w:eastAsia="Arial" w:hAnsi="Arial" w:cs="Arial"/>
          <w:color w:val="000000"/>
          <w:sz w:val="24"/>
          <w:szCs w:val="24"/>
        </w:rPr>
        <w:t>party;</w:t>
      </w:r>
      <w:proofErr w:type="gramEnd"/>
    </w:p>
    <w:p w14:paraId="3F019D10"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3F019D11"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3F019D12"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3F019D13"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t>The Supplier shall:</w:t>
      </w:r>
    </w:p>
    <w:p w14:paraId="3F019D14" w14:textId="77777777" w:rsidR="00443FFD" w:rsidRDefault="000C052C">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3F019D15" w14:textId="4F777278"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0C052C">
        <w:rPr>
          <w:rFonts w:ascii="Arial" w:eastAsia="Arial" w:hAnsi="Arial" w:cs="Arial"/>
          <w:color w:val="000000"/>
          <w:sz w:val="24"/>
          <w:szCs w:val="24"/>
        </w:rPr>
        <w:t xml:space="preserve">every </w:t>
      </w:r>
      <w:r w:rsidRPr="000C052C">
        <w:rPr>
          <w:rFonts w:ascii="Arial" w:eastAsia="Arial" w:hAnsi="Arial" w:cs="Arial"/>
          <w:color w:val="000000"/>
          <w:sz w:val="24"/>
          <w:szCs w:val="24"/>
        </w:rPr>
        <w:t>six (6) months</w:t>
      </w:r>
      <w:r w:rsidRPr="000C052C">
        <w:rPr>
          <w:rFonts w:ascii="Arial" w:eastAsia="Arial" w:hAnsi="Arial" w:cs="Arial"/>
          <w:color w:val="000000"/>
          <w:sz w:val="24"/>
          <w:szCs w:val="24"/>
        </w:rPr>
        <w:t xml:space="preserve"> throughout</w:t>
      </w:r>
      <w:r>
        <w:rPr>
          <w:rFonts w:ascii="Arial" w:eastAsia="Arial" w:hAnsi="Arial" w:cs="Arial"/>
          <w:color w:val="000000"/>
          <w:sz w:val="24"/>
          <w:szCs w:val="24"/>
        </w:rPr>
        <w:t xml:space="preserve"> the Contract Period; and</w:t>
      </w:r>
    </w:p>
    <w:p w14:paraId="3F019D16" w14:textId="277BBA53"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2" w:name="_heading=h.26in1rg" w:colFirst="0" w:colLast="0"/>
      <w:bookmarkEnd w:id="12"/>
      <w:r w:rsidRPr="000C052C">
        <w:rPr>
          <w:rFonts w:ascii="Arial" w:eastAsia="Arial" w:hAnsi="Arial" w:cs="Arial"/>
          <w:color w:val="000000"/>
          <w:sz w:val="24"/>
          <w:szCs w:val="24"/>
        </w:rPr>
        <w:t xml:space="preserve">no later than </w:t>
      </w:r>
      <w:r w:rsidRPr="000C052C">
        <w:rPr>
          <w:rFonts w:ascii="Arial" w:eastAsia="Arial" w:hAnsi="Arial" w:cs="Arial"/>
          <w:color w:val="000000"/>
          <w:sz w:val="24"/>
          <w:szCs w:val="24"/>
        </w:rPr>
        <w:t>twenty (20) Working Days</w:t>
      </w:r>
      <w:r w:rsidRPr="000C052C">
        <w:rPr>
          <w:rFonts w:ascii="Arial" w:eastAsia="Arial" w:hAnsi="Arial" w:cs="Arial"/>
          <w:color w:val="000000"/>
          <w:sz w:val="24"/>
          <w:szCs w:val="24"/>
        </w:rPr>
        <w:t xml:space="preserve"> after</w:t>
      </w:r>
      <w:r>
        <w:rPr>
          <w:rFonts w:ascii="Arial" w:eastAsia="Arial" w:hAnsi="Arial" w:cs="Arial"/>
          <w:color w:val="000000"/>
          <w:sz w:val="24"/>
          <w:szCs w:val="24"/>
        </w:rPr>
        <w:t xml:space="preserve"> a request from the Buyer for an up-to-date copy of the Exit </w:t>
      </w:r>
      <w:proofErr w:type="gramStart"/>
      <w:r>
        <w:rPr>
          <w:rFonts w:ascii="Arial" w:eastAsia="Arial" w:hAnsi="Arial" w:cs="Arial"/>
          <w:color w:val="000000"/>
          <w:sz w:val="24"/>
          <w:szCs w:val="24"/>
        </w:rPr>
        <w:t>Plan;</w:t>
      </w:r>
      <w:proofErr w:type="gramEnd"/>
      <w:r>
        <w:rPr>
          <w:rFonts w:ascii="Arial" w:eastAsia="Arial" w:hAnsi="Arial" w:cs="Arial"/>
          <w:color w:val="000000"/>
          <w:sz w:val="24"/>
          <w:szCs w:val="24"/>
        </w:rPr>
        <w:t xml:space="preserve"> </w:t>
      </w:r>
    </w:p>
    <w:p w14:paraId="3F019D17" w14:textId="523F55FD" w:rsidR="00443FFD" w:rsidRPr="000C052C"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sidRPr="000C052C">
        <w:rPr>
          <w:rFonts w:ascii="Arial" w:eastAsia="Arial" w:hAnsi="Arial" w:cs="Arial"/>
          <w:color w:val="000000"/>
          <w:sz w:val="24"/>
          <w:szCs w:val="24"/>
        </w:rPr>
        <w:t>ten (10) Working Days</w:t>
      </w:r>
      <w:r w:rsidRPr="000C052C">
        <w:rPr>
          <w:rFonts w:ascii="Arial" w:eastAsia="Arial" w:hAnsi="Arial" w:cs="Arial"/>
          <w:color w:val="000000"/>
          <w:sz w:val="24"/>
          <w:szCs w:val="24"/>
        </w:rPr>
        <w:t xml:space="preserve"> after the date of the Termination Assistance </w:t>
      </w:r>
      <w:proofErr w:type="gramStart"/>
      <w:r w:rsidRPr="000C052C">
        <w:rPr>
          <w:rFonts w:ascii="Arial" w:eastAsia="Arial" w:hAnsi="Arial" w:cs="Arial"/>
          <w:color w:val="000000"/>
          <w:sz w:val="24"/>
          <w:szCs w:val="24"/>
        </w:rPr>
        <w:t>Notice;</w:t>
      </w:r>
      <w:proofErr w:type="gramEnd"/>
    </w:p>
    <w:p w14:paraId="3F019D18" w14:textId="470CBFA7"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0C052C">
        <w:rPr>
          <w:rFonts w:ascii="Arial" w:eastAsia="Arial" w:hAnsi="Arial" w:cs="Arial"/>
          <w:color w:val="000000"/>
          <w:sz w:val="24"/>
          <w:szCs w:val="24"/>
        </w:rPr>
        <w:t xml:space="preserve">as soon as reasonably possible following, and in any event no later than </w:t>
      </w:r>
      <w:r w:rsidRPr="000C052C">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14:paraId="3F019D19"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3F019D1A"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F019D1B"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3F019D1C"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3F019D1D"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F019D1E"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3F019D1F"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3F019D20"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35nkun2" w:colFirst="0" w:colLast="0"/>
      <w:bookmarkEnd w:id="14"/>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3F019D21"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3F019D22"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3F019D23" w14:textId="77777777" w:rsidR="00443FFD" w:rsidRDefault="000C052C">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3F019D24"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F019D25" w14:textId="77777777" w:rsidR="00443FFD" w:rsidRDefault="000C052C">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14:paraId="3F019D26" w14:textId="77777777" w:rsidR="00443FFD" w:rsidRDefault="000C052C">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1ksv4uv" w:colFirst="0" w:colLast="0"/>
      <w:bookmarkEnd w:id="15"/>
      <w:r>
        <w:rPr>
          <w:rFonts w:ascii="Arial" w:eastAsia="Arial" w:hAnsi="Arial" w:cs="Arial"/>
          <w:color w:val="000000"/>
          <w:sz w:val="24"/>
          <w:szCs w:val="24"/>
        </w:rPr>
        <w:t>Throughout the Termination Assistance Period the Supplier shall:</w:t>
      </w:r>
    </w:p>
    <w:p w14:paraId="3F019D27"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3F019D28"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3F019D29"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2jxsxqh" w:colFirst="0" w:colLast="0"/>
      <w:bookmarkEnd w:id="17"/>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3F019D2A"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z337ya" w:colFirst="0" w:colLast="0"/>
      <w:bookmarkEnd w:id="18"/>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3F019D2B"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3j2qqm3" w:colFirst="0" w:colLast="0"/>
      <w:bookmarkEnd w:id="19"/>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3F019D2C"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seek the Buyer's prior </w:t>
      </w:r>
      <w:r>
        <w:rPr>
          <w:rFonts w:ascii="Arial" w:eastAsia="Arial" w:hAnsi="Arial" w:cs="Arial"/>
          <w:color w:val="000000"/>
          <w:sz w:val="24"/>
          <w:szCs w:val="24"/>
        </w:rPr>
        <w:t>written consent to access any Buyer Premises from which the de-installation or removal of Supplier Assets is required.</w:t>
      </w:r>
    </w:p>
    <w:p w14:paraId="3F019D2D"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it is not possible for the Supplier to reallocate resources to provide such assistance as is referred to in </w:t>
      </w:r>
      <w:r>
        <w:rPr>
          <w:rFonts w:ascii="Arial" w:eastAsia="Arial" w:hAnsi="Arial" w:cs="Arial"/>
          <w:color w:val="000000"/>
          <w:sz w:val="24"/>
          <w:szCs w:val="24"/>
        </w:rPr>
        <w:t>Paragraph 6.1.2 without additional costs to the Buyer, any additional costs incurred by the Supplier in providing such reasonable assistance shall be subject to the Variation Procedure.</w:t>
      </w:r>
    </w:p>
    <w:p w14:paraId="3F019D2E"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0" w:name="_heading=h.1y810tw" w:colFirst="0" w:colLast="0"/>
      <w:bookmarkEnd w:id="20"/>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3F019D2F"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3F019D30"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4i7ojhp" w:colFirst="0" w:colLast="0"/>
      <w:bookmarkEnd w:id="21"/>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3F019D31"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2xcytpi" w:colFirst="0" w:colLast="0"/>
      <w:bookmarkEnd w:id="22"/>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3F019D32"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3F019D33"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3F019D34" w14:textId="77777777" w:rsidR="00443FFD" w:rsidRDefault="000C052C">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provide access during normal working hours to the Buyer and/or the Replacement Supplier for up to twelve (12) Months after expiry or termination to:</w:t>
      </w:r>
    </w:p>
    <w:p w14:paraId="3F019D35" w14:textId="77777777"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3F019D36" w14:textId="77777777"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3whwml4" w:colFirst="0" w:colLast="0"/>
      <w:bookmarkEnd w:id="24"/>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3F019D37"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 w:name="_heading=h.2bn6wsx" w:colFirst="0" w:colLast="0"/>
      <w:bookmarkEnd w:id="25"/>
      <w:r>
        <w:rPr>
          <w:rFonts w:ascii="Arial" w:eastAsia="Arial" w:hAnsi="Arial" w:cs="Arial"/>
          <w:color w:val="000000"/>
          <w:sz w:val="24"/>
          <w:szCs w:val="24"/>
        </w:rPr>
        <w:t xml:space="preserve">Except where this Contract provides otherwise, all licences, leases and </w:t>
      </w:r>
      <w:r>
        <w:rPr>
          <w:rFonts w:ascii="Arial" w:eastAsia="Arial" w:hAnsi="Arial" w:cs="Arial"/>
          <w:color w:val="000000"/>
          <w:sz w:val="24"/>
          <w:szCs w:val="24"/>
        </w:rPr>
        <w:t>authorisations granted by the Buyer to the Supplier in relation to the Deliverables shall be terminated with effect from the end of the Termination Assistance Period.</w:t>
      </w:r>
    </w:p>
    <w:p w14:paraId="3F019D38"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3F019D39"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qsh70q" w:colFirst="0" w:colLast="0"/>
      <w:bookmarkEnd w:id="26"/>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3F019D3A"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3F019D3B"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F019D3C"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3as4poj" w:colFirst="0" w:colLast="0"/>
      <w:bookmarkEnd w:id="27"/>
      <w:r>
        <w:rPr>
          <w:rFonts w:ascii="Arial" w:eastAsia="Arial" w:hAnsi="Arial" w:cs="Arial"/>
          <w:color w:val="000000"/>
          <w:sz w:val="24"/>
          <w:szCs w:val="24"/>
        </w:rPr>
        <w:t>Within twenty (20) Working Days of receipt of the up-to-date Registers provided by the Supplier, the Buyer shall notify the Supplier setting out:</w:t>
      </w:r>
    </w:p>
    <w:p w14:paraId="3F019D3D"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8" w:name="_heading=h.1pxezwc" w:colFirst="0" w:colLast="0"/>
      <w:bookmarkEnd w:id="28"/>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3F019D3E" w14:textId="77777777" w:rsidR="00443FFD" w:rsidRDefault="000C052C">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bookmark=id.49x2ik5" w:colFirst="0" w:colLast="0"/>
      <w:bookmarkStart w:id="30" w:name="_heading=h.2p2csry" w:colFirst="0" w:colLast="0"/>
      <w:bookmarkEnd w:id="29"/>
      <w:bookmarkEnd w:id="30"/>
      <w:r>
        <w:rPr>
          <w:rFonts w:ascii="Arial" w:eastAsia="Arial" w:hAnsi="Arial" w:cs="Arial"/>
          <w:color w:val="000000"/>
          <w:sz w:val="24"/>
          <w:szCs w:val="24"/>
        </w:rPr>
        <w:t>which, if any, of:</w:t>
      </w:r>
    </w:p>
    <w:p w14:paraId="3F019D3F" w14:textId="77777777"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3F019D40" w14:textId="77777777" w:rsidR="00443FFD" w:rsidRDefault="000C052C">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3F019D41" w14:textId="77777777" w:rsidR="00443FFD" w:rsidRDefault="000C052C">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3F019D42"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1" w:name="_heading=h.147n2zr" w:colFirst="0" w:colLast="0"/>
      <w:bookmarkEnd w:id="31"/>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3F019D43" w14:textId="77777777" w:rsidR="00443FFD" w:rsidRDefault="000C052C">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3F019D44"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2" w:name="_heading=h.3o7alnk" w:colFirst="0" w:colLast="0"/>
      <w:bookmarkEnd w:id="32"/>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F019D45"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Risk in the Transferring Assets shall pass to the Buyer or the Replacement Supplier (as appropriate) at the end of </w:t>
      </w:r>
      <w:r>
        <w:rPr>
          <w:rFonts w:ascii="Arial" w:eastAsia="Arial" w:hAnsi="Arial" w:cs="Arial"/>
          <w:color w:val="000000"/>
          <w:sz w:val="24"/>
          <w:szCs w:val="24"/>
        </w:rPr>
        <w:t>the Termination Assistance Period and title shall pass on payment for them.</w:t>
      </w:r>
    </w:p>
    <w:p w14:paraId="3F019D46"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23ckvvd" w:colFirst="0" w:colLast="0"/>
      <w:bookmarkEnd w:id="33"/>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3F019D47"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3F019D48"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a </w:t>
      </w:r>
      <w:r>
        <w:rPr>
          <w:rFonts w:ascii="Arial" w:eastAsia="Arial" w:hAnsi="Arial" w:cs="Arial"/>
          <w:color w:val="000000"/>
          <w:sz w:val="24"/>
          <w:szCs w:val="24"/>
        </w:rPr>
        <w:t>suitable alternative to such assets, the Buyer or the Replacement Supplier to bear the reasonable proven costs of procuring the same.</w:t>
      </w:r>
    </w:p>
    <w:p w14:paraId="3F019D49"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ihv636" w:colFirst="0" w:colLast="0"/>
      <w:bookmarkEnd w:id="34"/>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3F019D4A"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32hioqz" w:colFirst="0" w:colLast="0"/>
      <w:bookmarkEnd w:id="35"/>
      <w:r>
        <w:rPr>
          <w:rFonts w:ascii="Arial" w:eastAsia="Arial" w:hAnsi="Arial" w:cs="Arial"/>
          <w:color w:val="000000"/>
          <w:sz w:val="24"/>
          <w:szCs w:val="24"/>
        </w:rPr>
        <w:t>The Buyer shall:</w:t>
      </w:r>
    </w:p>
    <w:p w14:paraId="3F019D4B"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3F019D4C"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3F019D4D"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F019D4E"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1hmsyys" w:colFirst="0" w:colLast="0"/>
      <w:bookmarkEnd w:id="36"/>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w:t>
      </w:r>
      <w:r>
        <w:rPr>
          <w:rFonts w:ascii="Arial" w:eastAsia="Arial" w:hAnsi="Arial" w:cs="Arial"/>
          <w:color w:val="000000"/>
          <w:sz w:val="24"/>
          <w:szCs w:val="24"/>
        </w:rPr>
        <w:t>nded to be enforceable by Third Parties Beneficiaries by virtue of the CRTPA.</w:t>
      </w:r>
    </w:p>
    <w:p w14:paraId="3F019D4F"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7" w:name="_heading=h.41mghml" w:colFirst="0" w:colLast="0"/>
      <w:bookmarkEnd w:id="37"/>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3F019D50" w14:textId="77777777" w:rsidR="00443FFD" w:rsidRDefault="000C052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Unless otherwise stated, the Buyer shall not be obliged to pay for costs </w:t>
      </w:r>
      <w:r>
        <w:rPr>
          <w:rFonts w:ascii="Arial" w:eastAsia="Arial" w:hAnsi="Arial" w:cs="Arial"/>
          <w:color w:val="000000"/>
          <w:sz w:val="24"/>
          <w:szCs w:val="24"/>
        </w:rPr>
        <w:t>incurred by the Supplier in relation to its compliance with this Schedule.</w:t>
      </w:r>
    </w:p>
    <w:p w14:paraId="3F019D51" w14:textId="77777777" w:rsidR="00443FFD" w:rsidRDefault="000C052C">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3F019D52" w14:textId="77777777" w:rsidR="00443FFD" w:rsidRDefault="000C052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8" w:name="_heading=h.2grqrue" w:colFirst="0" w:colLast="0"/>
      <w:bookmarkEnd w:id="38"/>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3F019D53"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3F019D54"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or Replacement Supplier (as applicable) shall be responsible for or entitled to (as the </w:t>
      </w:r>
      <w:r>
        <w:rPr>
          <w:rFonts w:ascii="Arial" w:eastAsia="Arial" w:hAnsi="Arial" w:cs="Arial"/>
          <w:color w:val="000000"/>
          <w:sz w:val="24"/>
          <w:szCs w:val="24"/>
        </w:rPr>
        <w:t>case may be) that part of the value of the invoice pro rata to the number of complete days following the transfer, multiplied by the daily rate; and</w:t>
      </w:r>
    </w:p>
    <w:p w14:paraId="3F019D55" w14:textId="77777777" w:rsidR="00443FFD" w:rsidRDefault="000C052C">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3F019D56" w14:textId="77777777" w:rsidR="00443FFD" w:rsidRDefault="00443FFD">
      <w:pPr>
        <w:rPr>
          <w:rFonts w:ascii="Arial" w:eastAsia="Arial" w:hAnsi="Arial" w:cs="Arial"/>
          <w:sz w:val="24"/>
          <w:szCs w:val="24"/>
        </w:rPr>
      </w:pPr>
    </w:p>
    <w:p w14:paraId="3F019D57" w14:textId="77777777" w:rsidR="00443FFD" w:rsidRDefault="00443FFD">
      <w:pPr>
        <w:rPr>
          <w:rFonts w:ascii="Arial" w:eastAsia="Arial" w:hAnsi="Arial" w:cs="Arial"/>
          <w:sz w:val="24"/>
          <w:szCs w:val="24"/>
        </w:rPr>
      </w:pPr>
    </w:p>
    <w:sectPr w:rsidR="00443FFD">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7C974" w14:textId="77777777" w:rsidR="00BA7A3D" w:rsidRDefault="00BA7A3D">
      <w:pPr>
        <w:spacing w:after="0" w:line="240" w:lineRule="auto"/>
      </w:pPr>
      <w:r>
        <w:separator/>
      </w:r>
    </w:p>
  </w:endnote>
  <w:endnote w:type="continuationSeparator" w:id="0">
    <w:p w14:paraId="1053FBA5" w14:textId="77777777" w:rsidR="00BA7A3D" w:rsidRDefault="00BA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9D5C" w14:textId="77777777" w:rsidR="00443FFD" w:rsidRDefault="00443FF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3F019D5D"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sz w:val="20"/>
        <w:szCs w:val="20"/>
      </w:rPr>
      <w:t>6273 Employee Benefits and Services</w:t>
    </w:r>
  </w:p>
  <w:p w14:paraId="3F019D5E" w14:textId="5A8EB94C"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D1D5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F019D5F"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39" w:name="bookmark=id.vx1227" w:colFirst="0" w:colLast="0"/>
    <w:bookmarkEnd w:id="39"/>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9D60" w14:textId="77777777" w:rsidR="00443FFD" w:rsidRDefault="00443FFD">
    <w:pPr>
      <w:tabs>
        <w:tab w:val="center" w:pos="4513"/>
        <w:tab w:val="right" w:pos="9026"/>
      </w:tabs>
      <w:spacing w:after="0"/>
      <w:rPr>
        <w:rFonts w:ascii="Arial" w:eastAsia="Arial" w:hAnsi="Arial" w:cs="Arial"/>
        <w:color w:val="A6A6A6"/>
        <w:sz w:val="20"/>
        <w:szCs w:val="20"/>
      </w:rPr>
    </w:pPr>
  </w:p>
  <w:p w14:paraId="3F019D61"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r>
    <w:r>
      <w:rPr>
        <w:rFonts w:ascii="Arial" w:eastAsia="Arial" w:hAnsi="Arial" w:cs="Arial"/>
        <w:color w:val="A6A6A6"/>
        <w:sz w:val="20"/>
        <w:szCs w:val="20"/>
      </w:rPr>
      <w:t xml:space="preserve">                                           </w:t>
    </w:r>
  </w:p>
  <w:p w14:paraId="3F019D62"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3F019D63"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AD393" w14:textId="77777777" w:rsidR="00BA7A3D" w:rsidRDefault="00BA7A3D">
      <w:pPr>
        <w:spacing w:after="0" w:line="240" w:lineRule="auto"/>
      </w:pPr>
      <w:r>
        <w:separator/>
      </w:r>
    </w:p>
  </w:footnote>
  <w:footnote w:type="continuationSeparator" w:id="0">
    <w:p w14:paraId="31CD8B70" w14:textId="77777777" w:rsidR="00BA7A3D" w:rsidRDefault="00BA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9D58"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14:paraId="3F019D59"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3F019D5A" w14:textId="77777777" w:rsidR="00443FFD" w:rsidRDefault="000C05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3F019D5B" w14:textId="77777777" w:rsidR="00443FFD" w:rsidRDefault="00443FFD">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82B02"/>
    <w:multiLevelType w:val="multilevel"/>
    <w:tmpl w:val="3AC068A2"/>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E73E0F"/>
    <w:multiLevelType w:val="multilevel"/>
    <w:tmpl w:val="2758E228"/>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87943E9"/>
    <w:multiLevelType w:val="multilevel"/>
    <w:tmpl w:val="E92CF64A"/>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16cid:durableId="2105688466">
    <w:abstractNumId w:val="1"/>
  </w:num>
  <w:num w:numId="2" w16cid:durableId="1129519500">
    <w:abstractNumId w:val="0"/>
  </w:num>
  <w:num w:numId="3" w16cid:durableId="235434134">
    <w:abstractNumId w:val="2"/>
  </w:num>
  <w:num w:numId="4" w16cid:durableId="2124692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158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FD"/>
    <w:rsid w:val="000C052C"/>
    <w:rsid w:val="003A30D3"/>
    <w:rsid w:val="00443FFD"/>
    <w:rsid w:val="0060036A"/>
    <w:rsid w:val="00BA7A3D"/>
    <w:rsid w:val="00BD1D5E"/>
    <w:rsid w:val="00F1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9CC2"/>
  <w15:docId w15:val="{EDBEB8C9-5409-4CA5-A005-6B4E6E25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820b80-ce23-4eef-b10c-f169d3b90d19" xsi:nil="true"/>
    <Sub_x0020_Category xmlns="eb65cd42-cecf-4c4b-b24d-4d9e9f1ba8c4" xsi:nil="true"/>
    <Category_x0020_Lead xmlns="eb65cd42-cecf-4c4b-b24d-4d9e9f1ba8c4">
      <UserInfo>
        <DisplayName/>
        <AccountId xsi:nil="true"/>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ontract_x0020_Support xmlns="eb65cd42-cecf-4c4b-b24d-4d9e9f1ba8c4">
      <UserInfo>
        <DisplayName/>
        <AccountId xsi:nil="true"/>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hd9bb3938e574c39aaf180bed4766390 xmlns="eb65cd42-cecf-4c4b-b24d-4d9e9f1ba8c4">
      <Terms xmlns="http://schemas.microsoft.com/office/infopath/2007/PartnerControls"/>
    </hd9bb3938e574c39aaf180bed4766390>
    <Category_x0020_Manager xmlns="eb65cd42-cecf-4c4b-b24d-4d9e9f1ba8c4">
      <UserInfo>
        <DisplayName>Loren Williams</DisplayName>
        <AccountId>955</AccountId>
        <AccountType/>
      </UserInfo>
    </Category_x0020_Manager>
    <_Status xmlns="http://schemas.microsoft.com/sharepoint/v3/fields">Active</_Statu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402JpC97cMYYeQKdGS1SP7AmevQ==">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A5683-B822-4075-A116-7A3B852F3CB5}">
  <ds:schemaRefs>
    <ds:schemaRef ds:uri="http://schemas.microsoft.com/office/2006/metadata/properties"/>
    <ds:schemaRef ds:uri="http://schemas.microsoft.com/office/infopath/2007/PartnerControls"/>
    <ds:schemaRef ds:uri="86820b80-ce23-4eef-b10c-f169d3b90d19"/>
    <ds:schemaRef ds:uri="eb65cd42-cecf-4c4b-b24d-4d9e9f1ba8c4"/>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875DD03-444D-4532-B597-E9488752F9E0}">
  <ds:schemaRefs>
    <ds:schemaRef ds:uri="http://schemas.microsoft.com/sharepoint/v3/contenttype/forms"/>
  </ds:schemaRefs>
</ds:datastoreItem>
</file>

<file path=customXml/itemProps4.xml><?xml version="1.0" encoding="utf-8"?>
<ds:datastoreItem xmlns:ds="http://schemas.openxmlformats.org/officeDocument/2006/customXml" ds:itemID="{F5984EBB-1465-4442-AB68-86EA5BF93D48}">
  <ds:schemaRefs>
    <ds:schemaRef ds:uri="http://schemas.microsoft.com/office/2006/metadata/customXsn"/>
  </ds:schemaRefs>
</ds:datastoreItem>
</file>

<file path=customXml/itemProps5.xml><?xml version="1.0" encoding="utf-8"?>
<ds:datastoreItem xmlns:ds="http://schemas.openxmlformats.org/officeDocument/2006/customXml" ds:itemID="{F7448146-B098-4AD9-B0A0-BC80FF5A132C}"/>
</file>

<file path=docProps/app.xml><?xml version="1.0" encoding="utf-8"?>
<Properties xmlns="http://schemas.openxmlformats.org/officeDocument/2006/extended-properties" xmlns:vt="http://schemas.openxmlformats.org/officeDocument/2006/docPropsVTypes">
  <Template>Normal</Template>
  <TotalTime>2</TotalTime>
  <Pages>9</Pages>
  <Words>2858</Words>
  <Characters>16293</Characters>
  <Application>Microsoft Office Word</Application>
  <DocSecurity>0</DocSecurity>
  <Lines>135</Lines>
  <Paragraphs>38</Paragraphs>
  <ScaleCrop>false</ScaleCrop>
  <Company>DVSA</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Thomas, Bethan</cp:lastModifiedBy>
  <cp:revision>4</cp:revision>
  <dcterms:created xsi:type="dcterms:W3CDTF">2024-08-02T12:26:00Z</dcterms:created>
  <dcterms:modified xsi:type="dcterms:W3CDTF">2024-08-06T12:47:00Z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fd3ea3193a1b45a1be050362e1e23f4c">
    <vt:lpwstr/>
  </property>
  <property fmtid="{D5CDD505-2E9C-101B-9397-08002B2CF9AE}" pid="8" name="AgencyTags">
    <vt:lpwstr/>
  </property>
  <property fmtid="{D5CDD505-2E9C-101B-9397-08002B2CF9AE}" pid="9" name="MediaServiceImageTags">
    <vt:lpwstr/>
  </property>
  <property fmtid="{D5CDD505-2E9C-101B-9397-08002B2CF9AE}" pid="10" name="ContentTypeId">
    <vt:lpwstr>0x0101001BA10D29B7A6C9469786144FEBAE6C8500D403F13DB1A1924EB2844D347C921956</vt:lpwstr>
  </property>
  <property fmtid="{D5CDD505-2E9C-101B-9397-08002B2CF9AE}" pid="11" name="Commercial Activity">
    <vt:lpwstr/>
  </property>
  <property fmtid="{D5CDD505-2E9C-101B-9397-08002B2CF9AE}" pid="12" name="Commercial_x0020_Activity">
    <vt:lpwstr/>
  </property>
  <property fmtid="{D5CDD505-2E9C-101B-9397-08002B2CF9AE}" pid="13" name="CommercialCategory">
    <vt:lpwstr>2</vt:lpwstr>
  </property>
  <property fmtid="{D5CDD505-2E9C-101B-9397-08002B2CF9AE}" pid="14" name="_docset_NoMedatataSyncRequired">
    <vt:lpwstr>False</vt:lpwstr>
  </property>
</Properties>
</file>