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spacing w:after="120" w:before="120" w:line="240" w:lineRule="auto"/>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20</wp:posOffset>
            </wp:positionH>
            <wp:positionV relativeFrom="paragraph">
              <wp:posOffset>0</wp:posOffset>
            </wp:positionV>
            <wp:extent cx="876300" cy="723900"/>
            <wp:effectExtent b="0" l="0" r="0" t="0"/>
            <wp:wrapSquare wrapText="bothSides" distB="0" distT="0" distL="114300" distR="114300"/>
            <wp:docPr descr="CCS_2935_SML_AW" id="15"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4">
      <w:pPr>
        <w:spacing w:after="120" w:before="12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120" w:before="12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2 Certificate of Technical and Professional Ability</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RM6299 – Office Solutions</w:t>
      </w:r>
      <w:r w:rsidDel="00000000" w:rsidR="00000000" w:rsidRPr="00000000">
        <w:rPr>
          <w:rtl w:val="0"/>
        </w:rPr>
      </w:r>
    </w:p>
    <w:p w:rsidR="00000000" w:rsidDel="00000000" w:rsidP="00000000" w:rsidRDefault="00000000" w:rsidRPr="00000000" w14:paraId="00000008">
      <w:pPr>
        <w:spacing w:after="120" w:before="120" w:line="24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9">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w:t>
      </w:r>
    </w:p>
    <w:p w:rsidR="00000000" w:rsidDel="00000000" w:rsidP="00000000" w:rsidRDefault="00000000" w:rsidRPr="00000000" w14:paraId="0000000A">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For the assessment of your Technical and Professional ability the relevant Services are listed within Section A of this Certificate of Technical and Professional ability (COTPA). </w:t>
      </w:r>
    </w:p>
    <w:p w:rsidR="00000000" w:rsidDel="00000000" w:rsidP="00000000" w:rsidRDefault="00000000" w:rsidRPr="00000000" w14:paraId="0000000B">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You are required to submit two (2) Certificates of Technical and Professional ability (COTPA) for Lot 2.    </w:t>
      </w:r>
    </w:p>
    <w:p w:rsidR="00000000" w:rsidDel="00000000" w:rsidP="00000000" w:rsidRDefault="00000000" w:rsidRPr="00000000" w14:paraId="0000000C">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0D">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0E">
      <w:pPr>
        <w:spacing w:after="120" w:before="120" w:line="24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0F">
      <w:pPr>
        <w:spacing w:after="120" w:before="120" w:line="24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Lot 2 by uploading this file to question 1.26.3 within the online Selection Questionnaire (Qualification Envelope).</w:t>
      </w:r>
    </w:p>
    <w:p w:rsidR="00000000" w:rsidDel="00000000" w:rsidP="00000000" w:rsidRDefault="00000000" w:rsidRPr="00000000" w14:paraId="00000010">
      <w:pPr>
        <w:spacing w:after="120" w:before="120" w:line="240" w:lineRule="auto"/>
        <w:ind w:right="-180"/>
        <w:rPr>
          <w:rFonts w:ascii="Arial" w:cs="Arial" w:eastAsia="Arial" w:hAnsi="Arial"/>
          <w:highlight w:val="white"/>
        </w:rPr>
      </w:pPr>
      <w:r w:rsidDel="00000000" w:rsidR="00000000" w:rsidRPr="00000000">
        <w:rPr>
          <w:rFonts w:ascii="Arial" w:cs="Arial" w:eastAsia="Arial" w:hAnsi="Arial"/>
          <w:rtl w:val="0"/>
        </w:rPr>
        <w:t xml:space="preserve">Please note that we reserve the right to contact the customer</w:t>
      </w:r>
      <w:r w:rsidDel="00000000" w:rsidR="00000000" w:rsidRPr="00000000">
        <w:rPr>
          <w:rFonts w:ascii="Arial" w:cs="Arial" w:eastAsia="Arial" w:hAnsi="Arial"/>
          <w:highlight w:val="white"/>
          <w:rtl w:val="0"/>
        </w:rPr>
        <w:t xml:space="preserve"> listed in the certificate to verify the information provided. </w:t>
      </w:r>
    </w:p>
    <w:p w:rsidR="00000000" w:rsidDel="00000000" w:rsidP="00000000" w:rsidRDefault="00000000" w:rsidRPr="00000000" w14:paraId="00000011">
      <w:pPr>
        <w:spacing w:after="120" w:before="120" w:line="240" w:lineRule="auto"/>
        <w:rPr>
          <w:rFonts w:ascii="Arial" w:cs="Arial" w:eastAsia="Arial" w:hAnsi="Arial"/>
          <w:highlight w:val="white"/>
        </w:rPr>
      </w:pP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2">
      <w:pPr>
        <w:spacing w:after="120" w:before="120" w:lin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3">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rtl w:val="0"/>
        </w:rPr>
        <w:t xml:space="preserve">twelve months</w:t>
      </w:r>
    </w:p>
    <w:p w:rsidR="00000000" w:rsidDel="00000000" w:rsidP="00000000" w:rsidRDefault="00000000" w:rsidRPr="00000000" w14:paraId="00000014">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w:t>
      </w:r>
      <w:r w:rsidDel="00000000" w:rsidR="00000000" w:rsidRPr="00000000">
        <w:rPr>
          <w:rtl w:val="0"/>
        </w:rPr>
      </w:r>
    </w:p>
    <w:p w:rsidR="00000000" w:rsidDel="00000000" w:rsidP="00000000" w:rsidRDefault="00000000" w:rsidRPr="00000000" w14:paraId="00000015">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color w:val="000000"/>
          <w:rtl w:val="0"/>
        </w:rPr>
        <w:t xml:space="preserve">You cannot use a contract where you have not yet started to deliver the services</w:t>
      </w:r>
      <w:r w:rsidDel="00000000" w:rsidR="00000000" w:rsidRPr="00000000">
        <w:rPr>
          <w:rtl w:val="0"/>
        </w:rPr>
      </w:r>
    </w:p>
    <w:p w:rsidR="00000000" w:rsidDel="00000000" w:rsidP="00000000" w:rsidRDefault="00000000" w:rsidRPr="00000000" w14:paraId="00000016">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Projects only need to have been completed within the time limit stated above. </w:t>
      </w:r>
    </w:p>
    <w:p w:rsidR="00000000" w:rsidDel="00000000" w:rsidP="00000000" w:rsidRDefault="00000000" w:rsidRPr="00000000" w14:paraId="00000017">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It is acceptable for the project to have commenced prior to 10/07/2020.</w:t>
      </w:r>
    </w:p>
    <w:p w:rsidR="00000000" w:rsidDel="00000000" w:rsidP="00000000" w:rsidRDefault="00000000" w:rsidRPr="00000000" w14:paraId="00000018">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w:t>
      </w:r>
      <w:r w:rsidDel="00000000" w:rsidR="00000000" w:rsidRPr="00000000">
        <w:rPr>
          <w:rFonts w:ascii="Arial" w:cs="Arial" w:eastAsia="Arial" w:hAnsi="Arial"/>
          <w:rtl w:val="0"/>
        </w:rPr>
        <w:t xml:space="preserve">mplementation and mobilisation and have become operational</w:t>
      </w:r>
    </w:p>
    <w:p w:rsidR="00000000" w:rsidDel="00000000" w:rsidP="00000000" w:rsidRDefault="00000000" w:rsidRPr="00000000" w14:paraId="00000019">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p>
    <w:p w:rsidR="00000000" w:rsidDel="00000000" w:rsidP="00000000" w:rsidRDefault="00000000" w:rsidRPr="00000000" w14:paraId="0000001A">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demonstrate all of the Services listed in Section A</w:t>
      </w:r>
    </w:p>
    <w:p w:rsidR="00000000" w:rsidDel="00000000" w:rsidP="00000000" w:rsidRDefault="00000000" w:rsidRPr="00000000" w14:paraId="0000001B">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C">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D">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w:t>
      </w:r>
    </w:p>
    <w:p w:rsidR="00000000" w:rsidDel="00000000" w:rsidP="00000000" w:rsidRDefault="00000000" w:rsidRPr="00000000" w14:paraId="0000001E">
      <w:pPr>
        <w:spacing w:after="120" w:before="120" w:line="240" w:lineRule="auto"/>
        <w:ind w:left="720" w:right="-620" w:firstLine="0"/>
        <w:rPr>
          <w:rFonts w:ascii="Arial" w:cs="Arial" w:eastAsia="Arial" w:hAnsi="Arial"/>
          <w:highlight w:val="white"/>
        </w:rPr>
      </w:pPr>
      <w:r w:rsidDel="00000000" w:rsidR="00000000" w:rsidRPr="00000000">
        <w:rPr>
          <w:rFonts w:ascii="Arial" w:cs="Arial" w:eastAsia="Arial" w:hAnsi="Arial"/>
          <w:highlight w:val="white"/>
          <w:rtl w:val="0"/>
        </w:rPr>
        <w:t xml:space="preserve">Any additional documents submitted will be disregarded</w:t>
      </w:r>
    </w:p>
    <w:p w:rsidR="00000000" w:rsidDel="00000000" w:rsidP="00000000" w:rsidRDefault="00000000" w:rsidRPr="00000000" w14:paraId="0000001F">
      <w:pPr>
        <w:numPr>
          <w:ilvl w:val="0"/>
          <w:numId w:val="1"/>
        </w:numPr>
        <w:spacing w:after="120" w:before="120" w:line="24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p>
    <w:p w:rsidR="00000000" w:rsidDel="00000000" w:rsidP="00000000" w:rsidRDefault="00000000" w:rsidRPr="00000000" w14:paraId="00000020">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1">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22">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w:t>
      </w:r>
    </w:p>
    <w:p w:rsidR="00000000" w:rsidDel="00000000" w:rsidP="00000000" w:rsidRDefault="00000000" w:rsidRPr="00000000" w14:paraId="00000023">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A COTPA must be signed by an existing employee of the company for whom the work was undertaken</w:t>
      </w:r>
    </w:p>
    <w:p w:rsidR="00000000" w:rsidDel="00000000" w:rsidP="00000000" w:rsidRDefault="00000000" w:rsidRPr="00000000" w14:paraId="00000024">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w:t>
      </w:r>
    </w:p>
    <w:p w:rsidR="00000000" w:rsidDel="00000000" w:rsidP="00000000" w:rsidRDefault="00000000" w:rsidRPr="00000000" w14:paraId="00000025">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Therefore, if a customer is unable to print a completed Certificate, a digital signature is an acceptable alternative</w:t>
      </w:r>
    </w:p>
    <w:p w:rsidR="00000000" w:rsidDel="00000000" w:rsidP="00000000" w:rsidRDefault="00000000" w:rsidRPr="00000000" w14:paraId="00000026">
      <w:pPr>
        <w:numPr>
          <w:ilvl w:val="0"/>
          <w:numId w:val="1"/>
        </w:numPr>
        <w:spacing w:after="120" w:before="12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w:t>
      </w:r>
    </w:p>
    <w:p w:rsidR="00000000" w:rsidDel="00000000" w:rsidP="00000000" w:rsidRDefault="00000000" w:rsidRPr="00000000" w14:paraId="00000027">
      <w:pPr>
        <w:spacing w:after="120" w:before="120" w:line="240" w:lineRule="auto"/>
        <w:ind w:left="720" w:right="-620" w:firstLine="0"/>
        <w:rPr>
          <w:rFonts w:ascii="Arial" w:cs="Arial" w:eastAsia="Arial" w:hAnsi="Arial"/>
        </w:rPr>
      </w:pPr>
      <w:r w:rsidDel="00000000" w:rsidR="00000000" w:rsidRPr="00000000">
        <w:rPr>
          <w:rFonts w:ascii="Arial" w:cs="Arial" w:eastAsia="Arial" w:hAnsi="Arial"/>
          <w:rtl w:val="0"/>
        </w:rPr>
        <w:t xml:space="preserve">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8">
      <w:pPr>
        <w:spacing w:after="120" w:before="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120" w:before="120" w:lin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A">
      <w:pPr>
        <w:spacing w:after="120" w:before="120" w:line="240" w:lineRule="auto"/>
        <w:rPr>
          <w:rFonts w:ascii="Arial" w:cs="Arial" w:eastAsia="Arial" w:hAnsi="Arial"/>
        </w:rPr>
      </w:pPr>
      <w:r w:rsidDel="00000000" w:rsidR="00000000" w:rsidRPr="00000000">
        <w:rPr>
          <w:rFonts w:ascii="Arial" w:cs="Arial" w:eastAsia="Arial" w:hAnsi="Arial"/>
          <w:rtl w:val="0"/>
        </w:rPr>
        <w:t xml:space="preserve">You may fail Part 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B">
      <w:pPr>
        <w:keepLines w:val="1"/>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C">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 </w:t>
      </w:r>
    </w:p>
    <w:p w:rsidR="00000000" w:rsidDel="00000000" w:rsidP="00000000" w:rsidRDefault="00000000" w:rsidRPr="00000000" w14:paraId="0000002D">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E">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F">
      <w:pPr>
        <w:widowControl w:val="0"/>
        <w:numPr>
          <w:ilvl w:val="0"/>
          <w:numId w:val="2"/>
        </w:numPr>
        <w:spacing w:after="12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we contact the customer to verify the information provided and they cannot or will not verify the information. </w:t>
      </w:r>
    </w:p>
    <w:p w:rsidR="00000000" w:rsidDel="00000000" w:rsidP="00000000" w:rsidRDefault="00000000" w:rsidRPr="00000000" w14:paraId="00000030">
      <w:pPr>
        <w:widowControl w:val="0"/>
        <w:spacing w:after="120" w:before="120" w:line="240" w:lineRule="auto"/>
        <w:ind w:left="720" w:firstLine="0"/>
        <w:rPr>
          <w:rFonts w:ascii="Arial" w:cs="Arial" w:eastAsia="Arial" w:hAnsi="Arial"/>
        </w:rPr>
      </w:pPr>
      <w:r w:rsidDel="00000000" w:rsidR="00000000" w:rsidRPr="00000000">
        <w:rPr>
          <w:rFonts w:ascii="Arial" w:cs="Arial" w:eastAsia="Arial" w:hAnsi="Arial"/>
          <w:rtl w:val="0"/>
        </w:rPr>
        <w:t xml:space="preserve">It is vital that you select a customer that is prepared to verify the information you have provided and be contactable in the event that clarification is required</w:t>
      </w:r>
    </w:p>
    <w:p w:rsidR="00000000" w:rsidDel="00000000" w:rsidP="00000000" w:rsidRDefault="00000000" w:rsidRPr="00000000" w14:paraId="00000031">
      <w:pPr>
        <w:spacing w:after="120" w:before="120" w:line="240" w:lineRule="auto"/>
        <w:rPr>
          <w:rFonts w:ascii="Arial" w:cs="Arial" w:eastAsia="Arial" w:hAnsi="Arial"/>
        </w:rPr>
      </w:pPr>
      <w:bookmarkStart w:colFirst="0" w:colLast="0" w:name="_heading=h.1fob9te" w:id="1"/>
      <w:bookmarkEnd w:id="1"/>
      <w:r w:rsidDel="00000000" w:rsidR="00000000" w:rsidRPr="00000000">
        <w:rPr>
          <w:rFonts w:ascii="Arial" w:cs="Arial" w:eastAsia="Arial" w:hAnsi="Arial"/>
          <w:rtl w:val="0"/>
        </w:rPr>
        <w:t xml:space="preserve">If we determine that you have failed Part 3 – Technical and Professional Capability of the Selection Questionnaire we will notify you and tell you the reasons for this. </w:t>
      </w:r>
    </w:p>
    <w:p w:rsidR="00000000" w:rsidDel="00000000" w:rsidP="00000000" w:rsidRDefault="00000000" w:rsidRPr="00000000" w14:paraId="00000032">
      <w:pPr>
        <w:spacing w:after="120" w:before="120" w:line="240" w:lineRule="auto"/>
        <w:ind w:hanging="567"/>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3">
      <w:pPr>
        <w:spacing w:after="120" w:before="120" w:line="240" w:lineRule="auto"/>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RM6299 Office Solutions – Lot 2</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4">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6">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7">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8">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B">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D">
            <w:pPr>
              <w:spacing w:after="120" w:before="12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E">
            <w:pPr>
              <w:spacing w:after="120" w:before="12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F">
            <w:pPr>
              <w:spacing w:after="120" w:before="12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40">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2">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4">
            <w:pPr>
              <w:spacing w:after="120" w:before="12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6">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7">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8">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9">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A">
            <w:pPr>
              <w:spacing w:after="120" w:before="12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B">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C">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boxes below to confirm which Services you provided to the Customer under this contract.</w:t>
            </w:r>
          </w:p>
          <w:p w:rsidR="00000000" w:rsidDel="00000000" w:rsidP="00000000" w:rsidRDefault="00000000" w:rsidRPr="00000000" w14:paraId="0000004D">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ticks against all of the Services listed below.</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158" w:firstLine="0"/>
              <w:jc w:val="left"/>
              <w:rPr>
                <w:rFonts w:ascii="Arial" w:cs="Arial" w:eastAsia="Arial" w:hAnsi="Arial"/>
              </w:rPr>
            </w:pPr>
            <w:r w:rsidDel="00000000" w:rsidR="00000000" w:rsidRPr="00000000">
              <w:rPr>
                <w:rFonts w:ascii="Arial" w:cs="Arial" w:eastAsia="Arial" w:hAnsi="Arial"/>
                <w:rtl w:val="0"/>
              </w:rPr>
              <w:t xml:space="preserve">𐄂  Evidence of Capacity to ensure scalability to National Coverage</w:t>
            </w:r>
            <w:r w:rsidDel="00000000" w:rsidR="00000000" w:rsidRPr="00000000">
              <w:rPr>
                <w:rFonts w:ascii="Arial" w:cs="Arial" w:eastAsia="Arial" w:hAnsi="Arial"/>
                <w:rtl w:val="0"/>
              </w:rPr>
              <w:t xml:space="preserve"> and evidence of where you have delivered National Coverage in this project</w:t>
            </w:r>
            <w:r w:rsidDel="00000000" w:rsidR="00000000" w:rsidRPr="00000000">
              <w:rPr>
                <w:rFonts w:ascii="Arial" w:cs="Arial" w:eastAsia="Arial" w:hAnsi="Arial"/>
                <w:rtl w:val="0"/>
              </w:rPr>
              <w:t xml:space="preserv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158" w:firstLine="0"/>
              <w:jc w:val="left"/>
              <w:rPr>
                <w:rFonts w:ascii="Arial" w:cs="Arial" w:eastAsia="Arial" w:hAnsi="Arial"/>
              </w:rPr>
            </w:pPr>
            <w:r w:rsidDel="00000000" w:rsidR="00000000" w:rsidRPr="00000000">
              <w:rPr>
                <w:rFonts w:ascii="Arial" w:cs="Arial" w:eastAsia="Arial" w:hAnsi="Arial"/>
                <w:rtl w:val="0"/>
              </w:rPr>
              <w:t xml:space="preserve">𐄂  Evidence of Supply Chain Management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158" w:firstLine="0"/>
              <w:jc w:val="left"/>
              <w:rPr>
                <w:rFonts w:ascii="Arial" w:cs="Arial" w:eastAsia="Arial" w:hAnsi="Arial"/>
              </w:rPr>
            </w:pPr>
            <w:r w:rsidDel="00000000" w:rsidR="00000000" w:rsidRPr="00000000">
              <w:rPr>
                <w:rFonts w:ascii="Arial" w:cs="Arial" w:eastAsia="Arial" w:hAnsi="Arial"/>
                <w:rtl w:val="0"/>
              </w:rPr>
              <w:t xml:space="preserve">𐄂  Evidence of delivery of Multi Customer Project </w:t>
            </w:r>
            <w:r w:rsidDel="00000000" w:rsidR="00000000" w:rsidRPr="00000000">
              <w:rPr>
                <w:rFonts w:ascii="Arial" w:cs="Arial" w:eastAsia="Arial" w:hAnsi="Arial"/>
                <w:rtl w:val="0"/>
              </w:rPr>
              <w:t xml:space="preserve">(for example, this could be a collaborative contract with multiple stakeholders within the organisations or multiple organisations e.g Multi Academy Schools or NHS trusts)</w:t>
            </w:r>
            <w:r w:rsidDel="00000000" w:rsidR="00000000" w:rsidRPr="00000000">
              <w:rPr>
                <w:rtl w:val="0"/>
              </w:rPr>
            </w:r>
          </w:p>
          <w:p w:rsidR="00000000" w:rsidDel="00000000" w:rsidP="00000000" w:rsidRDefault="00000000" w:rsidRPr="00000000" w14:paraId="00000051">
            <w:pPr>
              <w:widowControl w:val="0"/>
              <w:spacing w:after="120" w:before="120" w:lineRule="auto"/>
              <w:ind w:right="158"/>
              <w:rPr>
                <w:rFonts w:ascii="Arial" w:cs="Arial" w:eastAsia="Arial" w:hAnsi="Arial"/>
              </w:rPr>
            </w:pPr>
            <w:r w:rsidDel="00000000" w:rsidR="00000000" w:rsidRPr="00000000">
              <w:rPr>
                <w:rtl w:val="0"/>
              </w:rPr>
            </w:r>
          </w:p>
          <w:p w:rsidR="00000000" w:rsidDel="00000000" w:rsidP="00000000" w:rsidRDefault="00000000" w:rsidRPr="00000000" w14:paraId="00000052">
            <w:pPr>
              <w:widowControl w:val="0"/>
              <w:spacing w:after="120" w:before="120" w:lineRule="auto"/>
              <w:ind w:right="158"/>
              <w:rPr>
                <w:rFonts w:ascii="Arial" w:cs="Arial" w:eastAsia="Arial" w:hAnsi="Arial"/>
              </w:rPr>
            </w:pPr>
            <w:r w:rsidDel="00000000" w:rsidR="00000000" w:rsidRPr="00000000">
              <w:rPr>
                <w:rFonts w:ascii="Arial" w:cs="Arial" w:eastAsia="Arial" w:hAnsi="Arial"/>
                <w:rtl w:val="0"/>
              </w:rPr>
              <w:t xml:space="preserve">These services must have been provided in relation to the scope of the Lot below:</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Products included in this Lot are included but not limited to the ranges listed below.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Paper and paper products: 100% recycled copier paper (all sizes), envelopes, coloured paper, cut paper, cut board, virgin paper (all sizes), paper products which include notebooks (all sizes), diaries, labels, thermal rolls, paper napkins, paper cups, blue roll, toilet roll, tissues;</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General office stationery and products: pens, pencils, marker pens, highlighters pens, whiteboard, white board pens, dry board, presentation items, dry wipe pens, desktop accessories, rulers, pockets and filing accessories, staplers, staple removers, ID wallets, scissors, batteries, erasers, sponges and dampers, date stamp, correction fluid rollers, adhesive rollers, and other office miscellaneous supplies;</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Educational products, art supplies, teaching supplies, school books, exercise books, exercise paper, water-based ink pens, wood free colouring pencils;</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Catering goods and consumables: Tea (loose leaf), herbal tea, tea bags, coffee including decaffeinated, coffee bags, tea pots, cups, paper cups, teapots, mugs, glasses, non-plastic cutlery, saucers, condiments;</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Facility Peripherals (Janitorial/Cleaning): personal hygiene products, sanitary products, blue roll, hygiene products, washroom supplies, washing up liquid, antibacterial wipes, plastic free wet wipes, antibacterial screen cleaner, refuse sacks, waste containers cleaner, antibacterial gels, hand wash and sprays including antibacterial, soap dispensers and consumables, waste containers washroom supplies, signage, locks;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Furniture: protective screens, sneeze screens, selection of ergonomic equipment and products including, desks, chairs, separation panels (desk privacy panels and desk shields), keyboard, mouse, mouse pads, desk aids, ergonomic cushion, foot rests, laptop holders;</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Small office machines: laminators, shredders (which includes micro cut shredders), paper shredders, calculators, guillotines, label making machines, adding machines, money counting machines, desktop printers;</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Personal Protection Equipment: First aid equipment, face masks, first aid kits and consumables, fire blankets, first aid foil blankets, personal safety alarms, CO2 fire extinguisher, flashlights, torches, and;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Digital products: electronic office and media supplies, CDs, DVDs and USB drives, electronic storage media and peripherals, digital cameras, camcorders, lenses and accessories.</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120" w:before="120" w:lineRule="auto"/>
              <w:ind w:left="0" w:right="158" w:firstLine="0"/>
              <w:rPr>
                <w:rFonts w:ascii="Arial" w:cs="Arial" w:eastAsia="Arial" w:hAnsi="Arial"/>
              </w:rPr>
            </w:pPr>
            <w:r w:rsidDel="00000000" w:rsidR="00000000" w:rsidRPr="00000000">
              <w:rPr>
                <w:rFonts w:ascii="Arial" w:cs="Arial" w:eastAsia="Arial" w:hAnsi="Arial"/>
                <w:rtl w:val="0"/>
              </w:rPr>
              <w:t xml:space="preserve">Electronic Office Solutions: Inks, toners including remanufactured cartridges, printheads, ribbons, cleaning kits and drum kits.</w:t>
            </w:r>
          </w:p>
        </w:tc>
      </w:tr>
    </w:tbl>
    <w:p w:rsidR="00000000" w:rsidDel="00000000" w:rsidP="00000000" w:rsidRDefault="00000000" w:rsidRPr="00000000" w14:paraId="0000005F">
      <w:pPr>
        <w:spacing w:after="120" w:before="120" w:line="240" w:lineRule="auto"/>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60">
      <w:pPr>
        <w:spacing w:after="120" w:before="120" w:line="240" w:lineRule="auto"/>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61">
      <w:pPr>
        <w:spacing w:after="120" w:before="120" w:line="240" w:lineRule="auto"/>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62">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64">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66">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67">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8">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69">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A">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B">
            <w:pPr>
              <w:spacing w:after="120" w:before="12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C">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D">
            <w:pPr>
              <w:spacing w:after="120" w:before="12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E">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275" w:hRule="atLeast"/>
          <w:tblHeader w:val="0"/>
        </w:trPr>
        <w:tc>
          <w:tcPr>
            <w:shd w:fill="ffffff" w:val="clear"/>
            <w:vAlign w:val="center"/>
          </w:tcPr>
          <w:p w:rsidR="00000000" w:rsidDel="00000000" w:rsidP="00000000" w:rsidRDefault="00000000" w:rsidRPr="00000000" w14:paraId="00000070">
            <w:pPr>
              <w:spacing w:after="120" w:before="12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tc>
        <w:tc>
          <w:tcPr>
            <w:shd w:fill="ffffff" w:val="clear"/>
            <w:vAlign w:val="center"/>
          </w:tcPr>
          <w:p w:rsidR="00000000" w:rsidDel="00000000" w:rsidP="00000000" w:rsidRDefault="00000000" w:rsidRPr="00000000" w14:paraId="00000071">
            <w:pPr>
              <w:spacing w:after="120" w:before="12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72">
            <w:pPr>
              <w:spacing w:after="120" w:before="120" w:lineRule="auto"/>
              <w:rPr>
                <w:rFonts w:ascii="Arial" w:cs="Arial" w:eastAsia="Arial" w:hAnsi="Arial"/>
                <w:b w:val="1"/>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73">
            <w:pPr>
              <w:spacing w:after="120" w:before="12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75">
            <w:pPr>
              <w:spacing w:after="120" w:before="12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76">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7">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9">
      <w:pPr>
        <w:spacing w:after="120" w:before="120" w:line="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566.929133858267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RM6299 Office Solutions</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2 Certificate of Technical and Professional Ability </w:t>
    </w:r>
  </w:p>
  <w:p w:rsidR="00000000" w:rsidDel="00000000" w:rsidP="00000000" w:rsidRDefault="00000000" w:rsidRPr="00000000" w14:paraId="00000082">
    <w:pPr>
      <w:spacing w:after="0" w:line="240" w:lineRule="auto"/>
      <w:rPr>
        <w:rFonts w:ascii="Arial" w:cs="Arial" w:eastAsia="Arial" w:hAnsi="Arial"/>
        <w:sz w:val="20"/>
        <w:szCs w:val="20"/>
      </w:rPr>
    </w:pPr>
    <w:r w:rsidDel="00000000" w:rsidR="00000000" w:rsidRPr="00000000">
      <w:rPr>
        <w:rFonts w:ascii="Arial" w:cs="Arial" w:eastAsia="Arial" w:hAnsi="Arial"/>
        <w:sz w:val="16"/>
        <w:szCs w:val="16"/>
        <w:rtl w:val="0"/>
      </w:rPr>
      <w:t xml:space="preserve">© Crown Copyright 2023</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tp6ukfehffaRJlK9KTDwwx7gug==">CgMxLjAyCGguZ2pkZ3hzMgloLjFmb2I5dGUyCWguMzBqMHpsbDgAciExMGR1Ym43VFY2aTJMd2t2TFRrOEM1YnVPS0poNVN2bEc=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2023-04-20T14:21:00Z</dcterms:created>
  <dc:creator>Peter Youngman</dc:creator>
</cp:coreProperties>
</file>