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3213345B"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237B6CC3" w14:textId="77777777" w:rsidR="00F36410" w:rsidRPr="00F36410" w:rsidRDefault="00F36410" w:rsidP="00F36410">
      <w:pPr>
        <w:jc w:val="center"/>
        <w:rPr>
          <w:rFonts w:cs="Arial"/>
          <w:b/>
          <w:u w:val="single"/>
        </w:rPr>
      </w:pPr>
      <w:r w:rsidRPr="00F36410">
        <w:rPr>
          <w:rFonts w:cs="Arial"/>
          <w:b/>
          <w:u w:val="single"/>
        </w:rPr>
        <w:t>Highways Monitor: escalation and regulatory work package</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1F462532" w14:textId="68674B26" w:rsidR="00F52BE8" w:rsidRDefault="00F52BE8" w:rsidP="00C40DF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C45889" w:rsidRPr="00C45889">
        <w:rPr>
          <w:rFonts w:cs="Arial"/>
          <w:b/>
          <w:u w:val="single"/>
        </w:rPr>
        <w:t>79411100</w:t>
      </w:r>
      <w:r>
        <w:rPr>
          <w:rFonts w:cs="Arial"/>
          <w:b/>
          <w:u w:val="single"/>
        </w:rPr>
        <w:t xml:space="preserve"> </w:t>
      </w:r>
    </w:p>
    <w:p w14:paraId="610DAFD3" w14:textId="2A0A0D68" w:rsidR="00F52BE8" w:rsidRPr="00034159" w:rsidRDefault="00F52BE8" w:rsidP="00F52BE8">
      <w:pPr>
        <w:spacing w:after="0" w:line="360" w:lineRule="auto"/>
        <w:rPr>
          <w:rFonts w:cs="Arial"/>
          <w:b/>
        </w:rPr>
      </w:pPr>
      <w:r>
        <w:rPr>
          <w:rFonts w:cs="Arial"/>
          <w:b/>
          <w:u w:val="single"/>
        </w:rPr>
        <w:t>Tender Reference:</w:t>
      </w:r>
      <w:r w:rsidR="00C40DF8">
        <w:rPr>
          <w:rFonts w:cs="Arial"/>
          <w:b/>
          <w:u w:val="single"/>
        </w:rPr>
        <w:t xml:space="preserve"> ORR/CT/21-43</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291EBDF0"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F36410" w:rsidRPr="00F36410">
        <w:rPr>
          <w:rFonts w:cs="Arial"/>
          <w:color w:val="000000"/>
        </w:rPr>
        <w:t xml:space="preserve"> the escalation and regulatory work package</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B328B8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13B8A16"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E067BF">
        <w:t>Highways England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proofErr w:type="spellStart"/>
        <w:r w:rsidRPr="005A690E">
          <w:rPr>
            <w:rStyle w:val="Hyperlink"/>
          </w:rPr>
          <w:t>www.orr.gov.uk</w:t>
        </w:r>
        <w:proofErr w:type="spellEnd"/>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669C8903" w14:textId="77777777" w:rsidR="00F36410" w:rsidRDefault="00F36410" w:rsidP="00F36410">
            <w:pPr>
              <w:rPr>
                <w:rFonts w:cs="Arial"/>
                <w:sz w:val="22"/>
                <w:szCs w:val="22"/>
              </w:rPr>
            </w:pPr>
            <w:r w:rsidRPr="00F539B1">
              <w:rPr>
                <w:rFonts w:cs="Arial"/>
                <w:sz w:val="22"/>
                <w:szCs w:val="22"/>
              </w:rPr>
              <w:t>The Office of Rail and Road</w:t>
            </w:r>
            <w:r>
              <w:rPr>
                <w:rFonts w:cs="Arial"/>
                <w:sz w:val="22"/>
                <w:szCs w:val="22"/>
              </w:rPr>
              <w:t>’s</w:t>
            </w:r>
            <w:r w:rsidRPr="00F539B1">
              <w:rPr>
                <w:rFonts w:cs="Arial"/>
                <w:sz w:val="22"/>
                <w:szCs w:val="22"/>
              </w:rPr>
              <w:t xml:space="preserve"> (ORR) independent</w:t>
            </w:r>
            <w:r>
              <w:rPr>
                <w:rFonts w:cs="Arial"/>
                <w:sz w:val="22"/>
                <w:szCs w:val="22"/>
              </w:rPr>
              <w:t xml:space="preserve"> </w:t>
            </w:r>
            <w:r w:rsidRPr="007A479F">
              <w:rPr>
                <w:rFonts w:cs="Arial"/>
                <w:sz w:val="22"/>
                <w:szCs w:val="22"/>
              </w:rPr>
              <w:t xml:space="preserve">highways monitoring role is defined in </w:t>
            </w:r>
            <w:hyperlink r:id="rId9" w:history="1">
              <w:r w:rsidRPr="007A479F">
                <w:rPr>
                  <w:rStyle w:val="Hyperlink"/>
                  <w:rFonts w:cs="Arial"/>
                  <w:sz w:val="22"/>
                  <w:szCs w:val="22"/>
                </w:rPr>
                <w:t>Part 1 of the Infrastructure Act 2015</w:t>
              </w:r>
            </w:hyperlink>
            <w:r w:rsidRPr="007A479F">
              <w:rPr>
                <w:rFonts w:cs="Arial"/>
                <w:sz w:val="22"/>
                <w:szCs w:val="22"/>
              </w:rPr>
              <w:t xml:space="preserve">. It requires us to monitor how </w:t>
            </w:r>
            <w:r>
              <w:rPr>
                <w:rFonts w:cs="Arial"/>
                <w:sz w:val="22"/>
                <w:szCs w:val="22"/>
              </w:rPr>
              <w:t xml:space="preserve">National </w:t>
            </w:r>
            <w:r w:rsidRPr="007A479F">
              <w:rPr>
                <w:rFonts w:cs="Arial"/>
                <w:sz w:val="22"/>
                <w:szCs w:val="22"/>
              </w:rPr>
              <w:t>Highways</w:t>
            </w:r>
            <w:r>
              <w:rPr>
                <w:rFonts w:cs="Arial"/>
                <w:sz w:val="22"/>
                <w:szCs w:val="22"/>
              </w:rPr>
              <w:t xml:space="preserve"> (formerly Highways England)</w:t>
            </w:r>
            <w:r w:rsidRPr="007A479F">
              <w:rPr>
                <w:rFonts w:cs="Arial"/>
                <w:sz w:val="22"/>
                <w:szCs w:val="22"/>
              </w:rPr>
              <w:t xml:space="preserve"> is carrying out its functions. As such, our monitoring relates to the </w:t>
            </w:r>
            <w:r>
              <w:rPr>
                <w:rFonts w:cs="Arial"/>
                <w:sz w:val="22"/>
                <w:szCs w:val="22"/>
              </w:rPr>
              <w:t>Strategic Road Network (</w:t>
            </w:r>
            <w:r w:rsidRPr="007A479F">
              <w:rPr>
                <w:rFonts w:cs="Arial"/>
                <w:sz w:val="22"/>
                <w:szCs w:val="22"/>
              </w:rPr>
              <w:t>SRN</w:t>
            </w:r>
            <w:r>
              <w:rPr>
                <w:rFonts w:cs="Arial"/>
                <w:sz w:val="22"/>
                <w:szCs w:val="22"/>
              </w:rPr>
              <w:t>)</w:t>
            </w:r>
            <w:r w:rsidRPr="007A479F">
              <w:rPr>
                <w:rFonts w:cs="Arial"/>
                <w:sz w:val="22"/>
                <w:szCs w:val="22"/>
              </w:rPr>
              <w:t xml:space="preserve"> in England</w:t>
            </w:r>
            <w:r>
              <w:rPr>
                <w:rFonts w:cs="Arial"/>
                <w:sz w:val="22"/>
                <w:szCs w:val="22"/>
              </w:rPr>
              <w:t xml:space="preserve"> – motorways and major A roads. </w:t>
            </w:r>
          </w:p>
          <w:p w14:paraId="1E413107" w14:textId="77777777" w:rsidR="00F36410" w:rsidRDefault="00F36410" w:rsidP="00F36410">
            <w:pPr>
              <w:rPr>
                <w:rFonts w:cs="Arial"/>
                <w:sz w:val="22"/>
                <w:szCs w:val="22"/>
              </w:rPr>
            </w:pPr>
            <w:r>
              <w:rPr>
                <w:rFonts w:cs="Arial"/>
                <w:sz w:val="22"/>
                <w:szCs w:val="22"/>
              </w:rPr>
              <w:t>National Highways</w:t>
            </w:r>
            <w:r w:rsidRPr="007A479F">
              <w:rPr>
                <w:rFonts w:cs="Arial"/>
                <w:sz w:val="22"/>
                <w:szCs w:val="22"/>
              </w:rPr>
              <w:t xml:space="preserve"> operates under a </w:t>
            </w:r>
            <w:hyperlink r:id="rId10" w:history="1">
              <w:r w:rsidRPr="007A479F">
                <w:rPr>
                  <w:rStyle w:val="Hyperlink"/>
                  <w:rFonts w:cs="Arial"/>
                  <w:sz w:val="22"/>
                  <w:szCs w:val="22"/>
                </w:rPr>
                <w:t>Licence</w:t>
              </w:r>
            </w:hyperlink>
            <w:r w:rsidRPr="007A479F">
              <w:rPr>
                <w:rFonts w:cs="Arial"/>
                <w:sz w:val="22"/>
                <w:szCs w:val="22"/>
              </w:rPr>
              <w:t xml:space="preserve"> (issued in the form of statutory directions and guidance) </w:t>
            </w:r>
            <w:r>
              <w:rPr>
                <w:rFonts w:cs="Arial"/>
                <w:sz w:val="22"/>
                <w:szCs w:val="22"/>
              </w:rPr>
              <w:t>that</w:t>
            </w:r>
            <w:r w:rsidRPr="007A479F">
              <w:rPr>
                <w:rFonts w:cs="Arial"/>
                <w:sz w:val="22"/>
                <w:szCs w:val="22"/>
              </w:rPr>
              <w:t xml:space="preserve"> sets out how it must act in carrying out its functions. It is also required to deliver outputs for levels of funding that are set out in the </w:t>
            </w:r>
            <w:r>
              <w:rPr>
                <w:rFonts w:cs="Arial"/>
                <w:sz w:val="22"/>
                <w:szCs w:val="22"/>
              </w:rPr>
              <w:t>G</w:t>
            </w:r>
            <w:r w:rsidRPr="007A479F">
              <w:rPr>
                <w:rFonts w:cs="Arial"/>
                <w:sz w:val="22"/>
                <w:szCs w:val="22"/>
              </w:rPr>
              <w:t xml:space="preserve">overnment’s </w:t>
            </w:r>
            <w:r>
              <w:rPr>
                <w:rFonts w:cs="Arial"/>
                <w:sz w:val="22"/>
                <w:szCs w:val="22"/>
              </w:rPr>
              <w:t>R</w:t>
            </w:r>
            <w:r w:rsidRPr="007A479F">
              <w:rPr>
                <w:rFonts w:cs="Arial"/>
                <w:sz w:val="22"/>
                <w:szCs w:val="22"/>
              </w:rPr>
              <w:t xml:space="preserve">oad </w:t>
            </w:r>
            <w:r>
              <w:rPr>
                <w:rFonts w:cs="Arial"/>
                <w:sz w:val="22"/>
                <w:szCs w:val="22"/>
              </w:rPr>
              <w:t>I</w:t>
            </w:r>
            <w:r w:rsidRPr="007A479F">
              <w:rPr>
                <w:rFonts w:cs="Arial"/>
                <w:sz w:val="22"/>
                <w:szCs w:val="22"/>
              </w:rPr>
              <w:t xml:space="preserve">nvestment </w:t>
            </w:r>
            <w:r>
              <w:rPr>
                <w:rFonts w:cs="Arial"/>
                <w:sz w:val="22"/>
                <w:szCs w:val="22"/>
              </w:rPr>
              <w:t>S</w:t>
            </w:r>
            <w:r w:rsidRPr="007A479F">
              <w:rPr>
                <w:rFonts w:cs="Arial"/>
                <w:sz w:val="22"/>
                <w:szCs w:val="22"/>
              </w:rPr>
              <w:t>trategy (</w:t>
            </w:r>
            <w:proofErr w:type="spellStart"/>
            <w:r w:rsidRPr="007A479F">
              <w:rPr>
                <w:rFonts w:cs="Arial"/>
                <w:sz w:val="22"/>
                <w:szCs w:val="22"/>
              </w:rPr>
              <w:t>RIS</w:t>
            </w:r>
            <w:proofErr w:type="spellEnd"/>
            <w:r w:rsidRPr="007A479F">
              <w:rPr>
                <w:rFonts w:cs="Arial"/>
                <w:sz w:val="22"/>
                <w:szCs w:val="22"/>
              </w:rPr>
              <w:t xml:space="preserve">). </w:t>
            </w:r>
          </w:p>
          <w:p w14:paraId="46029376" w14:textId="77777777" w:rsidR="00F36410" w:rsidRDefault="00F36410" w:rsidP="00F36410">
            <w:pPr>
              <w:rPr>
                <w:rFonts w:cs="Arial"/>
                <w:sz w:val="22"/>
                <w:szCs w:val="22"/>
              </w:rPr>
            </w:pPr>
            <w:r w:rsidRPr="007A479F">
              <w:rPr>
                <w:rFonts w:cs="Arial"/>
                <w:sz w:val="22"/>
                <w:szCs w:val="22"/>
              </w:rPr>
              <w:t xml:space="preserve">Our monitoring and enforcement activity focuses on </w:t>
            </w:r>
            <w:r>
              <w:rPr>
                <w:rFonts w:cs="Arial"/>
                <w:sz w:val="22"/>
                <w:szCs w:val="22"/>
              </w:rPr>
              <w:t>National Highways</w:t>
            </w:r>
            <w:r w:rsidRPr="007A479F">
              <w:rPr>
                <w:rFonts w:cs="Arial"/>
                <w:sz w:val="22"/>
                <w:szCs w:val="22"/>
              </w:rPr>
              <w:t xml:space="preserve">’ delivery of the </w:t>
            </w:r>
            <w:proofErr w:type="spellStart"/>
            <w:r w:rsidRPr="007A479F">
              <w:rPr>
                <w:rFonts w:cs="Arial"/>
                <w:sz w:val="22"/>
                <w:szCs w:val="22"/>
              </w:rPr>
              <w:t>RIS</w:t>
            </w:r>
            <w:proofErr w:type="spellEnd"/>
            <w:r w:rsidRPr="007A479F">
              <w:rPr>
                <w:rFonts w:cs="Arial"/>
                <w:sz w:val="22"/>
                <w:szCs w:val="22"/>
              </w:rPr>
              <w:t xml:space="preserve"> and its compliance with the Licence.</w:t>
            </w:r>
            <w:r>
              <w:rPr>
                <w:rFonts w:cs="Arial"/>
                <w:sz w:val="22"/>
                <w:szCs w:val="22"/>
              </w:rPr>
              <w:t xml:space="preserve"> </w:t>
            </w:r>
            <w:r w:rsidRPr="007A479F">
              <w:rPr>
                <w:rFonts w:cs="Arial"/>
                <w:sz w:val="22"/>
                <w:szCs w:val="22"/>
              </w:rPr>
              <w:t xml:space="preserve">The Act gives us the power to require </w:t>
            </w:r>
            <w:r>
              <w:rPr>
                <w:rFonts w:cs="Arial"/>
                <w:sz w:val="22"/>
                <w:szCs w:val="22"/>
              </w:rPr>
              <w:t>National Highways</w:t>
            </w:r>
            <w:r w:rsidRPr="007A479F">
              <w:rPr>
                <w:rFonts w:cs="Arial"/>
                <w:sz w:val="22"/>
                <w:szCs w:val="22"/>
              </w:rPr>
              <w:t xml:space="preserve"> to provide the information we need to carry out our role. It also gives us the power to </w:t>
            </w:r>
            <w:r>
              <w:rPr>
                <w:rFonts w:cs="Arial"/>
                <w:sz w:val="22"/>
                <w:szCs w:val="22"/>
              </w:rPr>
              <w:t>undertake</w:t>
            </w:r>
            <w:r w:rsidRPr="007A479F">
              <w:rPr>
                <w:rFonts w:cs="Arial"/>
                <w:sz w:val="22"/>
                <w:szCs w:val="22"/>
              </w:rPr>
              <w:t xml:space="preserve"> enforcement action where </w:t>
            </w:r>
            <w:r>
              <w:rPr>
                <w:rFonts w:cs="Arial"/>
                <w:sz w:val="22"/>
                <w:szCs w:val="22"/>
              </w:rPr>
              <w:t>National Highways</w:t>
            </w:r>
            <w:r w:rsidRPr="007A479F">
              <w:rPr>
                <w:rFonts w:cs="Arial"/>
                <w:sz w:val="22"/>
                <w:szCs w:val="22"/>
              </w:rPr>
              <w:t xml:space="preserve"> has failed to or is failing to comply with the </w:t>
            </w:r>
            <w:proofErr w:type="spellStart"/>
            <w:r w:rsidRPr="007A479F">
              <w:rPr>
                <w:rFonts w:cs="Arial"/>
                <w:sz w:val="22"/>
                <w:szCs w:val="22"/>
              </w:rPr>
              <w:t>RIS</w:t>
            </w:r>
            <w:proofErr w:type="spellEnd"/>
            <w:r w:rsidRPr="007A479F">
              <w:rPr>
                <w:rFonts w:cs="Arial"/>
                <w:sz w:val="22"/>
                <w:szCs w:val="22"/>
              </w:rPr>
              <w:t xml:space="preserve"> or its Licence. </w:t>
            </w:r>
            <w:r>
              <w:rPr>
                <w:rFonts w:cs="Arial"/>
                <w:sz w:val="22"/>
                <w:szCs w:val="22"/>
              </w:rPr>
              <w:t>O</w:t>
            </w:r>
            <w:r w:rsidRPr="007A479F">
              <w:rPr>
                <w:rFonts w:cs="Arial"/>
                <w:sz w:val="22"/>
                <w:szCs w:val="22"/>
              </w:rPr>
              <w:t>ur monitoring and enforcement activities</w:t>
            </w:r>
            <w:r>
              <w:rPr>
                <w:rFonts w:cs="Arial"/>
                <w:sz w:val="22"/>
                <w:szCs w:val="22"/>
              </w:rPr>
              <w:t xml:space="preserve"> are set out in more detail in our </w:t>
            </w:r>
            <w:hyperlink r:id="rId11" w:history="1">
              <w:r w:rsidRPr="007A479F">
                <w:rPr>
                  <w:rStyle w:val="Hyperlink"/>
                  <w:rFonts w:cs="Arial"/>
                  <w:sz w:val="22"/>
                  <w:szCs w:val="22"/>
                </w:rPr>
                <w:t xml:space="preserve">Holding </w:t>
              </w:r>
              <w:r>
                <w:rPr>
                  <w:rStyle w:val="Hyperlink"/>
                  <w:rFonts w:cs="Arial"/>
                  <w:sz w:val="22"/>
                  <w:szCs w:val="22"/>
                </w:rPr>
                <w:t>National Highways</w:t>
              </w:r>
              <w:r w:rsidRPr="007A479F">
                <w:rPr>
                  <w:rStyle w:val="Hyperlink"/>
                  <w:rFonts w:cs="Arial"/>
                  <w:sz w:val="22"/>
                  <w:szCs w:val="22"/>
                </w:rPr>
                <w:t xml:space="preserve"> to Account policy</w:t>
              </w:r>
            </w:hyperlink>
            <w:r>
              <w:rPr>
                <w:rFonts w:cs="Arial"/>
                <w:sz w:val="22"/>
                <w:szCs w:val="22"/>
              </w:rPr>
              <w:t>, published in March 2020.</w:t>
            </w:r>
          </w:p>
          <w:p w14:paraId="5BFE9237" w14:textId="6BDFFF5D" w:rsidR="00F52BE8" w:rsidRPr="00FE211F" w:rsidRDefault="00F36410" w:rsidP="00F36410">
            <w:pPr>
              <w:rPr>
                <w:rFonts w:cs="Arial"/>
                <w:sz w:val="22"/>
                <w:szCs w:val="22"/>
              </w:rPr>
            </w:pPr>
            <w:r>
              <w:rPr>
                <w:rFonts w:cs="Arial"/>
                <w:sz w:val="22"/>
                <w:szCs w:val="22"/>
              </w:rPr>
              <w:t xml:space="preserve">Following a review into how we hold National Highways (then Highways England) to account in 2020 </w:t>
            </w:r>
            <w:r w:rsidRPr="00F539B1">
              <w:rPr>
                <w:rFonts w:cs="Arial"/>
                <w:sz w:val="22"/>
                <w:szCs w:val="22"/>
              </w:rPr>
              <w:t>ORR requires support to</w:t>
            </w:r>
            <w:r>
              <w:rPr>
                <w:rFonts w:cs="Arial"/>
                <w:sz w:val="22"/>
                <w:szCs w:val="22"/>
              </w:rPr>
              <w:t xml:space="preserve"> take forward a package of work to inform and improve our escalatory and regulatory processes.</w:t>
            </w: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2B848518" w14:textId="77777777" w:rsidR="00F36410" w:rsidRDefault="00F36410" w:rsidP="00F36410">
            <w:pPr>
              <w:rPr>
                <w:rFonts w:cs="Arial"/>
                <w:bCs/>
                <w:sz w:val="22"/>
                <w:szCs w:val="22"/>
              </w:rPr>
            </w:pPr>
            <w:r w:rsidRPr="00AA1D1B">
              <w:rPr>
                <w:rFonts w:cs="Arial"/>
                <w:bCs/>
                <w:sz w:val="22"/>
                <w:szCs w:val="22"/>
              </w:rPr>
              <w:t xml:space="preserve">There are </w:t>
            </w:r>
            <w:r w:rsidRPr="004A729F">
              <w:rPr>
                <w:rFonts w:cs="Arial"/>
                <w:bCs/>
                <w:sz w:val="22"/>
                <w:szCs w:val="22"/>
              </w:rPr>
              <w:t>five projects in</w:t>
            </w:r>
            <w:r w:rsidRPr="00AA1D1B">
              <w:rPr>
                <w:rFonts w:cs="Arial"/>
                <w:bCs/>
                <w:sz w:val="22"/>
                <w:szCs w:val="22"/>
              </w:rPr>
              <w:t xml:space="preserve"> this package of work</w:t>
            </w:r>
            <w:r>
              <w:rPr>
                <w:rFonts w:cs="Arial"/>
                <w:bCs/>
                <w:sz w:val="22"/>
                <w:szCs w:val="22"/>
              </w:rPr>
              <w:t>.</w:t>
            </w:r>
          </w:p>
          <w:p w14:paraId="15F2C210" w14:textId="77777777" w:rsidR="00F36410" w:rsidRPr="00551B8D" w:rsidRDefault="00F36410" w:rsidP="00F36410">
            <w:pPr>
              <w:rPr>
                <w:rFonts w:cs="Arial"/>
                <w:b/>
                <w:sz w:val="22"/>
                <w:szCs w:val="22"/>
              </w:rPr>
            </w:pPr>
            <w:r w:rsidRPr="00551B8D">
              <w:rPr>
                <w:rFonts w:cs="Arial"/>
                <w:b/>
                <w:sz w:val="22"/>
                <w:szCs w:val="22"/>
              </w:rPr>
              <w:t xml:space="preserve">2.2.1 – </w:t>
            </w:r>
            <w:r>
              <w:rPr>
                <w:rFonts w:cs="Arial"/>
                <w:b/>
                <w:sz w:val="22"/>
                <w:szCs w:val="22"/>
              </w:rPr>
              <w:t>S</w:t>
            </w:r>
            <w:r w:rsidRPr="00551B8D">
              <w:rPr>
                <w:rFonts w:cs="Arial"/>
                <w:b/>
                <w:sz w:val="22"/>
                <w:szCs w:val="22"/>
              </w:rPr>
              <w:t>elf-reporting and assurance</w:t>
            </w:r>
            <w:r>
              <w:rPr>
                <w:rFonts w:cs="Arial"/>
                <w:b/>
                <w:sz w:val="22"/>
                <w:szCs w:val="22"/>
              </w:rPr>
              <w:t xml:space="preserve"> of Licence compliance in regulated industries</w:t>
            </w:r>
          </w:p>
          <w:p w14:paraId="1D0B9936" w14:textId="77777777" w:rsidR="00F36410" w:rsidRDefault="00F36410" w:rsidP="00F36410">
            <w:pPr>
              <w:rPr>
                <w:rFonts w:cs="Arial"/>
                <w:sz w:val="22"/>
                <w:szCs w:val="22"/>
              </w:rPr>
            </w:pPr>
            <w:r>
              <w:rPr>
                <w:rFonts w:cs="Arial"/>
                <w:sz w:val="22"/>
                <w:szCs w:val="22"/>
              </w:rPr>
              <w:t xml:space="preserve">We want to understand how companies in regulated industries (e.g. rail, water, telecoms, energy) that operate under a Licence provide internal assurance of their compliance with that Licence. We want to know what processes these companies follow (e.g. do they sample Licence clauses or take another approach, over what period does this take place, which internal bodies are involved?) </w:t>
            </w:r>
            <w:r w:rsidRPr="00551B8D">
              <w:rPr>
                <w:rFonts w:cs="Arial"/>
                <w:sz w:val="22"/>
                <w:szCs w:val="22"/>
              </w:rPr>
              <w:t xml:space="preserve">and how effective they are and how </w:t>
            </w:r>
            <w:r>
              <w:rPr>
                <w:rFonts w:cs="Arial"/>
                <w:sz w:val="22"/>
                <w:szCs w:val="22"/>
              </w:rPr>
              <w:t>their</w:t>
            </w:r>
            <w:r w:rsidRPr="00551B8D">
              <w:rPr>
                <w:rFonts w:cs="Arial"/>
                <w:sz w:val="22"/>
                <w:szCs w:val="22"/>
              </w:rPr>
              <w:t xml:space="preserve"> regulators</w:t>
            </w:r>
            <w:r>
              <w:rPr>
                <w:rFonts w:cs="Arial"/>
                <w:sz w:val="22"/>
                <w:szCs w:val="22"/>
              </w:rPr>
              <w:t xml:space="preserve"> (e.g. ORR, OFWAT, OFCOM, OFGEM)</w:t>
            </w:r>
            <w:r w:rsidRPr="00551B8D">
              <w:rPr>
                <w:rFonts w:cs="Arial"/>
                <w:sz w:val="22"/>
                <w:szCs w:val="22"/>
              </w:rPr>
              <w:t xml:space="preserve"> satisfy themselves </w:t>
            </w:r>
            <w:r>
              <w:rPr>
                <w:rFonts w:cs="Arial"/>
                <w:sz w:val="22"/>
                <w:szCs w:val="22"/>
              </w:rPr>
              <w:t>as to</w:t>
            </w:r>
            <w:r w:rsidRPr="00551B8D">
              <w:rPr>
                <w:rFonts w:cs="Arial"/>
                <w:sz w:val="22"/>
                <w:szCs w:val="22"/>
              </w:rPr>
              <w:t xml:space="preserve"> the robustness of these processes. </w:t>
            </w:r>
          </w:p>
          <w:p w14:paraId="61016556" w14:textId="77777777" w:rsidR="00F36410" w:rsidRDefault="00F36410" w:rsidP="00F36410">
            <w:pPr>
              <w:rPr>
                <w:rFonts w:cs="Arial"/>
                <w:sz w:val="22"/>
                <w:szCs w:val="22"/>
              </w:rPr>
            </w:pPr>
            <w:r>
              <w:rPr>
                <w:rFonts w:cs="Arial"/>
                <w:sz w:val="22"/>
                <w:szCs w:val="22"/>
              </w:rPr>
              <w:t xml:space="preserve">This is to enhance our understanding of National Highways’ internal Licence compliance self-assurance processes and allow us to take informed decisions about whether their processes are adequate. </w:t>
            </w:r>
          </w:p>
          <w:p w14:paraId="0D998157" w14:textId="77777777" w:rsidR="00F36410" w:rsidRDefault="00F36410" w:rsidP="00F36410">
            <w:pPr>
              <w:rPr>
                <w:rFonts w:cs="Arial"/>
                <w:sz w:val="22"/>
                <w:szCs w:val="22"/>
              </w:rPr>
            </w:pPr>
            <w:r>
              <w:rPr>
                <w:rFonts w:cs="Arial"/>
                <w:sz w:val="22"/>
                <w:szCs w:val="22"/>
              </w:rPr>
              <w:t xml:space="preserve">The winning bidder will be expected to: </w:t>
            </w:r>
          </w:p>
          <w:p w14:paraId="5503AC10" w14:textId="77777777" w:rsidR="00F36410" w:rsidRDefault="00F36410" w:rsidP="00F36410">
            <w:pPr>
              <w:pStyle w:val="ListParagraph"/>
              <w:numPr>
                <w:ilvl w:val="0"/>
                <w:numId w:val="25"/>
              </w:numPr>
              <w:rPr>
                <w:rFonts w:cs="Arial"/>
                <w:sz w:val="22"/>
                <w:szCs w:val="22"/>
              </w:rPr>
            </w:pPr>
            <w:r>
              <w:rPr>
                <w:rFonts w:cs="Arial"/>
                <w:sz w:val="22"/>
                <w:szCs w:val="22"/>
              </w:rPr>
              <w:t>familiarise themselves with National Highways’ Licence compliance and assurance processes;</w:t>
            </w:r>
          </w:p>
          <w:p w14:paraId="08ECCA44"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t xml:space="preserve">review relevant literature on Licence compliance and assurance in regulated UK-based </w:t>
            </w:r>
            <w:r>
              <w:rPr>
                <w:rFonts w:cs="Arial"/>
                <w:sz w:val="22"/>
                <w:szCs w:val="22"/>
              </w:rPr>
              <w:t>utilities</w:t>
            </w:r>
            <w:r w:rsidRPr="00B637A2">
              <w:rPr>
                <w:rFonts w:cs="Arial"/>
                <w:sz w:val="22"/>
                <w:szCs w:val="22"/>
              </w:rPr>
              <w:t>;</w:t>
            </w:r>
          </w:p>
          <w:p w14:paraId="7F184E1E"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lastRenderedPageBreak/>
              <w:t xml:space="preserve">obtain first-hand information from those </w:t>
            </w:r>
            <w:r>
              <w:rPr>
                <w:rFonts w:cs="Arial"/>
                <w:sz w:val="22"/>
                <w:szCs w:val="22"/>
              </w:rPr>
              <w:t>utilities</w:t>
            </w:r>
            <w:r w:rsidRPr="00B637A2">
              <w:rPr>
                <w:rFonts w:cs="Arial"/>
                <w:sz w:val="22"/>
                <w:szCs w:val="22"/>
              </w:rPr>
              <w:t xml:space="preserve"> </w:t>
            </w:r>
            <w:r>
              <w:rPr>
                <w:rFonts w:cs="Arial"/>
                <w:sz w:val="22"/>
                <w:szCs w:val="22"/>
              </w:rPr>
              <w:t>of</w:t>
            </w:r>
            <w:r w:rsidRPr="00B637A2">
              <w:rPr>
                <w:rFonts w:cs="Arial"/>
                <w:sz w:val="22"/>
                <w:szCs w:val="22"/>
              </w:rPr>
              <w:t xml:space="preserve"> the details of these processes and </w:t>
            </w:r>
            <w:r>
              <w:rPr>
                <w:rFonts w:cs="Arial"/>
                <w:sz w:val="22"/>
                <w:szCs w:val="22"/>
              </w:rPr>
              <w:t>from</w:t>
            </w:r>
            <w:r w:rsidRPr="00B637A2">
              <w:rPr>
                <w:rFonts w:cs="Arial"/>
                <w:sz w:val="22"/>
                <w:szCs w:val="22"/>
              </w:rPr>
              <w:t xml:space="preserve"> their regulators </w:t>
            </w:r>
            <w:r>
              <w:rPr>
                <w:rFonts w:cs="Arial"/>
                <w:sz w:val="22"/>
                <w:szCs w:val="22"/>
              </w:rPr>
              <w:t>how effective they are perceived to be;</w:t>
            </w:r>
          </w:p>
          <w:p w14:paraId="6279D6AC"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t xml:space="preserve">conduct their own independent analysis of how effective these processes are </w:t>
            </w:r>
            <w:r>
              <w:rPr>
                <w:rFonts w:cs="Arial"/>
                <w:sz w:val="22"/>
                <w:szCs w:val="22"/>
              </w:rPr>
              <w:t xml:space="preserve">when benchmarked against one another </w:t>
            </w:r>
            <w:r w:rsidRPr="00B637A2">
              <w:rPr>
                <w:rFonts w:cs="Arial"/>
                <w:sz w:val="22"/>
                <w:szCs w:val="22"/>
              </w:rPr>
              <w:t xml:space="preserve">and draw </w:t>
            </w:r>
            <w:r>
              <w:rPr>
                <w:rFonts w:cs="Arial"/>
                <w:sz w:val="22"/>
                <w:szCs w:val="22"/>
              </w:rPr>
              <w:t>good</w:t>
            </w:r>
            <w:r w:rsidRPr="00B637A2">
              <w:rPr>
                <w:rFonts w:cs="Arial"/>
                <w:sz w:val="22"/>
                <w:szCs w:val="22"/>
              </w:rPr>
              <w:t xml:space="preserve"> practice conclusions</w:t>
            </w:r>
            <w:r>
              <w:rPr>
                <w:rFonts w:cs="Arial"/>
                <w:sz w:val="22"/>
                <w:szCs w:val="22"/>
              </w:rPr>
              <w:t>; and</w:t>
            </w:r>
          </w:p>
          <w:p w14:paraId="772D7566"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t xml:space="preserve">examine whether </w:t>
            </w:r>
            <w:r>
              <w:rPr>
                <w:rFonts w:cs="Arial"/>
                <w:sz w:val="22"/>
                <w:szCs w:val="22"/>
              </w:rPr>
              <w:t xml:space="preserve">effective </w:t>
            </w:r>
            <w:r w:rsidRPr="00B637A2">
              <w:rPr>
                <w:rFonts w:cs="Arial"/>
                <w:sz w:val="22"/>
                <w:szCs w:val="22"/>
              </w:rPr>
              <w:t xml:space="preserve">Licence assurance processes </w:t>
            </w:r>
            <w:r>
              <w:rPr>
                <w:rFonts w:cs="Arial"/>
                <w:sz w:val="22"/>
                <w:szCs w:val="22"/>
              </w:rPr>
              <w:t>are</w:t>
            </w:r>
            <w:r w:rsidRPr="00B637A2">
              <w:rPr>
                <w:rFonts w:cs="Arial"/>
                <w:sz w:val="22"/>
                <w:szCs w:val="22"/>
              </w:rPr>
              <w:t xml:space="preserve"> different for publicly-owned, monopoly providers like Network Rail </w:t>
            </w:r>
            <w:r>
              <w:rPr>
                <w:rFonts w:cs="Arial"/>
                <w:sz w:val="22"/>
                <w:szCs w:val="22"/>
              </w:rPr>
              <w:t>compared</w:t>
            </w:r>
            <w:r w:rsidRPr="00B637A2">
              <w:rPr>
                <w:rFonts w:cs="Arial"/>
                <w:sz w:val="22"/>
                <w:szCs w:val="22"/>
              </w:rPr>
              <w:t xml:space="preserve"> to privately-owned</w:t>
            </w:r>
            <w:r>
              <w:rPr>
                <w:rFonts w:cs="Arial"/>
                <w:sz w:val="22"/>
                <w:szCs w:val="22"/>
              </w:rPr>
              <w:t>, often competitive</w:t>
            </w:r>
            <w:r w:rsidRPr="00B637A2">
              <w:rPr>
                <w:rFonts w:cs="Arial"/>
                <w:sz w:val="22"/>
                <w:szCs w:val="22"/>
              </w:rPr>
              <w:t xml:space="preserve"> providers like the water companies.</w:t>
            </w:r>
          </w:p>
          <w:p w14:paraId="25FDBFFE" w14:textId="77777777" w:rsidR="00F36410" w:rsidRDefault="00F36410" w:rsidP="00F36410">
            <w:pPr>
              <w:rPr>
                <w:rFonts w:cs="Arial"/>
                <w:sz w:val="22"/>
                <w:szCs w:val="22"/>
              </w:rPr>
            </w:pPr>
            <w:r>
              <w:rPr>
                <w:rFonts w:cs="Arial"/>
                <w:sz w:val="22"/>
                <w:szCs w:val="22"/>
              </w:rPr>
              <w:t>The winning bidder is expected to produce a report along the following lines:</w:t>
            </w:r>
          </w:p>
          <w:p w14:paraId="12BB4985" w14:textId="77777777" w:rsidR="00F36410" w:rsidRPr="00EE535F" w:rsidRDefault="00F36410" w:rsidP="00F36410">
            <w:pPr>
              <w:pStyle w:val="ListParagraph"/>
              <w:numPr>
                <w:ilvl w:val="0"/>
                <w:numId w:val="26"/>
              </w:numPr>
              <w:rPr>
                <w:rFonts w:cs="Arial"/>
                <w:sz w:val="22"/>
                <w:szCs w:val="22"/>
              </w:rPr>
            </w:pPr>
            <w:r w:rsidRPr="00EE535F">
              <w:rPr>
                <w:rFonts w:cs="Arial"/>
                <w:sz w:val="22"/>
                <w:szCs w:val="22"/>
              </w:rPr>
              <w:t>What work it has done;</w:t>
            </w:r>
          </w:p>
          <w:p w14:paraId="3600296A" w14:textId="77777777" w:rsidR="00F36410" w:rsidRPr="00EE535F" w:rsidRDefault="00F36410" w:rsidP="00F36410">
            <w:pPr>
              <w:pStyle w:val="ListParagraph"/>
              <w:numPr>
                <w:ilvl w:val="0"/>
                <w:numId w:val="26"/>
              </w:numPr>
              <w:rPr>
                <w:rFonts w:cs="Arial"/>
                <w:sz w:val="22"/>
                <w:szCs w:val="22"/>
              </w:rPr>
            </w:pPr>
            <w:r w:rsidRPr="00EE535F">
              <w:rPr>
                <w:rFonts w:cs="Arial"/>
                <w:sz w:val="22"/>
                <w:szCs w:val="22"/>
              </w:rPr>
              <w:t>What it has concluded about the relative merits of different Licence compliance and assurance processes;</w:t>
            </w:r>
          </w:p>
          <w:p w14:paraId="3F41A6E4" w14:textId="77777777" w:rsidR="00F36410" w:rsidRPr="00EE535F" w:rsidRDefault="00F36410" w:rsidP="00F36410">
            <w:pPr>
              <w:pStyle w:val="ListParagraph"/>
              <w:numPr>
                <w:ilvl w:val="0"/>
                <w:numId w:val="26"/>
              </w:numPr>
              <w:rPr>
                <w:rFonts w:cs="Arial"/>
                <w:sz w:val="22"/>
                <w:szCs w:val="22"/>
              </w:rPr>
            </w:pPr>
            <w:r>
              <w:rPr>
                <w:rFonts w:cs="Arial"/>
                <w:sz w:val="22"/>
                <w:szCs w:val="22"/>
              </w:rPr>
              <w:t>Furnish</w:t>
            </w:r>
            <w:r w:rsidRPr="00EE535F">
              <w:rPr>
                <w:rFonts w:cs="Arial"/>
                <w:sz w:val="22"/>
                <w:szCs w:val="22"/>
              </w:rPr>
              <w:t xml:space="preserve"> advice to ORR about what good Licence compliance and assurance should look like for a publicly-owned monopoly like </w:t>
            </w:r>
            <w:r>
              <w:rPr>
                <w:rFonts w:cs="Arial"/>
                <w:sz w:val="22"/>
                <w:szCs w:val="22"/>
              </w:rPr>
              <w:t>National Highways</w:t>
            </w:r>
            <w:r w:rsidRPr="00EE535F">
              <w:rPr>
                <w:rFonts w:cs="Arial"/>
                <w:sz w:val="22"/>
                <w:szCs w:val="22"/>
              </w:rPr>
              <w:t>; and</w:t>
            </w:r>
          </w:p>
          <w:p w14:paraId="54AC5B6F" w14:textId="77777777" w:rsidR="00F36410" w:rsidRPr="00EE535F" w:rsidRDefault="00F36410" w:rsidP="00F36410">
            <w:pPr>
              <w:pStyle w:val="ListParagraph"/>
              <w:numPr>
                <w:ilvl w:val="0"/>
                <w:numId w:val="26"/>
              </w:numPr>
              <w:rPr>
                <w:rFonts w:cs="Arial"/>
                <w:sz w:val="22"/>
                <w:szCs w:val="22"/>
              </w:rPr>
            </w:pPr>
            <w:r w:rsidRPr="00EE535F">
              <w:rPr>
                <w:rFonts w:cs="Arial"/>
                <w:sz w:val="22"/>
                <w:szCs w:val="22"/>
              </w:rPr>
              <w:t xml:space="preserve">Make recommendations to ORR about the most effective means of monitoring </w:t>
            </w:r>
            <w:r>
              <w:rPr>
                <w:rFonts w:cs="Arial"/>
                <w:sz w:val="22"/>
                <w:szCs w:val="22"/>
              </w:rPr>
              <w:t>National Highways</w:t>
            </w:r>
            <w:r w:rsidRPr="00EE535F">
              <w:rPr>
                <w:rFonts w:cs="Arial"/>
                <w:sz w:val="22"/>
                <w:szCs w:val="22"/>
              </w:rPr>
              <w:t xml:space="preserve">’ </w:t>
            </w:r>
            <w:r>
              <w:rPr>
                <w:rFonts w:cs="Arial"/>
                <w:sz w:val="22"/>
                <w:szCs w:val="22"/>
              </w:rPr>
              <w:t xml:space="preserve">internal </w:t>
            </w:r>
            <w:r w:rsidRPr="00EE535F">
              <w:rPr>
                <w:rFonts w:cs="Arial"/>
                <w:sz w:val="22"/>
                <w:szCs w:val="22"/>
              </w:rPr>
              <w:t xml:space="preserve">Licence compliance </w:t>
            </w:r>
            <w:r>
              <w:rPr>
                <w:rFonts w:cs="Arial"/>
                <w:sz w:val="22"/>
                <w:szCs w:val="22"/>
              </w:rPr>
              <w:t>self-</w:t>
            </w:r>
            <w:r w:rsidRPr="00EE535F">
              <w:rPr>
                <w:rFonts w:cs="Arial"/>
                <w:sz w:val="22"/>
                <w:szCs w:val="22"/>
              </w:rPr>
              <w:t xml:space="preserve">assurance, including whether we should issue advice or guidance to </w:t>
            </w:r>
            <w:r>
              <w:rPr>
                <w:rFonts w:cs="Arial"/>
                <w:sz w:val="22"/>
                <w:szCs w:val="22"/>
              </w:rPr>
              <w:t>National Highways</w:t>
            </w:r>
            <w:r w:rsidRPr="00EE535F">
              <w:rPr>
                <w:rFonts w:cs="Arial"/>
                <w:sz w:val="22"/>
                <w:szCs w:val="22"/>
              </w:rPr>
              <w:t xml:space="preserve"> on their processes.</w:t>
            </w:r>
          </w:p>
          <w:p w14:paraId="733C8CA9" w14:textId="77777777" w:rsidR="00F36410" w:rsidRPr="00A3333F" w:rsidRDefault="00F36410" w:rsidP="00F36410">
            <w:pPr>
              <w:rPr>
                <w:rFonts w:cs="Arial"/>
                <w:b/>
              </w:rPr>
            </w:pPr>
            <w:r w:rsidRPr="00EE535F">
              <w:rPr>
                <w:rFonts w:cs="Arial"/>
                <w:b/>
              </w:rPr>
              <w:t>2.2.2</w:t>
            </w:r>
            <w:r w:rsidRPr="00EE535F">
              <w:rPr>
                <w:b/>
              </w:rPr>
              <w:t xml:space="preserve"> </w:t>
            </w:r>
            <w:r w:rsidRPr="00A3333F">
              <w:rPr>
                <w:b/>
              </w:rPr>
              <w:t xml:space="preserve">– </w:t>
            </w:r>
            <w:r w:rsidRPr="00A3333F">
              <w:rPr>
                <w:rFonts w:cs="Arial"/>
                <w:b/>
              </w:rPr>
              <w:t>Benchmarking the regulatory relationship and reporting standards</w:t>
            </w:r>
          </w:p>
          <w:p w14:paraId="74ED1957" w14:textId="77777777" w:rsidR="00F36410" w:rsidRPr="00150EAC" w:rsidRDefault="00F36410" w:rsidP="00F36410">
            <w:pPr>
              <w:rPr>
                <w:rFonts w:cs="Arial"/>
                <w:bCs/>
                <w:sz w:val="22"/>
                <w:szCs w:val="22"/>
              </w:rPr>
            </w:pPr>
            <w:r w:rsidRPr="00A3333F">
              <w:rPr>
                <w:rFonts w:cs="Arial"/>
                <w:bCs/>
                <w:sz w:val="22"/>
                <w:szCs w:val="22"/>
              </w:rPr>
              <w:t>We want to understand</w:t>
            </w:r>
            <w:r>
              <w:rPr>
                <w:rFonts w:cs="Arial"/>
                <w:bCs/>
                <w:sz w:val="22"/>
                <w:szCs w:val="22"/>
              </w:rPr>
              <w:t xml:space="preserve"> what </w:t>
            </w:r>
            <w:r w:rsidRPr="00A3333F">
              <w:rPr>
                <w:rFonts w:cs="Arial"/>
                <w:bCs/>
                <w:sz w:val="22"/>
                <w:szCs w:val="22"/>
              </w:rPr>
              <w:t>good practice across regulated sectors</w:t>
            </w:r>
            <w:r>
              <w:rPr>
                <w:rFonts w:cs="Arial"/>
                <w:bCs/>
                <w:sz w:val="22"/>
                <w:szCs w:val="22"/>
              </w:rPr>
              <w:t xml:space="preserve"> (e.g. rail, water, telecoms, energy)</w:t>
            </w:r>
            <w:r w:rsidRPr="00A3333F">
              <w:rPr>
                <w:rFonts w:cs="Arial"/>
                <w:bCs/>
                <w:sz w:val="22"/>
                <w:szCs w:val="22"/>
              </w:rPr>
              <w:t xml:space="preserve"> </w:t>
            </w:r>
            <w:r>
              <w:rPr>
                <w:rFonts w:cs="Arial"/>
                <w:bCs/>
                <w:sz w:val="22"/>
                <w:szCs w:val="22"/>
              </w:rPr>
              <w:t xml:space="preserve">looks like </w:t>
            </w:r>
            <w:r w:rsidRPr="00A3333F">
              <w:rPr>
                <w:rFonts w:cs="Arial"/>
                <w:bCs/>
                <w:sz w:val="22"/>
                <w:szCs w:val="22"/>
              </w:rPr>
              <w:t>for reporting standards and requirements</w:t>
            </w:r>
            <w:r>
              <w:rPr>
                <w:rFonts w:cs="Arial"/>
                <w:bCs/>
                <w:sz w:val="22"/>
                <w:szCs w:val="22"/>
              </w:rPr>
              <w:t xml:space="preserve">. Specifically, what the levels are of administrative ‘burden’ on regulated entities due to reporting requirements and whether there is any agreement on what ‘excessive’ reporting requirements looks like. We are interested in the level of internal sign off for regulated activities (e.g. do the Boards of regulated entities generally sign off all documentation related to regulated activity or is this dealt with at a lower level?). We also want to understand the issue of proportionality, i.e. is good practice in this area sector-specific and dependent on the maturity of the regulated entity, whether it is privately or publicly owned and whether it faces competition. </w:t>
            </w:r>
          </w:p>
          <w:p w14:paraId="46F218D0" w14:textId="77777777" w:rsidR="00F36410" w:rsidRDefault="00F36410" w:rsidP="00F36410">
            <w:pPr>
              <w:rPr>
                <w:rFonts w:cs="Arial"/>
                <w:bCs/>
                <w:sz w:val="22"/>
                <w:szCs w:val="22"/>
              </w:rPr>
            </w:pPr>
            <w:r w:rsidRPr="00150EAC">
              <w:rPr>
                <w:rFonts w:cs="Arial"/>
                <w:bCs/>
                <w:sz w:val="22"/>
                <w:szCs w:val="22"/>
              </w:rPr>
              <w:t>This is to</w:t>
            </w:r>
            <w:r>
              <w:rPr>
                <w:rFonts w:cs="Arial"/>
                <w:bCs/>
                <w:sz w:val="22"/>
                <w:szCs w:val="22"/>
              </w:rPr>
              <w:t xml:space="preserve"> satisfy us that the metrics and sub-metrics we ask of National Highways are appropriate to satisfy ourselves that we are fulfilling our regulatory role as set out in legislation and guidance while being proportionate and not imposing an unnecessary administrative burden on the regulated entity. </w:t>
            </w:r>
          </w:p>
          <w:p w14:paraId="50AEC74B" w14:textId="77777777" w:rsidR="00F36410" w:rsidRDefault="00F36410" w:rsidP="00F36410">
            <w:pPr>
              <w:rPr>
                <w:rFonts w:cs="Arial"/>
                <w:bCs/>
                <w:sz w:val="22"/>
                <w:szCs w:val="22"/>
              </w:rPr>
            </w:pPr>
            <w:r w:rsidRPr="00150EAC">
              <w:rPr>
                <w:rFonts w:cs="Arial"/>
                <w:bCs/>
                <w:sz w:val="22"/>
                <w:szCs w:val="22"/>
              </w:rPr>
              <w:t>The winning bidder will be expected to:</w:t>
            </w:r>
          </w:p>
          <w:p w14:paraId="5C205904" w14:textId="77777777" w:rsidR="00F36410" w:rsidRDefault="00F36410" w:rsidP="00F36410">
            <w:pPr>
              <w:pStyle w:val="ListParagraph"/>
              <w:numPr>
                <w:ilvl w:val="0"/>
                <w:numId w:val="25"/>
              </w:numPr>
              <w:rPr>
                <w:rFonts w:cs="Arial"/>
                <w:sz w:val="22"/>
                <w:szCs w:val="22"/>
              </w:rPr>
            </w:pPr>
            <w:r>
              <w:rPr>
                <w:rFonts w:cs="Arial"/>
                <w:sz w:val="22"/>
                <w:szCs w:val="22"/>
              </w:rPr>
              <w:t>familiarise themselves with the metrics we require National Highways to provide to us;</w:t>
            </w:r>
          </w:p>
          <w:p w14:paraId="6003E750"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t xml:space="preserve">review relevant literature on </w:t>
            </w:r>
            <w:r>
              <w:rPr>
                <w:rFonts w:cs="Arial"/>
                <w:sz w:val="22"/>
                <w:szCs w:val="22"/>
              </w:rPr>
              <w:t>regulatory burdens and reporting standards</w:t>
            </w:r>
            <w:r w:rsidRPr="00B637A2">
              <w:rPr>
                <w:rFonts w:cs="Arial"/>
                <w:sz w:val="22"/>
                <w:szCs w:val="22"/>
              </w:rPr>
              <w:t xml:space="preserve"> in regulated UK-based </w:t>
            </w:r>
            <w:r>
              <w:rPr>
                <w:rFonts w:cs="Arial"/>
                <w:sz w:val="22"/>
                <w:szCs w:val="22"/>
              </w:rPr>
              <w:t>utilities</w:t>
            </w:r>
            <w:r w:rsidRPr="00B637A2">
              <w:rPr>
                <w:rFonts w:cs="Arial"/>
                <w:sz w:val="22"/>
                <w:szCs w:val="22"/>
              </w:rPr>
              <w:t>;</w:t>
            </w:r>
          </w:p>
          <w:p w14:paraId="10CDC161" w14:textId="77777777" w:rsidR="00F36410" w:rsidRPr="00B637A2" w:rsidRDefault="00F36410" w:rsidP="00F36410">
            <w:pPr>
              <w:pStyle w:val="ListParagraph"/>
              <w:numPr>
                <w:ilvl w:val="0"/>
                <w:numId w:val="25"/>
              </w:numPr>
              <w:rPr>
                <w:rFonts w:cs="Arial"/>
                <w:sz w:val="22"/>
                <w:szCs w:val="22"/>
              </w:rPr>
            </w:pPr>
            <w:r w:rsidRPr="00B637A2">
              <w:rPr>
                <w:rFonts w:cs="Arial"/>
                <w:sz w:val="22"/>
                <w:szCs w:val="22"/>
              </w:rPr>
              <w:t xml:space="preserve">obtain first-hand information from </w:t>
            </w:r>
            <w:r>
              <w:rPr>
                <w:rFonts w:cs="Arial"/>
                <w:sz w:val="22"/>
                <w:szCs w:val="22"/>
              </w:rPr>
              <w:t>other regulators (e.g. ORR, OFWAT, OFCOM, OFGEM)</w:t>
            </w:r>
            <w:r w:rsidRPr="00551B8D">
              <w:rPr>
                <w:rFonts w:cs="Arial"/>
                <w:sz w:val="22"/>
                <w:szCs w:val="22"/>
              </w:rPr>
              <w:t xml:space="preserve"> </w:t>
            </w:r>
            <w:r>
              <w:rPr>
                <w:rFonts w:cs="Arial"/>
                <w:sz w:val="22"/>
                <w:szCs w:val="22"/>
              </w:rPr>
              <w:t>of</w:t>
            </w:r>
            <w:r w:rsidRPr="00B637A2">
              <w:rPr>
                <w:rFonts w:cs="Arial"/>
                <w:sz w:val="22"/>
                <w:szCs w:val="22"/>
              </w:rPr>
              <w:t xml:space="preserve"> the </w:t>
            </w:r>
            <w:r>
              <w:rPr>
                <w:rFonts w:cs="Arial"/>
                <w:sz w:val="22"/>
                <w:szCs w:val="22"/>
              </w:rPr>
              <w:t>metrics they require their regulated entities to provide to them in both quantitative and qualitative aspects (i.e. absolute numbers and level of detail);</w:t>
            </w:r>
          </w:p>
          <w:p w14:paraId="40806D7F" w14:textId="77777777" w:rsidR="00F36410" w:rsidRPr="00B637A2" w:rsidRDefault="00F36410" w:rsidP="00F36410">
            <w:pPr>
              <w:pStyle w:val="ListParagraph"/>
              <w:numPr>
                <w:ilvl w:val="0"/>
                <w:numId w:val="25"/>
              </w:numPr>
              <w:rPr>
                <w:rFonts w:cs="Arial"/>
                <w:sz w:val="22"/>
                <w:szCs w:val="22"/>
              </w:rPr>
            </w:pPr>
            <w:r>
              <w:rPr>
                <w:rFonts w:cs="Arial"/>
                <w:sz w:val="22"/>
                <w:szCs w:val="22"/>
              </w:rPr>
              <w:lastRenderedPageBreak/>
              <w:t xml:space="preserve">based on the evidence they have obtained, </w:t>
            </w:r>
            <w:r w:rsidRPr="00B637A2">
              <w:rPr>
                <w:rFonts w:cs="Arial"/>
                <w:sz w:val="22"/>
                <w:szCs w:val="22"/>
              </w:rPr>
              <w:t xml:space="preserve">conduct </w:t>
            </w:r>
            <w:r>
              <w:rPr>
                <w:rFonts w:cs="Arial"/>
                <w:sz w:val="22"/>
                <w:szCs w:val="22"/>
              </w:rPr>
              <w:t>an</w:t>
            </w:r>
            <w:r w:rsidRPr="00B637A2">
              <w:rPr>
                <w:rFonts w:cs="Arial"/>
                <w:sz w:val="22"/>
                <w:szCs w:val="22"/>
              </w:rPr>
              <w:t xml:space="preserve"> independent analysis </w:t>
            </w:r>
            <w:r>
              <w:rPr>
                <w:rFonts w:cs="Arial"/>
                <w:sz w:val="22"/>
                <w:szCs w:val="22"/>
              </w:rPr>
              <w:t xml:space="preserve">to determine good practice for the most appropriate level of administrative and reporting duties for regulated utilities; </w:t>
            </w:r>
          </w:p>
          <w:p w14:paraId="19F57103" w14:textId="77777777" w:rsidR="00F36410" w:rsidRDefault="00F36410" w:rsidP="00F36410">
            <w:pPr>
              <w:pStyle w:val="ListParagraph"/>
              <w:numPr>
                <w:ilvl w:val="0"/>
                <w:numId w:val="25"/>
              </w:numPr>
              <w:rPr>
                <w:rFonts w:cs="Arial"/>
                <w:sz w:val="22"/>
                <w:szCs w:val="22"/>
              </w:rPr>
            </w:pPr>
            <w:r w:rsidRPr="00B637A2">
              <w:rPr>
                <w:rFonts w:cs="Arial"/>
                <w:sz w:val="22"/>
                <w:szCs w:val="22"/>
              </w:rPr>
              <w:t xml:space="preserve">examine whether </w:t>
            </w:r>
            <w:r>
              <w:rPr>
                <w:rFonts w:cs="Arial"/>
                <w:sz w:val="22"/>
                <w:szCs w:val="22"/>
              </w:rPr>
              <w:t>effective reporting standards</w:t>
            </w:r>
            <w:r w:rsidRPr="00B637A2">
              <w:rPr>
                <w:rFonts w:cs="Arial"/>
                <w:sz w:val="22"/>
                <w:szCs w:val="22"/>
              </w:rPr>
              <w:t xml:space="preserve"> </w:t>
            </w:r>
            <w:r>
              <w:rPr>
                <w:rFonts w:cs="Arial"/>
                <w:sz w:val="22"/>
                <w:szCs w:val="22"/>
              </w:rPr>
              <w:t>are</w:t>
            </w:r>
            <w:r w:rsidRPr="00B637A2">
              <w:rPr>
                <w:rFonts w:cs="Arial"/>
                <w:sz w:val="22"/>
                <w:szCs w:val="22"/>
              </w:rPr>
              <w:t xml:space="preserve"> different for publicly-owned, monopoly providers like Network Rail </w:t>
            </w:r>
            <w:r>
              <w:rPr>
                <w:rFonts w:cs="Arial"/>
                <w:sz w:val="22"/>
                <w:szCs w:val="22"/>
              </w:rPr>
              <w:t>compared</w:t>
            </w:r>
            <w:r w:rsidRPr="00B637A2">
              <w:rPr>
                <w:rFonts w:cs="Arial"/>
                <w:sz w:val="22"/>
                <w:szCs w:val="22"/>
              </w:rPr>
              <w:t xml:space="preserve"> to privately-owned</w:t>
            </w:r>
            <w:r>
              <w:rPr>
                <w:rFonts w:cs="Arial"/>
                <w:sz w:val="22"/>
                <w:szCs w:val="22"/>
              </w:rPr>
              <w:t>, often competitive</w:t>
            </w:r>
            <w:r w:rsidRPr="00B637A2">
              <w:rPr>
                <w:rFonts w:cs="Arial"/>
                <w:sz w:val="22"/>
                <w:szCs w:val="22"/>
              </w:rPr>
              <w:t xml:space="preserve"> providers like the water companies</w:t>
            </w:r>
            <w:r>
              <w:rPr>
                <w:rFonts w:cs="Arial"/>
                <w:sz w:val="22"/>
                <w:szCs w:val="22"/>
              </w:rPr>
              <w:t>; and</w:t>
            </w:r>
          </w:p>
          <w:p w14:paraId="77FD4BB0" w14:textId="77777777" w:rsidR="00F36410" w:rsidRPr="000C52E4" w:rsidRDefault="00F36410" w:rsidP="00F36410">
            <w:pPr>
              <w:pStyle w:val="ListParagraph"/>
              <w:numPr>
                <w:ilvl w:val="0"/>
                <w:numId w:val="25"/>
              </w:numPr>
              <w:rPr>
                <w:rFonts w:cs="Arial"/>
                <w:sz w:val="22"/>
                <w:szCs w:val="22"/>
              </w:rPr>
            </w:pPr>
            <w:r w:rsidRPr="002B6BEB">
              <w:rPr>
                <w:rFonts w:cs="Arial"/>
                <w:sz w:val="22"/>
                <w:szCs w:val="22"/>
              </w:rPr>
              <w:t xml:space="preserve">consider periodic reporting </w:t>
            </w:r>
            <w:r>
              <w:rPr>
                <w:rFonts w:cs="Arial"/>
                <w:sz w:val="22"/>
                <w:szCs w:val="22"/>
              </w:rPr>
              <w:t xml:space="preserve">requirements over the five-year road period </w:t>
            </w:r>
            <w:r w:rsidRPr="002B6BEB">
              <w:rPr>
                <w:rFonts w:cs="Arial"/>
                <w:sz w:val="22"/>
                <w:szCs w:val="22"/>
              </w:rPr>
              <w:t>and more ad hoc requests</w:t>
            </w:r>
            <w:r>
              <w:rPr>
                <w:rFonts w:cs="Arial"/>
                <w:sz w:val="22"/>
                <w:szCs w:val="22"/>
              </w:rPr>
              <w:t xml:space="preserve"> we make of National Highways so we can understand, within the context of our unique one to one relationship what these standards look like in other regulated sectors. </w:t>
            </w:r>
          </w:p>
          <w:p w14:paraId="4B4DA9B4" w14:textId="77777777" w:rsidR="00F36410" w:rsidRDefault="00F36410" w:rsidP="00F36410">
            <w:pPr>
              <w:rPr>
                <w:rFonts w:cs="Arial"/>
                <w:sz w:val="22"/>
                <w:szCs w:val="22"/>
              </w:rPr>
            </w:pPr>
            <w:r w:rsidRPr="00150EAC">
              <w:rPr>
                <w:rFonts w:cs="Arial"/>
                <w:sz w:val="22"/>
                <w:szCs w:val="22"/>
              </w:rPr>
              <w:t xml:space="preserve">The winning bidder is expected to produce a report </w:t>
            </w:r>
            <w:r>
              <w:rPr>
                <w:rFonts w:cs="Arial"/>
                <w:sz w:val="22"/>
                <w:szCs w:val="22"/>
              </w:rPr>
              <w:t>along the following lines</w:t>
            </w:r>
            <w:r w:rsidRPr="00150EAC">
              <w:rPr>
                <w:rFonts w:cs="Arial"/>
                <w:sz w:val="22"/>
                <w:szCs w:val="22"/>
              </w:rPr>
              <w:t>:</w:t>
            </w:r>
          </w:p>
          <w:p w14:paraId="7D744783" w14:textId="77777777" w:rsidR="00F36410" w:rsidRPr="00EE535F" w:rsidRDefault="00F36410" w:rsidP="00F36410">
            <w:pPr>
              <w:pStyle w:val="ListParagraph"/>
              <w:numPr>
                <w:ilvl w:val="0"/>
                <w:numId w:val="26"/>
              </w:numPr>
              <w:rPr>
                <w:rFonts w:cs="Arial"/>
                <w:sz w:val="22"/>
                <w:szCs w:val="22"/>
              </w:rPr>
            </w:pPr>
            <w:r w:rsidRPr="00EE535F">
              <w:rPr>
                <w:rFonts w:cs="Arial"/>
                <w:sz w:val="22"/>
                <w:szCs w:val="22"/>
              </w:rPr>
              <w:t>What work it has done;</w:t>
            </w:r>
          </w:p>
          <w:p w14:paraId="70E866B8" w14:textId="77777777" w:rsidR="00F36410" w:rsidRPr="00EE535F" w:rsidRDefault="00F36410" w:rsidP="00F36410">
            <w:pPr>
              <w:pStyle w:val="ListParagraph"/>
              <w:numPr>
                <w:ilvl w:val="0"/>
                <w:numId w:val="26"/>
              </w:numPr>
              <w:rPr>
                <w:rFonts w:cs="Arial"/>
                <w:sz w:val="22"/>
                <w:szCs w:val="22"/>
              </w:rPr>
            </w:pPr>
            <w:r w:rsidRPr="00EE535F">
              <w:rPr>
                <w:rFonts w:cs="Arial"/>
                <w:sz w:val="22"/>
                <w:szCs w:val="22"/>
              </w:rPr>
              <w:t xml:space="preserve">What it has concluded about the relative merits of different </w:t>
            </w:r>
            <w:r>
              <w:rPr>
                <w:rFonts w:cs="Arial"/>
                <w:sz w:val="22"/>
                <w:szCs w:val="22"/>
              </w:rPr>
              <w:t>approaches to regulatory requirements and reporting</w:t>
            </w:r>
            <w:r w:rsidRPr="00EE535F">
              <w:rPr>
                <w:rFonts w:cs="Arial"/>
                <w:sz w:val="22"/>
                <w:szCs w:val="22"/>
              </w:rPr>
              <w:t>;</w:t>
            </w:r>
            <w:r>
              <w:rPr>
                <w:rFonts w:cs="Arial"/>
                <w:sz w:val="22"/>
                <w:szCs w:val="22"/>
              </w:rPr>
              <w:t xml:space="preserve"> and</w:t>
            </w:r>
          </w:p>
          <w:p w14:paraId="1EB9A40C" w14:textId="77777777" w:rsidR="00F36410" w:rsidRPr="000C52E4" w:rsidRDefault="00F36410" w:rsidP="00F36410">
            <w:pPr>
              <w:pStyle w:val="ListParagraph"/>
              <w:numPr>
                <w:ilvl w:val="0"/>
                <w:numId w:val="26"/>
              </w:numPr>
              <w:rPr>
                <w:rFonts w:cs="Arial"/>
                <w:sz w:val="22"/>
                <w:szCs w:val="22"/>
              </w:rPr>
            </w:pPr>
            <w:r>
              <w:rPr>
                <w:rFonts w:cs="Arial"/>
                <w:sz w:val="22"/>
                <w:szCs w:val="22"/>
              </w:rPr>
              <w:t>Make recommendations</w:t>
            </w:r>
            <w:r w:rsidRPr="00EE535F">
              <w:rPr>
                <w:rFonts w:cs="Arial"/>
                <w:sz w:val="22"/>
                <w:szCs w:val="22"/>
              </w:rPr>
              <w:t xml:space="preserve"> to ORR about what </w:t>
            </w:r>
            <w:r>
              <w:rPr>
                <w:rFonts w:cs="Arial"/>
                <w:sz w:val="22"/>
                <w:szCs w:val="22"/>
              </w:rPr>
              <w:t xml:space="preserve">an appropriate level of regulatory requirement setting and reporting standards </w:t>
            </w:r>
            <w:r w:rsidRPr="00EE535F">
              <w:rPr>
                <w:rFonts w:cs="Arial"/>
                <w:sz w:val="22"/>
                <w:szCs w:val="22"/>
              </w:rPr>
              <w:t xml:space="preserve">should look like for a publicly-owned monopoly like </w:t>
            </w:r>
            <w:r>
              <w:rPr>
                <w:rFonts w:cs="Arial"/>
                <w:sz w:val="22"/>
                <w:szCs w:val="22"/>
              </w:rPr>
              <w:t>National Highways.</w:t>
            </w:r>
          </w:p>
          <w:p w14:paraId="52D715EF" w14:textId="77777777" w:rsidR="00F36410" w:rsidRPr="00BA7BB6" w:rsidRDefault="00F36410" w:rsidP="00F36410">
            <w:pPr>
              <w:rPr>
                <w:rFonts w:cs="Arial"/>
                <w:b/>
              </w:rPr>
            </w:pPr>
            <w:r w:rsidRPr="00150EAC">
              <w:rPr>
                <w:rFonts w:cs="Arial"/>
                <w:b/>
              </w:rPr>
              <w:t>2.2.3</w:t>
            </w:r>
            <w:r w:rsidRPr="00150EAC">
              <w:rPr>
                <w:b/>
              </w:rPr>
              <w:t xml:space="preserve"> – </w:t>
            </w:r>
            <w:r>
              <w:rPr>
                <w:b/>
              </w:rPr>
              <w:t>Assurance of</w:t>
            </w:r>
            <w:r w:rsidRPr="00BA7BB6">
              <w:rPr>
                <w:rFonts w:cs="Arial"/>
                <w:b/>
              </w:rPr>
              <w:t xml:space="preserve"> </w:t>
            </w:r>
            <w:r>
              <w:rPr>
                <w:rFonts w:cs="Arial"/>
                <w:b/>
              </w:rPr>
              <w:t>our regulatory role: Highways Monitoring Handbook</w:t>
            </w:r>
          </w:p>
          <w:p w14:paraId="207146CC" w14:textId="77777777" w:rsidR="00F36410" w:rsidRPr="00C70DBE" w:rsidRDefault="00F36410" w:rsidP="00F36410">
            <w:pPr>
              <w:rPr>
                <w:rFonts w:cs="Arial"/>
                <w:bCs/>
                <w:sz w:val="22"/>
                <w:szCs w:val="22"/>
              </w:rPr>
            </w:pPr>
            <w:r w:rsidRPr="0059675F">
              <w:rPr>
                <w:rFonts w:cs="Arial"/>
                <w:bCs/>
                <w:sz w:val="22"/>
                <w:szCs w:val="22"/>
              </w:rPr>
              <w:t xml:space="preserve">We want to rationalise and improve our internal processes by </w:t>
            </w:r>
            <w:r>
              <w:rPr>
                <w:rFonts w:cs="Arial"/>
                <w:bCs/>
                <w:sz w:val="22"/>
                <w:szCs w:val="22"/>
              </w:rPr>
              <w:t>producing</w:t>
            </w:r>
            <w:r w:rsidRPr="0059675F">
              <w:rPr>
                <w:rFonts w:cs="Arial"/>
                <w:bCs/>
                <w:sz w:val="22"/>
                <w:szCs w:val="22"/>
              </w:rPr>
              <w:t xml:space="preserve"> a Highways Monitoring Handbook, where we can collect information pertinent to the structures and processes by which we hold </w:t>
            </w:r>
            <w:r>
              <w:rPr>
                <w:rFonts w:cs="Arial"/>
                <w:bCs/>
                <w:sz w:val="22"/>
                <w:szCs w:val="22"/>
              </w:rPr>
              <w:t>National Highways</w:t>
            </w:r>
            <w:r w:rsidRPr="0059675F">
              <w:rPr>
                <w:rFonts w:cs="Arial"/>
                <w:bCs/>
                <w:sz w:val="22"/>
                <w:szCs w:val="22"/>
              </w:rPr>
              <w:t xml:space="preserve"> to account. The Handbook would be an internal document and would sit underneath the public </w:t>
            </w:r>
            <w:hyperlink r:id="rId12" w:history="1">
              <w:r w:rsidRPr="0059675F">
                <w:rPr>
                  <w:rStyle w:val="Hyperlink"/>
                  <w:rFonts w:cs="Arial"/>
                  <w:bCs/>
                  <w:sz w:val="22"/>
                  <w:szCs w:val="22"/>
                </w:rPr>
                <w:t>Holding to Account</w:t>
              </w:r>
            </w:hyperlink>
            <w:r w:rsidRPr="0059675F">
              <w:rPr>
                <w:rFonts w:cs="Arial"/>
                <w:bCs/>
                <w:sz w:val="22"/>
                <w:szCs w:val="22"/>
              </w:rPr>
              <w:t xml:space="preserve"> policy. It could be informed by similar documents in other sectors.</w:t>
            </w:r>
          </w:p>
          <w:p w14:paraId="34B5B2D6" w14:textId="77777777" w:rsidR="00F36410" w:rsidRPr="00C70DBE" w:rsidRDefault="00F36410" w:rsidP="00F36410">
            <w:pPr>
              <w:rPr>
                <w:rFonts w:cs="Arial"/>
                <w:bCs/>
                <w:sz w:val="22"/>
                <w:szCs w:val="22"/>
              </w:rPr>
            </w:pPr>
            <w:r w:rsidRPr="00C70DBE">
              <w:rPr>
                <w:rFonts w:cs="Arial"/>
                <w:bCs/>
                <w:sz w:val="22"/>
                <w:szCs w:val="22"/>
              </w:rPr>
              <w:t xml:space="preserve">This is to help us </w:t>
            </w:r>
            <w:r>
              <w:rPr>
                <w:rFonts w:cs="Arial"/>
                <w:bCs/>
                <w:sz w:val="22"/>
                <w:szCs w:val="22"/>
              </w:rPr>
              <w:t xml:space="preserve">get in good shape for any future organisation-wide strategic review and audits and to provide a sound evidence base for any future changes to our </w:t>
            </w:r>
            <w:hyperlink r:id="rId13" w:history="1">
              <w:r w:rsidRPr="00937834">
                <w:rPr>
                  <w:rStyle w:val="Hyperlink"/>
                  <w:rFonts w:cs="Arial"/>
                  <w:bCs/>
                  <w:sz w:val="22"/>
                  <w:szCs w:val="22"/>
                </w:rPr>
                <w:t>Memorandum of Understanding</w:t>
              </w:r>
            </w:hyperlink>
            <w:r>
              <w:rPr>
                <w:rFonts w:cs="Arial"/>
                <w:bCs/>
                <w:sz w:val="22"/>
                <w:szCs w:val="22"/>
              </w:rPr>
              <w:t xml:space="preserve"> [with the Department for Transport] or other key policy documents.</w:t>
            </w:r>
          </w:p>
          <w:p w14:paraId="399A9475" w14:textId="77777777" w:rsidR="00F36410" w:rsidRDefault="00F36410" w:rsidP="00F36410">
            <w:pPr>
              <w:rPr>
                <w:rFonts w:cs="Arial"/>
                <w:bCs/>
                <w:sz w:val="22"/>
                <w:szCs w:val="22"/>
              </w:rPr>
            </w:pPr>
            <w:r w:rsidRPr="00C70DBE">
              <w:rPr>
                <w:rFonts w:cs="Arial"/>
                <w:bCs/>
                <w:sz w:val="22"/>
                <w:szCs w:val="22"/>
              </w:rPr>
              <w:t>The winning bidder will be expected to:</w:t>
            </w:r>
          </w:p>
          <w:p w14:paraId="7A3E28BD" w14:textId="77777777" w:rsidR="00F36410" w:rsidRPr="0059675F" w:rsidRDefault="00F36410" w:rsidP="00F36410">
            <w:pPr>
              <w:pStyle w:val="ListParagraph"/>
              <w:numPr>
                <w:ilvl w:val="0"/>
                <w:numId w:val="27"/>
              </w:numPr>
              <w:rPr>
                <w:sz w:val="22"/>
                <w:szCs w:val="22"/>
              </w:rPr>
            </w:pPr>
            <w:r w:rsidRPr="0059675F">
              <w:rPr>
                <w:sz w:val="22"/>
                <w:szCs w:val="22"/>
              </w:rPr>
              <w:t xml:space="preserve">familiarise themselves with the ORR Rail Monitoring Handbook; </w:t>
            </w:r>
          </w:p>
          <w:p w14:paraId="3DADCB81" w14:textId="77777777" w:rsidR="00F36410" w:rsidRDefault="00F36410" w:rsidP="00F36410">
            <w:pPr>
              <w:pStyle w:val="ListParagraph"/>
              <w:numPr>
                <w:ilvl w:val="0"/>
                <w:numId w:val="27"/>
              </w:numPr>
              <w:rPr>
                <w:sz w:val="22"/>
                <w:szCs w:val="22"/>
              </w:rPr>
            </w:pPr>
            <w:r w:rsidRPr="0059675F">
              <w:rPr>
                <w:sz w:val="22"/>
                <w:szCs w:val="22"/>
              </w:rPr>
              <w:t>investigate whether other UK utility regulators have similar documents and if so how they are structured; how frequently they are updated and how effective they are in supporting the regulator’s escalatory and enforcement functions</w:t>
            </w:r>
            <w:r>
              <w:rPr>
                <w:sz w:val="22"/>
                <w:szCs w:val="22"/>
              </w:rPr>
              <w:t xml:space="preserve">; </w:t>
            </w:r>
          </w:p>
          <w:p w14:paraId="4F64DC9E" w14:textId="77777777" w:rsidR="00F36410" w:rsidRDefault="00F36410" w:rsidP="00F36410">
            <w:pPr>
              <w:pStyle w:val="ListParagraph"/>
              <w:numPr>
                <w:ilvl w:val="0"/>
                <w:numId w:val="27"/>
              </w:numPr>
              <w:rPr>
                <w:sz w:val="22"/>
                <w:szCs w:val="22"/>
              </w:rPr>
            </w:pPr>
            <w:r w:rsidRPr="0059675F">
              <w:rPr>
                <w:sz w:val="22"/>
                <w:szCs w:val="22"/>
              </w:rPr>
              <w:t xml:space="preserve">gather information and evidence from the Highways Team about the information we </w:t>
            </w:r>
            <w:r>
              <w:rPr>
                <w:sz w:val="22"/>
                <w:szCs w:val="22"/>
              </w:rPr>
              <w:t xml:space="preserve">already hold and the information we </w:t>
            </w:r>
            <w:r w:rsidRPr="0059675F">
              <w:rPr>
                <w:sz w:val="22"/>
                <w:szCs w:val="22"/>
              </w:rPr>
              <w:t>require to effectively perform our monitoring role</w:t>
            </w:r>
            <w:r>
              <w:rPr>
                <w:sz w:val="22"/>
                <w:szCs w:val="22"/>
              </w:rPr>
              <w:t>;</w:t>
            </w:r>
            <w:r w:rsidRPr="0059675F">
              <w:rPr>
                <w:sz w:val="22"/>
                <w:szCs w:val="22"/>
              </w:rPr>
              <w:t xml:space="preserve"> </w:t>
            </w:r>
            <w:r>
              <w:rPr>
                <w:sz w:val="22"/>
                <w:szCs w:val="22"/>
              </w:rPr>
              <w:t>and</w:t>
            </w:r>
          </w:p>
          <w:p w14:paraId="6B70818C" w14:textId="77777777" w:rsidR="00F36410" w:rsidRPr="0059675F" w:rsidRDefault="00F36410" w:rsidP="00F36410">
            <w:pPr>
              <w:pStyle w:val="ListParagraph"/>
              <w:numPr>
                <w:ilvl w:val="0"/>
                <w:numId w:val="27"/>
              </w:numPr>
              <w:rPr>
                <w:sz w:val="22"/>
                <w:szCs w:val="22"/>
              </w:rPr>
            </w:pPr>
            <w:r w:rsidRPr="00350397">
              <w:rPr>
                <w:sz w:val="22"/>
                <w:szCs w:val="22"/>
              </w:rPr>
              <w:t>gather information from the Highways Team about who currently collects data from National Highways, where and how it is stored and the purposes for which it is used</w:t>
            </w:r>
          </w:p>
          <w:p w14:paraId="5626C421" w14:textId="77777777" w:rsidR="00F36410" w:rsidRDefault="00F36410" w:rsidP="00F36410">
            <w:pPr>
              <w:rPr>
                <w:rFonts w:cs="Arial"/>
                <w:sz w:val="22"/>
                <w:szCs w:val="22"/>
              </w:rPr>
            </w:pPr>
            <w:r w:rsidRPr="00350397">
              <w:rPr>
                <w:rFonts w:cs="Arial"/>
                <w:sz w:val="22"/>
                <w:szCs w:val="22"/>
              </w:rPr>
              <w:t>The winning bidder is expected to</w:t>
            </w:r>
            <w:r>
              <w:rPr>
                <w:rFonts w:cs="Arial"/>
                <w:sz w:val="22"/>
                <w:szCs w:val="22"/>
              </w:rPr>
              <w:t xml:space="preserve"> </w:t>
            </w:r>
            <w:r w:rsidRPr="00350397">
              <w:rPr>
                <w:rFonts w:cs="Arial"/>
                <w:sz w:val="22"/>
                <w:szCs w:val="22"/>
              </w:rPr>
              <w:t>produce a report summarising work done and giving advice as to good practice for the drafting and maintenance of a new Highways Monitoring Handbook, including a skeleton list of suggested contents</w:t>
            </w:r>
            <w:r>
              <w:rPr>
                <w:rFonts w:cs="Arial"/>
                <w:sz w:val="22"/>
                <w:szCs w:val="22"/>
              </w:rPr>
              <w:t xml:space="preserve"> </w:t>
            </w:r>
            <w:r w:rsidRPr="00350397">
              <w:rPr>
                <w:rFonts w:cs="Arial"/>
                <w:sz w:val="22"/>
                <w:szCs w:val="22"/>
              </w:rPr>
              <w:lastRenderedPageBreak/>
              <w:t>and a recommendation as to our data collection and management processes, including who should be responsible for the collection of data from NH.</w:t>
            </w:r>
            <w:r>
              <w:rPr>
                <w:rFonts w:cs="Arial"/>
                <w:sz w:val="22"/>
                <w:szCs w:val="22"/>
              </w:rPr>
              <w:t xml:space="preserve"> </w:t>
            </w:r>
          </w:p>
          <w:p w14:paraId="283F11F6" w14:textId="77777777" w:rsidR="00F36410" w:rsidRPr="00C70DBE" w:rsidRDefault="00F36410" w:rsidP="00F36410">
            <w:pPr>
              <w:rPr>
                <w:rFonts w:cs="Arial"/>
                <w:sz w:val="22"/>
                <w:szCs w:val="22"/>
              </w:rPr>
            </w:pPr>
            <w:r w:rsidRPr="00350397">
              <w:rPr>
                <w:rFonts w:cs="Arial"/>
                <w:sz w:val="22"/>
                <w:szCs w:val="22"/>
              </w:rPr>
              <w:t>To be clear, this</w:t>
            </w:r>
            <w:r>
              <w:rPr>
                <w:rFonts w:cs="Arial"/>
                <w:sz w:val="22"/>
                <w:szCs w:val="22"/>
              </w:rPr>
              <w:t xml:space="preserve"> </w:t>
            </w:r>
            <w:r w:rsidRPr="00350397">
              <w:rPr>
                <w:rFonts w:cs="Arial"/>
                <w:sz w:val="22"/>
                <w:szCs w:val="22"/>
              </w:rPr>
              <w:t>project</w:t>
            </w:r>
            <w:r>
              <w:rPr>
                <w:rFonts w:cs="Arial"/>
                <w:sz w:val="22"/>
                <w:szCs w:val="22"/>
              </w:rPr>
              <w:t xml:space="preserve"> </w:t>
            </w:r>
            <w:r w:rsidRPr="00350397">
              <w:rPr>
                <w:rFonts w:cs="Arial"/>
                <w:sz w:val="22"/>
                <w:szCs w:val="22"/>
              </w:rPr>
              <w:t>will not include drafting the actual handbook</w:t>
            </w:r>
          </w:p>
          <w:p w14:paraId="16A0DA65" w14:textId="77777777" w:rsidR="00F36410" w:rsidRPr="00150EAC" w:rsidRDefault="00F36410" w:rsidP="00F36410">
            <w:pPr>
              <w:rPr>
                <w:rFonts w:cs="Arial"/>
                <w:b/>
              </w:rPr>
            </w:pPr>
            <w:r w:rsidRPr="00150EAC">
              <w:rPr>
                <w:rFonts w:cs="Arial"/>
                <w:b/>
              </w:rPr>
              <w:t>2.2.4</w:t>
            </w:r>
            <w:r w:rsidRPr="00150EAC">
              <w:rPr>
                <w:b/>
              </w:rPr>
              <w:t xml:space="preserve"> – </w:t>
            </w:r>
            <w:r>
              <w:rPr>
                <w:b/>
              </w:rPr>
              <w:t>Regulators’ p</w:t>
            </w:r>
            <w:r w:rsidRPr="00150EAC">
              <w:rPr>
                <w:rFonts w:cs="Arial"/>
                <w:b/>
              </w:rPr>
              <w:t>ublication polic</w:t>
            </w:r>
            <w:r>
              <w:rPr>
                <w:rFonts w:cs="Arial"/>
                <w:b/>
              </w:rPr>
              <w:t>ies, project charters and driving positive behaviours in regulated entities</w:t>
            </w:r>
          </w:p>
          <w:p w14:paraId="33E707DE" w14:textId="77777777" w:rsidR="00F36410" w:rsidRDefault="00F36410" w:rsidP="00F36410">
            <w:pPr>
              <w:rPr>
                <w:rFonts w:cs="Arial"/>
                <w:bCs/>
                <w:sz w:val="22"/>
                <w:szCs w:val="22"/>
              </w:rPr>
            </w:pPr>
            <w:r w:rsidRPr="00150EAC">
              <w:rPr>
                <w:rFonts w:cs="Arial"/>
                <w:bCs/>
                <w:sz w:val="22"/>
                <w:szCs w:val="22"/>
              </w:rPr>
              <w:t>We want to understand</w:t>
            </w:r>
            <w:r>
              <w:rPr>
                <w:rFonts w:cs="Arial"/>
                <w:bCs/>
                <w:sz w:val="22"/>
                <w:szCs w:val="22"/>
              </w:rPr>
              <w:t xml:space="preserve"> </w:t>
            </w:r>
            <w:r w:rsidRPr="00150EAC">
              <w:rPr>
                <w:rFonts w:cs="Arial"/>
                <w:bCs/>
                <w:sz w:val="22"/>
                <w:szCs w:val="22"/>
              </w:rPr>
              <w:t xml:space="preserve">what information other </w:t>
            </w:r>
            <w:r>
              <w:rPr>
                <w:rFonts w:cs="Arial"/>
                <w:bCs/>
                <w:sz w:val="22"/>
                <w:szCs w:val="22"/>
              </w:rPr>
              <w:t xml:space="preserve">utility </w:t>
            </w:r>
            <w:r w:rsidRPr="00150EAC">
              <w:rPr>
                <w:rFonts w:cs="Arial"/>
                <w:bCs/>
                <w:sz w:val="22"/>
                <w:szCs w:val="22"/>
              </w:rPr>
              <w:t>regulators</w:t>
            </w:r>
            <w:r>
              <w:rPr>
                <w:rFonts w:cs="Arial"/>
                <w:bCs/>
                <w:sz w:val="22"/>
                <w:szCs w:val="22"/>
              </w:rPr>
              <w:t xml:space="preserve"> (e.g. ORR for rail, OFWAT, OFCOM and OFGEM)</w:t>
            </w:r>
            <w:r w:rsidRPr="00150EAC">
              <w:rPr>
                <w:rFonts w:cs="Arial"/>
                <w:bCs/>
                <w:sz w:val="22"/>
                <w:szCs w:val="22"/>
              </w:rPr>
              <w:t xml:space="preserve"> publish about their regulated entity</w:t>
            </w:r>
            <w:r>
              <w:rPr>
                <w:rFonts w:cs="Arial"/>
                <w:bCs/>
                <w:sz w:val="22"/>
                <w:szCs w:val="22"/>
              </w:rPr>
              <w:t>/</w:t>
            </w:r>
            <w:proofErr w:type="spellStart"/>
            <w:r>
              <w:rPr>
                <w:rFonts w:cs="Arial"/>
                <w:bCs/>
                <w:sz w:val="22"/>
                <w:szCs w:val="22"/>
              </w:rPr>
              <w:t>ies</w:t>
            </w:r>
            <w:proofErr w:type="spellEnd"/>
            <w:r w:rsidRPr="00150EAC">
              <w:rPr>
                <w:rFonts w:cs="Arial"/>
                <w:bCs/>
                <w:sz w:val="22"/>
                <w:szCs w:val="22"/>
              </w:rPr>
              <w:t>, why they publish that information</w:t>
            </w:r>
            <w:r>
              <w:rPr>
                <w:rFonts w:cs="Arial"/>
                <w:bCs/>
                <w:sz w:val="22"/>
                <w:szCs w:val="22"/>
              </w:rPr>
              <w:t xml:space="preserve">, if and how their publication policy affects their relationship with their regulated entity and </w:t>
            </w:r>
            <w:r w:rsidRPr="00150EAC">
              <w:rPr>
                <w:rFonts w:cs="Arial"/>
                <w:bCs/>
                <w:sz w:val="22"/>
                <w:szCs w:val="22"/>
              </w:rPr>
              <w:t xml:space="preserve">how effective their publication policy is at </w:t>
            </w:r>
            <w:r>
              <w:rPr>
                <w:rFonts w:cs="Arial"/>
                <w:bCs/>
                <w:sz w:val="22"/>
                <w:szCs w:val="22"/>
              </w:rPr>
              <w:t xml:space="preserve">driving or </w:t>
            </w:r>
            <w:r w:rsidRPr="00150EAC">
              <w:rPr>
                <w:rFonts w:cs="Arial"/>
                <w:bCs/>
                <w:sz w:val="22"/>
                <w:szCs w:val="22"/>
              </w:rPr>
              <w:t xml:space="preserve">incentivising positive behaviour </w:t>
            </w:r>
            <w:r>
              <w:rPr>
                <w:rFonts w:cs="Arial"/>
                <w:bCs/>
                <w:sz w:val="22"/>
                <w:szCs w:val="22"/>
              </w:rPr>
              <w:t>in</w:t>
            </w:r>
            <w:r w:rsidRPr="00150EAC">
              <w:rPr>
                <w:rFonts w:cs="Arial"/>
                <w:bCs/>
                <w:sz w:val="22"/>
                <w:szCs w:val="22"/>
              </w:rPr>
              <w:t xml:space="preserve"> the regulated entity.</w:t>
            </w:r>
            <w:r>
              <w:rPr>
                <w:rFonts w:cs="Arial"/>
                <w:bCs/>
                <w:sz w:val="22"/>
                <w:szCs w:val="22"/>
              </w:rPr>
              <w:t xml:space="preserve"> </w:t>
            </w:r>
          </w:p>
          <w:p w14:paraId="4125ABCF" w14:textId="77777777" w:rsidR="00F36410" w:rsidRDefault="00F36410" w:rsidP="00F36410">
            <w:pPr>
              <w:rPr>
                <w:rFonts w:cs="Arial"/>
                <w:bCs/>
                <w:sz w:val="22"/>
                <w:szCs w:val="22"/>
              </w:rPr>
            </w:pPr>
            <w:r>
              <w:rPr>
                <w:rFonts w:cs="Arial"/>
                <w:bCs/>
                <w:sz w:val="22"/>
                <w:szCs w:val="22"/>
              </w:rPr>
              <w:t>This is intended to</w:t>
            </w:r>
            <w:r w:rsidRPr="00150EAC">
              <w:rPr>
                <w:rFonts w:cs="Arial"/>
                <w:bCs/>
                <w:sz w:val="22"/>
                <w:szCs w:val="22"/>
              </w:rPr>
              <w:t xml:space="preserve"> </w:t>
            </w:r>
            <w:r>
              <w:rPr>
                <w:rFonts w:cs="Arial"/>
                <w:bCs/>
                <w:sz w:val="22"/>
                <w:szCs w:val="22"/>
              </w:rPr>
              <w:t>help us understand what good practice looks like in this area, to enable us to benchmark our own policies against it and inform future decision making about policy changes. It will complement a piece of internal work about the extent and limits of our legal publication powers.</w:t>
            </w:r>
          </w:p>
          <w:p w14:paraId="5D3D0E12" w14:textId="77777777" w:rsidR="00F36410" w:rsidRPr="00150EAC" w:rsidRDefault="00F36410" w:rsidP="00F36410">
            <w:pPr>
              <w:rPr>
                <w:rFonts w:cs="Arial"/>
                <w:bCs/>
                <w:sz w:val="22"/>
                <w:szCs w:val="22"/>
              </w:rPr>
            </w:pPr>
            <w:r>
              <w:rPr>
                <w:rFonts w:cs="Arial"/>
                <w:bCs/>
                <w:sz w:val="22"/>
                <w:szCs w:val="22"/>
              </w:rPr>
              <w:t xml:space="preserve">We also want to understand how other regulators work with their regulated entities on external consultancy projects (i.e. where the regulator procures consultants to produce a piece of work that involves close working with one or more of their regulated entities). We have a Project Charter with National Highways for this sort of work and we would like to know how this might best be improved to incentivise positive behaviour and improve our processes. </w:t>
            </w:r>
          </w:p>
          <w:p w14:paraId="0A51BBA2" w14:textId="77777777" w:rsidR="00F36410" w:rsidRPr="0072742C" w:rsidRDefault="00F36410" w:rsidP="00F36410">
            <w:pPr>
              <w:rPr>
                <w:rFonts w:cs="Arial"/>
                <w:bCs/>
                <w:sz w:val="22"/>
                <w:szCs w:val="22"/>
              </w:rPr>
            </w:pPr>
            <w:r w:rsidRPr="0072742C">
              <w:rPr>
                <w:rFonts w:cs="Arial"/>
                <w:bCs/>
                <w:sz w:val="22"/>
                <w:szCs w:val="22"/>
              </w:rPr>
              <w:t xml:space="preserve">The winning bidder will be expected to: </w:t>
            </w:r>
          </w:p>
          <w:p w14:paraId="7C97E953" w14:textId="77777777" w:rsidR="00F36410" w:rsidRPr="00E25BBC" w:rsidRDefault="00F36410" w:rsidP="00F36410">
            <w:pPr>
              <w:pStyle w:val="ListParagraph"/>
              <w:numPr>
                <w:ilvl w:val="0"/>
                <w:numId w:val="28"/>
              </w:numPr>
              <w:rPr>
                <w:rFonts w:cs="Arial"/>
                <w:bCs/>
                <w:sz w:val="22"/>
                <w:szCs w:val="22"/>
              </w:rPr>
            </w:pPr>
            <w:r w:rsidRPr="00E25BBC">
              <w:rPr>
                <w:rFonts w:cs="Arial"/>
                <w:bCs/>
                <w:sz w:val="22"/>
                <w:szCs w:val="22"/>
              </w:rPr>
              <w:t>review relevant literature on the publication policies of regulators UK-based utilities</w:t>
            </w:r>
            <w:r>
              <w:rPr>
                <w:rFonts w:cs="Arial"/>
                <w:bCs/>
                <w:sz w:val="22"/>
                <w:szCs w:val="22"/>
              </w:rPr>
              <w:t xml:space="preserve"> and documentation elated to external consultancy project management</w:t>
            </w:r>
            <w:r w:rsidRPr="00E25BBC">
              <w:rPr>
                <w:rFonts w:cs="Arial"/>
                <w:bCs/>
                <w:sz w:val="22"/>
                <w:szCs w:val="22"/>
              </w:rPr>
              <w:t>;</w:t>
            </w:r>
          </w:p>
          <w:p w14:paraId="6ADF0D2F" w14:textId="77777777" w:rsidR="00F36410" w:rsidRPr="00E25BBC" w:rsidRDefault="00F36410" w:rsidP="00F36410">
            <w:pPr>
              <w:pStyle w:val="ListParagraph"/>
              <w:numPr>
                <w:ilvl w:val="0"/>
                <w:numId w:val="28"/>
              </w:numPr>
              <w:rPr>
                <w:rFonts w:cs="Arial"/>
                <w:bCs/>
                <w:sz w:val="22"/>
                <w:szCs w:val="22"/>
              </w:rPr>
            </w:pPr>
            <w:r w:rsidRPr="00E25BBC">
              <w:rPr>
                <w:rFonts w:cs="Arial"/>
                <w:bCs/>
                <w:sz w:val="22"/>
                <w:szCs w:val="22"/>
              </w:rPr>
              <w:t>obtain first-hand information from those regulators of the details of these policies and how effective they are perceived to be;</w:t>
            </w:r>
          </w:p>
          <w:p w14:paraId="0A09C3FB" w14:textId="77777777" w:rsidR="00F36410" w:rsidRPr="00E25BBC" w:rsidRDefault="00F36410" w:rsidP="00F36410">
            <w:pPr>
              <w:pStyle w:val="ListParagraph"/>
              <w:numPr>
                <w:ilvl w:val="0"/>
                <w:numId w:val="28"/>
              </w:numPr>
              <w:rPr>
                <w:rFonts w:cs="Arial"/>
                <w:bCs/>
                <w:sz w:val="22"/>
                <w:szCs w:val="22"/>
              </w:rPr>
            </w:pPr>
            <w:r w:rsidRPr="00E25BBC">
              <w:rPr>
                <w:rFonts w:cs="Arial"/>
                <w:bCs/>
                <w:sz w:val="22"/>
                <w:szCs w:val="22"/>
              </w:rPr>
              <w:t>conduct their own independent benchmarking of how effective these policies are in driving positive behaviours in regulated entities and draw good practice conclusions; and</w:t>
            </w:r>
          </w:p>
          <w:p w14:paraId="33B02A0F" w14:textId="77777777" w:rsidR="00F36410" w:rsidRPr="00E25BBC" w:rsidRDefault="00F36410" w:rsidP="00F36410">
            <w:pPr>
              <w:pStyle w:val="ListParagraph"/>
              <w:numPr>
                <w:ilvl w:val="0"/>
                <w:numId w:val="28"/>
              </w:numPr>
              <w:rPr>
                <w:rFonts w:cs="Arial"/>
                <w:bCs/>
                <w:sz w:val="22"/>
                <w:szCs w:val="22"/>
              </w:rPr>
            </w:pPr>
            <w:r w:rsidRPr="00E25BBC">
              <w:rPr>
                <w:rFonts w:cs="Arial"/>
                <w:bCs/>
                <w:sz w:val="22"/>
                <w:szCs w:val="22"/>
              </w:rPr>
              <w:t xml:space="preserve">examine whether effective regulator publication policies </w:t>
            </w:r>
            <w:r>
              <w:rPr>
                <w:rFonts w:cs="Arial"/>
                <w:bCs/>
                <w:sz w:val="22"/>
                <w:szCs w:val="22"/>
              </w:rPr>
              <w:t xml:space="preserve">and consultancy processes </w:t>
            </w:r>
            <w:r w:rsidRPr="00E25BBC">
              <w:rPr>
                <w:rFonts w:cs="Arial"/>
                <w:bCs/>
                <w:sz w:val="22"/>
                <w:szCs w:val="22"/>
              </w:rPr>
              <w:t>are different for publicly-owned, monopoly providers like Network Rail compared to privately-owned, often competitive providers like the water companies.</w:t>
            </w:r>
          </w:p>
          <w:p w14:paraId="084A4BEF" w14:textId="77777777" w:rsidR="00F36410" w:rsidRPr="0072742C" w:rsidRDefault="00F36410" w:rsidP="00F36410">
            <w:pPr>
              <w:rPr>
                <w:rFonts w:cs="Arial"/>
                <w:bCs/>
                <w:sz w:val="22"/>
                <w:szCs w:val="22"/>
              </w:rPr>
            </w:pPr>
            <w:r w:rsidRPr="0072742C">
              <w:rPr>
                <w:rFonts w:cs="Arial"/>
                <w:bCs/>
                <w:sz w:val="22"/>
                <w:szCs w:val="22"/>
              </w:rPr>
              <w:t>The winning bidder is expected to produce a report along the following lines:</w:t>
            </w:r>
          </w:p>
          <w:p w14:paraId="254FB212" w14:textId="77777777" w:rsidR="00F36410" w:rsidRPr="00E25BBC" w:rsidRDefault="00F36410" w:rsidP="00F36410">
            <w:pPr>
              <w:pStyle w:val="ListParagraph"/>
              <w:numPr>
                <w:ilvl w:val="0"/>
                <w:numId w:val="29"/>
              </w:numPr>
              <w:rPr>
                <w:rFonts w:cs="Arial"/>
                <w:bCs/>
                <w:sz w:val="22"/>
                <w:szCs w:val="22"/>
              </w:rPr>
            </w:pPr>
            <w:r w:rsidRPr="00E25BBC">
              <w:rPr>
                <w:rFonts w:cs="Arial"/>
                <w:bCs/>
                <w:sz w:val="22"/>
                <w:szCs w:val="22"/>
              </w:rPr>
              <w:t>What work it has done;</w:t>
            </w:r>
          </w:p>
          <w:p w14:paraId="7D6F1063" w14:textId="77777777" w:rsidR="00F36410" w:rsidRPr="00E25BBC" w:rsidRDefault="00F36410" w:rsidP="00F36410">
            <w:pPr>
              <w:pStyle w:val="ListParagraph"/>
              <w:numPr>
                <w:ilvl w:val="0"/>
                <w:numId w:val="29"/>
              </w:numPr>
              <w:rPr>
                <w:rFonts w:cs="Arial"/>
                <w:bCs/>
                <w:sz w:val="22"/>
                <w:szCs w:val="22"/>
              </w:rPr>
            </w:pPr>
            <w:r w:rsidRPr="00E25BBC">
              <w:rPr>
                <w:rFonts w:cs="Arial"/>
                <w:bCs/>
                <w:sz w:val="22"/>
                <w:szCs w:val="22"/>
              </w:rPr>
              <w:t xml:space="preserve">What it has concluded about the relative merits of the publication policies of UK utility regulators </w:t>
            </w:r>
            <w:r>
              <w:rPr>
                <w:rFonts w:cs="Arial"/>
                <w:bCs/>
                <w:sz w:val="22"/>
                <w:szCs w:val="22"/>
              </w:rPr>
              <w:t xml:space="preserve">and external consultancy project management </w:t>
            </w:r>
            <w:r w:rsidRPr="00E25BBC">
              <w:rPr>
                <w:rFonts w:cs="Arial"/>
                <w:bCs/>
                <w:sz w:val="22"/>
                <w:szCs w:val="22"/>
              </w:rPr>
              <w:t>in developing and maintaining beneficial relationships with their regulated entities;</w:t>
            </w:r>
          </w:p>
          <w:p w14:paraId="28D49A7B" w14:textId="77777777" w:rsidR="00F36410" w:rsidRPr="00E25BBC" w:rsidRDefault="00F36410" w:rsidP="00F36410">
            <w:pPr>
              <w:pStyle w:val="ListParagraph"/>
              <w:numPr>
                <w:ilvl w:val="0"/>
                <w:numId w:val="29"/>
              </w:numPr>
              <w:rPr>
                <w:rFonts w:cs="Arial"/>
                <w:bCs/>
                <w:sz w:val="22"/>
                <w:szCs w:val="22"/>
              </w:rPr>
            </w:pPr>
            <w:r w:rsidRPr="00E25BBC">
              <w:rPr>
                <w:rFonts w:cs="Arial"/>
                <w:bCs/>
                <w:sz w:val="22"/>
                <w:szCs w:val="22"/>
              </w:rPr>
              <w:t xml:space="preserve">What it has concluded about the relative merits of the publication policies </w:t>
            </w:r>
            <w:r w:rsidRPr="00BD2BD8">
              <w:rPr>
                <w:rFonts w:cs="Arial"/>
                <w:bCs/>
                <w:sz w:val="22"/>
                <w:szCs w:val="22"/>
              </w:rPr>
              <w:t xml:space="preserve">and external consultancy project management </w:t>
            </w:r>
            <w:r w:rsidRPr="00E25BBC">
              <w:rPr>
                <w:rFonts w:cs="Arial"/>
                <w:bCs/>
                <w:sz w:val="22"/>
                <w:szCs w:val="22"/>
              </w:rPr>
              <w:t>of UK utility regulators in driving positive behaviours in their regulated entities;</w:t>
            </w:r>
            <w:r>
              <w:rPr>
                <w:rFonts w:cs="Arial"/>
                <w:bCs/>
                <w:sz w:val="22"/>
                <w:szCs w:val="22"/>
              </w:rPr>
              <w:t xml:space="preserve"> and</w:t>
            </w:r>
          </w:p>
          <w:p w14:paraId="7F37258A" w14:textId="77777777" w:rsidR="00F36410" w:rsidRPr="00E25BBC" w:rsidRDefault="00F36410" w:rsidP="00F36410">
            <w:pPr>
              <w:pStyle w:val="ListParagraph"/>
              <w:numPr>
                <w:ilvl w:val="0"/>
                <w:numId w:val="29"/>
              </w:numPr>
              <w:rPr>
                <w:rFonts w:cs="Arial"/>
                <w:bCs/>
                <w:sz w:val="22"/>
                <w:szCs w:val="22"/>
              </w:rPr>
            </w:pPr>
            <w:r w:rsidRPr="00E25BBC">
              <w:rPr>
                <w:rFonts w:cs="Arial"/>
                <w:bCs/>
                <w:sz w:val="22"/>
                <w:szCs w:val="22"/>
              </w:rPr>
              <w:lastRenderedPageBreak/>
              <w:t>Make recommendations to ORR about what a good publication policy</w:t>
            </w:r>
            <w:r w:rsidRPr="00BD2BD8">
              <w:rPr>
                <w:rFonts w:cs="Arial"/>
                <w:bCs/>
                <w:sz w:val="22"/>
                <w:szCs w:val="22"/>
              </w:rPr>
              <w:t xml:space="preserve"> and external consultancy project management</w:t>
            </w:r>
            <w:r w:rsidRPr="00E25BBC">
              <w:rPr>
                <w:rFonts w:cs="Arial"/>
                <w:bCs/>
                <w:sz w:val="22"/>
                <w:szCs w:val="22"/>
              </w:rPr>
              <w:t xml:space="preserve"> should look like for a publicly-owned monopoly like </w:t>
            </w:r>
            <w:r>
              <w:rPr>
                <w:rFonts w:cs="Arial"/>
                <w:bCs/>
                <w:sz w:val="22"/>
                <w:szCs w:val="22"/>
              </w:rPr>
              <w:t>National Highways</w:t>
            </w:r>
            <w:r w:rsidRPr="00E25BBC">
              <w:rPr>
                <w:rFonts w:cs="Arial"/>
                <w:bCs/>
                <w:sz w:val="22"/>
                <w:szCs w:val="22"/>
              </w:rPr>
              <w:t>.</w:t>
            </w:r>
          </w:p>
          <w:p w14:paraId="01A81C91" w14:textId="77777777" w:rsidR="00F36410" w:rsidRPr="00150EAC" w:rsidRDefault="00F36410" w:rsidP="00F36410">
            <w:pPr>
              <w:rPr>
                <w:rFonts w:cs="Arial"/>
                <w:b/>
              </w:rPr>
            </w:pPr>
            <w:r w:rsidRPr="00150EAC">
              <w:rPr>
                <w:rFonts w:cs="Arial"/>
                <w:b/>
              </w:rPr>
              <w:t>2.2.5</w:t>
            </w:r>
            <w:r w:rsidRPr="00150EAC">
              <w:rPr>
                <w:b/>
              </w:rPr>
              <w:t xml:space="preserve"> – </w:t>
            </w:r>
            <w:r w:rsidRPr="00150EAC">
              <w:rPr>
                <w:rFonts w:cs="Arial"/>
                <w:b/>
              </w:rPr>
              <w:t xml:space="preserve">Learning lessons </w:t>
            </w:r>
            <w:r>
              <w:rPr>
                <w:rFonts w:cs="Arial"/>
                <w:b/>
              </w:rPr>
              <w:t xml:space="preserve">from the Highways Monitor’s 2020-21 escalation refresh </w:t>
            </w:r>
            <w:r w:rsidRPr="00150EAC">
              <w:rPr>
                <w:rFonts w:cs="Arial"/>
                <w:b/>
              </w:rPr>
              <w:t xml:space="preserve">and </w:t>
            </w:r>
            <w:r>
              <w:rPr>
                <w:rFonts w:cs="Arial"/>
                <w:b/>
              </w:rPr>
              <w:t xml:space="preserve">driving </w:t>
            </w:r>
            <w:r w:rsidRPr="00150EAC">
              <w:rPr>
                <w:rFonts w:cs="Arial"/>
                <w:b/>
              </w:rPr>
              <w:t>continuous improvement</w:t>
            </w:r>
          </w:p>
          <w:p w14:paraId="295C9CDA" w14:textId="77777777" w:rsidR="00F36410" w:rsidRDefault="00F36410" w:rsidP="00F36410">
            <w:pPr>
              <w:rPr>
                <w:rFonts w:cs="Arial"/>
                <w:bCs/>
                <w:sz w:val="22"/>
                <w:szCs w:val="22"/>
              </w:rPr>
            </w:pPr>
            <w:r w:rsidRPr="00150EAC">
              <w:rPr>
                <w:rFonts w:cs="Arial"/>
                <w:bCs/>
                <w:sz w:val="22"/>
                <w:szCs w:val="22"/>
              </w:rPr>
              <w:t>We want to understand</w:t>
            </w:r>
            <w:r>
              <w:rPr>
                <w:rFonts w:cs="Arial"/>
                <w:bCs/>
                <w:sz w:val="22"/>
                <w:szCs w:val="22"/>
              </w:rPr>
              <w:t xml:space="preserve"> how our regulated entity (National Highways) has experienced the </w:t>
            </w:r>
            <w:r w:rsidRPr="00150EAC">
              <w:rPr>
                <w:rFonts w:cs="Arial"/>
                <w:bCs/>
                <w:sz w:val="22"/>
                <w:szCs w:val="22"/>
              </w:rPr>
              <w:t xml:space="preserve">changes </w:t>
            </w:r>
            <w:r>
              <w:rPr>
                <w:rFonts w:cs="Arial"/>
                <w:bCs/>
                <w:sz w:val="22"/>
                <w:szCs w:val="22"/>
              </w:rPr>
              <w:t xml:space="preserve">we have made to our </w:t>
            </w:r>
            <w:r w:rsidRPr="00150EAC">
              <w:rPr>
                <w:rFonts w:cs="Arial"/>
                <w:bCs/>
                <w:sz w:val="22"/>
                <w:szCs w:val="22"/>
              </w:rPr>
              <w:t>escalation process over 2020-21</w:t>
            </w:r>
            <w:r>
              <w:rPr>
                <w:rFonts w:cs="Arial"/>
                <w:bCs/>
                <w:sz w:val="22"/>
                <w:szCs w:val="22"/>
              </w:rPr>
              <w:t>, what it thinks of those changes and how they have been implemented and what impact those changes have had on their working practices.</w:t>
            </w:r>
            <w:r w:rsidRPr="00150EAC">
              <w:rPr>
                <w:rFonts w:cs="Arial"/>
                <w:bCs/>
                <w:sz w:val="22"/>
                <w:szCs w:val="22"/>
              </w:rPr>
              <w:t xml:space="preserve"> </w:t>
            </w:r>
          </w:p>
          <w:p w14:paraId="60FA172F" w14:textId="77777777" w:rsidR="00F36410" w:rsidRPr="00150EAC" w:rsidRDefault="00F36410" w:rsidP="00F36410">
            <w:pPr>
              <w:rPr>
                <w:rFonts w:cs="Arial"/>
                <w:bCs/>
                <w:sz w:val="22"/>
                <w:szCs w:val="22"/>
              </w:rPr>
            </w:pPr>
            <w:r w:rsidRPr="00150EAC">
              <w:rPr>
                <w:rFonts w:cs="Arial"/>
                <w:bCs/>
                <w:sz w:val="22"/>
                <w:szCs w:val="22"/>
              </w:rPr>
              <w:t>This is to</w:t>
            </w:r>
            <w:r>
              <w:rPr>
                <w:rFonts w:cs="Arial"/>
                <w:bCs/>
                <w:sz w:val="22"/>
                <w:szCs w:val="22"/>
              </w:rPr>
              <w:t xml:space="preserve"> help us drive continuous improvement in our escalatory work and learn lessons for any future reviews or reforms of our escalatory role.</w:t>
            </w:r>
          </w:p>
          <w:p w14:paraId="7558500F" w14:textId="77777777" w:rsidR="00F36410" w:rsidRDefault="00F36410" w:rsidP="00F36410">
            <w:pPr>
              <w:rPr>
                <w:rFonts w:cs="Arial"/>
                <w:bCs/>
                <w:sz w:val="22"/>
                <w:szCs w:val="22"/>
              </w:rPr>
            </w:pPr>
            <w:r w:rsidRPr="00C70DBE">
              <w:rPr>
                <w:rFonts w:cs="Arial"/>
                <w:bCs/>
                <w:sz w:val="22"/>
                <w:szCs w:val="22"/>
              </w:rPr>
              <w:t>The winning bidder will be expected to:</w:t>
            </w:r>
          </w:p>
          <w:p w14:paraId="580439D9" w14:textId="77777777" w:rsidR="00F36410" w:rsidRDefault="00F36410" w:rsidP="00F36410">
            <w:pPr>
              <w:pStyle w:val="ListParagraph"/>
              <w:numPr>
                <w:ilvl w:val="0"/>
                <w:numId w:val="27"/>
              </w:numPr>
              <w:rPr>
                <w:rFonts w:cs="Arial"/>
                <w:bCs/>
                <w:sz w:val="22"/>
                <w:szCs w:val="22"/>
              </w:rPr>
            </w:pPr>
            <w:r w:rsidRPr="001153D1">
              <w:rPr>
                <w:rFonts w:cs="Arial"/>
                <w:bCs/>
                <w:sz w:val="22"/>
                <w:szCs w:val="22"/>
              </w:rPr>
              <w:t>familiarise themselves with our escalatory role and processes</w:t>
            </w:r>
            <w:r>
              <w:rPr>
                <w:rFonts w:cs="Arial"/>
                <w:bCs/>
                <w:sz w:val="22"/>
                <w:szCs w:val="22"/>
              </w:rPr>
              <w:t>;</w:t>
            </w:r>
          </w:p>
          <w:p w14:paraId="352C10FA" w14:textId="77777777" w:rsidR="00F36410" w:rsidRDefault="00F36410" w:rsidP="00F36410">
            <w:pPr>
              <w:pStyle w:val="ListParagraph"/>
              <w:numPr>
                <w:ilvl w:val="0"/>
                <w:numId w:val="27"/>
              </w:numPr>
              <w:rPr>
                <w:rFonts w:cs="Arial"/>
                <w:bCs/>
                <w:sz w:val="22"/>
                <w:szCs w:val="22"/>
              </w:rPr>
            </w:pPr>
            <w:r>
              <w:rPr>
                <w:rFonts w:cs="Arial"/>
                <w:bCs/>
                <w:sz w:val="22"/>
                <w:szCs w:val="22"/>
              </w:rPr>
              <w:t>familiarise themselves with the commissioning, execution and implementation of the external review of those processes that was reported to us in March 2020 and how we have implemented the recommendations of that report</w:t>
            </w:r>
            <w:r w:rsidRPr="001153D1">
              <w:rPr>
                <w:rFonts w:cs="Arial"/>
                <w:bCs/>
                <w:sz w:val="22"/>
                <w:szCs w:val="22"/>
              </w:rPr>
              <w:t>;</w:t>
            </w:r>
            <w:r>
              <w:rPr>
                <w:rFonts w:cs="Arial"/>
                <w:bCs/>
                <w:sz w:val="22"/>
                <w:szCs w:val="22"/>
              </w:rPr>
              <w:t xml:space="preserve"> and</w:t>
            </w:r>
          </w:p>
          <w:p w14:paraId="29D9FEB0" w14:textId="77777777" w:rsidR="00F52BE8" w:rsidRDefault="00F36410" w:rsidP="00F36410">
            <w:pPr>
              <w:rPr>
                <w:sz w:val="22"/>
                <w:szCs w:val="22"/>
              </w:rPr>
            </w:pPr>
            <w:r w:rsidRPr="001153D1">
              <w:rPr>
                <w:rFonts w:cs="Arial"/>
                <w:bCs/>
                <w:sz w:val="22"/>
                <w:szCs w:val="22"/>
              </w:rPr>
              <w:t xml:space="preserve">conduct </w:t>
            </w:r>
            <w:r>
              <w:rPr>
                <w:rFonts w:cs="Arial"/>
                <w:bCs/>
                <w:sz w:val="22"/>
                <w:szCs w:val="22"/>
              </w:rPr>
              <w:t>individual meetings or group</w:t>
            </w:r>
            <w:r w:rsidRPr="001153D1">
              <w:rPr>
                <w:rFonts w:cs="Arial"/>
                <w:bCs/>
                <w:sz w:val="22"/>
                <w:szCs w:val="22"/>
              </w:rPr>
              <w:t xml:space="preserve"> workshops </w:t>
            </w:r>
            <w:r w:rsidRPr="001153D1">
              <w:rPr>
                <w:sz w:val="22"/>
                <w:szCs w:val="22"/>
              </w:rPr>
              <w:t xml:space="preserve">with </w:t>
            </w:r>
            <w:r>
              <w:rPr>
                <w:sz w:val="22"/>
                <w:szCs w:val="22"/>
              </w:rPr>
              <w:t xml:space="preserve">staff at National Highways at all levels of the organisation </w:t>
            </w:r>
            <w:r w:rsidRPr="00820E6F">
              <w:rPr>
                <w:sz w:val="22"/>
                <w:szCs w:val="22"/>
              </w:rPr>
              <w:t>to explore</w:t>
            </w:r>
            <w:r>
              <w:rPr>
                <w:sz w:val="22"/>
                <w:szCs w:val="22"/>
              </w:rPr>
              <w:t xml:space="preserve"> in depth their experiences and views of the changes to the escalation process that we have implemented over 2020-21. These meetings or workshops must include as a minimum senior director of National Highways, </w:t>
            </w:r>
            <w:r w:rsidRPr="00820E6F">
              <w:rPr>
                <w:sz w:val="22"/>
                <w:szCs w:val="22"/>
              </w:rPr>
              <w:t>the Licen</w:t>
            </w:r>
            <w:r>
              <w:rPr>
                <w:sz w:val="22"/>
                <w:szCs w:val="22"/>
              </w:rPr>
              <w:t>c</w:t>
            </w:r>
            <w:r w:rsidRPr="00820E6F">
              <w:rPr>
                <w:sz w:val="22"/>
                <w:szCs w:val="22"/>
              </w:rPr>
              <w:t xml:space="preserve">ing and Monitoring team, </w:t>
            </w:r>
            <w:r>
              <w:rPr>
                <w:sz w:val="22"/>
                <w:szCs w:val="22"/>
              </w:rPr>
              <w:t>and staff at working level.</w:t>
            </w:r>
          </w:p>
          <w:p w14:paraId="13605674" w14:textId="77777777" w:rsidR="00F36410" w:rsidRDefault="00F36410" w:rsidP="00F36410">
            <w:pPr>
              <w:rPr>
                <w:rFonts w:cs="Arial"/>
                <w:sz w:val="22"/>
                <w:szCs w:val="22"/>
              </w:rPr>
            </w:pPr>
            <w:r>
              <w:rPr>
                <w:rFonts w:cs="Arial"/>
                <w:sz w:val="22"/>
                <w:szCs w:val="22"/>
              </w:rPr>
              <w:t>The winning bidder is expected to produce a report along the following lines:</w:t>
            </w:r>
          </w:p>
          <w:p w14:paraId="71E152A4" w14:textId="77777777" w:rsidR="00F36410" w:rsidRPr="001153D1" w:rsidRDefault="00F36410" w:rsidP="00F36410">
            <w:pPr>
              <w:pStyle w:val="ListParagraph"/>
              <w:numPr>
                <w:ilvl w:val="0"/>
                <w:numId w:val="30"/>
              </w:numPr>
              <w:rPr>
                <w:rFonts w:cs="Arial"/>
                <w:sz w:val="22"/>
                <w:szCs w:val="22"/>
              </w:rPr>
            </w:pPr>
            <w:r w:rsidRPr="001153D1">
              <w:rPr>
                <w:rFonts w:cs="Arial"/>
                <w:sz w:val="22"/>
                <w:szCs w:val="22"/>
              </w:rPr>
              <w:t>What work it has done</w:t>
            </w:r>
            <w:r>
              <w:rPr>
                <w:rFonts w:cs="Arial"/>
                <w:sz w:val="22"/>
                <w:szCs w:val="22"/>
              </w:rPr>
              <w:t>,</w:t>
            </w:r>
            <w:r w:rsidRPr="001153D1">
              <w:rPr>
                <w:rFonts w:cs="Arial"/>
                <w:sz w:val="22"/>
                <w:szCs w:val="22"/>
              </w:rPr>
              <w:t xml:space="preserve"> including the methodology for </w:t>
            </w:r>
            <w:r>
              <w:rPr>
                <w:rFonts w:cs="Arial"/>
                <w:sz w:val="22"/>
                <w:szCs w:val="22"/>
              </w:rPr>
              <w:t xml:space="preserve">conducting any meetings or </w:t>
            </w:r>
            <w:r w:rsidRPr="001153D1">
              <w:rPr>
                <w:rFonts w:cs="Arial"/>
                <w:sz w:val="22"/>
                <w:szCs w:val="22"/>
              </w:rPr>
              <w:t xml:space="preserve">facilitating </w:t>
            </w:r>
            <w:r>
              <w:rPr>
                <w:rFonts w:cs="Arial"/>
                <w:sz w:val="22"/>
                <w:szCs w:val="22"/>
              </w:rPr>
              <w:t>any</w:t>
            </w:r>
            <w:r w:rsidRPr="001153D1">
              <w:rPr>
                <w:rFonts w:cs="Arial"/>
                <w:sz w:val="22"/>
                <w:szCs w:val="22"/>
              </w:rPr>
              <w:t xml:space="preserve"> workshops </w:t>
            </w:r>
            <w:r>
              <w:rPr>
                <w:rFonts w:cs="Arial"/>
                <w:sz w:val="22"/>
                <w:szCs w:val="22"/>
              </w:rPr>
              <w:t xml:space="preserve">with National Highways </w:t>
            </w:r>
            <w:r w:rsidRPr="001153D1">
              <w:rPr>
                <w:rFonts w:cs="Arial"/>
                <w:sz w:val="22"/>
                <w:szCs w:val="22"/>
              </w:rPr>
              <w:t>and analysing the outcomes;</w:t>
            </w:r>
          </w:p>
          <w:p w14:paraId="6C2C5EC1" w14:textId="77777777" w:rsidR="00F36410" w:rsidRPr="001153D1" w:rsidRDefault="00F36410" w:rsidP="00F36410">
            <w:pPr>
              <w:pStyle w:val="ListParagraph"/>
              <w:numPr>
                <w:ilvl w:val="0"/>
                <w:numId w:val="30"/>
              </w:numPr>
              <w:rPr>
                <w:rFonts w:cs="Arial"/>
                <w:sz w:val="22"/>
                <w:szCs w:val="22"/>
              </w:rPr>
            </w:pPr>
            <w:r w:rsidRPr="001153D1">
              <w:rPr>
                <w:rFonts w:cs="Arial"/>
                <w:sz w:val="22"/>
                <w:szCs w:val="22"/>
              </w:rPr>
              <w:t xml:space="preserve">Summarising how </w:t>
            </w:r>
            <w:r>
              <w:rPr>
                <w:rFonts w:cs="Arial"/>
                <w:sz w:val="22"/>
                <w:szCs w:val="22"/>
              </w:rPr>
              <w:t>staff at National Highways have experienced and perceive the changes we have made to escalatory processes and work over 2020-21</w:t>
            </w:r>
            <w:r w:rsidRPr="001153D1">
              <w:rPr>
                <w:rFonts w:cs="Arial"/>
                <w:sz w:val="22"/>
                <w:szCs w:val="22"/>
              </w:rPr>
              <w:t>, drawing out differences between those views and providing analysis as to why they exist;</w:t>
            </w:r>
          </w:p>
          <w:p w14:paraId="7D3BF1A5" w14:textId="77777777" w:rsidR="00F36410" w:rsidRPr="002E4A7B" w:rsidRDefault="00F36410" w:rsidP="00F36410">
            <w:pPr>
              <w:pStyle w:val="ListParagraph"/>
              <w:numPr>
                <w:ilvl w:val="0"/>
                <w:numId w:val="30"/>
              </w:numPr>
              <w:rPr>
                <w:rFonts w:cs="Arial"/>
                <w:bCs/>
                <w:sz w:val="22"/>
                <w:szCs w:val="22"/>
              </w:rPr>
            </w:pPr>
            <w:r w:rsidRPr="001153D1">
              <w:rPr>
                <w:rFonts w:cs="Arial"/>
                <w:sz w:val="22"/>
                <w:szCs w:val="22"/>
              </w:rPr>
              <w:t xml:space="preserve">Making recommendations to ORR as to </w:t>
            </w:r>
            <w:r w:rsidRPr="00150EAC">
              <w:rPr>
                <w:rFonts w:cs="Arial"/>
                <w:bCs/>
                <w:sz w:val="22"/>
                <w:szCs w:val="22"/>
              </w:rPr>
              <w:t xml:space="preserve">whether </w:t>
            </w:r>
            <w:r>
              <w:rPr>
                <w:rFonts w:cs="Arial"/>
                <w:bCs/>
                <w:sz w:val="22"/>
                <w:szCs w:val="22"/>
              </w:rPr>
              <w:t>(</w:t>
            </w:r>
            <w:proofErr w:type="spellStart"/>
            <w:r>
              <w:rPr>
                <w:rFonts w:cs="Arial"/>
                <w:bCs/>
                <w:sz w:val="22"/>
                <w:szCs w:val="22"/>
              </w:rPr>
              <w:t>i</w:t>
            </w:r>
            <w:proofErr w:type="spellEnd"/>
            <w:r>
              <w:rPr>
                <w:rFonts w:cs="Arial"/>
                <w:bCs/>
                <w:sz w:val="22"/>
                <w:szCs w:val="22"/>
              </w:rPr>
              <w:t xml:space="preserve">) </w:t>
            </w:r>
            <w:r w:rsidRPr="00150EAC">
              <w:rPr>
                <w:rFonts w:cs="Arial"/>
                <w:bCs/>
                <w:sz w:val="22"/>
                <w:szCs w:val="22"/>
              </w:rPr>
              <w:t xml:space="preserve">the project that resulted in the </w:t>
            </w:r>
            <w:r>
              <w:rPr>
                <w:rFonts w:cs="Arial"/>
                <w:bCs/>
                <w:sz w:val="22"/>
                <w:szCs w:val="22"/>
              </w:rPr>
              <w:t>March 2020 escalatory refresh</w:t>
            </w:r>
            <w:r w:rsidRPr="00150EAC">
              <w:rPr>
                <w:rFonts w:cs="Arial"/>
                <w:bCs/>
                <w:sz w:val="22"/>
                <w:szCs w:val="22"/>
              </w:rPr>
              <w:t xml:space="preserve"> report achieved what it was supposed to achieve (ii) whether we implemented it in a timely and appropriate way and (iii) whe</w:t>
            </w:r>
            <w:r>
              <w:rPr>
                <w:rFonts w:cs="Arial"/>
                <w:bCs/>
                <w:sz w:val="22"/>
                <w:szCs w:val="22"/>
              </w:rPr>
              <w:t>ther</w:t>
            </w:r>
            <w:r w:rsidRPr="00150EAC">
              <w:rPr>
                <w:rFonts w:cs="Arial"/>
                <w:bCs/>
                <w:sz w:val="22"/>
                <w:szCs w:val="22"/>
              </w:rPr>
              <w:t xml:space="preserve"> we should think about further change over the </w:t>
            </w:r>
            <w:r>
              <w:rPr>
                <w:rFonts w:cs="Arial"/>
                <w:bCs/>
                <w:sz w:val="22"/>
                <w:szCs w:val="22"/>
              </w:rPr>
              <w:t>remainder</w:t>
            </w:r>
            <w:r w:rsidRPr="00150EAC">
              <w:rPr>
                <w:rFonts w:cs="Arial"/>
                <w:bCs/>
                <w:sz w:val="22"/>
                <w:szCs w:val="22"/>
              </w:rPr>
              <w:t xml:space="preserve"> of </w:t>
            </w:r>
            <w:proofErr w:type="spellStart"/>
            <w:r w:rsidRPr="00150EAC">
              <w:rPr>
                <w:rFonts w:cs="Arial"/>
                <w:bCs/>
                <w:sz w:val="22"/>
                <w:szCs w:val="22"/>
              </w:rPr>
              <w:t>RP2</w:t>
            </w:r>
            <w:proofErr w:type="spellEnd"/>
            <w:r>
              <w:rPr>
                <w:rFonts w:cs="Arial"/>
                <w:bCs/>
                <w:sz w:val="22"/>
                <w:szCs w:val="22"/>
              </w:rPr>
              <w:t xml:space="preserve"> (i.e. to 2025) and if so to what purpose</w:t>
            </w:r>
            <w:r w:rsidRPr="00150EAC">
              <w:rPr>
                <w:rFonts w:cs="Arial"/>
                <w:bCs/>
                <w:sz w:val="22"/>
                <w:szCs w:val="22"/>
              </w:rPr>
              <w:t>.</w:t>
            </w:r>
          </w:p>
          <w:p w14:paraId="7FB2378E" w14:textId="77777777" w:rsidR="00F36410" w:rsidRDefault="00F36410" w:rsidP="00F36410">
            <w:pPr>
              <w:rPr>
                <w:rFonts w:cs="Arial"/>
                <w:bCs/>
                <w:sz w:val="22"/>
                <w:szCs w:val="22"/>
              </w:rPr>
            </w:pPr>
            <w:r>
              <w:rPr>
                <w:rFonts w:cs="Arial"/>
                <w:bCs/>
                <w:sz w:val="22"/>
                <w:szCs w:val="22"/>
              </w:rPr>
              <w:t xml:space="preserve">We would expect the winning bidder to propose a strategy for its approach to obtaining views from National Highways staff involving interviews and/or workshops. </w:t>
            </w:r>
          </w:p>
          <w:p w14:paraId="29BE8C1A" w14:textId="77777777" w:rsidR="00F36410" w:rsidRPr="007B0320" w:rsidRDefault="00F36410" w:rsidP="00F36410">
            <w:pPr>
              <w:rPr>
                <w:rFonts w:cs="Arial"/>
                <w:b/>
                <w:bCs/>
                <w:sz w:val="22"/>
                <w:szCs w:val="22"/>
              </w:rPr>
            </w:pPr>
            <w:r>
              <w:rPr>
                <w:rFonts w:cs="Arial"/>
                <w:b/>
                <w:bCs/>
                <w:sz w:val="22"/>
                <w:szCs w:val="22"/>
              </w:rPr>
              <w:t>W</w:t>
            </w:r>
            <w:r w:rsidRPr="007B0320">
              <w:rPr>
                <w:rFonts w:cs="Arial"/>
                <w:b/>
                <w:bCs/>
                <w:sz w:val="22"/>
                <w:szCs w:val="22"/>
              </w:rPr>
              <w:t>orking practices</w:t>
            </w:r>
          </w:p>
          <w:p w14:paraId="0E117CA4" w14:textId="77777777" w:rsidR="00F36410" w:rsidRPr="007B0320" w:rsidRDefault="00F36410" w:rsidP="00F36410">
            <w:pPr>
              <w:rPr>
                <w:rFonts w:cs="Arial"/>
                <w:bCs/>
                <w:sz w:val="22"/>
                <w:szCs w:val="22"/>
              </w:rPr>
            </w:pPr>
            <w:r w:rsidRPr="007B0320">
              <w:rPr>
                <w:rFonts w:cs="Arial"/>
                <w:bCs/>
                <w:sz w:val="22"/>
                <w:szCs w:val="22"/>
              </w:rPr>
              <w:t xml:space="preserve">All the </w:t>
            </w:r>
            <w:r>
              <w:rPr>
                <w:rFonts w:cs="Arial"/>
                <w:bCs/>
                <w:sz w:val="22"/>
                <w:szCs w:val="22"/>
              </w:rPr>
              <w:t>projects</w:t>
            </w:r>
            <w:r w:rsidRPr="007B0320">
              <w:rPr>
                <w:rFonts w:cs="Arial"/>
                <w:bCs/>
                <w:sz w:val="22"/>
                <w:szCs w:val="22"/>
              </w:rPr>
              <w:t xml:space="preserve"> are expected to be largely desk-based, with some need for meetings, interviews, workshops etc</w:t>
            </w:r>
            <w:r>
              <w:rPr>
                <w:rFonts w:cs="Arial"/>
                <w:bCs/>
                <w:sz w:val="22"/>
                <w:szCs w:val="22"/>
              </w:rPr>
              <w:t>.</w:t>
            </w:r>
            <w:r w:rsidRPr="007B0320">
              <w:rPr>
                <w:rFonts w:cs="Arial"/>
                <w:bCs/>
                <w:sz w:val="22"/>
                <w:szCs w:val="22"/>
              </w:rPr>
              <w:t xml:space="preserve"> with ORR</w:t>
            </w:r>
            <w:r>
              <w:rPr>
                <w:rFonts w:cs="Arial"/>
                <w:bCs/>
                <w:sz w:val="22"/>
                <w:szCs w:val="22"/>
              </w:rPr>
              <w:t xml:space="preserve"> and National Highways</w:t>
            </w:r>
            <w:r w:rsidRPr="007B0320">
              <w:rPr>
                <w:rFonts w:cs="Arial"/>
                <w:bCs/>
                <w:sz w:val="22"/>
                <w:szCs w:val="22"/>
              </w:rPr>
              <w:t xml:space="preserve"> staff to gather information. An understanding of</w:t>
            </w:r>
            <w:r>
              <w:rPr>
                <w:rFonts w:cs="Arial"/>
                <w:bCs/>
                <w:sz w:val="22"/>
                <w:szCs w:val="22"/>
              </w:rPr>
              <w:t xml:space="preserve"> or access to a network of contacts who can provide understanding of </w:t>
            </w:r>
            <w:r w:rsidRPr="007B0320">
              <w:rPr>
                <w:rFonts w:cs="Arial"/>
                <w:bCs/>
                <w:sz w:val="22"/>
                <w:szCs w:val="22"/>
              </w:rPr>
              <w:t xml:space="preserve">best practice </w:t>
            </w:r>
            <w:r>
              <w:rPr>
                <w:rFonts w:cs="Arial"/>
                <w:bCs/>
                <w:sz w:val="22"/>
                <w:szCs w:val="22"/>
              </w:rPr>
              <w:t>across multiple regulated industries</w:t>
            </w:r>
            <w:r w:rsidRPr="007B0320">
              <w:rPr>
                <w:rFonts w:cs="Arial"/>
                <w:bCs/>
                <w:sz w:val="22"/>
                <w:szCs w:val="22"/>
              </w:rPr>
              <w:t xml:space="preserve"> </w:t>
            </w:r>
            <w:r>
              <w:rPr>
                <w:rFonts w:cs="Arial"/>
                <w:bCs/>
                <w:sz w:val="22"/>
                <w:szCs w:val="22"/>
              </w:rPr>
              <w:t>is</w:t>
            </w:r>
            <w:r w:rsidRPr="007B0320">
              <w:rPr>
                <w:rFonts w:cs="Arial"/>
                <w:bCs/>
                <w:sz w:val="22"/>
                <w:szCs w:val="22"/>
              </w:rPr>
              <w:t xml:space="preserve"> </w:t>
            </w:r>
            <w:r w:rsidRPr="007B0320">
              <w:rPr>
                <w:rFonts w:cs="Arial"/>
                <w:bCs/>
                <w:sz w:val="22"/>
                <w:szCs w:val="22"/>
              </w:rPr>
              <w:lastRenderedPageBreak/>
              <w:t>required</w:t>
            </w:r>
            <w:r>
              <w:rPr>
                <w:rFonts w:cs="Arial"/>
                <w:bCs/>
                <w:sz w:val="22"/>
                <w:szCs w:val="22"/>
              </w:rPr>
              <w:t xml:space="preserve"> across the projects</w:t>
            </w:r>
            <w:r w:rsidRPr="007B0320">
              <w:rPr>
                <w:rFonts w:cs="Arial"/>
                <w:bCs/>
                <w:sz w:val="22"/>
                <w:szCs w:val="22"/>
              </w:rPr>
              <w:t xml:space="preserve">. </w:t>
            </w:r>
            <w:r>
              <w:rPr>
                <w:rFonts w:cs="Arial"/>
                <w:bCs/>
                <w:sz w:val="22"/>
                <w:szCs w:val="22"/>
              </w:rPr>
              <w:t>While t</w:t>
            </w:r>
            <w:r w:rsidRPr="007B0320">
              <w:rPr>
                <w:rFonts w:cs="Arial"/>
                <w:bCs/>
                <w:sz w:val="22"/>
                <w:szCs w:val="22"/>
              </w:rPr>
              <w:t xml:space="preserve">his </w:t>
            </w:r>
            <w:r>
              <w:rPr>
                <w:rFonts w:cs="Arial"/>
                <w:bCs/>
                <w:sz w:val="22"/>
                <w:szCs w:val="22"/>
              </w:rPr>
              <w:t>is likely to</w:t>
            </w:r>
            <w:r w:rsidRPr="007B0320">
              <w:rPr>
                <w:rFonts w:cs="Arial"/>
                <w:bCs/>
                <w:sz w:val="22"/>
                <w:szCs w:val="22"/>
              </w:rPr>
              <w:t xml:space="preserve"> require wider engagement</w:t>
            </w:r>
            <w:r>
              <w:rPr>
                <w:rFonts w:cs="Arial"/>
                <w:bCs/>
                <w:sz w:val="22"/>
                <w:szCs w:val="22"/>
              </w:rPr>
              <w:t xml:space="preserve">, </w:t>
            </w:r>
            <w:r w:rsidRPr="007B0320">
              <w:rPr>
                <w:rFonts w:cs="Arial"/>
                <w:bCs/>
                <w:sz w:val="22"/>
                <w:szCs w:val="22"/>
              </w:rPr>
              <w:t>we do not anticipate large-scale primary data gathering as part of the project. Given the current guidelines around coronavirus, much of this engagement is likely to be undertaken virtually.</w:t>
            </w:r>
          </w:p>
          <w:p w14:paraId="4FE76616" w14:textId="77777777" w:rsidR="00F36410" w:rsidRPr="007B0320" w:rsidRDefault="00F36410" w:rsidP="00F36410">
            <w:pPr>
              <w:rPr>
                <w:rFonts w:cs="Arial"/>
                <w:bCs/>
                <w:sz w:val="22"/>
                <w:szCs w:val="22"/>
              </w:rPr>
            </w:pPr>
            <w:r w:rsidRPr="007B0320">
              <w:rPr>
                <w:rFonts w:cs="Arial"/>
                <w:bCs/>
                <w:sz w:val="22"/>
                <w:szCs w:val="22"/>
              </w:rPr>
              <w:t xml:space="preserve">The consultancy should work with ORR </w:t>
            </w:r>
            <w:r>
              <w:rPr>
                <w:rFonts w:cs="Arial"/>
                <w:bCs/>
                <w:sz w:val="22"/>
                <w:szCs w:val="22"/>
              </w:rPr>
              <w:t>[</w:t>
            </w:r>
            <w:r w:rsidRPr="004A729F">
              <w:rPr>
                <w:rFonts w:cs="Arial"/>
                <w:bCs/>
                <w:sz w:val="22"/>
                <w:szCs w:val="22"/>
              </w:rPr>
              <w:t xml:space="preserve">and with National Highways </w:t>
            </w:r>
            <w:r>
              <w:rPr>
                <w:rFonts w:cs="Arial"/>
                <w:bCs/>
                <w:sz w:val="22"/>
                <w:szCs w:val="22"/>
              </w:rPr>
              <w:t>where required</w:t>
            </w:r>
            <w:r w:rsidRPr="004A729F">
              <w:rPr>
                <w:rFonts w:cs="Arial"/>
                <w:bCs/>
                <w:sz w:val="22"/>
                <w:szCs w:val="22"/>
              </w:rPr>
              <w:t>]</w:t>
            </w:r>
            <w:r>
              <w:rPr>
                <w:rFonts w:cs="Arial"/>
                <w:bCs/>
                <w:sz w:val="22"/>
                <w:szCs w:val="22"/>
              </w:rPr>
              <w:t xml:space="preserve"> </w:t>
            </w:r>
            <w:r w:rsidRPr="007B0320">
              <w:rPr>
                <w:rFonts w:cs="Arial"/>
                <w:bCs/>
                <w:sz w:val="22"/>
                <w:szCs w:val="22"/>
              </w:rPr>
              <w:t>to ensure that findings and opportunities are understood and agreed as appropriate. Any conclusions drawn should be backed up by material and balanced evidence, and recommendations should be aimed at ORR.</w:t>
            </w:r>
          </w:p>
          <w:p w14:paraId="7B4430E8" w14:textId="77777777" w:rsidR="00F36410" w:rsidRPr="007B0320" w:rsidRDefault="00F36410" w:rsidP="00F36410">
            <w:pPr>
              <w:rPr>
                <w:rFonts w:cs="Arial"/>
                <w:bCs/>
                <w:sz w:val="22"/>
                <w:szCs w:val="22"/>
              </w:rPr>
            </w:pPr>
            <w:r w:rsidRPr="007B0320">
              <w:rPr>
                <w:rFonts w:cs="Arial"/>
                <w:bCs/>
                <w:sz w:val="22"/>
                <w:szCs w:val="22"/>
              </w:rPr>
              <w:t xml:space="preserve">The consultancy is expected to manage its own inputs and ensure the impacts of its work are conducted in a manner which is cognisant of the wider </w:t>
            </w:r>
            <w:r>
              <w:rPr>
                <w:rFonts w:cs="Arial"/>
                <w:bCs/>
                <w:sz w:val="22"/>
                <w:szCs w:val="22"/>
              </w:rPr>
              <w:t>L</w:t>
            </w:r>
            <w:r w:rsidRPr="007B0320">
              <w:rPr>
                <w:rFonts w:cs="Arial"/>
                <w:bCs/>
                <w:sz w:val="22"/>
                <w:szCs w:val="22"/>
              </w:rPr>
              <w:t>icence and monitoring framework principles – i.e. the approach should be proportionate, seek to avoid duplication, and use existing management information where available.</w:t>
            </w:r>
          </w:p>
          <w:p w14:paraId="66C42D7F" w14:textId="02152919" w:rsidR="00F36410" w:rsidRPr="00E20092" w:rsidRDefault="00F36410" w:rsidP="00F36410">
            <w:pPr>
              <w:rPr>
                <w:rFonts w:cs="Arial"/>
                <w:b/>
                <w:color w:val="FF0000"/>
              </w:rPr>
            </w:pPr>
            <w:r w:rsidRPr="007B0320">
              <w:rPr>
                <w:rFonts w:cs="Arial"/>
                <w:bCs/>
                <w:sz w:val="22"/>
                <w:szCs w:val="22"/>
              </w:rPr>
              <w:t xml:space="preserve">The consultancy should note that </w:t>
            </w:r>
            <w:r>
              <w:rPr>
                <w:rFonts w:cs="Arial"/>
                <w:bCs/>
                <w:sz w:val="22"/>
                <w:szCs w:val="22"/>
              </w:rPr>
              <w:t>National Highways</w:t>
            </w:r>
            <w:r w:rsidRPr="007B0320">
              <w:rPr>
                <w:rFonts w:cs="Arial"/>
                <w:bCs/>
                <w:sz w:val="22"/>
                <w:szCs w:val="22"/>
              </w:rPr>
              <w:t xml:space="preserve"> will require a confidentiality agreement in relation to any of its confidential information that is disclosed to the consultancy and the outputs this generates. The appointed consultancy will have access to available information necessary to carry out the </w:t>
            </w:r>
            <w:r>
              <w:rPr>
                <w:rFonts w:cs="Arial"/>
                <w:bCs/>
                <w:sz w:val="22"/>
                <w:szCs w:val="22"/>
              </w:rPr>
              <w:t>projects</w:t>
            </w:r>
            <w:r w:rsidRPr="007B0320">
              <w:rPr>
                <w:rFonts w:cs="Arial"/>
                <w:bCs/>
                <w:sz w:val="22"/>
                <w:szCs w:val="22"/>
              </w:rPr>
              <w:t xml:space="preserve"> and to deliver the objectives and scope</w:t>
            </w:r>
            <w:r>
              <w:rPr>
                <w:rFonts w:cs="Arial"/>
                <w:bCs/>
                <w:sz w:val="22"/>
                <w:szCs w:val="22"/>
              </w:rPr>
              <w:t>s</w:t>
            </w:r>
            <w:r w:rsidRPr="007B0320">
              <w:rPr>
                <w:rFonts w:cs="Arial"/>
                <w:bCs/>
                <w:sz w:val="22"/>
                <w:szCs w:val="22"/>
              </w:rPr>
              <w:t xml:space="preserve"> identified above.</w:t>
            </w:r>
          </w:p>
        </w:tc>
      </w:tr>
      <w:tr w:rsidR="00F52BE8" w:rsidRPr="0036077E" w14:paraId="16B6CA3B" w14:textId="77777777" w:rsidTr="00335497">
        <w:trPr>
          <w:trHeight w:val="566"/>
        </w:trPr>
        <w:tc>
          <w:tcPr>
            <w:tcW w:w="8528" w:type="dxa"/>
            <w:shd w:val="clear" w:color="auto" w:fill="99CCFF"/>
          </w:tcPr>
          <w:p w14:paraId="4A8CCD8F" w14:textId="7CC30416"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E1CDC0A" w14:textId="3329C439" w:rsidR="00F36410" w:rsidRDefault="00F36410" w:rsidP="00F36410">
            <w:pPr>
              <w:spacing w:after="0"/>
              <w:rPr>
                <w:rFonts w:cs="Arial"/>
                <w:b/>
                <w:sz w:val="22"/>
                <w:szCs w:val="22"/>
              </w:rPr>
            </w:pPr>
            <w:r w:rsidRPr="008A4B34">
              <w:rPr>
                <w:rFonts w:cs="Arial"/>
                <w:b/>
                <w:sz w:val="22"/>
                <w:szCs w:val="22"/>
              </w:rPr>
              <w:t>Outputs and Deliverables</w:t>
            </w:r>
            <w:r>
              <w:rPr>
                <w:rFonts w:cs="Arial"/>
                <w:b/>
                <w:sz w:val="22"/>
                <w:szCs w:val="22"/>
              </w:rPr>
              <w:t xml:space="preserve"> for each project</w:t>
            </w:r>
          </w:p>
          <w:p w14:paraId="64599360" w14:textId="77777777" w:rsidR="00F36410" w:rsidRPr="008A4B34" w:rsidRDefault="00F36410" w:rsidP="00F36410">
            <w:pPr>
              <w:spacing w:after="0"/>
              <w:rPr>
                <w:rFonts w:cs="Arial"/>
                <w:b/>
                <w:sz w:val="22"/>
                <w:szCs w:val="22"/>
              </w:rPr>
            </w:pPr>
          </w:p>
          <w:p w14:paraId="34327893" w14:textId="77777777" w:rsidR="00F36410" w:rsidRPr="00B30315" w:rsidRDefault="00F36410" w:rsidP="00F36410">
            <w:pPr>
              <w:pStyle w:val="ListParagraph"/>
              <w:numPr>
                <w:ilvl w:val="0"/>
                <w:numId w:val="31"/>
              </w:numPr>
              <w:autoSpaceDE w:val="0"/>
              <w:autoSpaceDN w:val="0"/>
              <w:adjustRightInd w:val="0"/>
              <w:spacing w:after="0"/>
              <w:rPr>
                <w:rFonts w:cs="Arial"/>
                <w:color w:val="000000"/>
                <w:sz w:val="22"/>
                <w:szCs w:val="22"/>
                <w:lang w:eastAsia="en-GB"/>
              </w:rPr>
            </w:pPr>
            <w:r w:rsidRPr="00B30315">
              <w:rPr>
                <w:rFonts w:cs="Arial"/>
                <w:color w:val="000000"/>
                <w:sz w:val="22"/>
                <w:szCs w:val="22"/>
                <w:lang w:eastAsia="en-GB"/>
              </w:rPr>
              <w:t xml:space="preserve">A draft report for comment, detailing the findings, conclusions and recommendations; </w:t>
            </w:r>
          </w:p>
          <w:p w14:paraId="0F486C82" w14:textId="77777777" w:rsidR="00F36410" w:rsidRPr="00B30315" w:rsidRDefault="00F36410" w:rsidP="00F36410">
            <w:pPr>
              <w:pStyle w:val="ListParagraph"/>
              <w:numPr>
                <w:ilvl w:val="0"/>
                <w:numId w:val="31"/>
              </w:numPr>
              <w:autoSpaceDE w:val="0"/>
              <w:autoSpaceDN w:val="0"/>
              <w:adjustRightInd w:val="0"/>
              <w:spacing w:after="0"/>
              <w:rPr>
                <w:rFonts w:cs="Arial"/>
                <w:color w:val="000000"/>
                <w:sz w:val="22"/>
                <w:szCs w:val="22"/>
                <w:lang w:eastAsia="en-GB"/>
              </w:rPr>
            </w:pPr>
            <w:r w:rsidRPr="00B30315">
              <w:rPr>
                <w:rFonts w:cs="Arial"/>
                <w:color w:val="000000"/>
                <w:sz w:val="22"/>
                <w:szCs w:val="22"/>
                <w:lang w:eastAsia="en-GB"/>
              </w:rPr>
              <w:t>A final report incorporating comments from ORR; and</w:t>
            </w:r>
          </w:p>
          <w:p w14:paraId="6877672E" w14:textId="77777777" w:rsidR="00F36410" w:rsidRDefault="00F36410" w:rsidP="00F36410">
            <w:pPr>
              <w:pStyle w:val="ListParagraph"/>
              <w:numPr>
                <w:ilvl w:val="0"/>
                <w:numId w:val="31"/>
              </w:numPr>
              <w:autoSpaceDE w:val="0"/>
              <w:autoSpaceDN w:val="0"/>
              <w:adjustRightInd w:val="0"/>
              <w:spacing w:after="0"/>
              <w:rPr>
                <w:rFonts w:cs="Arial"/>
                <w:color w:val="000000"/>
                <w:sz w:val="22"/>
                <w:szCs w:val="22"/>
                <w:lang w:eastAsia="en-GB"/>
              </w:rPr>
            </w:pPr>
            <w:r w:rsidRPr="00B30315">
              <w:rPr>
                <w:rFonts w:cs="Arial"/>
                <w:color w:val="000000"/>
                <w:sz w:val="22"/>
                <w:szCs w:val="22"/>
                <w:lang w:eastAsia="en-GB"/>
              </w:rPr>
              <w:t>A presentation of the findings and recommendations to ORR with an accompanying slide pack.</w:t>
            </w:r>
          </w:p>
          <w:p w14:paraId="47BE3324" w14:textId="77777777" w:rsidR="00F36410" w:rsidRDefault="00F36410" w:rsidP="00F36410">
            <w:pPr>
              <w:autoSpaceDE w:val="0"/>
              <w:autoSpaceDN w:val="0"/>
              <w:adjustRightInd w:val="0"/>
              <w:spacing w:after="0"/>
              <w:rPr>
                <w:rFonts w:cs="Arial"/>
                <w:color w:val="000000"/>
                <w:sz w:val="22"/>
                <w:szCs w:val="22"/>
                <w:lang w:eastAsia="en-GB"/>
              </w:rPr>
            </w:pPr>
          </w:p>
          <w:p w14:paraId="66BCC757" w14:textId="77777777" w:rsidR="00F36410" w:rsidRPr="008A4B34" w:rsidRDefault="00F36410" w:rsidP="00F36410">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73383795" w14:textId="77777777" w:rsidR="00F36410" w:rsidRDefault="00F36410" w:rsidP="00F36410">
            <w:pPr>
              <w:autoSpaceDE w:val="0"/>
              <w:autoSpaceDN w:val="0"/>
              <w:adjustRightInd w:val="0"/>
              <w:spacing w:after="0"/>
              <w:rPr>
                <w:rFonts w:cs="Arial"/>
                <w:color w:val="000000"/>
                <w:sz w:val="22"/>
                <w:szCs w:val="22"/>
                <w:lang w:eastAsia="en-GB"/>
              </w:rPr>
            </w:pPr>
          </w:p>
          <w:p w14:paraId="4EB94D4F" w14:textId="77777777" w:rsidR="00F36410" w:rsidRPr="00AD021D" w:rsidRDefault="00F36410" w:rsidP="00F36410">
            <w:pPr>
              <w:autoSpaceDE w:val="0"/>
              <w:autoSpaceDN w:val="0"/>
              <w:adjustRightInd w:val="0"/>
              <w:spacing w:after="0"/>
              <w:rPr>
                <w:rFonts w:cs="Arial"/>
                <w:bCs/>
                <w:sz w:val="22"/>
                <w:szCs w:val="22"/>
                <w:lang w:eastAsia="en-GB"/>
              </w:rPr>
            </w:pPr>
            <w:r>
              <w:rPr>
                <w:rFonts w:cs="Arial"/>
                <w:bCs/>
                <w:sz w:val="22"/>
                <w:szCs w:val="22"/>
                <w:lang w:eastAsia="en-GB"/>
              </w:rPr>
              <w:t>We</w:t>
            </w:r>
            <w:r w:rsidRPr="00AD021D">
              <w:rPr>
                <w:rFonts w:cs="Arial"/>
                <w:bCs/>
                <w:sz w:val="22"/>
                <w:szCs w:val="22"/>
                <w:lang w:eastAsia="en-GB"/>
              </w:rPr>
              <w:t xml:space="preserve"> are open to proposals for how best to sequence the </w:t>
            </w:r>
            <w:r>
              <w:rPr>
                <w:rFonts w:cs="Arial"/>
                <w:bCs/>
                <w:sz w:val="22"/>
                <w:szCs w:val="22"/>
                <w:lang w:eastAsia="en-GB"/>
              </w:rPr>
              <w:t>projects within the overall timetable we have provided. G</w:t>
            </w:r>
            <w:r w:rsidRPr="00AD021D">
              <w:rPr>
                <w:rFonts w:cs="Arial"/>
                <w:bCs/>
                <w:sz w:val="22"/>
                <w:szCs w:val="22"/>
                <w:lang w:eastAsia="en-GB"/>
              </w:rPr>
              <w:t xml:space="preserve">iven the timescales for each and the contract as a whole, it is highly likely that the different </w:t>
            </w:r>
            <w:r>
              <w:rPr>
                <w:rFonts w:cs="Arial"/>
                <w:bCs/>
                <w:sz w:val="22"/>
                <w:szCs w:val="22"/>
                <w:lang w:eastAsia="en-GB"/>
              </w:rPr>
              <w:t>projects</w:t>
            </w:r>
            <w:r w:rsidRPr="00AD021D">
              <w:rPr>
                <w:rFonts w:cs="Arial"/>
                <w:bCs/>
                <w:sz w:val="22"/>
                <w:szCs w:val="22"/>
                <w:lang w:eastAsia="en-GB"/>
              </w:rPr>
              <w:t xml:space="preserve"> will overlap. </w:t>
            </w:r>
          </w:p>
          <w:p w14:paraId="35D7A50B" w14:textId="77777777" w:rsidR="00F36410" w:rsidRPr="00AD021D" w:rsidRDefault="00F36410" w:rsidP="00F36410">
            <w:pPr>
              <w:autoSpaceDE w:val="0"/>
              <w:autoSpaceDN w:val="0"/>
              <w:adjustRightInd w:val="0"/>
              <w:spacing w:after="0"/>
              <w:rPr>
                <w:rFonts w:cs="Arial"/>
                <w:bCs/>
                <w:sz w:val="22"/>
                <w:szCs w:val="22"/>
                <w:lang w:eastAsia="en-GB"/>
              </w:rPr>
            </w:pPr>
          </w:p>
          <w:p w14:paraId="2CE36C91" w14:textId="77777777" w:rsidR="00F36410" w:rsidRPr="00AD021D" w:rsidRDefault="00F36410" w:rsidP="00F36410">
            <w:pPr>
              <w:autoSpaceDE w:val="0"/>
              <w:autoSpaceDN w:val="0"/>
              <w:adjustRightInd w:val="0"/>
              <w:spacing w:after="0"/>
              <w:rPr>
                <w:rFonts w:cs="Arial"/>
                <w:bCs/>
                <w:sz w:val="22"/>
                <w:szCs w:val="22"/>
                <w:lang w:eastAsia="en-GB"/>
              </w:rPr>
            </w:pPr>
            <w:r w:rsidRPr="00AD021D">
              <w:rPr>
                <w:rFonts w:cs="Arial"/>
                <w:bCs/>
                <w:sz w:val="22"/>
                <w:szCs w:val="22"/>
                <w:lang w:eastAsia="en-GB"/>
              </w:rPr>
              <w:t>We would expect to have</w:t>
            </w:r>
            <w:r>
              <w:rPr>
                <w:rFonts w:cs="Arial"/>
                <w:bCs/>
                <w:sz w:val="22"/>
                <w:szCs w:val="22"/>
                <w:lang w:eastAsia="en-GB"/>
              </w:rPr>
              <w:t xml:space="preserve"> p</w:t>
            </w:r>
            <w:r w:rsidRPr="00AD021D">
              <w:rPr>
                <w:rFonts w:cs="Arial"/>
                <w:bCs/>
                <w:sz w:val="22"/>
                <w:szCs w:val="22"/>
                <w:lang w:eastAsia="en-GB"/>
              </w:rPr>
              <w:t xml:space="preserve">rogress reporting for </w:t>
            </w:r>
            <w:r>
              <w:rPr>
                <w:rFonts w:cs="Arial"/>
                <w:bCs/>
                <w:sz w:val="22"/>
                <w:szCs w:val="22"/>
                <w:lang w:eastAsia="en-GB"/>
              </w:rPr>
              <w:t xml:space="preserve">individual projects </w:t>
            </w:r>
            <w:r w:rsidRPr="00AD021D">
              <w:rPr>
                <w:rFonts w:cs="Arial"/>
                <w:bCs/>
                <w:sz w:val="22"/>
                <w:szCs w:val="22"/>
                <w:lang w:eastAsia="en-GB"/>
              </w:rPr>
              <w:t xml:space="preserve">at least fortnightly, </w:t>
            </w:r>
            <w:r>
              <w:rPr>
                <w:rFonts w:cs="Arial"/>
                <w:bCs/>
                <w:sz w:val="22"/>
                <w:szCs w:val="22"/>
                <w:lang w:eastAsia="en-GB"/>
              </w:rPr>
              <w:t>and</w:t>
            </w:r>
            <w:r w:rsidRPr="00AD021D">
              <w:rPr>
                <w:rFonts w:cs="Arial"/>
                <w:bCs/>
                <w:sz w:val="22"/>
                <w:szCs w:val="22"/>
                <w:lang w:eastAsia="en-GB"/>
              </w:rPr>
              <w:t xml:space="preserve"> monthly progress meetings for the contract as a whole</w:t>
            </w:r>
            <w:r>
              <w:rPr>
                <w:rFonts w:cs="Arial"/>
                <w:bCs/>
                <w:sz w:val="22"/>
                <w:szCs w:val="22"/>
                <w:lang w:eastAsia="en-GB"/>
              </w:rPr>
              <w:t>. S</w:t>
            </w:r>
            <w:r w:rsidRPr="00AD021D">
              <w:rPr>
                <w:rFonts w:cs="Arial"/>
                <w:bCs/>
                <w:sz w:val="22"/>
                <w:szCs w:val="22"/>
                <w:lang w:eastAsia="en-GB"/>
              </w:rPr>
              <w:t>ingle meetings could be used for both purposes.</w:t>
            </w:r>
            <w:r>
              <w:rPr>
                <w:rFonts w:cs="Arial"/>
                <w:bCs/>
                <w:sz w:val="22"/>
                <w:szCs w:val="22"/>
                <w:lang w:eastAsia="en-GB"/>
              </w:rPr>
              <w:t xml:space="preserve"> Meetings will </w:t>
            </w:r>
            <w:r w:rsidRPr="00AD021D">
              <w:rPr>
                <w:rFonts w:cs="Arial"/>
                <w:bCs/>
                <w:sz w:val="22"/>
                <w:szCs w:val="22"/>
                <w:lang w:eastAsia="en-GB"/>
              </w:rPr>
              <w:t>be held remotely (via video conference) initially and potentially face-to-face if circumstances allow later in the project.</w:t>
            </w:r>
            <w:r>
              <w:t xml:space="preserve"> Note that </w:t>
            </w:r>
            <w:r w:rsidRPr="00DB1B09">
              <w:rPr>
                <w:rFonts w:cs="Arial"/>
                <w:bCs/>
                <w:sz w:val="22"/>
                <w:szCs w:val="22"/>
                <w:lang w:eastAsia="en-GB"/>
              </w:rPr>
              <w:t>the ORR Contract Representative</w:t>
            </w:r>
            <w:r>
              <w:rPr>
                <w:rFonts w:cs="Arial"/>
                <w:bCs/>
                <w:sz w:val="22"/>
                <w:szCs w:val="22"/>
                <w:lang w:eastAsia="en-GB"/>
              </w:rPr>
              <w:t xml:space="preserve"> is based in Scotland.</w:t>
            </w:r>
          </w:p>
          <w:p w14:paraId="413A5EE2" w14:textId="77777777" w:rsidR="00F52BE8" w:rsidRPr="0036077E" w:rsidRDefault="00F52BE8" w:rsidP="00F36410">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19462458" w14:textId="6DCE4408" w:rsidR="00F36410" w:rsidRDefault="00F36410" w:rsidP="00F36410">
            <w:pPr>
              <w:autoSpaceDE w:val="0"/>
              <w:autoSpaceDN w:val="0"/>
              <w:adjustRightInd w:val="0"/>
              <w:spacing w:after="0"/>
              <w:rPr>
                <w:rFonts w:cs="Arial"/>
                <w:color w:val="000000"/>
                <w:szCs w:val="24"/>
                <w:lang w:eastAsia="en-GB"/>
              </w:rPr>
            </w:pPr>
            <w:r>
              <w:rPr>
                <w:rFonts w:cs="Arial"/>
                <w:color w:val="000000"/>
                <w:szCs w:val="24"/>
                <w:lang w:eastAsia="en-GB"/>
              </w:rPr>
              <w:t xml:space="preserve">The table below sets out a provisional timetable for the five projects. </w:t>
            </w:r>
          </w:p>
          <w:p w14:paraId="1D14E696" w14:textId="77777777" w:rsidR="00F36410" w:rsidRDefault="00F36410" w:rsidP="00F36410">
            <w:pPr>
              <w:autoSpaceDE w:val="0"/>
              <w:autoSpaceDN w:val="0"/>
              <w:adjustRightInd w:val="0"/>
              <w:spacing w:after="0"/>
              <w:rPr>
                <w:rFonts w:cs="Arial"/>
                <w:color w:val="000000"/>
                <w:szCs w:val="24"/>
                <w:lang w:eastAsia="en-GB"/>
              </w:rPr>
            </w:pPr>
          </w:p>
          <w:tbl>
            <w:tblPr>
              <w:tblStyle w:val="TableGrid"/>
              <w:tblW w:w="0" w:type="auto"/>
              <w:tblLook w:val="04A0" w:firstRow="1" w:lastRow="0" w:firstColumn="1" w:lastColumn="0" w:noHBand="0" w:noVBand="1"/>
            </w:tblPr>
            <w:tblGrid>
              <w:gridCol w:w="1884"/>
              <w:gridCol w:w="1260"/>
              <w:gridCol w:w="1295"/>
              <w:gridCol w:w="1247"/>
              <w:gridCol w:w="1195"/>
              <w:gridCol w:w="1195"/>
            </w:tblGrid>
            <w:tr w:rsidR="00F36410" w14:paraId="400F26C3" w14:textId="77777777" w:rsidTr="00A36CA1">
              <w:tc>
                <w:tcPr>
                  <w:tcW w:w="1346" w:type="dxa"/>
                  <w:shd w:val="clear" w:color="auto" w:fill="DEEAF6" w:themeFill="accent1" w:themeFillTint="33"/>
                </w:tcPr>
                <w:p w14:paraId="661290BD" w14:textId="77777777" w:rsidR="00F36410" w:rsidRDefault="00F36410" w:rsidP="00F36410">
                  <w:pPr>
                    <w:autoSpaceDE w:val="0"/>
                    <w:autoSpaceDN w:val="0"/>
                    <w:adjustRightInd w:val="0"/>
                    <w:spacing w:after="0"/>
                    <w:rPr>
                      <w:rFonts w:cs="Arial"/>
                      <w:color w:val="000000"/>
                      <w:szCs w:val="24"/>
                      <w:lang w:eastAsia="en-GB"/>
                    </w:rPr>
                  </w:pPr>
                </w:p>
              </w:tc>
              <w:tc>
                <w:tcPr>
                  <w:tcW w:w="1346" w:type="dxa"/>
                  <w:shd w:val="clear" w:color="auto" w:fill="DEEAF6" w:themeFill="accent1" w:themeFillTint="33"/>
                  <w:vAlign w:val="center"/>
                </w:tcPr>
                <w:p w14:paraId="71479958"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Scoping</w:t>
                  </w:r>
                </w:p>
              </w:tc>
              <w:tc>
                <w:tcPr>
                  <w:tcW w:w="1346" w:type="dxa"/>
                  <w:shd w:val="clear" w:color="auto" w:fill="DEEAF6" w:themeFill="accent1" w:themeFillTint="33"/>
                  <w:vAlign w:val="center"/>
                </w:tcPr>
                <w:p w14:paraId="62D2BA61"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Inception</w:t>
                  </w:r>
                </w:p>
              </w:tc>
              <w:tc>
                <w:tcPr>
                  <w:tcW w:w="1346" w:type="dxa"/>
                  <w:shd w:val="clear" w:color="auto" w:fill="DEEAF6" w:themeFill="accent1" w:themeFillTint="33"/>
                  <w:vAlign w:val="center"/>
                </w:tcPr>
                <w:p w14:paraId="49450D5B"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Interim findings</w:t>
                  </w:r>
                </w:p>
              </w:tc>
              <w:tc>
                <w:tcPr>
                  <w:tcW w:w="1346" w:type="dxa"/>
                  <w:shd w:val="clear" w:color="auto" w:fill="DEEAF6" w:themeFill="accent1" w:themeFillTint="33"/>
                  <w:vAlign w:val="center"/>
                </w:tcPr>
                <w:p w14:paraId="791E2808"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Draft report</w:t>
                  </w:r>
                </w:p>
              </w:tc>
              <w:tc>
                <w:tcPr>
                  <w:tcW w:w="1346" w:type="dxa"/>
                  <w:shd w:val="clear" w:color="auto" w:fill="DEEAF6" w:themeFill="accent1" w:themeFillTint="33"/>
                  <w:vAlign w:val="center"/>
                </w:tcPr>
                <w:p w14:paraId="14F2C228"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Final report</w:t>
                  </w:r>
                </w:p>
              </w:tc>
            </w:tr>
            <w:tr w:rsidR="00F36410" w14:paraId="167A1F08" w14:textId="77777777" w:rsidTr="00A36CA1">
              <w:tc>
                <w:tcPr>
                  <w:tcW w:w="1346" w:type="dxa"/>
                  <w:shd w:val="clear" w:color="auto" w:fill="DEEAF6" w:themeFill="accent1" w:themeFillTint="33"/>
                </w:tcPr>
                <w:p w14:paraId="204EE374" w14:textId="77777777" w:rsidR="00F36410" w:rsidRPr="004B618C" w:rsidRDefault="00F36410" w:rsidP="00F36410">
                  <w:pPr>
                    <w:autoSpaceDE w:val="0"/>
                    <w:autoSpaceDN w:val="0"/>
                    <w:adjustRightInd w:val="0"/>
                    <w:spacing w:after="0"/>
                    <w:rPr>
                      <w:rFonts w:cs="Arial"/>
                      <w:b/>
                      <w:color w:val="000000"/>
                      <w:szCs w:val="24"/>
                      <w:lang w:eastAsia="en-GB"/>
                    </w:rPr>
                  </w:pPr>
                  <w:r w:rsidRPr="004B618C">
                    <w:rPr>
                      <w:rFonts w:cs="Arial"/>
                      <w:b/>
                      <w:color w:val="000000"/>
                      <w:szCs w:val="24"/>
                      <w:lang w:eastAsia="en-GB"/>
                    </w:rPr>
                    <w:t>2.2.1 –</w:t>
                  </w:r>
                  <w:r>
                    <w:rPr>
                      <w:rFonts w:cs="Arial"/>
                      <w:b/>
                      <w:color w:val="000000"/>
                      <w:szCs w:val="24"/>
                      <w:lang w:eastAsia="en-GB"/>
                    </w:rPr>
                    <w:t xml:space="preserve"> </w:t>
                  </w:r>
                  <w:r w:rsidRPr="004B618C">
                    <w:rPr>
                      <w:rFonts w:cs="Arial"/>
                      <w:b/>
                      <w:color w:val="000000"/>
                      <w:szCs w:val="24"/>
                      <w:lang w:eastAsia="en-GB"/>
                    </w:rPr>
                    <w:t xml:space="preserve">Licence compliance in </w:t>
                  </w:r>
                  <w:r w:rsidRPr="004B618C">
                    <w:rPr>
                      <w:rFonts w:cs="Arial"/>
                      <w:b/>
                      <w:color w:val="000000"/>
                      <w:szCs w:val="24"/>
                      <w:lang w:eastAsia="en-GB"/>
                    </w:rPr>
                    <w:lastRenderedPageBreak/>
                    <w:t>regulated industries</w:t>
                  </w:r>
                </w:p>
              </w:tc>
              <w:tc>
                <w:tcPr>
                  <w:tcW w:w="1346" w:type="dxa"/>
                  <w:vAlign w:val="center"/>
                </w:tcPr>
                <w:p w14:paraId="0D78A01A"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lastRenderedPageBreak/>
                    <w:t>Nov 21</w:t>
                  </w:r>
                </w:p>
              </w:tc>
              <w:tc>
                <w:tcPr>
                  <w:tcW w:w="1346" w:type="dxa"/>
                  <w:vAlign w:val="center"/>
                </w:tcPr>
                <w:p w14:paraId="67A2B972"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Nov 21</w:t>
                  </w:r>
                </w:p>
              </w:tc>
              <w:tc>
                <w:tcPr>
                  <w:tcW w:w="1346" w:type="dxa"/>
                  <w:vAlign w:val="center"/>
                </w:tcPr>
                <w:p w14:paraId="68B12680"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Dec 21</w:t>
                  </w:r>
                </w:p>
              </w:tc>
              <w:tc>
                <w:tcPr>
                  <w:tcW w:w="1346" w:type="dxa"/>
                  <w:vAlign w:val="center"/>
                </w:tcPr>
                <w:p w14:paraId="6F1EDF67"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Jan 22</w:t>
                  </w:r>
                </w:p>
              </w:tc>
              <w:tc>
                <w:tcPr>
                  <w:tcW w:w="1346" w:type="dxa"/>
                  <w:vAlign w:val="center"/>
                </w:tcPr>
                <w:p w14:paraId="0E6D69A2"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Feb 22</w:t>
                  </w:r>
                </w:p>
              </w:tc>
            </w:tr>
            <w:tr w:rsidR="00F36410" w14:paraId="5366B758" w14:textId="77777777" w:rsidTr="00A36CA1">
              <w:tc>
                <w:tcPr>
                  <w:tcW w:w="1346" w:type="dxa"/>
                  <w:shd w:val="clear" w:color="auto" w:fill="DEEAF6" w:themeFill="accent1" w:themeFillTint="33"/>
                </w:tcPr>
                <w:p w14:paraId="66052BB4" w14:textId="77777777" w:rsidR="00F36410" w:rsidRPr="004B618C" w:rsidRDefault="00F36410" w:rsidP="00F36410">
                  <w:pPr>
                    <w:autoSpaceDE w:val="0"/>
                    <w:autoSpaceDN w:val="0"/>
                    <w:adjustRightInd w:val="0"/>
                    <w:spacing w:after="0"/>
                    <w:rPr>
                      <w:rFonts w:cs="Arial"/>
                      <w:b/>
                      <w:color w:val="000000"/>
                      <w:szCs w:val="24"/>
                      <w:lang w:eastAsia="en-GB"/>
                    </w:rPr>
                  </w:pPr>
                  <w:r w:rsidRPr="004B618C">
                    <w:rPr>
                      <w:rFonts w:cs="Arial"/>
                      <w:b/>
                      <w:color w:val="000000"/>
                      <w:szCs w:val="24"/>
                      <w:lang w:eastAsia="en-GB"/>
                    </w:rPr>
                    <w:t>2.2.2 – Benchmarking regulatory relationship and reporting standards</w:t>
                  </w:r>
                </w:p>
              </w:tc>
              <w:tc>
                <w:tcPr>
                  <w:tcW w:w="1346" w:type="dxa"/>
                  <w:vAlign w:val="center"/>
                </w:tcPr>
                <w:p w14:paraId="6F6A8243"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Dec 21</w:t>
                  </w:r>
                </w:p>
              </w:tc>
              <w:tc>
                <w:tcPr>
                  <w:tcW w:w="1346" w:type="dxa"/>
                  <w:vAlign w:val="center"/>
                </w:tcPr>
                <w:p w14:paraId="6414376E"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Dec 21</w:t>
                  </w:r>
                </w:p>
              </w:tc>
              <w:tc>
                <w:tcPr>
                  <w:tcW w:w="1346" w:type="dxa"/>
                  <w:vAlign w:val="center"/>
                </w:tcPr>
                <w:p w14:paraId="769F50CC"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Jan 22</w:t>
                  </w:r>
                </w:p>
              </w:tc>
              <w:tc>
                <w:tcPr>
                  <w:tcW w:w="1346" w:type="dxa"/>
                  <w:vAlign w:val="center"/>
                </w:tcPr>
                <w:p w14:paraId="58EB9A25"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Feb 22</w:t>
                  </w:r>
                </w:p>
              </w:tc>
              <w:tc>
                <w:tcPr>
                  <w:tcW w:w="1346" w:type="dxa"/>
                  <w:vAlign w:val="center"/>
                </w:tcPr>
                <w:p w14:paraId="618556FB"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Feb 22</w:t>
                  </w:r>
                </w:p>
              </w:tc>
            </w:tr>
            <w:tr w:rsidR="00F36410" w14:paraId="731FD183" w14:textId="77777777" w:rsidTr="00A36CA1">
              <w:tc>
                <w:tcPr>
                  <w:tcW w:w="1346" w:type="dxa"/>
                  <w:shd w:val="clear" w:color="auto" w:fill="DEEAF6" w:themeFill="accent1" w:themeFillTint="33"/>
                </w:tcPr>
                <w:p w14:paraId="269494D8" w14:textId="77777777" w:rsidR="00F36410" w:rsidRPr="004B618C" w:rsidRDefault="00F36410" w:rsidP="00F36410">
                  <w:pPr>
                    <w:autoSpaceDE w:val="0"/>
                    <w:autoSpaceDN w:val="0"/>
                    <w:adjustRightInd w:val="0"/>
                    <w:spacing w:after="0"/>
                    <w:rPr>
                      <w:rFonts w:cs="Arial"/>
                      <w:b/>
                      <w:bCs/>
                      <w:color w:val="000000"/>
                      <w:szCs w:val="24"/>
                      <w:lang w:eastAsia="en-GB"/>
                    </w:rPr>
                  </w:pPr>
                  <w:r w:rsidRPr="004B618C">
                    <w:rPr>
                      <w:rFonts w:cs="Arial"/>
                      <w:b/>
                      <w:bCs/>
                      <w:color w:val="000000"/>
                      <w:szCs w:val="24"/>
                      <w:lang w:eastAsia="en-GB"/>
                    </w:rPr>
                    <w:t>2.2.3 –</w:t>
                  </w:r>
                  <w:r>
                    <w:rPr>
                      <w:rFonts w:cs="Arial"/>
                      <w:b/>
                      <w:bCs/>
                      <w:color w:val="000000"/>
                      <w:szCs w:val="24"/>
                      <w:lang w:eastAsia="en-GB"/>
                    </w:rPr>
                    <w:t>Highways Monitoring handbook</w:t>
                  </w:r>
                </w:p>
              </w:tc>
              <w:tc>
                <w:tcPr>
                  <w:tcW w:w="1346" w:type="dxa"/>
                  <w:vAlign w:val="center"/>
                </w:tcPr>
                <w:p w14:paraId="2D1EEF32"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Nov 21</w:t>
                  </w:r>
                </w:p>
              </w:tc>
              <w:tc>
                <w:tcPr>
                  <w:tcW w:w="1346" w:type="dxa"/>
                  <w:vAlign w:val="center"/>
                </w:tcPr>
                <w:p w14:paraId="16CB2B02"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Nov 21</w:t>
                  </w:r>
                </w:p>
              </w:tc>
              <w:tc>
                <w:tcPr>
                  <w:tcW w:w="1346" w:type="dxa"/>
                  <w:vAlign w:val="center"/>
                </w:tcPr>
                <w:p w14:paraId="0B3D970A"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Dec 21</w:t>
                  </w:r>
                </w:p>
              </w:tc>
              <w:tc>
                <w:tcPr>
                  <w:tcW w:w="1346" w:type="dxa"/>
                  <w:vAlign w:val="center"/>
                </w:tcPr>
                <w:p w14:paraId="54D80DA8"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Jan 22</w:t>
                  </w:r>
                </w:p>
              </w:tc>
              <w:tc>
                <w:tcPr>
                  <w:tcW w:w="1346" w:type="dxa"/>
                  <w:vAlign w:val="center"/>
                </w:tcPr>
                <w:p w14:paraId="7F90DA9E"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Feb 22</w:t>
                  </w:r>
                </w:p>
              </w:tc>
            </w:tr>
            <w:tr w:rsidR="00F36410" w14:paraId="3CA6FBCC" w14:textId="77777777" w:rsidTr="00A36CA1">
              <w:tc>
                <w:tcPr>
                  <w:tcW w:w="1346" w:type="dxa"/>
                  <w:shd w:val="clear" w:color="auto" w:fill="DEEAF6" w:themeFill="accent1" w:themeFillTint="33"/>
                </w:tcPr>
                <w:p w14:paraId="26B58102" w14:textId="77777777" w:rsidR="00F36410" w:rsidRPr="00DB1B09" w:rsidRDefault="00F36410" w:rsidP="00F36410">
                  <w:pPr>
                    <w:autoSpaceDE w:val="0"/>
                    <w:autoSpaceDN w:val="0"/>
                    <w:adjustRightInd w:val="0"/>
                    <w:spacing w:after="0"/>
                    <w:rPr>
                      <w:rFonts w:cs="Arial"/>
                      <w:b/>
                      <w:color w:val="000000"/>
                      <w:szCs w:val="24"/>
                      <w:lang w:eastAsia="en-GB"/>
                    </w:rPr>
                  </w:pPr>
                  <w:r w:rsidRPr="00DB1B09">
                    <w:rPr>
                      <w:rFonts w:cs="Arial"/>
                      <w:b/>
                      <w:color w:val="000000"/>
                      <w:szCs w:val="24"/>
                      <w:lang w:eastAsia="en-GB"/>
                    </w:rPr>
                    <w:t>2.2.4 –</w:t>
                  </w:r>
                  <w:r>
                    <w:rPr>
                      <w:rFonts w:cs="Arial"/>
                      <w:b/>
                      <w:color w:val="000000"/>
                      <w:szCs w:val="24"/>
                      <w:lang w:eastAsia="en-GB"/>
                    </w:rPr>
                    <w:t>P</w:t>
                  </w:r>
                  <w:r w:rsidRPr="00DB1B09">
                    <w:rPr>
                      <w:rFonts w:cs="Arial"/>
                      <w:b/>
                      <w:color w:val="000000"/>
                      <w:szCs w:val="24"/>
                      <w:lang w:eastAsia="en-GB"/>
                    </w:rPr>
                    <w:t>ublication</w:t>
                  </w:r>
                  <w:r>
                    <w:rPr>
                      <w:rFonts w:cs="Arial"/>
                      <w:b/>
                      <w:color w:val="000000"/>
                      <w:szCs w:val="24"/>
                      <w:lang w:eastAsia="en-GB"/>
                    </w:rPr>
                    <w:t>, project charters and driving positive behaviours</w:t>
                  </w:r>
                  <w:r w:rsidRPr="00DB1B09">
                    <w:rPr>
                      <w:rFonts w:cs="Arial"/>
                      <w:b/>
                      <w:color w:val="000000"/>
                      <w:szCs w:val="24"/>
                      <w:lang w:eastAsia="en-GB"/>
                    </w:rPr>
                    <w:t xml:space="preserve"> </w:t>
                  </w:r>
                </w:p>
                <w:p w14:paraId="1C22EB4B" w14:textId="77777777" w:rsidR="00F36410" w:rsidRDefault="00F36410" w:rsidP="00F36410">
                  <w:pPr>
                    <w:autoSpaceDE w:val="0"/>
                    <w:autoSpaceDN w:val="0"/>
                    <w:adjustRightInd w:val="0"/>
                    <w:spacing w:after="0"/>
                    <w:rPr>
                      <w:rFonts w:cs="Arial"/>
                      <w:color w:val="000000"/>
                      <w:szCs w:val="24"/>
                      <w:lang w:eastAsia="en-GB"/>
                    </w:rPr>
                  </w:pPr>
                </w:p>
              </w:tc>
              <w:tc>
                <w:tcPr>
                  <w:tcW w:w="1346" w:type="dxa"/>
                  <w:vAlign w:val="center"/>
                </w:tcPr>
                <w:p w14:paraId="02A94D41"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Jan 22</w:t>
                  </w:r>
                </w:p>
              </w:tc>
              <w:tc>
                <w:tcPr>
                  <w:tcW w:w="1346" w:type="dxa"/>
                  <w:vAlign w:val="center"/>
                </w:tcPr>
                <w:p w14:paraId="34056226"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Jan 22</w:t>
                  </w:r>
                </w:p>
              </w:tc>
              <w:tc>
                <w:tcPr>
                  <w:tcW w:w="1346" w:type="dxa"/>
                  <w:vAlign w:val="center"/>
                </w:tcPr>
                <w:p w14:paraId="4D9313BD"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Feb 22</w:t>
                  </w:r>
                </w:p>
              </w:tc>
              <w:tc>
                <w:tcPr>
                  <w:tcW w:w="1346" w:type="dxa"/>
                  <w:vAlign w:val="center"/>
                </w:tcPr>
                <w:p w14:paraId="1E691287" w14:textId="77777777" w:rsidR="00F36410" w:rsidRDefault="00F36410" w:rsidP="00F36410">
                  <w:pPr>
                    <w:autoSpaceDE w:val="0"/>
                    <w:autoSpaceDN w:val="0"/>
                    <w:adjustRightInd w:val="0"/>
                    <w:spacing w:after="0"/>
                    <w:jc w:val="center"/>
                    <w:rPr>
                      <w:rFonts w:cs="Arial"/>
                      <w:color w:val="000000"/>
                      <w:szCs w:val="24"/>
                      <w:lang w:eastAsia="en-GB"/>
                    </w:rPr>
                  </w:pPr>
                  <w:proofErr w:type="spellStart"/>
                  <w:r>
                    <w:rPr>
                      <w:rFonts w:cs="Arial"/>
                      <w:color w:val="000000"/>
                      <w:szCs w:val="24"/>
                      <w:lang w:eastAsia="en-GB"/>
                    </w:rPr>
                    <w:t>Mid March</w:t>
                  </w:r>
                  <w:proofErr w:type="spellEnd"/>
                  <w:r>
                    <w:rPr>
                      <w:rFonts w:cs="Arial"/>
                      <w:color w:val="000000"/>
                      <w:szCs w:val="24"/>
                      <w:lang w:eastAsia="en-GB"/>
                    </w:rPr>
                    <w:t xml:space="preserve"> 22</w:t>
                  </w:r>
                </w:p>
              </w:tc>
              <w:tc>
                <w:tcPr>
                  <w:tcW w:w="1346" w:type="dxa"/>
                  <w:vAlign w:val="center"/>
                </w:tcPr>
                <w:p w14:paraId="3FF888DA"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March 22</w:t>
                  </w:r>
                </w:p>
              </w:tc>
            </w:tr>
            <w:tr w:rsidR="00F36410" w14:paraId="3A6FCB12" w14:textId="77777777" w:rsidTr="00A36CA1">
              <w:tc>
                <w:tcPr>
                  <w:tcW w:w="1346" w:type="dxa"/>
                  <w:shd w:val="clear" w:color="auto" w:fill="DEEAF6" w:themeFill="accent1" w:themeFillTint="33"/>
                </w:tcPr>
                <w:p w14:paraId="6D168A76" w14:textId="77777777" w:rsidR="00F36410" w:rsidRPr="00DB1B09" w:rsidRDefault="00F36410" w:rsidP="00F36410">
                  <w:pPr>
                    <w:autoSpaceDE w:val="0"/>
                    <w:autoSpaceDN w:val="0"/>
                    <w:adjustRightInd w:val="0"/>
                    <w:spacing w:after="0"/>
                    <w:rPr>
                      <w:rFonts w:cs="Arial"/>
                      <w:b/>
                      <w:color w:val="000000"/>
                      <w:szCs w:val="24"/>
                      <w:lang w:eastAsia="en-GB"/>
                    </w:rPr>
                  </w:pPr>
                  <w:r w:rsidRPr="00DB1B09">
                    <w:rPr>
                      <w:rFonts w:cs="Arial"/>
                      <w:b/>
                      <w:color w:val="000000"/>
                      <w:szCs w:val="24"/>
                      <w:lang w:eastAsia="en-GB"/>
                    </w:rPr>
                    <w:t xml:space="preserve">2.2.5 – Learning lessons from the escalation refresh </w:t>
                  </w:r>
                </w:p>
                <w:p w14:paraId="14CACA67" w14:textId="77777777" w:rsidR="00F36410" w:rsidRDefault="00F36410" w:rsidP="00F36410">
                  <w:pPr>
                    <w:autoSpaceDE w:val="0"/>
                    <w:autoSpaceDN w:val="0"/>
                    <w:adjustRightInd w:val="0"/>
                    <w:spacing w:after="0"/>
                    <w:rPr>
                      <w:rFonts w:cs="Arial"/>
                      <w:color w:val="000000"/>
                      <w:szCs w:val="24"/>
                      <w:lang w:eastAsia="en-GB"/>
                    </w:rPr>
                  </w:pPr>
                </w:p>
              </w:tc>
              <w:tc>
                <w:tcPr>
                  <w:tcW w:w="1346" w:type="dxa"/>
                  <w:vAlign w:val="center"/>
                </w:tcPr>
                <w:p w14:paraId="42C39CDF"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Jan 22</w:t>
                  </w:r>
                </w:p>
              </w:tc>
              <w:tc>
                <w:tcPr>
                  <w:tcW w:w="1346" w:type="dxa"/>
                  <w:vAlign w:val="center"/>
                </w:tcPr>
                <w:p w14:paraId="6565ED7A"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Feb 22</w:t>
                  </w:r>
                </w:p>
              </w:tc>
              <w:tc>
                <w:tcPr>
                  <w:tcW w:w="1346" w:type="dxa"/>
                  <w:vAlign w:val="center"/>
                </w:tcPr>
                <w:p w14:paraId="125452B1"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End Feb 22</w:t>
                  </w:r>
                </w:p>
              </w:tc>
              <w:tc>
                <w:tcPr>
                  <w:tcW w:w="1346" w:type="dxa"/>
                  <w:vAlign w:val="center"/>
                </w:tcPr>
                <w:p w14:paraId="47F4FCF5" w14:textId="77777777" w:rsidR="00F36410" w:rsidRDefault="00F36410" w:rsidP="00F36410">
                  <w:pPr>
                    <w:autoSpaceDE w:val="0"/>
                    <w:autoSpaceDN w:val="0"/>
                    <w:adjustRightInd w:val="0"/>
                    <w:spacing w:after="0"/>
                    <w:jc w:val="center"/>
                    <w:rPr>
                      <w:rFonts w:cs="Arial"/>
                      <w:color w:val="000000"/>
                      <w:szCs w:val="24"/>
                      <w:lang w:eastAsia="en-GB"/>
                    </w:rPr>
                  </w:pPr>
                  <w:proofErr w:type="spellStart"/>
                  <w:r>
                    <w:rPr>
                      <w:rFonts w:cs="Arial"/>
                      <w:color w:val="000000"/>
                      <w:szCs w:val="24"/>
                      <w:lang w:eastAsia="en-GB"/>
                    </w:rPr>
                    <w:t>Mid March</w:t>
                  </w:r>
                  <w:proofErr w:type="spellEnd"/>
                  <w:r>
                    <w:rPr>
                      <w:rFonts w:cs="Arial"/>
                      <w:color w:val="000000"/>
                      <w:szCs w:val="24"/>
                      <w:lang w:eastAsia="en-GB"/>
                    </w:rPr>
                    <w:t xml:space="preserve"> 22</w:t>
                  </w:r>
                </w:p>
              </w:tc>
              <w:tc>
                <w:tcPr>
                  <w:tcW w:w="1346" w:type="dxa"/>
                  <w:vAlign w:val="center"/>
                </w:tcPr>
                <w:p w14:paraId="1C9926BC" w14:textId="77777777" w:rsidR="00F36410" w:rsidRDefault="00F36410" w:rsidP="00F36410">
                  <w:pPr>
                    <w:autoSpaceDE w:val="0"/>
                    <w:autoSpaceDN w:val="0"/>
                    <w:adjustRightInd w:val="0"/>
                    <w:spacing w:after="0"/>
                    <w:jc w:val="center"/>
                    <w:rPr>
                      <w:rFonts w:cs="Arial"/>
                      <w:color w:val="000000"/>
                      <w:szCs w:val="24"/>
                      <w:lang w:eastAsia="en-GB"/>
                    </w:rPr>
                  </w:pPr>
                  <w:r>
                    <w:rPr>
                      <w:rFonts w:cs="Arial"/>
                      <w:color w:val="000000"/>
                      <w:szCs w:val="24"/>
                      <w:lang w:eastAsia="en-GB"/>
                    </w:rPr>
                    <w:t xml:space="preserve">End March 22 </w:t>
                  </w:r>
                </w:p>
              </w:tc>
            </w:tr>
          </w:tbl>
          <w:p w14:paraId="2DB5FA9F" w14:textId="77777777" w:rsidR="00F52BE8" w:rsidRDefault="00F52BE8" w:rsidP="00335497">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71216DBA" w14:textId="77777777" w:rsidR="00F36410" w:rsidRDefault="00F36410" w:rsidP="00F36410">
            <w:pPr>
              <w:rPr>
                <w:rFonts w:cs="Arial"/>
                <w:color w:val="000000"/>
                <w:sz w:val="22"/>
                <w:szCs w:val="22"/>
              </w:rPr>
            </w:pPr>
            <w:r w:rsidRPr="0036077E">
              <w:rPr>
                <w:sz w:val="22"/>
                <w:szCs w:val="22"/>
              </w:rPr>
              <w:t>The maximum</w:t>
            </w:r>
            <w:r>
              <w:rPr>
                <w:sz w:val="22"/>
                <w:szCs w:val="22"/>
              </w:rPr>
              <w:t xml:space="preserve"> overall</w:t>
            </w:r>
            <w:r w:rsidRPr="0036077E">
              <w:rPr>
                <w:sz w:val="22"/>
                <w:szCs w:val="22"/>
              </w:rPr>
              <w:t xml:space="preserve"> budget for </w:t>
            </w:r>
            <w:r>
              <w:rPr>
                <w:sz w:val="22"/>
                <w:szCs w:val="22"/>
              </w:rPr>
              <w:t>all five project</w:t>
            </w:r>
            <w:r w:rsidRPr="004A729F">
              <w:rPr>
                <w:sz w:val="22"/>
                <w:szCs w:val="22"/>
              </w:rPr>
              <w:t>s is £70,000 (inc. of expenses, exc. of VAT).</w:t>
            </w:r>
            <w:r>
              <w:rPr>
                <w:sz w:val="22"/>
                <w:szCs w:val="22"/>
              </w:rPr>
              <w:t xml:space="preserve"> </w:t>
            </w:r>
          </w:p>
          <w:p w14:paraId="2620ED6F" w14:textId="19116FAB" w:rsidR="00F52BE8" w:rsidRPr="00816394" w:rsidRDefault="00F36410" w:rsidP="00335497">
            <w:pPr>
              <w:rPr>
                <w:b/>
                <w:color w:val="FF0000"/>
              </w:rPr>
            </w:pPr>
            <w:r>
              <w:rPr>
                <w:rFonts w:cs="Arial"/>
                <w:sz w:val="22"/>
                <w:szCs w:val="22"/>
              </w:rPr>
              <w:t>Payment of the total fee will be on the delivery and acceptance by ORR of all required outputs and/or deliverables.</w:t>
            </w:r>
            <w:r w:rsidRPr="00816394">
              <w:rPr>
                <w:b/>
                <w:color w:val="FF0000"/>
              </w:rPr>
              <w:t xml:space="preserve"> </w:t>
            </w:r>
            <w:r w:rsidR="00F52BE8" w:rsidRPr="00816394">
              <w:rPr>
                <w:b/>
                <w:color w:val="FF0000"/>
              </w:rPr>
              <w:t xml:space="preserve"> </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w:t>
            </w:r>
            <w:r>
              <w:rPr>
                <w:sz w:val="22"/>
                <w:szCs w:val="22"/>
              </w:rPr>
              <w:lastRenderedPageBreak/>
              <w:t xml:space="preserve">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474F2859" w14:textId="47FB4ED9" w:rsidR="00F52BE8" w:rsidRPr="00F36410"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C40DF8">
        <w:trPr>
          <w:trHeight w:val="1266"/>
        </w:trPr>
        <w:tc>
          <w:tcPr>
            <w:tcW w:w="8528" w:type="dxa"/>
            <w:tcBorders>
              <w:bottom w:val="single" w:sz="4" w:space="0" w:color="auto"/>
            </w:tcBorders>
            <w:shd w:val="clear" w:color="auto" w:fill="auto"/>
          </w:tcPr>
          <w:p w14:paraId="78A4536E" w14:textId="0F0CBA38"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09681ECA" w:rsidR="00F52BE8" w:rsidRPr="00F36410" w:rsidRDefault="00F52BE8" w:rsidP="00F36410">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7A71D0C5" w14:textId="77777777" w:rsidR="00F36410" w:rsidRPr="00F36410" w:rsidRDefault="00F36410" w:rsidP="00F36410">
            <w:pPr>
              <w:autoSpaceDE w:val="0"/>
              <w:autoSpaceDN w:val="0"/>
              <w:adjustRightInd w:val="0"/>
              <w:spacing w:after="0"/>
              <w:ind w:left="360"/>
              <w:rPr>
                <w:rFonts w:cs="Arial"/>
                <w:color w:val="000000"/>
                <w:sz w:val="22"/>
                <w:szCs w:val="22"/>
                <w:lang w:eastAsia="en-GB"/>
              </w:rPr>
            </w:pPr>
          </w:p>
          <w:p w14:paraId="3B31880F" w14:textId="69F9D5B4"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r w:rsidRPr="00E80F01">
              <w:rPr>
                <w:rFonts w:cs="Arial"/>
                <w:b/>
                <w:sz w:val="22"/>
                <w:szCs w:val="22"/>
              </w:rPr>
              <w:t>AND/ OR</w:t>
            </w:r>
            <w:r w:rsidRPr="00E80F01">
              <w:rPr>
                <w:rFonts w:cs="Arial"/>
                <w:sz w:val="22"/>
                <w:szCs w:val="22"/>
              </w:rPr>
              <w:t xml:space="preserve"> </w:t>
            </w:r>
            <w:r w:rsidR="00E80F01">
              <w:rPr>
                <w:rFonts w:cs="Arial"/>
                <w:sz w:val="22"/>
                <w:szCs w:val="22"/>
              </w:rPr>
              <w:t>d</w:t>
            </w:r>
            <w:r w:rsidRPr="0036077E">
              <w:rPr>
                <w:rFonts w:cs="Arial"/>
                <w:sz w:val="22"/>
                <w:szCs w:val="22"/>
              </w:rPr>
              <w:t>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6A4C98A8" w14:textId="308856FF" w:rsidR="00F52BE8" w:rsidRPr="00E80F01" w:rsidRDefault="00F52BE8" w:rsidP="00E80F01">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3CF3EB07" w:rsidR="00F52BE8" w:rsidRPr="0036077E" w:rsidRDefault="00F52BE8" w:rsidP="00335497">
            <w:pPr>
              <w:pStyle w:val="ListNumber"/>
              <w:numPr>
                <w:ilvl w:val="0"/>
                <w:numId w:val="0"/>
              </w:numPr>
              <w:rPr>
                <w:rFonts w:cs="Arial"/>
                <w:szCs w:val="24"/>
              </w:rPr>
            </w:pPr>
            <w:r w:rsidRPr="0036077E">
              <w:rPr>
                <w:rFonts w:cs="Arial"/>
                <w:b/>
                <w:szCs w:val="24"/>
              </w:rPr>
              <w:t>Methodology (</w:t>
            </w:r>
            <w:r w:rsidR="00E80F01">
              <w:rPr>
                <w:rFonts w:cs="Arial"/>
                <w:b/>
                <w:szCs w:val="24"/>
              </w:rPr>
              <w:t>30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 xml:space="preserve">Explain how your organisation will work in partnership with </w:t>
            </w:r>
            <w:proofErr w:type="spellStart"/>
            <w:r w:rsidRPr="0036077E">
              <w:rPr>
                <w:rFonts w:cs="Arial"/>
                <w:sz w:val="22"/>
                <w:szCs w:val="22"/>
              </w:rPr>
              <w:t>ORR’s</w:t>
            </w:r>
            <w:proofErr w:type="spellEnd"/>
            <w:r w:rsidRPr="0036077E">
              <w:rPr>
                <w:rFonts w:cs="Arial"/>
                <w:sz w:val="22"/>
                <w:szCs w:val="22"/>
              </w:rPr>
              <w:t xml:space="preserve">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27FC5234"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80F01">
              <w:rPr>
                <w:rFonts w:cs="Arial"/>
                <w:b/>
                <w:bCs/>
                <w:szCs w:val="24"/>
                <w:lang w:eastAsia="en-GB"/>
              </w:rPr>
              <w:t>20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76A776B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E80F01">
              <w:rPr>
                <w:rFonts w:cs="Arial"/>
                <w:b/>
                <w:szCs w:val="24"/>
              </w:rPr>
              <w:t>30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33CE5066"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80F01">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426E2C97" w:rsidR="00F52BE8" w:rsidRDefault="00F52BE8" w:rsidP="00F52BE8">
      <w:pPr>
        <w:pStyle w:val="ListNumber2"/>
        <w:numPr>
          <w:ilvl w:val="0"/>
          <w:numId w:val="0"/>
        </w:numPr>
        <w:ind w:left="720" w:hanging="720"/>
      </w:pPr>
      <w:r w:rsidRPr="00C65A14">
        <w:t>The timescales for the procurement process are as follows:</w:t>
      </w:r>
    </w:p>
    <w:p w14:paraId="17B16371" w14:textId="77777777" w:rsidR="00B5016F" w:rsidRDefault="00B5016F" w:rsidP="00F52BE8">
      <w:pPr>
        <w:pStyle w:val="ListNumber2"/>
        <w:numPr>
          <w:ilvl w:val="0"/>
          <w:numId w:val="0"/>
        </w:numPr>
        <w:ind w:left="720" w:hanging="720"/>
      </w:pPr>
    </w:p>
    <w:tbl>
      <w:tblPr>
        <w:tblW w:w="0" w:type="auto"/>
        <w:tblCellMar>
          <w:left w:w="0" w:type="dxa"/>
          <w:right w:w="0" w:type="dxa"/>
        </w:tblCellMar>
        <w:tblLook w:val="04A0" w:firstRow="1" w:lastRow="0" w:firstColumn="1" w:lastColumn="0" w:noHBand="0" w:noVBand="1"/>
      </w:tblPr>
      <w:tblGrid>
        <w:gridCol w:w="4789"/>
        <w:gridCol w:w="3503"/>
      </w:tblGrid>
      <w:tr w:rsidR="00B5016F" w14:paraId="05E306C4" w14:textId="77777777" w:rsidTr="00B5016F">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34CCA9" w14:textId="77777777" w:rsidR="00B5016F" w:rsidRDefault="00B5016F">
            <w:pPr>
              <w:pStyle w:val="ListNumber"/>
              <w:numPr>
                <w:ilvl w:val="0"/>
                <w:numId w:val="0"/>
              </w:numPr>
              <w:spacing w:before="0" w:after="0" w:line="252" w:lineRule="auto"/>
              <w:rPr>
                <w:b/>
                <w:bCs/>
                <w:lang w:val="en-US"/>
              </w:rPr>
            </w:pPr>
            <w:r>
              <w:rPr>
                <w:b/>
                <w:bCs/>
                <w:lang w:val="en-US"/>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C512E" w14:textId="77777777" w:rsidR="00B5016F" w:rsidRDefault="00B5016F">
            <w:pPr>
              <w:pStyle w:val="ListNumber"/>
              <w:numPr>
                <w:ilvl w:val="0"/>
                <w:numId w:val="0"/>
              </w:numPr>
              <w:spacing w:before="0" w:after="0" w:line="252" w:lineRule="auto"/>
              <w:rPr>
                <w:b/>
                <w:bCs/>
                <w:lang w:val="en-US"/>
              </w:rPr>
            </w:pPr>
            <w:r>
              <w:rPr>
                <w:b/>
                <w:bCs/>
                <w:lang w:val="en-US"/>
              </w:rPr>
              <w:t>Timescale</w:t>
            </w:r>
          </w:p>
        </w:tc>
      </w:tr>
      <w:tr w:rsidR="00B5016F" w14:paraId="1B7C69F3"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73164" w14:textId="77777777" w:rsidR="00B5016F" w:rsidRDefault="00B5016F">
            <w:pPr>
              <w:pStyle w:val="ListNumber"/>
              <w:numPr>
                <w:ilvl w:val="0"/>
                <w:numId w:val="0"/>
              </w:numPr>
              <w:spacing w:before="0" w:after="0" w:line="252" w:lineRule="auto"/>
              <w:rPr>
                <w:lang w:val="en-US"/>
              </w:rPr>
            </w:pPr>
            <w:r>
              <w:rPr>
                <w:lang w:val="en-US"/>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A7EBF43" w14:textId="242F128C" w:rsidR="00B5016F" w:rsidRDefault="00B5016F">
            <w:pPr>
              <w:pStyle w:val="ListNumber"/>
              <w:numPr>
                <w:ilvl w:val="0"/>
                <w:numId w:val="0"/>
              </w:numPr>
              <w:spacing w:before="0" w:after="0" w:line="252" w:lineRule="auto"/>
              <w:rPr>
                <w:lang w:val="en-US"/>
              </w:rPr>
            </w:pPr>
            <w:r>
              <w:rPr>
                <w:lang w:val="en-US"/>
              </w:rPr>
              <w:t>1</w:t>
            </w:r>
            <w:r>
              <w:rPr>
                <w:lang w:val="en-US"/>
              </w:rPr>
              <w:t>8</w:t>
            </w:r>
            <w:r>
              <w:rPr>
                <w:lang w:val="en-US"/>
              </w:rPr>
              <w:t xml:space="preserve"> October 2021</w:t>
            </w:r>
          </w:p>
        </w:tc>
      </w:tr>
      <w:tr w:rsidR="00B5016F" w14:paraId="4471ED95"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94561" w14:textId="77777777" w:rsidR="00B5016F" w:rsidRDefault="00B5016F">
            <w:pPr>
              <w:pStyle w:val="ListNumber"/>
              <w:numPr>
                <w:ilvl w:val="0"/>
                <w:numId w:val="0"/>
              </w:numPr>
              <w:spacing w:before="0" w:after="0" w:line="252" w:lineRule="auto"/>
              <w:rPr>
                <w:lang w:val="en-US"/>
              </w:rPr>
            </w:pPr>
            <w:r>
              <w:rPr>
                <w:lang w:val="en-US"/>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BE75343" w14:textId="5093CFEF" w:rsidR="00B5016F" w:rsidRDefault="00B5016F">
            <w:pPr>
              <w:pStyle w:val="ListNumber"/>
              <w:numPr>
                <w:ilvl w:val="0"/>
                <w:numId w:val="0"/>
              </w:numPr>
              <w:spacing w:before="0" w:after="0" w:line="252" w:lineRule="auto"/>
              <w:rPr>
                <w:lang w:val="en-US"/>
              </w:rPr>
            </w:pPr>
            <w:r>
              <w:rPr>
                <w:lang w:val="en-US"/>
              </w:rPr>
              <w:t>0</w:t>
            </w:r>
            <w:r>
              <w:rPr>
                <w:lang w:val="en-US"/>
              </w:rPr>
              <w:t>1 November 2021</w:t>
            </w:r>
            <w:r>
              <w:rPr>
                <w:lang w:val="en-US"/>
              </w:rPr>
              <w:t xml:space="preserve"> 14:00</w:t>
            </w:r>
          </w:p>
        </w:tc>
      </w:tr>
      <w:tr w:rsidR="00B5016F" w14:paraId="0D4DA369"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44877" w14:textId="77777777" w:rsidR="00B5016F" w:rsidRDefault="00B5016F">
            <w:pPr>
              <w:pStyle w:val="ListNumber"/>
              <w:numPr>
                <w:ilvl w:val="0"/>
                <w:numId w:val="0"/>
              </w:numPr>
              <w:spacing w:before="0" w:after="0" w:line="252" w:lineRule="auto"/>
              <w:rPr>
                <w:lang w:val="en-US"/>
              </w:rPr>
            </w:pPr>
            <w:r>
              <w:rPr>
                <w:lang w:val="en-US"/>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C4CE72D" w14:textId="45BC4283" w:rsidR="00B5016F" w:rsidRDefault="00B5016F">
            <w:pPr>
              <w:pStyle w:val="ListNumber"/>
              <w:numPr>
                <w:ilvl w:val="0"/>
                <w:numId w:val="0"/>
              </w:numPr>
              <w:spacing w:before="0" w:after="0" w:line="252" w:lineRule="auto"/>
              <w:rPr>
                <w:lang w:val="en-US"/>
              </w:rPr>
            </w:pPr>
            <w:r>
              <w:rPr>
                <w:lang w:val="en-US"/>
              </w:rPr>
              <w:t>0</w:t>
            </w:r>
            <w:r>
              <w:rPr>
                <w:lang w:val="en-US"/>
              </w:rPr>
              <w:t>5 November 2021</w:t>
            </w:r>
            <w:r>
              <w:rPr>
                <w:lang w:val="en-US"/>
              </w:rPr>
              <w:t xml:space="preserve"> 14:00</w:t>
            </w:r>
          </w:p>
        </w:tc>
      </w:tr>
      <w:tr w:rsidR="00B5016F" w14:paraId="11ED02CE"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2A27F" w14:textId="77777777" w:rsidR="00B5016F" w:rsidRDefault="00B5016F">
            <w:pPr>
              <w:pStyle w:val="ListNumber"/>
              <w:numPr>
                <w:ilvl w:val="0"/>
                <w:numId w:val="0"/>
              </w:numPr>
              <w:spacing w:before="0" w:after="0" w:line="252" w:lineRule="auto"/>
              <w:rPr>
                <w:lang w:val="en-US"/>
              </w:rPr>
            </w:pPr>
            <w:r>
              <w:rPr>
                <w:lang w:val="en-US"/>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CA0DA8D" w14:textId="77777777" w:rsidR="00B5016F" w:rsidRDefault="00B5016F">
            <w:pPr>
              <w:pStyle w:val="ListNumber"/>
              <w:numPr>
                <w:ilvl w:val="0"/>
                <w:numId w:val="0"/>
              </w:numPr>
              <w:spacing w:before="0" w:after="0" w:line="252" w:lineRule="auto"/>
              <w:rPr>
                <w:lang w:val="en-US"/>
              </w:rPr>
            </w:pPr>
            <w:r>
              <w:rPr>
                <w:lang w:val="en-US"/>
              </w:rPr>
              <w:t>12 November 2021</w:t>
            </w:r>
          </w:p>
        </w:tc>
      </w:tr>
      <w:tr w:rsidR="00B5016F" w14:paraId="1B12EA8E"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1596C" w14:textId="77777777" w:rsidR="00B5016F" w:rsidRDefault="00B5016F">
            <w:pPr>
              <w:pStyle w:val="ListNumber"/>
              <w:numPr>
                <w:ilvl w:val="0"/>
                <w:numId w:val="0"/>
              </w:numPr>
              <w:spacing w:before="0" w:after="0" w:line="252" w:lineRule="auto"/>
              <w:rPr>
                <w:lang w:val="en-US"/>
              </w:rPr>
            </w:pPr>
            <w:r>
              <w:rPr>
                <w:lang w:val="en-US"/>
              </w:rPr>
              <w:t>Interviews and presentations*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F207419" w14:textId="3CE752DC" w:rsidR="00B5016F" w:rsidRDefault="00B5016F">
            <w:pPr>
              <w:pStyle w:val="ListNumber"/>
              <w:numPr>
                <w:ilvl w:val="0"/>
                <w:numId w:val="0"/>
              </w:numPr>
              <w:spacing w:before="0" w:after="0" w:line="252" w:lineRule="auto"/>
              <w:rPr>
                <w:lang w:val="en-US"/>
              </w:rPr>
            </w:pPr>
            <w:r>
              <w:rPr>
                <w:lang w:val="en-US"/>
              </w:rPr>
              <w:t>22/</w:t>
            </w:r>
            <w:r>
              <w:rPr>
                <w:lang w:val="en-US"/>
              </w:rPr>
              <w:t>2</w:t>
            </w:r>
            <w:r>
              <w:rPr>
                <w:lang w:val="en-US"/>
              </w:rPr>
              <w:t>3 November 2021</w:t>
            </w:r>
          </w:p>
        </w:tc>
      </w:tr>
      <w:tr w:rsidR="00B5016F" w14:paraId="203217B2"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D0CA6" w14:textId="77777777" w:rsidR="00B5016F" w:rsidRDefault="00B5016F">
            <w:pPr>
              <w:pStyle w:val="ListNumber"/>
              <w:numPr>
                <w:ilvl w:val="0"/>
                <w:numId w:val="0"/>
              </w:numPr>
              <w:spacing w:before="0" w:after="0" w:line="252" w:lineRule="auto"/>
              <w:rPr>
                <w:lang w:val="en-US"/>
              </w:rPr>
            </w:pPr>
            <w:r>
              <w:rPr>
                <w:lang w:val="en-US"/>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29B0595" w14:textId="77777777" w:rsidR="00B5016F" w:rsidRDefault="00B5016F">
            <w:pPr>
              <w:pStyle w:val="ListNumber"/>
              <w:numPr>
                <w:ilvl w:val="0"/>
                <w:numId w:val="0"/>
              </w:numPr>
              <w:spacing w:before="0" w:after="0" w:line="252" w:lineRule="auto"/>
              <w:rPr>
                <w:lang w:val="en-US"/>
              </w:rPr>
            </w:pPr>
            <w:r>
              <w:rPr>
                <w:lang w:val="en-US"/>
              </w:rPr>
              <w:t>25 November 2021</w:t>
            </w:r>
          </w:p>
        </w:tc>
      </w:tr>
      <w:tr w:rsidR="00B5016F" w14:paraId="0D20595C" w14:textId="77777777" w:rsidTr="00B5016F">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3D717" w14:textId="77777777" w:rsidR="00B5016F" w:rsidRDefault="00B5016F">
            <w:pPr>
              <w:pStyle w:val="ListNumber"/>
              <w:numPr>
                <w:ilvl w:val="0"/>
                <w:numId w:val="0"/>
              </w:numPr>
              <w:spacing w:before="0" w:after="0" w:line="252" w:lineRule="auto"/>
              <w:rPr>
                <w:lang w:val="en-US"/>
              </w:rPr>
            </w:pPr>
            <w:r>
              <w:rPr>
                <w:lang w:val="en-US"/>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01F5583" w14:textId="50EDB788" w:rsidR="00B5016F" w:rsidRDefault="00B5016F">
            <w:pPr>
              <w:pStyle w:val="ListNumber"/>
              <w:numPr>
                <w:ilvl w:val="0"/>
                <w:numId w:val="0"/>
              </w:numPr>
              <w:spacing w:before="0" w:after="0" w:line="252" w:lineRule="auto"/>
              <w:rPr>
                <w:lang w:val="en-US"/>
              </w:rPr>
            </w:pPr>
            <w:r>
              <w:rPr>
                <w:lang w:val="en-US"/>
              </w:rPr>
              <w:t>w/c</w:t>
            </w:r>
            <w:r>
              <w:rPr>
                <w:lang w:val="en-US"/>
              </w:rPr>
              <w:t xml:space="preserve"> 29 November 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C45889"/>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C45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C45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C45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C45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C45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913"/>
    <w:multiLevelType w:val="hybridMultilevel"/>
    <w:tmpl w:val="327AB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74236"/>
    <w:multiLevelType w:val="hybridMultilevel"/>
    <w:tmpl w:val="851E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E4CC8"/>
    <w:multiLevelType w:val="hybridMultilevel"/>
    <w:tmpl w:val="6DE2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280F2D"/>
    <w:multiLevelType w:val="hybridMultilevel"/>
    <w:tmpl w:val="B874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343470"/>
    <w:multiLevelType w:val="hybridMultilevel"/>
    <w:tmpl w:val="B89E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851EA5"/>
    <w:multiLevelType w:val="hybridMultilevel"/>
    <w:tmpl w:val="8F204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3F3EF4"/>
    <w:multiLevelType w:val="hybridMultilevel"/>
    <w:tmpl w:val="99E8E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9"/>
  </w:num>
  <w:num w:numId="4">
    <w:abstractNumId w:val="21"/>
  </w:num>
  <w:num w:numId="5">
    <w:abstractNumId w:val="14"/>
  </w:num>
  <w:num w:numId="6">
    <w:abstractNumId w:val="1"/>
  </w:num>
  <w:num w:numId="7">
    <w:abstractNumId w:val="17"/>
  </w:num>
  <w:num w:numId="8">
    <w:abstractNumId w:val="6"/>
  </w:num>
  <w:num w:numId="9">
    <w:abstractNumId w:val="10"/>
  </w:num>
  <w:num w:numId="10">
    <w:abstractNumId w:val="16"/>
  </w:num>
  <w:num w:numId="11">
    <w:abstractNumId w:val="26"/>
  </w:num>
  <w:num w:numId="12">
    <w:abstractNumId w:val="7"/>
  </w:num>
  <w:num w:numId="13">
    <w:abstractNumId w:val="4"/>
  </w:num>
  <w:num w:numId="14">
    <w:abstractNumId w:val="15"/>
  </w:num>
  <w:num w:numId="15">
    <w:abstractNumId w:val="28"/>
  </w:num>
  <w:num w:numId="16">
    <w:abstractNumId w:val="2"/>
  </w:num>
  <w:num w:numId="17">
    <w:abstractNumId w:val="25"/>
  </w:num>
  <w:num w:numId="18">
    <w:abstractNumId w:val="13"/>
  </w:num>
  <w:num w:numId="19">
    <w:abstractNumId w:val="11"/>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9"/>
  </w:num>
  <w:num w:numId="25">
    <w:abstractNumId w:val="23"/>
  </w:num>
  <w:num w:numId="26">
    <w:abstractNumId w:val="19"/>
  </w:num>
  <w:num w:numId="27">
    <w:abstractNumId w:val="8"/>
  </w:num>
  <w:num w:numId="28">
    <w:abstractNumId w:val="0"/>
  </w:num>
  <w:num w:numId="29">
    <w:abstractNumId w:val="3"/>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A3EB5"/>
    <w:rsid w:val="001845B5"/>
    <w:rsid w:val="001A5D12"/>
    <w:rsid w:val="001F3F1F"/>
    <w:rsid w:val="00243C6B"/>
    <w:rsid w:val="00296648"/>
    <w:rsid w:val="00362F01"/>
    <w:rsid w:val="003B3ECA"/>
    <w:rsid w:val="00591ADB"/>
    <w:rsid w:val="00642340"/>
    <w:rsid w:val="0065726B"/>
    <w:rsid w:val="006A16CB"/>
    <w:rsid w:val="006F406A"/>
    <w:rsid w:val="00847992"/>
    <w:rsid w:val="00882C9B"/>
    <w:rsid w:val="00907369"/>
    <w:rsid w:val="00907461"/>
    <w:rsid w:val="009878A7"/>
    <w:rsid w:val="00AB7918"/>
    <w:rsid w:val="00B5016F"/>
    <w:rsid w:val="00BC1899"/>
    <w:rsid w:val="00C25098"/>
    <w:rsid w:val="00C36354"/>
    <w:rsid w:val="00C40DF8"/>
    <w:rsid w:val="00C45889"/>
    <w:rsid w:val="00D22CBB"/>
    <w:rsid w:val="00D74997"/>
    <w:rsid w:val="00DE6991"/>
    <w:rsid w:val="00E067BF"/>
    <w:rsid w:val="00E1428F"/>
    <w:rsid w:val="00E16231"/>
    <w:rsid w:val="00E80F01"/>
    <w:rsid w:val="00EC75FB"/>
    <w:rsid w:val="00F26B55"/>
    <w:rsid w:val="00F36410"/>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table" w:styleId="TableGrid">
    <w:name w:val="Table Grid"/>
    <w:basedOn w:val="TableNormal"/>
    <w:uiPriority w:val="39"/>
    <w:rsid w:val="00F3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59678710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yperlink" Target="https://assets.publishing.service.gov.uk/government/uploads/system/uploads/attachment_data/file/411801/mou-orr.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orr.gov.uk/sites/default/files/om/holding-highways-england-to-account-policy.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r.gov.uk/sites/default/files/om/holding-highways-england-to-account-policy.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ssets.publishing.service.gov.uk/government/uploads/system/uploads/attachment_data/file/431389/strategic-highways-licence.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egislation.gov.uk/ukpga/2015/7/cont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5587</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5</cp:revision>
  <dcterms:created xsi:type="dcterms:W3CDTF">2021-10-05T14:34:00Z</dcterms:created>
  <dcterms:modified xsi:type="dcterms:W3CDTF">2021-10-18T12:23:00Z</dcterms:modified>
</cp:coreProperties>
</file>