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15D46" w14:textId="7904EB94" w:rsidR="12DDB7DE" w:rsidRDefault="12DDB7DE" w:rsidP="12DDB7DE">
      <w:pPr>
        <w:jc w:val="center"/>
        <w:rPr>
          <w:rFonts w:ascii="Arial" w:hAnsi="Arial" w:cs="Arial"/>
          <w:b/>
          <w:bCs/>
          <w:sz w:val="22"/>
          <w:szCs w:val="22"/>
        </w:rPr>
      </w:pPr>
    </w:p>
    <w:p w14:paraId="1833D3C0" w14:textId="11D66A70" w:rsidR="12DDB7DE" w:rsidRDefault="12DDB7DE" w:rsidP="12DDB7DE">
      <w:pPr>
        <w:jc w:val="center"/>
        <w:rPr>
          <w:rFonts w:ascii="Arial" w:hAnsi="Arial" w:cs="Arial"/>
          <w:b/>
          <w:bCs/>
          <w:sz w:val="22"/>
          <w:szCs w:val="22"/>
        </w:rPr>
      </w:pPr>
    </w:p>
    <w:p w14:paraId="45D8E706" w14:textId="0E6F3E75" w:rsidR="12DDB7DE" w:rsidRDefault="12DDB7DE" w:rsidP="12DDB7DE">
      <w:pPr>
        <w:jc w:val="center"/>
        <w:rPr>
          <w:rFonts w:ascii="Arial" w:hAnsi="Arial" w:cs="Arial"/>
          <w:b/>
          <w:bCs/>
          <w:sz w:val="36"/>
          <w:szCs w:val="36"/>
        </w:rPr>
      </w:pPr>
    </w:p>
    <w:p w14:paraId="22E688B8" w14:textId="2DDD1F95" w:rsidR="12DDB7DE" w:rsidRDefault="12DDB7DE" w:rsidP="12DDB7DE">
      <w:pPr>
        <w:jc w:val="center"/>
        <w:rPr>
          <w:rFonts w:ascii="Arial" w:hAnsi="Arial" w:cs="Arial"/>
          <w:b/>
          <w:bCs/>
          <w:sz w:val="36"/>
          <w:szCs w:val="36"/>
        </w:rPr>
      </w:pPr>
    </w:p>
    <w:p w14:paraId="7F59988F" w14:textId="71764960" w:rsidR="12DDB7DE" w:rsidRDefault="12DDB7DE" w:rsidP="12DDB7DE">
      <w:pPr>
        <w:jc w:val="center"/>
        <w:rPr>
          <w:rFonts w:ascii="Arial" w:hAnsi="Arial" w:cs="Arial"/>
          <w:b/>
          <w:bCs/>
          <w:sz w:val="36"/>
          <w:szCs w:val="36"/>
        </w:rPr>
      </w:pPr>
    </w:p>
    <w:p w14:paraId="6447CE62" w14:textId="5784BB1A" w:rsidR="12DDB7DE" w:rsidRDefault="12DDB7DE" w:rsidP="12DDB7DE">
      <w:pPr>
        <w:jc w:val="center"/>
        <w:rPr>
          <w:rFonts w:ascii="Arial" w:hAnsi="Arial" w:cs="Arial"/>
          <w:b/>
          <w:bCs/>
          <w:sz w:val="36"/>
          <w:szCs w:val="36"/>
        </w:rPr>
      </w:pPr>
    </w:p>
    <w:p w14:paraId="469A37D5" w14:textId="272A1681" w:rsidR="12DDB7DE" w:rsidRDefault="12DDB7DE" w:rsidP="12DDB7DE">
      <w:pPr>
        <w:jc w:val="center"/>
        <w:rPr>
          <w:rFonts w:ascii="Arial" w:hAnsi="Arial" w:cs="Arial"/>
          <w:b/>
          <w:bCs/>
          <w:sz w:val="36"/>
          <w:szCs w:val="36"/>
        </w:rPr>
      </w:pPr>
    </w:p>
    <w:p w14:paraId="3B50A88C" w14:textId="0A087DB7" w:rsidR="12DDB7DE" w:rsidRDefault="12DDB7DE" w:rsidP="12DDB7DE">
      <w:pPr>
        <w:jc w:val="center"/>
        <w:rPr>
          <w:rFonts w:ascii="Arial" w:hAnsi="Arial" w:cs="Arial"/>
          <w:b/>
          <w:bCs/>
          <w:sz w:val="36"/>
          <w:szCs w:val="36"/>
        </w:rPr>
      </w:pPr>
    </w:p>
    <w:p w14:paraId="26F9B007" w14:textId="77777777" w:rsidR="007F29C8" w:rsidRDefault="007F29C8" w:rsidP="12DDB7DE">
      <w:pPr>
        <w:jc w:val="center"/>
        <w:rPr>
          <w:rFonts w:ascii="Arial" w:hAnsi="Arial" w:cs="Arial"/>
          <w:b/>
          <w:bCs/>
          <w:sz w:val="36"/>
          <w:szCs w:val="36"/>
        </w:rPr>
      </w:pPr>
    </w:p>
    <w:p w14:paraId="53E2D5C8" w14:textId="77777777" w:rsidR="007F29C8" w:rsidRDefault="007F29C8" w:rsidP="12DDB7DE">
      <w:pPr>
        <w:jc w:val="center"/>
        <w:rPr>
          <w:rFonts w:ascii="Arial" w:hAnsi="Arial" w:cs="Arial"/>
          <w:b/>
          <w:bCs/>
          <w:sz w:val="36"/>
          <w:szCs w:val="36"/>
        </w:rPr>
      </w:pPr>
    </w:p>
    <w:p w14:paraId="36B67D06" w14:textId="77777777" w:rsidR="00D12210" w:rsidRPr="00D12210" w:rsidRDefault="00D12210" w:rsidP="00D12210">
      <w:pPr>
        <w:jc w:val="center"/>
        <w:rPr>
          <w:rFonts w:ascii="Arial" w:hAnsi="Arial" w:cs="Arial"/>
          <w:b/>
          <w:bCs/>
          <w:sz w:val="36"/>
          <w:szCs w:val="36"/>
        </w:rPr>
      </w:pPr>
      <w:r w:rsidRPr="00D12210">
        <w:rPr>
          <w:rFonts w:ascii="Arial" w:hAnsi="Arial" w:cs="Arial"/>
          <w:b/>
          <w:bCs/>
          <w:sz w:val="36"/>
          <w:szCs w:val="36"/>
        </w:rPr>
        <w:t>MULTIDISCIPLINARY FRAMEWORK PANEL</w:t>
      </w:r>
    </w:p>
    <w:p w14:paraId="0E0AD70D" w14:textId="77777777" w:rsidR="005761DD" w:rsidRDefault="005761DD" w:rsidP="12DDB7DE">
      <w:pPr>
        <w:jc w:val="center"/>
        <w:rPr>
          <w:rFonts w:ascii="Arial" w:hAnsi="Arial" w:cs="Arial"/>
          <w:b/>
          <w:bCs/>
          <w:sz w:val="36"/>
          <w:szCs w:val="36"/>
        </w:rPr>
      </w:pPr>
    </w:p>
    <w:p w14:paraId="7CA2DFFF" w14:textId="6E38A990" w:rsidR="12DDB7DE" w:rsidRDefault="12DDB7DE" w:rsidP="12DDB7DE">
      <w:pPr>
        <w:jc w:val="center"/>
        <w:rPr>
          <w:rFonts w:ascii="Arial" w:hAnsi="Arial" w:cs="Arial"/>
          <w:b/>
          <w:bCs/>
          <w:sz w:val="36"/>
          <w:szCs w:val="36"/>
        </w:rPr>
      </w:pPr>
    </w:p>
    <w:p w14:paraId="4D6880DA" w14:textId="7FA96E38" w:rsidR="12DDB7DE" w:rsidRDefault="12DDB7DE" w:rsidP="00A03DF2">
      <w:pPr>
        <w:rPr>
          <w:rFonts w:ascii="Arial" w:hAnsi="Arial" w:cs="Arial"/>
          <w:b/>
          <w:bCs/>
          <w:sz w:val="36"/>
          <w:szCs w:val="36"/>
        </w:rPr>
      </w:pPr>
    </w:p>
    <w:p w14:paraId="7887AD33" w14:textId="77777777" w:rsidR="002803EC" w:rsidRDefault="002803EC" w:rsidP="12DDB7DE">
      <w:pPr>
        <w:jc w:val="center"/>
        <w:rPr>
          <w:rFonts w:ascii="Arial" w:hAnsi="Arial" w:cs="Arial"/>
          <w:b/>
          <w:bCs/>
          <w:sz w:val="36"/>
          <w:szCs w:val="36"/>
        </w:rPr>
      </w:pPr>
    </w:p>
    <w:p w14:paraId="080C62FC" w14:textId="77777777" w:rsidR="002803EC" w:rsidRDefault="002803EC" w:rsidP="12DDB7DE">
      <w:pPr>
        <w:jc w:val="center"/>
        <w:rPr>
          <w:rFonts w:ascii="Arial" w:hAnsi="Arial" w:cs="Arial"/>
          <w:b/>
          <w:bCs/>
          <w:sz w:val="36"/>
          <w:szCs w:val="36"/>
        </w:rPr>
      </w:pPr>
    </w:p>
    <w:p w14:paraId="5E3E0EC6" w14:textId="77777777" w:rsidR="002803EC" w:rsidRDefault="002803EC" w:rsidP="12DDB7DE">
      <w:pPr>
        <w:jc w:val="center"/>
        <w:rPr>
          <w:rFonts w:ascii="Arial" w:hAnsi="Arial" w:cs="Arial"/>
          <w:b/>
          <w:bCs/>
          <w:sz w:val="36"/>
          <w:szCs w:val="36"/>
        </w:rPr>
      </w:pPr>
    </w:p>
    <w:p w14:paraId="56BFDB23" w14:textId="3CF7DA5D" w:rsidR="12DDB7DE" w:rsidRDefault="12DDB7DE" w:rsidP="12DDB7DE">
      <w:pPr>
        <w:jc w:val="center"/>
        <w:rPr>
          <w:rFonts w:ascii="Arial" w:hAnsi="Arial" w:cs="Arial"/>
          <w:b/>
          <w:bCs/>
          <w:sz w:val="36"/>
          <w:szCs w:val="36"/>
        </w:rPr>
      </w:pPr>
      <w:r w:rsidRPr="12DDB7DE">
        <w:rPr>
          <w:rFonts w:ascii="Arial" w:hAnsi="Arial" w:cs="Arial"/>
          <w:b/>
          <w:bCs/>
          <w:sz w:val="36"/>
          <w:szCs w:val="36"/>
        </w:rPr>
        <w:t xml:space="preserve">ESTATES PROFESSIONAL SERVICES </w:t>
      </w:r>
    </w:p>
    <w:p w14:paraId="02D0DA00" w14:textId="52981574" w:rsidR="12DDB7DE" w:rsidRDefault="12DDB7DE" w:rsidP="12DDB7DE">
      <w:pPr>
        <w:jc w:val="center"/>
        <w:rPr>
          <w:rFonts w:ascii="Arial" w:hAnsi="Arial" w:cs="Arial"/>
          <w:b/>
          <w:bCs/>
          <w:sz w:val="36"/>
          <w:szCs w:val="36"/>
        </w:rPr>
      </w:pPr>
      <w:r w:rsidRPr="12DDB7DE">
        <w:rPr>
          <w:rFonts w:ascii="Arial" w:hAnsi="Arial" w:cs="Arial"/>
          <w:b/>
          <w:bCs/>
          <w:sz w:val="36"/>
          <w:szCs w:val="36"/>
        </w:rPr>
        <w:t>FOR</w:t>
      </w:r>
    </w:p>
    <w:p w14:paraId="52D39F74" w14:textId="6ABF411D" w:rsidR="12DDB7DE" w:rsidRDefault="004434A4" w:rsidP="12DDB7DE">
      <w:pPr>
        <w:jc w:val="center"/>
        <w:rPr>
          <w:rFonts w:ascii="Arial" w:hAnsi="Arial" w:cs="Arial"/>
          <w:b/>
          <w:bCs/>
          <w:sz w:val="36"/>
          <w:szCs w:val="36"/>
        </w:rPr>
      </w:pPr>
      <w:r>
        <w:rPr>
          <w:rFonts w:ascii="Arial" w:hAnsi="Arial" w:cs="Arial"/>
          <w:b/>
          <w:bCs/>
          <w:sz w:val="36"/>
          <w:szCs w:val="36"/>
        </w:rPr>
        <w:t>RCDM</w:t>
      </w:r>
      <w:r w:rsidR="0023131E">
        <w:rPr>
          <w:rFonts w:ascii="Arial" w:hAnsi="Arial" w:cs="Arial"/>
          <w:b/>
          <w:bCs/>
          <w:sz w:val="36"/>
          <w:szCs w:val="36"/>
        </w:rPr>
        <w:t>, Longbridge</w:t>
      </w:r>
      <w:r w:rsidR="009F6BBF">
        <w:rPr>
          <w:rFonts w:ascii="Arial" w:hAnsi="Arial" w:cs="Arial"/>
          <w:b/>
          <w:bCs/>
          <w:sz w:val="36"/>
          <w:szCs w:val="36"/>
        </w:rPr>
        <w:t xml:space="preserve"> external legal advice</w:t>
      </w:r>
    </w:p>
    <w:p w14:paraId="272671F9" w14:textId="47B8C10B" w:rsidR="00F423FE" w:rsidRDefault="00F423FE" w:rsidP="12DDB7DE">
      <w:pPr>
        <w:jc w:val="center"/>
        <w:rPr>
          <w:rFonts w:ascii="Arial" w:hAnsi="Arial" w:cs="Arial"/>
          <w:b/>
          <w:bCs/>
          <w:sz w:val="36"/>
          <w:szCs w:val="36"/>
        </w:rPr>
      </w:pPr>
    </w:p>
    <w:p w14:paraId="1A34B141" w14:textId="49F3E85D" w:rsidR="00F423FE" w:rsidRDefault="00F423FE" w:rsidP="12DDB7DE">
      <w:pPr>
        <w:jc w:val="center"/>
        <w:rPr>
          <w:rFonts w:ascii="Arial" w:hAnsi="Arial" w:cs="Arial"/>
          <w:b/>
          <w:bCs/>
          <w:sz w:val="36"/>
          <w:szCs w:val="36"/>
        </w:rPr>
      </w:pPr>
    </w:p>
    <w:p w14:paraId="071ED6D7" w14:textId="370685DB" w:rsidR="00F423FE" w:rsidRDefault="00F423FE" w:rsidP="12DDB7DE">
      <w:pPr>
        <w:jc w:val="center"/>
        <w:rPr>
          <w:rFonts w:ascii="Arial" w:hAnsi="Arial" w:cs="Arial"/>
          <w:b/>
          <w:bCs/>
          <w:sz w:val="36"/>
          <w:szCs w:val="36"/>
        </w:rPr>
      </w:pPr>
    </w:p>
    <w:p w14:paraId="08343B21" w14:textId="29207B53" w:rsidR="00F423FE" w:rsidRDefault="00F423FE" w:rsidP="12DDB7DE">
      <w:pPr>
        <w:jc w:val="center"/>
        <w:rPr>
          <w:rFonts w:ascii="Arial" w:hAnsi="Arial" w:cs="Arial"/>
          <w:b/>
          <w:bCs/>
          <w:sz w:val="36"/>
          <w:szCs w:val="36"/>
        </w:rPr>
      </w:pPr>
    </w:p>
    <w:p w14:paraId="456EF2DD" w14:textId="6EC194AC" w:rsidR="00F423FE" w:rsidRDefault="00F423FE" w:rsidP="12DDB7DE">
      <w:pPr>
        <w:jc w:val="center"/>
        <w:rPr>
          <w:rFonts w:ascii="Arial" w:hAnsi="Arial" w:cs="Arial"/>
          <w:b/>
          <w:bCs/>
          <w:sz w:val="36"/>
          <w:szCs w:val="36"/>
        </w:rPr>
      </w:pPr>
    </w:p>
    <w:p w14:paraId="78023A60" w14:textId="5A4899DB" w:rsidR="00F423FE" w:rsidRDefault="12DDB7DE" w:rsidP="12DDB7DE">
      <w:pPr>
        <w:jc w:val="center"/>
        <w:rPr>
          <w:rFonts w:ascii="Arial" w:hAnsi="Arial" w:cs="Arial"/>
          <w:b/>
          <w:bCs/>
          <w:sz w:val="36"/>
          <w:szCs w:val="36"/>
        </w:rPr>
      </w:pPr>
      <w:r w:rsidRPr="12DDB7DE">
        <w:rPr>
          <w:rFonts w:ascii="Arial" w:hAnsi="Arial" w:cs="Arial"/>
          <w:b/>
          <w:bCs/>
          <w:sz w:val="36"/>
          <w:szCs w:val="36"/>
        </w:rPr>
        <w:t>STATEMENT OF REQUIREMENT (SOR)</w:t>
      </w:r>
    </w:p>
    <w:p w14:paraId="78023A61" w14:textId="77777777" w:rsidR="00F423FE" w:rsidRDefault="00F423FE" w:rsidP="12DDB7DE">
      <w:pPr>
        <w:jc w:val="center"/>
        <w:rPr>
          <w:rFonts w:ascii="Arial" w:hAnsi="Arial" w:cs="Arial"/>
          <w:b/>
          <w:bCs/>
          <w:sz w:val="22"/>
          <w:szCs w:val="22"/>
        </w:rPr>
      </w:pPr>
    </w:p>
    <w:p w14:paraId="39FFE515" w14:textId="0A1006C7" w:rsidR="12DDB7DE" w:rsidRDefault="12DDB7DE" w:rsidP="12DDB7DE">
      <w:pPr>
        <w:jc w:val="center"/>
        <w:rPr>
          <w:rFonts w:ascii="Arial" w:hAnsi="Arial" w:cs="Arial"/>
          <w:b/>
          <w:bCs/>
          <w:sz w:val="22"/>
          <w:szCs w:val="22"/>
        </w:rPr>
      </w:pPr>
    </w:p>
    <w:p w14:paraId="0DA4FAE4" w14:textId="79D53C48" w:rsidR="12DDB7DE" w:rsidRDefault="12DDB7DE" w:rsidP="12DDB7DE">
      <w:pPr>
        <w:jc w:val="center"/>
        <w:rPr>
          <w:rFonts w:ascii="Arial" w:hAnsi="Arial" w:cs="Arial"/>
          <w:b/>
          <w:bCs/>
          <w:sz w:val="22"/>
          <w:szCs w:val="22"/>
        </w:rPr>
      </w:pPr>
    </w:p>
    <w:p w14:paraId="25438E8D" w14:textId="11A9FD2D" w:rsidR="12DDB7DE" w:rsidRDefault="12DDB7DE" w:rsidP="12DDB7DE">
      <w:pPr>
        <w:jc w:val="center"/>
        <w:rPr>
          <w:rFonts w:ascii="Arial" w:hAnsi="Arial" w:cs="Arial"/>
          <w:b/>
          <w:bCs/>
          <w:sz w:val="22"/>
          <w:szCs w:val="22"/>
        </w:rPr>
      </w:pPr>
    </w:p>
    <w:p w14:paraId="1F238455" w14:textId="5E5F191D" w:rsidR="12DDB7DE" w:rsidRDefault="12DDB7DE" w:rsidP="12DDB7DE">
      <w:pPr>
        <w:jc w:val="center"/>
        <w:rPr>
          <w:rFonts w:ascii="Arial" w:hAnsi="Arial" w:cs="Arial"/>
          <w:b/>
          <w:bCs/>
          <w:sz w:val="22"/>
          <w:szCs w:val="22"/>
        </w:rPr>
      </w:pPr>
    </w:p>
    <w:p w14:paraId="0D2E9E7F" w14:textId="649C698D" w:rsidR="12DDB7DE" w:rsidRDefault="12DDB7DE" w:rsidP="12DDB7DE">
      <w:pPr>
        <w:jc w:val="center"/>
        <w:rPr>
          <w:rFonts w:ascii="Arial" w:hAnsi="Arial" w:cs="Arial"/>
          <w:b/>
          <w:bCs/>
          <w:sz w:val="22"/>
          <w:szCs w:val="22"/>
        </w:rPr>
      </w:pPr>
    </w:p>
    <w:p w14:paraId="31A1E5EB" w14:textId="1827B25A" w:rsidR="12DDB7DE" w:rsidRDefault="12DDB7DE" w:rsidP="12DDB7DE">
      <w:pPr>
        <w:jc w:val="center"/>
        <w:rPr>
          <w:rFonts w:ascii="Arial" w:hAnsi="Arial" w:cs="Arial"/>
          <w:b/>
          <w:bCs/>
          <w:sz w:val="22"/>
          <w:szCs w:val="22"/>
        </w:rPr>
      </w:pPr>
    </w:p>
    <w:p w14:paraId="201F9063" w14:textId="4B7E4880" w:rsidR="12DDB7DE" w:rsidRDefault="12DDB7DE" w:rsidP="12DDB7DE">
      <w:pPr>
        <w:jc w:val="center"/>
        <w:rPr>
          <w:rFonts w:ascii="Arial" w:hAnsi="Arial" w:cs="Arial"/>
          <w:b/>
          <w:bCs/>
          <w:sz w:val="22"/>
          <w:szCs w:val="22"/>
        </w:rPr>
      </w:pPr>
    </w:p>
    <w:p w14:paraId="7E10921D" w14:textId="1E614366" w:rsidR="12DDB7DE" w:rsidRDefault="12DDB7DE" w:rsidP="12DDB7DE">
      <w:pPr>
        <w:jc w:val="center"/>
        <w:rPr>
          <w:rFonts w:ascii="Arial" w:hAnsi="Arial" w:cs="Arial"/>
          <w:b/>
          <w:bCs/>
          <w:sz w:val="22"/>
          <w:szCs w:val="22"/>
        </w:rPr>
      </w:pPr>
    </w:p>
    <w:p w14:paraId="55198B26" w14:textId="55D48246" w:rsidR="12DDB7DE" w:rsidRDefault="12DDB7DE" w:rsidP="12DDB7DE">
      <w:pPr>
        <w:jc w:val="center"/>
        <w:rPr>
          <w:rFonts w:ascii="Arial" w:hAnsi="Arial" w:cs="Arial"/>
          <w:b/>
          <w:bCs/>
          <w:sz w:val="22"/>
          <w:szCs w:val="22"/>
        </w:rPr>
      </w:pPr>
    </w:p>
    <w:p w14:paraId="59921EC5" w14:textId="54645761" w:rsidR="12DDB7DE" w:rsidRDefault="12DDB7DE" w:rsidP="12DDB7DE">
      <w:pPr>
        <w:jc w:val="center"/>
        <w:rPr>
          <w:rFonts w:ascii="Arial" w:hAnsi="Arial" w:cs="Arial"/>
          <w:b/>
          <w:bCs/>
          <w:sz w:val="22"/>
          <w:szCs w:val="22"/>
        </w:rPr>
      </w:pPr>
    </w:p>
    <w:p w14:paraId="726A6FE1" w14:textId="465EB739" w:rsidR="12DDB7DE" w:rsidRDefault="12DDB7DE" w:rsidP="12DDB7DE">
      <w:pPr>
        <w:jc w:val="center"/>
        <w:rPr>
          <w:rFonts w:ascii="Arial" w:hAnsi="Arial" w:cs="Arial"/>
          <w:b/>
          <w:bCs/>
          <w:sz w:val="22"/>
          <w:szCs w:val="22"/>
        </w:rPr>
      </w:pPr>
    </w:p>
    <w:p w14:paraId="4030404F" w14:textId="77777777" w:rsidR="007F29C8" w:rsidRDefault="007F29C8" w:rsidP="12DDB7DE">
      <w:pPr>
        <w:rPr>
          <w:rFonts w:ascii="Arial" w:hAnsi="Arial" w:cs="Arial"/>
          <w:b/>
          <w:bCs/>
          <w:sz w:val="22"/>
          <w:szCs w:val="22"/>
        </w:rPr>
      </w:pPr>
    </w:p>
    <w:p w14:paraId="73938F5E" w14:textId="37D89199" w:rsidR="12DDB7DE" w:rsidRPr="00C17329" w:rsidRDefault="12DDB7DE" w:rsidP="12DDB7DE">
      <w:pPr>
        <w:rPr>
          <w:rFonts w:ascii="Arial" w:hAnsi="Arial" w:cs="Arial"/>
          <w:b/>
          <w:bCs/>
          <w:sz w:val="22"/>
          <w:szCs w:val="22"/>
        </w:rPr>
      </w:pPr>
      <w:r w:rsidRPr="00C17329">
        <w:rPr>
          <w:rFonts w:ascii="Arial" w:hAnsi="Arial" w:cs="Arial"/>
          <w:b/>
          <w:bCs/>
          <w:sz w:val="22"/>
          <w:szCs w:val="22"/>
        </w:rPr>
        <w:lastRenderedPageBreak/>
        <w:t>Introduction</w:t>
      </w:r>
    </w:p>
    <w:p w14:paraId="0A567A6B" w14:textId="32A31A90" w:rsidR="002800CB" w:rsidRPr="00C17329" w:rsidRDefault="002800CB" w:rsidP="12DDB7DE">
      <w:pPr>
        <w:rPr>
          <w:rFonts w:ascii="Arial" w:hAnsi="Arial" w:cs="Arial"/>
          <w:b/>
          <w:bCs/>
          <w:sz w:val="22"/>
          <w:szCs w:val="22"/>
        </w:rPr>
      </w:pPr>
    </w:p>
    <w:p w14:paraId="363EC8ED" w14:textId="7D5C7762" w:rsidR="002800CB" w:rsidRPr="002F11F5" w:rsidRDefault="002800CB" w:rsidP="12DDB7DE">
      <w:pPr>
        <w:rPr>
          <w:rFonts w:ascii="Arial" w:hAnsi="Arial" w:cs="Arial"/>
          <w:sz w:val="20"/>
          <w:szCs w:val="20"/>
        </w:rPr>
      </w:pPr>
      <w:r w:rsidRPr="002F11F5">
        <w:rPr>
          <w:rFonts w:ascii="Arial" w:hAnsi="Arial" w:cs="Arial"/>
          <w:sz w:val="20"/>
          <w:szCs w:val="20"/>
        </w:rPr>
        <w:t xml:space="preserve">External legal services are required </w:t>
      </w:r>
      <w:proofErr w:type="gramStart"/>
      <w:r w:rsidR="009B0CDE" w:rsidRPr="002F11F5">
        <w:rPr>
          <w:rFonts w:ascii="Arial" w:hAnsi="Arial" w:cs="Arial"/>
          <w:sz w:val="20"/>
          <w:szCs w:val="20"/>
        </w:rPr>
        <w:t>in order to</w:t>
      </w:r>
      <w:proofErr w:type="gramEnd"/>
      <w:r w:rsidR="009B0CDE" w:rsidRPr="002F11F5">
        <w:rPr>
          <w:rFonts w:ascii="Arial" w:hAnsi="Arial" w:cs="Arial"/>
          <w:sz w:val="20"/>
          <w:szCs w:val="20"/>
        </w:rPr>
        <w:t xml:space="preserve"> achieve a remedy </w:t>
      </w:r>
      <w:r w:rsidRPr="002F11F5">
        <w:rPr>
          <w:rFonts w:ascii="Arial" w:hAnsi="Arial" w:cs="Arial"/>
          <w:sz w:val="20"/>
          <w:szCs w:val="20"/>
        </w:rPr>
        <w:t xml:space="preserve">for post </w:t>
      </w:r>
      <w:r w:rsidR="00472F09" w:rsidRPr="002F11F5">
        <w:rPr>
          <w:rFonts w:ascii="Arial" w:hAnsi="Arial" w:cs="Arial"/>
          <w:sz w:val="20"/>
          <w:szCs w:val="20"/>
        </w:rPr>
        <w:t>construction</w:t>
      </w:r>
      <w:r w:rsidRPr="002F11F5">
        <w:rPr>
          <w:rFonts w:ascii="Arial" w:hAnsi="Arial" w:cs="Arial"/>
          <w:sz w:val="20"/>
          <w:szCs w:val="20"/>
        </w:rPr>
        <w:t xml:space="preserve"> issues </w:t>
      </w:r>
      <w:r w:rsidR="00C929E0" w:rsidRPr="002F11F5">
        <w:rPr>
          <w:rFonts w:ascii="Arial" w:hAnsi="Arial" w:cs="Arial"/>
          <w:sz w:val="20"/>
          <w:szCs w:val="20"/>
        </w:rPr>
        <w:t xml:space="preserve">and </w:t>
      </w:r>
      <w:r w:rsidR="008057C6" w:rsidRPr="002F11F5">
        <w:rPr>
          <w:rFonts w:ascii="Arial" w:hAnsi="Arial" w:cs="Arial"/>
          <w:sz w:val="20"/>
          <w:szCs w:val="20"/>
        </w:rPr>
        <w:t xml:space="preserve">known </w:t>
      </w:r>
      <w:r w:rsidR="00C929E0" w:rsidRPr="002F11F5">
        <w:rPr>
          <w:rFonts w:ascii="Arial" w:hAnsi="Arial" w:cs="Arial"/>
          <w:sz w:val="20"/>
          <w:szCs w:val="20"/>
        </w:rPr>
        <w:t xml:space="preserve">defects </w:t>
      </w:r>
      <w:r w:rsidRPr="002F11F5">
        <w:rPr>
          <w:rFonts w:ascii="Arial" w:hAnsi="Arial" w:cs="Arial"/>
          <w:sz w:val="20"/>
          <w:szCs w:val="20"/>
        </w:rPr>
        <w:t xml:space="preserve">relating to </w:t>
      </w:r>
      <w:proofErr w:type="spellStart"/>
      <w:r w:rsidR="00C35AFE" w:rsidRPr="002F11F5">
        <w:rPr>
          <w:rFonts w:ascii="Arial" w:hAnsi="Arial" w:cs="Arial"/>
          <w:sz w:val="20"/>
          <w:szCs w:val="20"/>
        </w:rPr>
        <w:t>Glenart</w:t>
      </w:r>
      <w:proofErr w:type="spellEnd"/>
      <w:r w:rsidR="00C35AFE" w:rsidRPr="002F11F5">
        <w:rPr>
          <w:rFonts w:ascii="Arial" w:hAnsi="Arial" w:cs="Arial"/>
          <w:sz w:val="20"/>
          <w:szCs w:val="20"/>
        </w:rPr>
        <w:t xml:space="preserve"> </w:t>
      </w:r>
      <w:r w:rsidR="00293395" w:rsidRPr="002F11F5">
        <w:rPr>
          <w:rFonts w:ascii="Arial" w:hAnsi="Arial" w:cs="Arial"/>
          <w:sz w:val="20"/>
          <w:szCs w:val="20"/>
        </w:rPr>
        <w:t>O</w:t>
      </w:r>
      <w:r w:rsidR="00C35AFE" w:rsidRPr="002F11F5">
        <w:rPr>
          <w:rFonts w:ascii="Arial" w:hAnsi="Arial" w:cs="Arial"/>
          <w:sz w:val="20"/>
          <w:szCs w:val="20"/>
        </w:rPr>
        <w:t xml:space="preserve">fficers </w:t>
      </w:r>
      <w:r w:rsidR="00293395" w:rsidRPr="002F11F5">
        <w:rPr>
          <w:rFonts w:ascii="Arial" w:hAnsi="Arial" w:cs="Arial"/>
          <w:sz w:val="20"/>
          <w:szCs w:val="20"/>
        </w:rPr>
        <w:t>M</w:t>
      </w:r>
      <w:r w:rsidR="00C35AFE" w:rsidRPr="002F11F5">
        <w:rPr>
          <w:rFonts w:ascii="Arial" w:hAnsi="Arial" w:cs="Arial"/>
          <w:sz w:val="20"/>
          <w:szCs w:val="20"/>
        </w:rPr>
        <w:t xml:space="preserve">ess, RCDM Longbridge. </w:t>
      </w:r>
    </w:p>
    <w:p w14:paraId="161FEAB2" w14:textId="77777777" w:rsidR="007F29C8" w:rsidRPr="00C17329" w:rsidRDefault="007F29C8" w:rsidP="12DDB7DE">
      <w:pPr>
        <w:rPr>
          <w:rFonts w:ascii="Arial" w:hAnsi="Arial" w:cs="Arial"/>
          <w:b/>
          <w:bCs/>
          <w:sz w:val="22"/>
          <w:szCs w:val="22"/>
        </w:rPr>
      </w:pPr>
    </w:p>
    <w:p w14:paraId="33F9D326" w14:textId="65B43B5F" w:rsidR="12DDB7DE" w:rsidRPr="00C17329" w:rsidRDefault="12DDB7DE" w:rsidP="12DDB7DE">
      <w:pPr>
        <w:rPr>
          <w:rFonts w:ascii="Arial" w:hAnsi="Arial" w:cs="Arial"/>
          <w:b/>
          <w:bCs/>
          <w:sz w:val="22"/>
          <w:szCs w:val="22"/>
        </w:rPr>
      </w:pPr>
      <w:r w:rsidRPr="00C17329">
        <w:rPr>
          <w:rFonts w:ascii="Arial" w:hAnsi="Arial" w:cs="Arial"/>
          <w:b/>
          <w:bCs/>
          <w:sz w:val="22"/>
          <w:szCs w:val="22"/>
        </w:rPr>
        <w:t>Background</w:t>
      </w:r>
    </w:p>
    <w:p w14:paraId="1340635B" w14:textId="47100861" w:rsidR="12DDB7DE" w:rsidRPr="00C17329" w:rsidRDefault="12DDB7DE" w:rsidP="12DDB7DE">
      <w:pPr>
        <w:rPr>
          <w:rFonts w:ascii="Arial" w:hAnsi="Arial" w:cs="Arial"/>
          <w:b/>
          <w:bCs/>
          <w:sz w:val="22"/>
          <w:szCs w:val="22"/>
        </w:rPr>
      </w:pPr>
    </w:p>
    <w:p w14:paraId="7FFBAD9F" w14:textId="6A11DCAE" w:rsidR="00C42EC2" w:rsidRPr="002F11F5" w:rsidRDefault="008057C6" w:rsidP="00C42EC2">
      <w:pPr>
        <w:rPr>
          <w:rFonts w:ascii="Arial" w:hAnsi="Arial" w:cs="Arial"/>
          <w:color w:val="000000"/>
          <w:sz w:val="20"/>
          <w:szCs w:val="20"/>
        </w:rPr>
      </w:pPr>
      <w:proofErr w:type="gramStart"/>
      <w:r w:rsidRPr="002F11F5">
        <w:rPr>
          <w:rFonts w:ascii="Arial" w:hAnsi="Arial" w:cs="Arial"/>
          <w:sz w:val="20"/>
          <w:szCs w:val="20"/>
        </w:rPr>
        <w:t xml:space="preserve">A </w:t>
      </w:r>
      <w:r w:rsidR="00C42EC2" w:rsidRPr="002F11F5">
        <w:rPr>
          <w:rFonts w:ascii="Arial" w:hAnsi="Arial" w:cs="Arial"/>
          <w:sz w:val="20"/>
          <w:szCs w:val="20"/>
        </w:rPr>
        <w:t xml:space="preserve"> development</w:t>
      </w:r>
      <w:proofErr w:type="gramEnd"/>
      <w:r w:rsidR="00C42EC2" w:rsidRPr="002F11F5">
        <w:rPr>
          <w:rFonts w:ascii="Arial" w:hAnsi="Arial" w:cs="Arial"/>
          <w:sz w:val="20"/>
          <w:szCs w:val="20"/>
        </w:rPr>
        <w:t xml:space="preserve"> agreement was entered into for the RCDM Longbridge site in 2015, with practical completion being achieved in 2017</w:t>
      </w:r>
      <w:r w:rsidRPr="002F11F5">
        <w:rPr>
          <w:rFonts w:ascii="Arial" w:hAnsi="Arial" w:cs="Arial"/>
          <w:sz w:val="20"/>
          <w:szCs w:val="20"/>
        </w:rPr>
        <w:t>.</w:t>
      </w:r>
      <w:r w:rsidR="00C42EC2" w:rsidRPr="002F11F5">
        <w:rPr>
          <w:rFonts w:ascii="Arial" w:hAnsi="Arial" w:cs="Arial"/>
          <w:sz w:val="20"/>
          <w:szCs w:val="20"/>
        </w:rPr>
        <w:t xml:space="preserve"> St Modwen appointed a project manager, Faithfull &amp; Gould. Galliford Try was the main contractor who delivered the facility, now known as </w:t>
      </w:r>
      <w:proofErr w:type="spellStart"/>
      <w:r w:rsidR="00C42EC2" w:rsidRPr="002F11F5">
        <w:rPr>
          <w:rFonts w:ascii="Arial" w:hAnsi="Arial" w:cs="Arial"/>
          <w:sz w:val="20"/>
          <w:szCs w:val="20"/>
        </w:rPr>
        <w:t>Vistry</w:t>
      </w:r>
      <w:proofErr w:type="spellEnd"/>
      <w:r w:rsidR="00C42EC2" w:rsidRPr="002F11F5">
        <w:rPr>
          <w:rFonts w:ascii="Arial" w:hAnsi="Arial" w:cs="Arial"/>
          <w:sz w:val="20"/>
          <w:szCs w:val="20"/>
        </w:rPr>
        <w:t xml:space="preserve"> partnerships. A series of collateral warranties were also entered into</w:t>
      </w:r>
    </w:p>
    <w:p w14:paraId="7540A76B" w14:textId="77777777" w:rsidR="00C42EC2" w:rsidRPr="002F11F5" w:rsidRDefault="00C42EC2" w:rsidP="00C42EC2">
      <w:pPr>
        <w:rPr>
          <w:rFonts w:ascii="Arial" w:hAnsi="Arial" w:cs="Arial"/>
          <w:sz w:val="20"/>
          <w:szCs w:val="20"/>
        </w:rPr>
      </w:pPr>
    </w:p>
    <w:p w14:paraId="4C639B0C" w14:textId="44F25334" w:rsidR="00C42EC2" w:rsidRPr="002F11F5" w:rsidRDefault="00C42EC2" w:rsidP="00C42EC2">
      <w:pPr>
        <w:rPr>
          <w:rFonts w:ascii="Arial" w:hAnsi="Arial" w:cs="Arial"/>
          <w:sz w:val="20"/>
          <w:szCs w:val="20"/>
        </w:rPr>
      </w:pPr>
      <w:r w:rsidRPr="002F11F5">
        <w:rPr>
          <w:rFonts w:ascii="Arial" w:hAnsi="Arial" w:cs="Arial"/>
          <w:sz w:val="20"/>
          <w:szCs w:val="20"/>
        </w:rPr>
        <w:t xml:space="preserve">Since completion, various </w:t>
      </w:r>
      <w:r w:rsidR="00B27ADA" w:rsidRPr="002F11F5">
        <w:rPr>
          <w:rFonts w:ascii="Arial" w:hAnsi="Arial" w:cs="Arial"/>
          <w:sz w:val="20"/>
          <w:szCs w:val="20"/>
        </w:rPr>
        <w:t>issues</w:t>
      </w:r>
      <w:r w:rsidR="005A1A79" w:rsidRPr="002F11F5">
        <w:rPr>
          <w:rFonts w:ascii="Arial" w:hAnsi="Arial" w:cs="Arial"/>
          <w:sz w:val="20"/>
          <w:szCs w:val="20"/>
        </w:rPr>
        <w:t xml:space="preserve"> </w:t>
      </w:r>
      <w:r w:rsidRPr="002F11F5">
        <w:rPr>
          <w:rFonts w:ascii="Arial" w:hAnsi="Arial" w:cs="Arial"/>
          <w:sz w:val="20"/>
          <w:szCs w:val="20"/>
        </w:rPr>
        <w:t>have come to light, and those identified so far include:</w:t>
      </w:r>
    </w:p>
    <w:p w14:paraId="175730E3" w14:textId="77777777" w:rsidR="00CF1B16" w:rsidRPr="002F11F5" w:rsidRDefault="00CF1B16" w:rsidP="00C42EC2">
      <w:pPr>
        <w:rPr>
          <w:rFonts w:ascii="Arial" w:hAnsi="Arial" w:cs="Arial"/>
          <w:sz w:val="20"/>
          <w:szCs w:val="20"/>
        </w:rPr>
      </w:pPr>
    </w:p>
    <w:p w14:paraId="700D3C9A" w14:textId="77777777" w:rsidR="00CF1B16" w:rsidRPr="002F11F5" w:rsidRDefault="00CF1B16" w:rsidP="00CF1B16">
      <w:pPr>
        <w:numPr>
          <w:ilvl w:val="0"/>
          <w:numId w:val="25"/>
        </w:numPr>
        <w:rPr>
          <w:rFonts w:ascii="Arial" w:hAnsi="Arial" w:cs="Arial"/>
          <w:sz w:val="20"/>
          <w:szCs w:val="20"/>
        </w:rPr>
      </w:pPr>
      <w:r w:rsidRPr="002F11F5">
        <w:rPr>
          <w:rFonts w:ascii="Arial" w:hAnsi="Arial" w:cs="Arial"/>
          <w:sz w:val="20"/>
          <w:szCs w:val="20"/>
        </w:rPr>
        <w:t>Products in the external walls are combustible. The query here relies upon the interpretation of Approved Document B in relation to the use of combustible materials in buildings below 18m, as this was the design intent for the building and there were no boundary restrictions. This may have already been assessed on other legal cases.</w:t>
      </w:r>
    </w:p>
    <w:p w14:paraId="46DAE564" w14:textId="77777777" w:rsidR="00CF1B16" w:rsidRPr="002F11F5" w:rsidRDefault="00CF1B16" w:rsidP="005410E0">
      <w:pPr>
        <w:numPr>
          <w:ilvl w:val="0"/>
          <w:numId w:val="25"/>
        </w:numPr>
        <w:rPr>
          <w:rFonts w:ascii="Arial" w:hAnsi="Arial" w:cs="Arial"/>
          <w:sz w:val="20"/>
          <w:szCs w:val="20"/>
        </w:rPr>
      </w:pPr>
      <w:r w:rsidRPr="002F11F5">
        <w:rPr>
          <w:rFonts w:ascii="Arial" w:hAnsi="Arial" w:cs="Arial"/>
          <w:sz w:val="20"/>
          <w:szCs w:val="20"/>
        </w:rPr>
        <w:t>The external wall systems are non-compliant as they have not been installed correctly, for example missing cavity barriers, incorrectly installed cavity barriers and potentially widespread incorrect levels of render coverage on the insulation.</w:t>
      </w:r>
    </w:p>
    <w:p w14:paraId="0A741E48" w14:textId="77777777" w:rsidR="00D12210" w:rsidRPr="002F11F5" w:rsidRDefault="00CF1B16" w:rsidP="005410E0">
      <w:pPr>
        <w:numPr>
          <w:ilvl w:val="0"/>
          <w:numId w:val="25"/>
        </w:numPr>
        <w:rPr>
          <w:rFonts w:ascii="Arial" w:hAnsi="Arial" w:cs="Arial"/>
          <w:sz w:val="20"/>
          <w:szCs w:val="20"/>
        </w:rPr>
      </w:pPr>
      <w:r w:rsidRPr="002F11F5">
        <w:rPr>
          <w:rFonts w:ascii="Arial" w:hAnsi="Arial" w:cs="Arial"/>
          <w:sz w:val="20"/>
          <w:szCs w:val="20"/>
        </w:rPr>
        <w:t>Fire doors non-compliant</w:t>
      </w:r>
    </w:p>
    <w:p w14:paraId="1407A46E" w14:textId="4C844C68" w:rsidR="00CF1B16" w:rsidRPr="002F11F5" w:rsidRDefault="00CF1B16" w:rsidP="005410E0">
      <w:pPr>
        <w:numPr>
          <w:ilvl w:val="0"/>
          <w:numId w:val="25"/>
        </w:numPr>
        <w:rPr>
          <w:rFonts w:ascii="Arial" w:hAnsi="Arial" w:cs="Arial"/>
          <w:sz w:val="20"/>
          <w:szCs w:val="20"/>
        </w:rPr>
      </w:pPr>
      <w:r w:rsidRPr="002F11F5">
        <w:rPr>
          <w:rFonts w:ascii="Arial" w:hAnsi="Arial" w:cs="Arial"/>
          <w:sz w:val="20"/>
          <w:szCs w:val="20"/>
        </w:rPr>
        <w:t>Fire dampers not present and incorrectly specified</w:t>
      </w:r>
    </w:p>
    <w:p w14:paraId="255B874B" w14:textId="77777777" w:rsidR="00250F84" w:rsidRPr="002F11F5" w:rsidRDefault="00CF1B16" w:rsidP="005410E0">
      <w:pPr>
        <w:numPr>
          <w:ilvl w:val="0"/>
          <w:numId w:val="25"/>
        </w:numPr>
        <w:rPr>
          <w:rFonts w:ascii="Arial" w:hAnsi="Arial" w:cs="Arial"/>
          <w:sz w:val="20"/>
          <w:szCs w:val="20"/>
        </w:rPr>
      </w:pPr>
      <w:r w:rsidRPr="002F11F5">
        <w:rPr>
          <w:rFonts w:ascii="Arial" w:hAnsi="Arial" w:cs="Arial"/>
          <w:sz w:val="20"/>
          <w:szCs w:val="20"/>
        </w:rPr>
        <w:t>Non-compliances identified with compartmentation through incorrectly installed fire stopping and potentially incorrect wall head detail in the bedroom corridors</w:t>
      </w:r>
    </w:p>
    <w:p w14:paraId="6A589078" w14:textId="77777777" w:rsidR="00250F84" w:rsidRPr="002F11F5" w:rsidRDefault="00CF1B16" w:rsidP="00250F84">
      <w:pPr>
        <w:numPr>
          <w:ilvl w:val="0"/>
          <w:numId w:val="25"/>
        </w:numPr>
        <w:rPr>
          <w:rFonts w:ascii="Arial" w:hAnsi="Arial" w:cs="Arial"/>
          <w:sz w:val="20"/>
          <w:szCs w:val="20"/>
        </w:rPr>
      </w:pPr>
      <w:r w:rsidRPr="002F11F5">
        <w:rPr>
          <w:rFonts w:ascii="Arial" w:hAnsi="Arial" w:cs="Arial"/>
          <w:sz w:val="20"/>
          <w:szCs w:val="20"/>
        </w:rPr>
        <w:t>Legionella discovered in the buildin</w:t>
      </w:r>
      <w:r w:rsidR="00250F84" w:rsidRPr="002F11F5">
        <w:rPr>
          <w:rFonts w:ascii="Arial" w:hAnsi="Arial" w:cs="Arial"/>
          <w:sz w:val="20"/>
          <w:szCs w:val="20"/>
        </w:rPr>
        <w:t>g</w:t>
      </w:r>
    </w:p>
    <w:p w14:paraId="5F6E534B" w14:textId="78EB643C" w:rsidR="00CF1B16" w:rsidRPr="002F11F5" w:rsidRDefault="00CF1B16" w:rsidP="00250F84">
      <w:pPr>
        <w:numPr>
          <w:ilvl w:val="0"/>
          <w:numId w:val="25"/>
        </w:numPr>
        <w:rPr>
          <w:rFonts w:ascii="Arial" w:hAnsi="Arial" w:cs="Arial"/>
          <w:sz w:val="20"/>
          <w:szCs w:val="20"/>
        </w:rPr>
      </w:pPr>
      <w:r w:rsidRPr="002F11F5">
        <w:rPr>
          <w:rFonts w:ascii="Arial" w:hAnsi="Arial" w:cs="Arial"/>
          <w:sz w:val="20"/>
          <w:szCs w:val="20"/>
        </w:rPr>
        <w:t>Problem with the roof installation</w:t>
      </w:r>
      <w:r w:rsidR="005209B3" w:rsidRPr="002F11F5">
        <w:rPr>
          <w:rFonts w:ascii="Arial" w:hAnsi="Arial" w:cs="Arial"/>
          <w:sz w:val="20"/>
          <w:szCs w:val="20"/>
        </w:rPr>
        <w:t xml:space="preserve"> (together "Issues")</w:t>
      </w:r>
      <w:r w:rsidRPr="002F11F5">
        <w:rPr>
          <w:rFonts w:ascii="Arial" w:hAnsi="Arial" w:cs="Arial"/>
          <w:sz w:val="20"/>
          <w:szCs w:val="20"/>
        </w:rPr>
        <w:t xml:space="preserve">.  </w:t>
      </w:r>
    </w:p>
    <w:p w14:paraId="0225E8D3" w14:textId="77777777" w:rsidR="00C42EC2" w:rsidRPr="002F11F5" w:rsidRDefault="00C42EC2" w:rsidP="00C42EC2">
      <w:pPr>
        <w:rPr>
          <w:rFonts w:ascii="Arial" w:eastAsiaTheme="minorHAnsi" w:hAnsi="Arial" w:cs="Arial"/>
          <w:sz w:val="20"/>
          <w:szCs w:val="20"/>
        </w:rPr>
      </w:pPr>
    </w:p>
    <w:p w14:paraId="0361A8F8" w14:textId="5B943BAC" w:rsidR="00C42EC2" w:rsidRPr="002F11F5" w:rsidRDefault="00C42EC2" w:rsidP="00C42EC2">
      <w:pPr>
        <w:rPr>
          <w:rFonts w:ascii="Arial" w:hAnsi="Arial" w:cs="Arial"/>
          <w:sz w:val="20"/>
          <w:szCs w:val="20"/>
        </w:rPr>
      </w:pPr>
      <w:proofErr w:type="gramStart"/>
      <w:r w:rsidRPr="002F11F5">
        <w:rPr>
          <w:rFonts w:ascii="Arial" w:hAnsi="Arial" w:cs="Arial"/>
          <w:sz w:val="20"/>
          <w:szCs w:val="20"/>
        </w:rPr>
        <w:t>The  reports</w:t>
      </w:r>
      <w:proofErr w:type="gramEnd"/>
      <w:r w:rsidRPr="002F11F5">
        <w:rPr>
          <w:rFonts w:ascii="Arial" w:hAnsi="Arial" w:cs="Arial"/>
          <w:sz w:val="20"/>
          <w:szCs w:val="20"/>
        </w:rPr>
        <w:t xml:space="preserve"> </w:t>
      </w:r>
      <w:r w:rsidR="00BC7AE8" w:rsidRPr="002F11F5">
        <w:rPr>
          <w:rFonts w:ascii="Arial" w:hAnsi="Arial" w:cs="Arial"/>
          <w:sz w:val="20"/>
          <w:szCs w:val="20"/>
        </w:rPr>
        <w:t xml:space="preserve">already made available </w:t>
      </w:r>
      <w:r w:rsidRPr="002F11F5">
        <w:rPr>
          <w:rFonts w:ascii="Arial" w:hAnsi="Arial" w:cs="Arial"/>
          <w:sz w:val="20"/>
          <w:szCs w:val="20"/>
        </w:rPr>
        <w:t xml:space="preserve">provide more detail on these </w:t>
      </w:r>
      <w:r w:rsidR="005209B3" w:rsidRPr="002F11F5">
        <w:rPr>
          <w:rFonts w:ascii="Arial" w:hAnsi="Arial" w:cs="Arial"/>
          <w:sz w:val="20"/>
          <w:szCs w:val="20"/>
        </w:rPr>
        <w:t>I</w:t>
      </w:r>
      <w:r w:rsidRPr="002F11F5">
        <w:rPr>
          <w:rFonts w:ascii="Arial" w:hAnsi="Arial" w:cs="Arial"/>
          <w:sz w:val="20"/>
          <w:szCs w:val="20"/>
        </w:rPr>
        <w:t xml:space="preserve">ssues, together with the final risk assessment provided by ARUP. </w:t>
      </w:r>
    </w:p>
    <w:p w14:paraId="03EE15AC" w14:textId="77777777" w:rsidR="006D02B2" w:rsidRPr="002F11F5" w:rsidRDefault="006D02B2" w:rsidP="00C42EC2">
      <w:pPr>
        <w:rPr>
          <w:rFonts w:ascii="Arial" w:hAnsi="Arial" w:cs="Arial"/>
          <w:sz w:val="20"/>
          <w:szCs w:val="20"/>
        </w:rPr>
      </w:pPr>
    </w:p>
    <w:p w14:paraId="5DE9B193" w14:textId="46C46372" w:rsidR="12DDB7DE" w:rsidRPr="00C17329" w:rsidRDefault="12DDB7DE" w:rsidP="00767FB1">
      <w:pPr>
        <w:tabs>
          <w:tab w:val="left" w:pos="720"/>
          <w:tab w:val="left" w:pos="1470"/>
        </w:tabs>
        <w:ind w:left="720" w:hanging="720"/>
        <w:rPr>
          <w:rFonts w:ascii="Arial" w:hAnsi="Arial" w:cs="Arial"/>
          <w:b/>
          <w:bCs/>
          <w:sz w:val="22"/>
          <w:szCs w:val="22"/>
        </w:rPr>
      </w:pPr>
      <w:r w:rsidRPr="00C17329">
        <w:rPr>
          <w:rFonts w:ascii="Arial" w:hAnsi="Arial" w:cs="Arial"/>
          <w:b/>
          <w:bCs/>
          <w:sz w:val="22"/>
          <w:szCs w:val="22"/>
        </w:rPr>
        <w:t>Requirements</w:t>
      </w:r>
    </w:p>
    <w:p w14:paraId="07CE9DC7" w14:textId="77777777" w:rsidR="00250F84" w:rsidRPr="00C17329" w:rsidRDefault="00250F84" w:rsidP="00767FB1">
      <w:pPr>
        <w:tabs>
          <w:tab w:val="left" w:pos="720"/>
          <w:tab w:val="left" w:pos="1470"/>
        </w:tabs>
        <w:ind w:left="720" w:hanging="720"/>
        <w:rPr>
          <w:rFonts w:ascii="Arial" w:hAnsi="Arial" w:cs="Arial"/>
          <w:b/>
          <w:bCs/>
          <w:sz w:val="22"/>
          <w:szCs w:val="22"/>
        </w:rPr>
      </w:pPr>
    </w:p>
    <w:p w14:paraId="084304AF" w14:textId="4A6FA1F6" w:rsidR="000F7751" w:rsidRDefault="000F7751" w:rsidP="000F7751">
      <w:pPr>
        <w:pStyle w:val="BodyText"/>
        <w:spacing w:before="120" w:after="120"/>
        <w:jc w:val="left"/>
      </w:pPr>
      <w:r>
        <w:t>The scope of services will comprise:</w:t>
      </w:r>
    </w:p>
    <w:p w14:paraId="0E177476" w14:textId="77777777" w:rsidR="000F7751" w:rsidRDefault="000F7751" w:rsidP="000F7751">
      <w:pPr>
        <w:pStyle w:val="BodyText"/>
        <w:numPr>
          <w:ilvl w:val="0"/>
          <w:numId w:val="32"/>
        </w:numPr>
        <w:spacing w:before="120" w:after="120"/>
        <w:jc w:val="left"/>
      </w:pPr>
      <w:r>
        <w:t>"Stage 1", which will comprise the following:</w:t>
      </w:r>
    </w:p>
    <w:p w14:paraId="34DB7FE6" w14:textId="2CDD1469" w:rsidR="000F7751" w:rsidRDefault="000F7751" w:rsidP="000F7751">
      <w:pPr>
        <w:pStyle w:val="BodyText"/>
        <w:numPr>
          <w:ilvl w:val="1"/>
          <w:numId w:val="32"/>
        </w:numPr>
        <w:spacing w:before="120" w:after="120"/>
        <w:jc w:val="left"/>
      </w:pPr>
      <w:r>
        <w:t>Reviewing and considering key relevant documentation provided to date and subsequently provided in response to specific requests;</w:t>
      </w:r>
    </w:p>
    <w:p w14:paraId="63C67AC3" w14:textId="77777777" w:rsidR="000F7751" w:rsidRDefault="000F7751" w:rsidP="000F7751">
      <w:pPr>
        <w:pStyle w:val="BodyText"/>
        <w:numPr>
          <w:ilvl w:val="1"/>
          <w:numId w:val="32"/>
        </w:numPr>
        <w:spacing w:before="120" w:after="120"/>
        <w:jc w:val="left"/>
      </w:pPr>
      <w:r>
        <w:t>Providing initial advice with respect to next best steps and strategy;</w:t>
      </w:r>
    </w:p>
    <w:p w14:paraId="50606D5F" w14:textId="0164EF52" w:rsidR="000F7751" w:rsidRDefault="000F7751" w:rsidP="000F7751">
      <w:pPr>
        <w:pStyle w:val="BodyText"/>
        <w:numPr>
          <w:ilvl w:val="1"/>
          <w:numId w:val="32"/>
        </w:numPr>
        <w:spacing w:before="120" w:after="120"/>
        <w:jc w:val="left"/>
      </w:pPr>
      <w:r>
        <w:t xml:space="preserve">Providing advice, in so far as required and specifically requested, with respect to the DIO's compliance with its fire safety regulatory obligations. (It is understood that Arup has already provided detailed advice in this regard which is to be updated - in accordance with the current legislation - and actioned. The DIO will let </w:t>
      </w:r>
      <w:proofErr w:type="spellStart"/>
      <w:r>
        <w:t>Addlsehaw</w:t>
      </w:r>
      <w:proofErr w:type="spellEnd"/>
      <w:r>
        <w:t xml:space="preserve"> Goddard LLP know if any input is req</w:t>
      </w:r>
      <w:r w:rsidR="00E614CD">
        <w:t xml:space="preserve">uired </w:t>
      </w:r>
      <w:r>
        <w:t xml:space="preserve">to support this process); </w:t>
      </w:r>
    </w:p>
    <w:p w14:paraId="1E50A9E2" w14:textId="0196A781" w:rsidR="000F7751" w:rsidRDefault="000F7751" w:rsidP="000F7751">
      <w:pPr>
        <w:pStyle w:val="BodyText"/>
        <w:numPr>
          <w:ilvl w:val="1"/>
          <w:numId w:val="32"/>
        </w:numPr>
        <w:spacing w:before="120" w:after="120"/>
        <w:jc w:val="left"/>
      </w:pPr>
      <w:r>
        <w:t>Meeting with the DIO and key appointed experts to discuss and agree strategy and next best steps. It is suggested that this meeting is combined with a visit to the RCDM to view the building and the issues that have arisen to date;</w:t>
      </w:r>
    </w:p>
    <w:p w14:paraId="17920AD0" w14:textId="38FED368" w:rsidR="000F7751" w:rsidRDefault="000F7751" w:rsidP="000F7751">
      <w:pPr>
        <w:pStyle w:val="BodyText"/>
        <w:numPr>
          <w:ilvl w:val="1"/>
          <w:numId w:val="32"/>
        </w:numPr>
        <w:spacing w:before="120" w:after="120"/>
        <w:jc w:val="left"/>
      </w:pPr>
      <w:r>
        <w:t>Identifying and instructing (on the DIO's behalf) appropriate independent experts ("Experts") to (in so far as required):</w:t>
      </w:r>
    </w:p>
    <w:p w14:paraId="58B57A85" w14:textId="77777777" w:rsidR="000F7751" w:rsidRDefault="000F7751" w:rsidP="000F7751">
      <w:pPr>
        <w:pStyle w:val="BodyText"/>
        <w:numPr>
          <w:ilvl w:val="2"/>
          <w:numId w:val="32"/>
        </w:numPr>
        <w:spacing w:before="120" w:after="120"/>
        <w:jc w:val="left"/>
      </w:pPr>
      <w:r>
        <w:t>Survey and clearly identify all the issues that exist with the design and construction of the RCDM as regards</w:t>
      </w:r>
    </w:p>
    <w:p w14:paraId="452A198E" w14:textId="77777777" w:rsidR="000F7751" w:rsidRDefault="000F7751" w:rsidP="000F7751">
      <w:pPr>
        <w:pStyle w:val="BodyText"/>
        <w:numPr>
          <w:ilvl w:val="3"/>
          <w:numId w:val="32"/>
        </w:numPr>
        <w:spacing w:before="120" w:after="120"/>
        <w:jc w:val="left"/>
      </w:pPr>
      <w:r>
        <w:t>fire safety;</w:t>
      </w:r>
    </w:p>
    <w:p w14:paraId="7B23433C" w14:textId="3F294ECC" w:rsidR="000F7751" w:rsidRDefault="000F7751" w:rsidP="000F7751">
      <w:pPr>
        <w:pStyle w:val="BodyText"/>
        <w:numPr>
          <w:ilvl w:val="3"/>
          <w:numId w:val="32"/>
        </w:numPr>
        <w:spacing w:before="120" w:after="120"/>
        <w:jc w:val="left"/>
      </w:pPr>
      <w:r>
        <w:t>pipework/legionella;</w:t>
      </w:r>
    </w:p>
    <w:p w14:paraId="12D74F28" w14:textId="20848CDF" w:rsidR="000F7751" w:rsidRDefault="000F7751" w:rsidP="000F7751">
      <w:pPr>
        <w:pStyle w:val="BodyText"/>
        <w:numPr>
          <w:ilvl w:val="3"/>
          <w:numId w:val="32"/>
        </w:numPr>
        <w:spacing w:before="120" w:after="120"/>
        <w:jc w:val="left"/>
      </w:pPr>
      <w:r>
        <w:t>roof installation; and</w:t>
      </w:r>
    </w:p>
    <w:p w14:paraId="181D0EA5" w14:textId="1B6B196A" w:rsidR="000F7751" w:rsidRDefault="000F7751" w:rsidP="000F7751">
      <w:pPr>
        <w:pStyle w:val="BodyText"/>
        <w:numPr>
          <w:ilvl w:val="3"/>
          <w:numId w:val="32"/>
        </w:numPr>
        <w:spacing w:before="120" w:after="120"/>
        <w:jc w:val="left"/>
      </w:pPr>
      <w:r w:rsidRPr="000F7751">
        <w:lastRenderedPageBreak/>
        <w:t>any other of th</w:t>
      </w:r>
      <w:r>
        <w:t xml:space="preserve">e Issues as needed. </w:t>
      </w:r>
    </w:p>
    <w:p w14:paraId="69047CD5" w14:textId="77777777" w:rsidR="000F7751" w:rsidRDefault="000F7751" w:rsidP="000F7751">
      <w:pPr>
        <w:pStyle w:val="BodyText"/>
        <w:numPr>
          <w:ilvl w:val="2"/>
          <w:numId w:val="32"/>
        </w:numPr>
        <w:spacing w:before="120" w:after="120"/>
        <w:jc w:val="left"/>
      </w:pPr>
      <w:r>
        <w:t>Opine as to whether the Issues constitute a breach of the contractor's contractual/statutory obligations and/or have arisen as a result of the contractor failing to comply with its contractual/statutory obligations;</w:t>
      </w:r>
    </w:p>
    <w:p w14:paraId="6C35E645" w14:textId="77777777" w:rsidR="000F7751" w:rsidRDefault="000F7751" w:rsidP="000F7751">
      <w:pPr>
        <w:pStyle w:val="BodyText"/>
        <w:numPr>
          <w:ilvl w:val="2"/>
          <w:numId w:val="32"/>
        </w:numPr>
        <w:spacing w:before="120" w:after="120"/>
        <w:jc w:val="left"/>
      </w:pPr>
      <w:r>
        <w:t>Confirm the remedial works that are reasonably required to satisfactorily rectify the Issues;</w:t>
      </w:r>
    </w:p>
    <w:p w14:paraId="6ACFDEAC" w14:textId="77777777" w:rsidR="000F7751" w:rsidRDefault="000F7751" w:rsidP="000F7751">
      <w:pPr>
        <w:pStyle w:val="BodyText"/>
        <w:numPr>
          <w:ilvl w:val="1"/>
          <w:numId w:val="32"/>
        </w:numPr>
        <w:spacing w:before="120" w:after="120"/>
        <w:jc w:val="left"/>
      </w:pPr>
      <w:r>
        <w:t>Supporting and liaising with the Experts throughout;</w:t>
      </w:r>
    </w:p>
    <w:p w14:paraId="439E6532" w14:textId="4CE8C3F8" w:rsidR="000F7751" w:rsidRDefault="000F7751" w:rsidP="000F7751">
      <w:pPr>
        <w:pStyle w:val="BodyText"/>
        <w:numPr>
          <w:ilvl w:val="1"/>
          <w:numId w:val="32"/>
        </w:numPr>
        <w:spacing w:before="120" w:after="120"/>
        <w:jc w:val="left"/>
      </w:pPr>
      <w:r>
        <w:t>Considering the expert and factual evidence and contractual/legal position. Advising the DIO with respect to its rights of recourse in respect of the Issues, their rectification and any associated costs and recommending the next best steps/strategy as regards the same;</w:t>
      </w:r>
    </w:p>
    <w:p w14:paraId="2E9CFA9E" w14:textId="77777777" w:rsidR="000F7751" w:rsidRDefault="000F7751" w:rsidP="000F7751">
      <w:pPr>
        <w:pStyle w:val="BodyText"/>
        <w:numPr>
          <w:ilvl w:val="1"/>
          <w:numId w:val="32"/>
        </w:numPr>
        <w:spacing w:before="120" w:after="120"/>
        <w:jc w:val="left"/>
      </w:pPr>
      <w:r>
        <w:t>Corresponding with the original contractor (as appropriate) to put it on notice of the Issues, the required remedial works and its responsibility with respect to the same;</w:t>
      </w:r>
    </w:p>
    <w:p w14:paraId="574755DD" w14:textId="79AE76BD" w:rsidR="000F7751" w:rsidRDefault="000F7751" w:rsidP="000F7751">
      <w:pPr>
        <w:pStyle w:val="BodyText"/>
        <w:numPr>
          <w:ilvl w:val="1"/>
          <w:numId w:val="32"/>
        </w:numPr>
        <w:spacing w:before="120" w:after="120"/>
        <w:jc w:val="left"/>
      </w:pPr>
      <w:r>
        <w:t>Attendances on the DIO throughout;</w:t>
      </w:r>
    </w:p>
    <w:p w14:paraId="66B5F0A6" w14:textId="77777777" w:rsidR="000F7751" w:rsidRDefault="000F7751" w:rsidP="000F7751">
      <w:pPr>
        <w:pStyle w:val="BodyText"/>
        <w:spacing w:before="120" w:after="120"/>
        <w:ind w:left="1080"/>
        <w:jc w:val="left"/>
      </w:pPr>
    </w:p>
    <w:p w14:paraId="6CDE09B0" w14:textId="17CB7CC3" w:rsidR="000F7751" w:rsidRDefault="000F7751" w:rsidP="000F7751">
      <w:pPr>
        <w:pStyle w:val="BodyText"/>
        <w:numPr>
          <w:ilvl w:val="0"/>
          <w:numId w:val="32"/>
        </w:numPr>
        <w:spacing w:before="120" w:after="120"/>
        <w:jc w:val="left"/>
      </w:pPr>
      <w:r>
        <w:t>"Stage 2", whi</w:t>
      </w:r>
      <w:r w:rsidR="00E614CD">
        <w:t>ch will comprise (as required and subject to further instruction</w:t>
      </w:r>
      <w:r>
        <w:t>) the following:</w:t>
      </w:r>
    </w:p>
    <w:p w14:paraId="1D2688AB" w14:textId="687EEF5D" w:rsidR="000F7751" w:rsidRDefault="000F7751" w:rsidP="000F7751">
      <w:pPr>
        <w:pStyle w:val="BodyText"/>
        <w:numPr>
          <w:ilvl w:val="1"/>
          <w:numId w:val="32"/>
        </w:numPr>
        <w:spacing w:before="120" w:after="120"/>
        <w:jc w:val="left"/>
      </w:pPr>
      <w:r>
        <w:t>Working with the DIO and the Experts to identify and appoint an appropriate consultant/contractor team to design, cost and deliver the necessary remedial scheme (in so far as the original contractor refuses to undertake the necessary works itself at its own cost);</w:t>
      </w:r>
    </w:p>
    <w:p w14:paraId="6A55D8F7" w14:textId="77777777" w:rsidR="000F7751" w:rsidRDefault="000F7751" w:rsidP="000F7751">
      <w:pPr>
        <w:pStyle w:val="BodyText"/>
        <w:numPr>
          <w:ilvl w:val="1"/>
          <w:numId w:val="32"/>
        </w:numPr>
        <w:spacing w:before="120" w:after="120"/>
        <w:jc w:val="left"/>
      </w:pPr>
      <w:r>
        <w:t>Liaising with the original contractor throughout to keep them updated from a claim mitigation point of view;</w:t>
      </w:r>
    </w:p>
    <w:p w14:paraId="7A717B8E" w14:textId="3C96FDA5" w:rsidR="000F7751" w:rsidRDefault="000F7751" w:rsidP="000F7751">
      <w:pPr>
        <w:pStyle w:val="BodyText"/>
        <w:numPr>
          <w:ilvl w:val="1"/>
          <w:numId w:val="32"/>
        </w:numPr>
        <w:spacing w:before="120" w:after="120"/>
        <w:jc w:val="left"/>
      </w:pPr>
      <w:r>
        <w:t>Attendances on the DIO throughout;</w:t>
      </w:r>
    </w:p>
    <w:p w14:paraId="6E9DF224" w14:textId="77777777" w:rsidR="000F7751" w:rsidRDefault="000F7751" w:rsidP="000F7751">
      <w:pPr>
        <w:pStyle w:val="BodyText"/>
        <w:spacing w:before="120" w:after="120"/>
        <w:ind w:left="1080"/>
        <w:jc w:val="left"/>
      </w:pPr>
    </w:p>
    <w:p w14:paraId="3C5F3D26" w14:textId="3D5F906B" w:rsidR="000F7751" w:rsidRDefault="000F7751" w:rsidP="000F7751">
      <w:pPr>
        <w:pStyle w:val="BodyText"/>
        <w:numPr>
          <w:ilvl w:val="0"/>
          <w:numId w:val="32"/>
        </w:numPr>
        <w:spacing w:before="120" w:after="120"/>
        <w:jc w:val="left"/>
      </w:pPr>
      <w:r>
        <w:t>"Stage 3", whi</w:t>
      </w:r>
      <w:r w:rsidR="00E614CD">
        <w:t>ch will comprise (as required and subject to further instruction</w:t>
      </w:r>
      <w:r>
        <w:t>) the following:</w:t>
      </w:r>
    </w:p>
    <w:p w14:paraId="2CB9AE34" w14:textId="77777777" w:rsidR="000F7751" w:rsidRDefault="000F7751" w:rsidP="000F7751">
      <w:pPr>
        <w:pStyle w:val="BodyText"/>
        <w:numPr>
          <w:ilvl w:val="1"/>
          <w:numId w:val="32"/>
        </w:numPr>
        <w:spacing w:before="120" w:after="120"/>
        <w:jc w:val="left"/>
      </w:pPr>
      <w:r>
        <w:t>Preparation of a detailed letter of claim against the original contractor;</w:t>
      </w:r>
    </w:p>
    <w:p w14:paraId="6A5CBABC" w14:textId="405EBFD3" w:rsidR="000F7751" w:rsidRDefault="000F7751" w:rsidP="000F7751">
      <w:pPr>
        <w:pStyle w:val="BodyText"/>
        <w:numPr>
          <w:ilvl w:val="1"/>
          <w:numId w:val="32"/>
        </w:numPr>
        <w:spacing w:before="120" w:after="120"/>
        <w:jc w:val="left"/>
      </w:pPr>
      <w:r>
        <w:t>Representing the DIO throughout the pre-action protocol process, including reviewing, and advising on and responding to the main contractor's response to the letter of claim and any other correspondence; and representing the DIO at any pre-action protocol/without prejudice meeting;</w:t>
      </w:r>
    </w:p>
    <w:p w14:paraId="0274A0D5" w14:textId="1C8BC1EB" w:rsidR="000F7751" w:rsidRDefault="000F7751" w:rsidP="000F7751">
      <w:pPr>
        <w:pStyle w:val="BodyText"/>
        <w:numPr>
          <w:ilvl w:val="1"/>
          <w:numId w:val="32"/>
        </w:numPr>
        <w:spacing w:before="120" w:after="120"/>
        <w:jc w:val="left"/>
      </w:pPr>
      <w:r>
        <w:t>Advising on the merits of the DIO's claim, settlement parameters and next best steps/strategy;</w:t>
      </w:r>
    </w:p>
    <w:p w14:paraId="4F4AB962" w14:textId="67893506" w:rsidR="000F7751" w:rsidRDefault="000F7751" w:rsidP="000F7751">
      <w:pPr>
        <w:pStyle w:val="BodyText"/>
        <w:numPr>
          <w:ilvl w:val="1"/>
          <w:numId w:val="32"/>
        </w:numPr>
        <w:spacing w:before="120" w:after="120"/>
        <w:jc w:val="left"/>
      </w:pPr>
      <w:r>
        <w:t>Attendances on the DIO throughout;</w:t>
      </w:r>
    </w:p>
    <w:p w14:paraId="00B6D2AE" w14:textId="77777777" w:rsidR="000F7751" w:rsidRDefault="000F7751" w:rsidP="000F7751">
      <w:pPr>
        <w:pStyle w:val="BodyText"/>
        <w:spacing w:before="120" w:after="120"/>
        <w:ind w:left="1080"/>
        <w:jc w:val="left"/>
      </w:pPr>
    </w:p>
    <w:p w14:paraId="00BCFAD0" w14:textId="73320ECD" w:rsidR="000F7751" w:rsidRDefault="000F7751" w:rsidP="000F7751">
      <w:pPr>
        <w:pStyle w:val="BodyText"/>
        <w:numPr>
          <w:ilvl w:val="0"/>
          <w:numId w:val="32"/>
        </w:numPr>
        <w:spacing w:before="120" w:after="120"/>
        <w:jc w:val="left"/>
      </w:pPr>
      <w:r>
        <w:t>"Stage 4", which will comprise (</w:t>
      </w:r>
      <w:r w:rsidR="00E614CD">
        <w:t>as required and subject to further instruction</w:t>
      </w:r>
      <w:r>
        <w:t>) representing the DIO in any formal proceedings or ADR.</w:t>
      </w:r>
    </w:p>
    <w:p w14:paraId="29C4985A" w14:textId="77777777" w:rsidR="000F7751" w:rsidRDefault="000F7751" w:rsidP="00250F84">
      <w:pPr>
        <w:rPr>
          <w:rFonts w:ascii="Arial" w:hAnsi="Arial" w:cs="Arial"/>
          <w:sz w:val="22"/>
          <w:szCs w:val="22"/>
        </w:rPr>
      </w:pPr>
    </w:p>
    <w:p w14:paraId="5E42CB3B" w14:textId="120245AC" w:rsidR="000F7751" w:rsidRDefault="00AF65A0" w:rsidP="00250F84">
      <w:pPr>
        <w:rPr>
          <w:rFonts w:ascii="Arial" w:hAnsi="Arial" w:cs="Arial"/>
          <w:sz w:val="22"/>
          <w:szCs w:val="22"/>
        </w:rPr>
      </w:pPr>
      <w:r>
        <w:rPr>
          <w:rFonts w:ascii="Arial" w:hAnsi="Arial" w:cs="Arial"/>
          <w:sz w:val="22"/>
          <w:szCs w:val="22"/>
        </w:rPr>
        <w:t xml:space="preserve"> </w:t>
      </w:r>
    </w:p>
    <w:p w14:paraId="7BD7C5B2" w14:textId="77777777" w:rsidR="002F11F5" w:rsidRDefault="002F11F5" w:rsidP="00FF7E94">
      <w:pPr>
        <w:tabs>
          <w:tab w:val="left" w:pos="720"/>
          <w:tab w:val="left" w:pos="1470"/>
        </w:tabs>
        <w:rPr>
          <w:rFonts w:ascii="Arial" w:hAnsi="Arial" w:cs="Arial"/>
          <w:b/>
          <w:bCs/>
          <w:sz w:val="22"/>
          <w:szCs w:val="22"/>
        </w:rPr>
      </w:pPr>
    </w:p>
    <w:p w14:paraId="60D4B591" w14:textId="77777777" w:rsidR="002F11F5" w:rsidRDefault="002F11F5" w:rsidP="00FF7E94">
      <w:pPr>
        <w:tabs>
          <w:tab w:val="left" w:pos="720"/>
          <w:tab w:val="left" w:pos="1470"/>
        </w:tabs>
        <w:rPr>
          <w:rFonts w:ascii="Arial" w:hAnsi="Arial" w:cs="Arial"/>
          <w:b/>
          <w:bCs/>
          <w:sz w:val="22"/>
          <w:szCs w:val="22"/>
        </w:rPr>
      </w:pPr>
    </w:p>
    <w:p w14:paraId="34541A3D" w14:textId="77777777" w:rsidR="002F11F5" w:rsidRDefault="002F11F5" w:rsidP="00FF7E94">
      <w:pPr>
        <w:tabs>
          <w:tab w:val="left" w:pos="720"/>
          <w:tab w:val="left" w:pos="1470"/>
        </w:tabs>
        <w:rPr>
          <w:rFonts w:ascii="Arial" w:hAnsi="Arial" w:cs="Arial"/>
          <w:b/>
          <w:bCs/>
          <w:sz w:val="22"/>
          <w:szCs w:val="22"/>
        </w:rPr>
      </w:pPr>
    </w:p>
    <w:p w14:paraId="470CF7C9" w14:textId="77777777" w:rsidR="002F11F5" w:rsidRDefault="002F11F5" w:rsidP="00FF7E94">
      <w:pPr>
        <w:tabs>
          <w:tab w:val="left" w:pos="720"/>
          <w:tab w:val="left" w:pos="1470"/>
        </w:tabs>
        <w:rPr>
          <w:rFonts w:ascii="Arial" w:hAnsi="Arial" w:cs="Arial"/>
          <w:b/>
          <w:bCs/>
          <w:sz w:val="22"/>
          <w:szCs w:val="22"/>
        </w:rPr>
      </w:pPr>
    </w:p>
    <w:p w14:paraId="0130D8EE" w14:textId="77777777" w:rsidR="002F11F5" w:rsidRDefault="002F11F5" w:rsidP="00FF7E94">
      <w:pPr>
        <w:tabs>
          <w:tab w:val="left" w:pos="720"/>
          <w:tab w:val="left" w:pos="1470"/>
        </w:tabs>
        <w:rPr>
          <w:rFonts w:ascii="Arial" w:hAnsi="Arial" w:cs="Arial"/>
          <w:b/>
          <w:bCs/>
          <w:sz w:val="22"/>
          <w:szCs w:val="22"/>
        </w:rPr>
      </w:pPr>
    </w:p>
    <w:p w14:paraId="5247F401" w14:textId="77777777" w:rsidR="002F11F5" w:rsidRDefault="002F11F5" w:rsidP="00FF7E94">
      <w:pPr>
        <w:tabs>
          <w:tab w:val="left" w:pos="720"/>
          <w:tab w:val="left" w:pos="1470"/>
        </w:tabs>
        <w:rPr>
          <w:rFonts w:ascii="Arial" w:hAnsi="Arial" w:cs="Arial"/>
          <w:b/>
          <w:bCs/>
          <w:sz w:val="22"/>
          <w:szCs w:val="22"/>
        </w:rPr>
      </w:pPr>
    </w:p>
    <w:p w14:paraId="2333A7C5" w14:textId="77777777" w:rsidR="002F11F5" w:rsidRDefault="002F11F5" w:rsidP="00FF7E94">
      <w:pPr>
        <w:tabs>
          <w:tab w:val="left" w:pos="720"/>
          <w:tab w:val="left" w:pos="1470"/>
        </w:tabs>
        <w:rPr>
          <w:rFonts w:ascii="Arial" w:hAnsi="Arial" w:cs="Arial"/>
          <w:b/>
          <w:bCs/>
          <w:sz w:val="22"/>
          <w:szCs w:val="22"/>
        </w:rPr>
      </w:pPr>
    </w:p>
    <w:p w14:paraId="20A25E68" w14:textId="77777777" w:rsidR="002F11F5" w:rsidRDefault="002F11F5" w:rsidP="00FF7E94">
      <w:pPr>
        <w:tabs>
          <w:tab w:val="left" w:pos="720"/>
          <w:tab w:val="left" w:pos="1470"/>
        </w:tabs>
        <w:rPr>
          <w:rFonts w:ascii="Arial" w:hAnsi="Arial" w:cs="Arial"/>
          <w:b/>
          <w:bCs/>
          <w:sz w:val="22"/>
          <w:szCs w:val="22"/>
        </w:rPr>
      </w:pPr>
    </w:p>
    <w:p w14:paraId="4A53EEC8" w14:textId="77777777" w:rsidR="002F11F5" w:rsidRDefault="002F11F5" w:rsidP="00FF7E94">
      <w:pPr>
        <w:tabs>
          <w:tab w:val="left" w:pos="720"/>
          <w:tab w:val="left" w:pos="1470"/>
        </w:tabs>
        <w:rPr>
          <w:rFonts w:ascii="Arial" w:hAnsi="Arial" w:cs="Arial"/>
          <w:b/>
          <w:bCs/>
          <w:sz w:val="22"/>
          <w:szCs w:val="22"/>
        </w:rPr>
      </w:pPr>
    </w:p>
    <w:p w14:paraId="3C5BA071" w14:textId="77777777" w:rsidR="002F11F5" w:rsidRDefault="002F11F5" w:rsidP="00FF7E94">
      <w:pPr>
        <w:tabs>
          <w:tab w:val="left" w:pos="720"/>
          <w:tab w:val="left" w:pos="1470"/>
        </w:tabs>
        <w:rPr>
          <w:rFonts w:ascii="Arial" w:hAnsi="Arial" w:cs="Arial"/>
          <w:b/>
          <w:bCs/>
          <w:sz w:val="22"/>
          <w:szCs w:val="22"/>
        </w:rPr>
      </w:pPr>
    </w:p>
    <w:p w14:paraId="02C74385" w14:textId="2226F362" w:rsidR="00767FB1" w:rsidRPr="00C17329" w:rsidRDefault="00767FB1" w:rsidP="00FF7E94">
      <w:pPr>
        <w:tabs>
          <w:tab w:val="left" w:pos="720"/>
          <w:tab w:val="left" w:pos="1470"/>
        </w:tabs>
        <w:rPr>
          <w:rFonts w:ascii="Arial" w:hAnsi="Arial" w:cs="Arial"/>
          <w:sz w:val="22"/>
          <w:szCs w:val="22"/>
        </w:rPr>
      </w:pPr>
      <w:r w:rsidRPr="00C17329">
        <w:rPr>
          <w:rFonts w:ascii="Arial" w:hAnsi="Arial" w:cs="Arial"/>
          <w:b/>
          <w:bCs/>
          <w:sz w:val="22"/>
          <w:szCs w:val="22"/>
        </w:rPr>
        <w:lastRenderedPageBreak/>
        <w:t>Outputs</w:t>
      </w:r>
      <w:r w:rsidR="005761DD" w:rsidRPr="00C17329">
        <w:rPr>
          <w:rFonts w:ascii="Arial" w:hAnsi="Arial" w:cs="Arial"/>
          <w:b/>
          <w:bCs/>
          <w:sz w:val="22"/>
          <w:szCs w:val="22"/>
        </w:rPr>
        <w:t>/Milestone</w:t>
      </w:r>
    </w:p>
    <w:p w14:paraId="7A7053D2" w14:textId="072433B6" w:rsidR="00767FB1" w:rsidRPr="00C17329" w:rsidRDefault="00767FB1" w:rsidP="12DDB7DE">
      <w:pPr>
        <w:rPr>
          <w:rFonts w:ascii="Arial" w:hAnsi="Arial" w:cs="Arial"/>
          <w:b/>
          <w:bCs/>
          <w:sz w:val="22"/>
          <w:szCs w:val="22"/>
        </w:rPr>
      </w:pPr>
    </w:p>
    <w:p w14:paraId="5D962A96" w14:textId="070FCAD2" w:rsidR="00A4514E" w:rsidRPr="00C17329" w:rsidRDefault="001A7575" w:rsidP="001A7575">
      <w:pPr>
        <w:rPr>
          <w:rFonts w:ascii="Arial" w:hAnsi="Arial" w:cs="Arial"/>
          <w:b/>
          <w:bCs/>
          <w:sz w:val="22"/>
          <w:szCs w:val="22"/>
        </w:rPr>
      </w:pPr>
      <w:r w:rsidRPr="00C17329">
        <w:rPr>
          <w:rFonts w:ascii="Arial" w:hAnsi="Arial" w:cs="Arial"/>
          <w:b/>
          <w:bCs/>
          <w:sz w:val="22"/>
          <w:szCs w:val="22"/>
        </w:rPr>
        <w:t>The key areas of work are as follows:</w:t>
      </w:r>
    </w:p>
    <w:p w14:paraId="222C82F5" w14:textId="77777777" w:rsidR="001A7575" w:rsidRPr="00C17329" w:rsidRDefault="001A7575" w:rsidP="001A7575">
      <w:pPr>
        <w:rPr>
          <w:rFonts w:ascii="Arial" w:hAnsi="Arial" w:cs="Arial"/>
          <w:b/>
          <w:bCs/>
          <w:sz w:val="22"/>
          <w:szCs w:val="22"/>
        </w:rPr>
      </w:pPr>
    </w:p>
    <w:p w14:paraId="7EEAEA8C" w14:textId="77777777" w:rsidR="00D12210" w:rsidRPr="00EE07EC" w:rsidRDefault="00D12210" w:rsidP="12DDB7DE">
      <w:pPr>
        <w:rPr>
          <w:rFonts w:ascii="Arial" w:hAnsi="Arial" w:cs="Arial"/>
          <w:sz w:val="22"/>
          <w:szCs w:val="22"/>
        </w:rPr>
      </w:pPr>
    </w:p>
    <w:p w14:paraId="7D7D3BC2" w14:textId="526FB2E9" w:rsidR="00AF65A0" w:rsidRDefault="00AF65A0" w:rsidP="12DDB7DE">
      <w:pPr>
        <w:rPr>
          <w:rFonts w:ascii="Arial" w:hAnsi="Arial" w:cs="Arial"/>
          <w:sz w:val="22"/>
          <w:szCs w:val="22"/>
        </w:rPr>
      </w:pPr>
    </w:p>
    <w:p w14:paraId="2DE33543" w14:textId="085CB32F" w:rsidR="00AF65A0" w:rsidRDefault="00AF65A0" w:rsidP="00AF65A0">
      <w:pPr>
        <w:pStyle w:val="BodyText"/>
        <w:spacing w:before="120" w:after="120"/>
      </w:pPr>
      <w:r>
        <w:t>At this stage, it is estimated that this matter will proceed in accordance with the following timescales:</w:t>
      </w:r>
    </w:p>
    <w:p w14:paraId="007F2017" w14:textId="2E918F45" w:rsidR="00AF65A0" w:rsidRPr="002F11F5" w:rsidRDefault="00AF65A0" w:rsidP="00AF65A0">
      <w:pPr>
        <w:pStyle w:val="BodyText"/>
        <w:numPr>
          <w:ilvl w:val="0"/>
          <w:numId w:val="35"/>
        </w:numPr>
        <w:spacing w:before="120" w:after="120"/>
        <w:rPr>
          <w:color w:val="FF0000"/>
        </w:rPr>
      </w:pPr>
      <w:r>
        <w:t xml:space="preserve">Stage 1: Initial advice to be provided in </w:t>
      </w:r>
      <w:proofErr w:type="spellStart"/>
      <w:r>
        <w:t>accordanace</w:t>
      </w:r>
      <w:proofErr w:type="spellEnd"/>
      <w:r>
        <w:t xml:space="preserve"> with Stage 1(b) within 6 weeks from the start of the Contract. However, this </w:t>
      </w:r>
      <w:r w:rsidRPr="00AF65A0">
        <w:t>will be preliminary a</w:t>
      </w:r>
      <w:r w:rsidR="00E614CD">
        <w:t xml:space="preserve">dvice only at this stage as </w:t>
      </w:r>
      <w:r w:rsidRPr="00AF65A0">
        <w:t xml:space="preserve">all the required evidence </w:t>
      </w:r>
      <w:r>
        <w:t xml:space="preserve">from the Experts </w:t>
      </w:r>
      <w:r w:rsidRPr="00AF65A0">
        <w:t>is unlikely to be available within these timescales.</w:t>
      </w:r>
      <w:r>
        <w:t xml:space="preserve"> It is estimated that Stage 1 will take approximately 2 to 3 months from instruction and provision of the relevant documents to conclude (subject to the availability of the Experts)</w:t>
      </w:r>
      <w:r w:rsidR="000E1068">
        <w:t xml:space="preserve"> </w:t>
      </w:r>
      <w:r w:rsidR="000E1068" w:rsidRPr="002F11F5">
        <w:rPr>
          <w:color w:val="FF0000"/>
        </w:rPr>
        <w:t>If Expert reports are required, DIO will procure and provide these</w:t>
      </w:r>
      <w:proofErr w:type="gramStart"/>
      <w:r w:rsidR="000E1068" w:rsidRPr="002F11F5">
        <w:rPr>
          <w:color w:val="FF0000"/>
        </w:rPr>
        <w:t>.</w:t>
      </w:r>
      <w:r w:rsidRPr="002F11F5">
        <w:rPr>
          <w:color w:val="FF0000"/>
        </w:rPr>
        <w:t>;</w:t>
      </w:r>
      <w:proofErr w:type="gramEnd"/>
    </w:p>
    <w:p w14:paraId="27FEB02E" w14:textId="663CC697" w:rsidR="00AF65A0" w:rsidRDefault="00AF65A0" w:rsidP="00AF65A0">
      <w:pPr>
        <w:pStyle w:val="BodyText"/>
        <w:numPr>
          <w:ilvl w:val="0"/>
          <w:numId w:val="35"/>
        </w:numPr>
        <w:spacing w:before="120" w:after="120"/>
      </w:pPr>
      <w:r>
        <w:t>Stage 2: It is estimated that Stage 2 will, subject to the availability of the contractor/consultant team, take approximately 6 months to conclude and that it will run sequentially to Stage 1;</w:t>
      </w:r>
    </w:p>
    <w:p w14:paraId="70B9936D" w14:textId="6859E374" w:rsidR="00AF65A0" w:rsidRDefault="00AF65A0" w:rsidP="00AF65A0">
      <w:pPr>
        <w:pStyle w:val="BodyText"/>
        <w:numPr>
          <w:ilvl w:val="0"/>
          <w:numId w:val="35"/>
        </w:numPr>
        <w:spacing w:before="120" w:after="120"/>
      </w:pPr>
      <w:r>
        <w:t>Stage 3: It is estimated that Stage 3 will take approximately 3 to 6 months to conclude and that it will run at least partly in parallel with Stage 2;</w:t>
      </w:r>
    </w:p>
    <w:p w14:paraId="5B77C1F7" w14:textId="271CCBAD" w:rsidR="00AF65A0" w:rsidRDefault="00AF65A0" w:rsidP="00AF65A0">
      <w:pPr>
        <w:pStyle w:val="BodyText"/>
        <w:numPr>
          <w:ilvl w:val="0"/>
          <w:numId w:val="35"/>
        </w:numPr>
        <w:spacing w:before="120" w:after="120"/>
      </w:pPr>
      <w:r>
        <w:t xml:space="preserve">Stage 4: </w:t>
      </w:r>
      <w:r w:rsidRPr="00AF65A0">
        <w:t>The timescales for Stage 4 will largely depend on whether proceedings take the form of adjudication or court proceedings and the timetable and d</w:t>
      </w:r>
      <w:r w:rsidR="000330D1">
        <w:t>uration of those proceedings. Addleshaw Goddard</w:t>
      </w:r>
      <w:r w:rsidRPr="00AF65A0">
        <w:t xml:space="preserve"> will advise further in due course.</w:t>
      </w:r>
    </w:p>
    <w:p w14:paraId="00C530C5" w14:textId="04CFD52B" w:rsidR="12DDB7DE" w:rsidRPr="00C17329" w:rsidRDefault="001A7575" w:rsidP="12DDB7DE">
      <w:pPr>
        <w:rPr>
          <w:rFonts w:ascii="Arial" w:hAnsi="Arial" w:cs="Arial"/>
          <w:sz w:val="22"/>
          <w:szCs w:val="22"/>
        </w:rPr>
      </w:pPr>
      <w:r w:rsidRPr="00C17329">
        <w:rPr>
          <w:rFonts w:ascii="Arial" w:hAnsi="Arial" w:cs="Arial"/>
          <w:sz w:val="22"/>
          <w:szCs w:val="22"/>
        </w:rPr>
        <w:tab/>
      </w:r>
    </w:p>
    <w:p w14:paraId="0C663618" w14:textId="467B9346" w:rsidR="12DDB7DE" w:rsidRPr="00C17329" w:rsidRDefault="12DDB7DE" w:rsidP="12DDB7DE">
      <w:pPr>
        <w:rPr>
          <w:rFonts w:ascii="Arial" w:hAnsi="Arial" w:cs="Arial"/>
          <w:b/>
          <w:bCs/>
          <w:sz w:val="22"/>
          <w:szCs w:val="22"/>
        </w:rPr>
      </w:pPr>
      <w:r w:rsidRPr="00C17329">
        <w:rPr>
          <w:rFonts w:ascii="Arial" w:hAnsi="Arial" w:cs="Arial"/>
          <w:b/>
          <w:bCs/>
          <w:sz w:val="22"/>
          <w:szCs w:val="22"/>
        </w:rPr>
        <w:t>Payment</w:t>
      </w:r>
    </w:p>
    <w:p w14:paraId="1C3E2644" w14:textId="77777777" w:rsidR="002803EC" w:rsidRPr="00C17329" w:rsidRDefault="002803EC" w:rsidP="12DDB7DE">
      <w:pPr>
        <w:rPr>
          <w:rFonts w:ascii="Arial" w:hAnsi="Arial" w:cs="Arial"/>
          <w:b/>
          <w:bCs/>
          <w:sz w:val="22"/>
          <w:szCs w:val="22"/>
        </w:rPr>
      </w:pPr>
    </w:p>
    <w:p w14:paraId="57C28221" w14:textId="36EF4BAB" w:rsidR="000F7D71" w:rsidRPr="002F11F5" w:rsidRDefault="000E1068" w:rsidP="001D1193">
      <w:pPr>
        <w:rPr>
          <w:rFonts w:ascii="Arial" w:hAnsi="Arial" w:cs="Arial"/>
          <w:sz w:val="20"/>
          <w:szCs w:val="20"/>
        </w:rPr>
      </w:pPr>
      <w:r w:rsidRPr="002F11F5">
        <w:rPr>
          <w:rFonts w:ascii="Arial" w:hAnsi="Arial" w:cs="Arial"/>
          <w:bCs/>
          <w:color w:val="FF0000"/>
          <w:sz w:val="20"/>
          <w:szCs w:val="20"/>
        </w:rPr>
        <w:t xml:space="preserve">DIO to be briefed on scope of work and grade of staff to be used for </w:t>
      </w:r>
      <w:r w:rsidR="0098050D" w:rsidRPr="002F11F5">
        <w:rPr>
          <w:rFonts w:ascii="Arial" w:hAnsi="Arial" w:cs="Arial"/>
          <w:bCs/>
          <w:color w:val="FF0000"/>
          <w:sz w:val="20"/>
          <w:szCs w:val="20"/>
        </w:rPr>
        <w:t xml:space="preserve">fees on </w:t>
      </w:r>
      <w:r w:rsidRPr="002F11F5">
        <w:rPr>
          <w:rFonts w:ascii="Arial" w:hAnsi="Arial" w:cs="Arial"/>
          <w:bCs/>
          <w:color w:val="FF0000"/>
          <w:sz w:val="20"/>
          <w:szCs w:val="20"/>
        </w:rPr>
        <w:t>each invoice before it is raised and issued to</w:t>
      </w:r>
      <w:r w:rsidR="0098050D" w:rsidRPr="002F11F5">
        <w:rPr>
          <w:rFonts w:ascii="Arial" w:hAnsi="Arial" w:cs="Arial"/>
          <w:bCs/>
          <w:color w:val="FF0000"/>
          <w:sz w:val="20"/>
          <w:szCs w:val="20"/>
        </w:rPr>
        <w:t xml:space="preserve"> DIO.</w:t>
      </w:r>
      <w:r w:rsidRPr="002F11F5">
        <w:rPr>
          <w:rFonts w:ascii="Arial" w:hAnsi="Arial" w:cs="Arial"/>
          <w:bCs/>
          <w:color w:val="FF0000"/>
          <w:sz w:val="20"/>
          <w:szCs w:val="20"/>
        </w:rPr>
        <w:t xml:space="preserve"> </w:t>
      </w:r>
      <w:r w:rsidR="0098050D" w:rsidRPr="002F11F5">
        <w:rPr>
          <w:rFonts w:ascii="Arial" w:hAnsi="Arial" w:cs="Arial"/>
          <w:bCs/>
          <w:color w:val="FF0000"/>
          <w:sz w:val="20"/>
          <w:szCs w:val="20"/>
        </w:rPr>
        <w:t xml:space="preserve">Once agreed, </w:t>
      </w:r>
      <w:r w:rsidR="0027492C" w:rsidRPr="002F11F5">
        <w:rPr>
          <w:rFonts w:ascii="Arial" w:hAnsi="Arial" w:cs="Arial"/>
          <w:sz w:val="20"/>
          <w:szCs w:val="20"/>
        </w:rPr>
        <w:t>Invoices</w:t>
      </w:r>
      <w:r w:rsidR="0098050D" w:rsidRPr="002F11F5">
        <w:rPr>
          <w:rFonts w:ascii="Arial" w:hAnsi="Arial" w:cs="Arial"/>
          <w:color w:val="FF0000"/>
          <w:sz w:val="20"/>
          <w:szCs w:val="20"/>
        </w:rPr>
        <w:t xml:space="preserve"> are</w:t>
      </w:r>
      <w:r w:rsidR="00D12210" w:rsidRPr="002F11F5">
        <w:rPr>
          <w:rFonts w:ascii="Arial" w:hAnsi="Arial" w:cs="Arial"/>
          <w:color w:val="FF0000"/>
          <w:sz w:val="20"/>
          <w:szCs w:val="20"/>
        </w:rPr>
        <w:t xml:space="preserve"> </w:t>
      </w:r>
      <w:r w:rsidR="00D12210" w:rsidRPr="002F11F5">
        <w:rPr>
          <w:rFonts w:ascii="Arial" w:hAnsi="Arial" w:cs="Arial"/>
          <w:sz w:val="20"/>
          <w:szCs w:val="20"/>
        </w:rPr>
        <w:t xml:space="preserve">to be issued to </w:t>
      </w:r>
      <w:r w:rsidR="004203D3" w:rsidRPr="002F11F5">
        <w:rPr>
          <w:rFonts w:ascii="Arial" w:hAnsi="Arial" w:cs="Arial"/>
          <w:sz w:val="20"/>
          <w:szCs w:val="20"/>
        </w:rPr>
        <w:t>DIO (</w:t>
      </w:r>
      <w:r w:rsidR="00D12210" w:rsidRPr="002F11F5">
        <w:rPr>
          <w:rFonts w:ascii="Arial" w:hAnsi="Arial" w:cs="Arial"/>
          <w:sz w:val="20"/>
          <w:szCs w:val="20"/>
        </w:rPr>
        <w:t>Case Officer</w:t>
      </w:r>
      <w:r w:rsidR="004203D3" w:rsidRPr="002F11F5">
        <w:rPr>
          <w:rFonts w:ascii="Arial" w:hAnsi="Arial" w:cs="Arial"/>
          <w:sz w:val="20"/>
          <w:szCs w:val="20"/>
        </w:rPr>
        <w:t xml:space="preserve"> &amp; Commercial Manager) </w:t>
      </w:r>
      <w:proofErr w:type="gramStart"/>
      <w:r w:rsidR="0027492C" w:rsidRPr="002F11F5">
        <w:rPr>
          <w:rFonts w:ascii="Arial" w:hAnsi="Arial" w:cs="Arial"/>
          <w:sz w:val="20"/>
          <w:szCs w:val="20"/>
        </w:rPr>
        <w:t>on a monthly basis</w:t>
      </w:r>
      <w:proofErr w:type="gramEnd"/>
      <w:r w:rsidR="00D12210" w:rsidRPr="002F11F5">
        <w:rPr>
          <w:rFonts w:ascii="Arial" w:hAnsi="Arial" w:cs="Arial"/>
          <w:sz w:val="20"/>
          <w:szCs w:val="20"/>
        </w:rPr>
        <w:t xml:space="preserve"> but should </w:t>
      </w:r>
      <w:r w:rsidR="004203D3" w:rsidRPr="002F11F5">
        <w:rPr>
          <w:rFonts w:ascii="Arial" w:hAnsi="Arial" w:cs="Arial"/>
          <w:sz w:val="20"/>
          <w:szCs w:val="20"/>
        </w:rPr>
        <w:t>only be uploaded to Exostar once approval has been confirmed by the Case Officer.</w:t>
      </w:r>
    </w:p>
    <w:p w14:paraId="256B8FC0" w14:textId="77777777" w:rsidR="002F642B" w:rsidRPr="002F11F5" w:rsidRDefault="002F642B" w:rsidP="001D1193">
      <w:pPr>
        <w:rPr>
          <w:rFonts w:ascii="Arial" w:hAnsi="Arial" w:cs="Arial"/>
          <w:bCs/>
          <w:sz w:val="20"/>
          <w:szCs w:val="20"/>
        </w:rPr>
      </w:pPr>
    </w:p>
    <w:p w14:paraId="363F1195" w14:textId="17CEF835" w:rsidR="00C32E28" w:rsidRPr="002F11F5" w:rsidRDefault="00C32E28" w:rsidP="001D1193">
      <w:pPr>
        <w:rPr>
          <w:rFonts w:ascii="Arial" w:hAnsi="Arial" w:cs="Arial"/>
          <w:bCs/>
          <w:sz w:val="20"/>
          <w:szCs w:val="20"/>
        </w:rPr>
      </w:pPr>
      <w:r w:rsidRPr="002F11F5">
        <w:rPr>
          <w:rFonts w:ascii="Arial" w:hAnsi="Arial" w:cs="Arial"/>
          <w:bCs/>
          <w:sz w:val="20"/>
          <w:szCs w:val="20"/>
        </w:rPr>
        <w:t xml:space="preserve">The case officer to </w:t>
      </w:r>
      <w:r w:rsidR="008C361B" w:rsidRPr="002F11F5">
        <w:rPr>
          <w:rFonts w:ascii="Arial" w:hAnsi="Arial" w:cs="Arial"/>
          <w:bCs/>
          <w:sz w:val="20"/>
          <w:szCs w:val="20"/>
        </w:rPr>
        <w:t xml:space="preserve">see and check invoices before payment. </w:t>
      </w:r>
    </w:p>
    <w:p w14:paraId="16AF0895" w14:textId="018EE822" w:rsidR="00AF65A0" w:rsidRPr="002F11F5" w:rsidRDefault="00AF65A0" w:rsidP="001D1193">
      <w:pPr>
        <w:rPr>
          <w:rFonts w:ascii="Arial" w:hAnsi="Arial" w:cs="Arial"/>
          <w:bCs/>
          <w:sz w:val="20"/>
          <w:szCs w:val="20"/>
        </w:rPr>
      </w:pPr>
    </w:p>
    <w:p w14:paraId="282DC867" w14:textId="7465A687" w:rsidR="00AF65A0" w:rsidRPr="002F11F5" w:rsidRDefault="00AF65A0" w:rsidP="00AF65A0">
      <w:pPr>
        <w:pStyle w:val="BodyText"/>
        <w:keepNext/>
        <w:spacing w:before="120" w:after="120"/>
      </w:pPr>
      <w:r w:rsidRPr="002F11F5">
        <w:t xml:space="preserve">Addleshaw Goddard's fees for the scope of services detailed above will be: </w:t>
      </w:r>
    </w:p>
    <w:p w14:paraId="7F6DDD19" w14:textId="704D5748" w:rsidR="00AF65A0" w:rsidRPr="002F11F5" w:rsidRDefault="00AF65A0" w:rsidP="00AF65A0">
      <w:pPr>
        <w:pStyle w:val="Note1"/>
        <w:numPr>
          <w:ilvl w:val="0"/>
          <w:numId w:val="34"/>
        </w:numPr>
        <w:tabs>
          <w:tab w:val="left" w:pos="720"/>
        </w:tabs>
        <w:spacing w:after="120"/>
        <w:rPr>
          <w:strike/>
        </w:rPr>
      </w:pPr>
      <w:r w:rsidRPr="002F11F5">
        <w:t xml:space="preserve">Stage 1: An estimated fee of £45,000 to £50,000 plus VAT and disbursements. </w:t>
      </w:r>
      <w:r w:rsidRPr="002F11F5">
        <w:rPr>
          <w:strike/>
        </w:rPr>
        <w:t>The fees of the Experts are not included within this e</w:t>
      </w:r>
      <w:r w:rsidR="00E614CD" w:rsidRPr="002F11F5">
        <w:rPr>
          <w:strike/>
        </w:rPr>
        <w:t>stimate and will be payable in addition.</w:t>
      </w:r>
    </w:p>
    <w:p w14:paraId="34C80570" w14:textId="77777777" w:rsidR="00AF65A0" w:rsidRPr="002F11F5" w:rsidRDefault="00AF65A0" w:rsidP="00AF65A0">
      <w:pPr>
        <w:pStyle w:val="Note1"/>
        <w:numPr>
          <w:ilvl w:val="0"/>
          <w:numId w:val="34"/>
        </w:numPr>
        <w:tabs>
          <w:tab w:val="left" w:pos="720"/>
        </w:tabs>
        <w:spacing w:after="120"/>
      </w:pPr>
      <w:r w:rsidRPr="002F11F5">
        <w:t xml:space="preserve">Stage 2: TBC on completion Stage </w:t>
      </w:r>
      <w:proofErr w:type="gramStart"/>
      <w:r w:rsidRPr="002F11F5">
        <w:t>1;</w:t>
      </w:r>
      <w:proofErr w:type="gramEnd"/>
    </w:p>
    <w:p w14:paraId="78856F2D" w14:textId="77777777" w:rsidR="00AF65A0" w:rsidRPr="002F11F5" w:rsidRDefault="00AF65A0" w:rsidP="00AF65A0">
      <w:pPr>
        <w:pStyle w:val="Note1"/>
        <w:numPr>
          <w:ilvl w:val="0"/>
          <w:numId w:val="34"/>
        </w:numPr>
        <w:tabs>
          <w:tab w:val="left" w:pos="720"/>
        </w:tabs>
        <w:spacing w:after="120"/>
      </w:pPr>
      <w:r w:rsidRPr="002F11F5">
        <w:t xml:space="preserve">Stage 3: TBC on completion of Stage </w:t>
      </w:r>
      <w:proofErr w:type="gramStart"/>
      <w:r w:rsidRPr="002F11F5">
        <w:t>2;</w:t>
      </w:r>
      <w:proofErr w:type="gramEnd"/>
    </w:p>
    <w:p w14:paraId="32071B38" w14:textId="77777777" w:rsidR="00AF65A0" w:rsidRPr="002F11F5" w:rsidRDefault="00AF65A0" w:rsidP="00AF65A0">
      <w:pPr>
        <w:pStyle w:val="Note1"/>
        <w:numPr>
          <w:ilvl w:val="0"/>
          <w:numId w:val="34"/>
        </w:numPr>
        <w:tabs>
          <w:tab w:val="left" w:pos="720"/>
        </w:tabs>
        <w:spacing w:after="120"/>
      </w:pPr>
      <w:r w:rsidRPr="002F11F5">
        <w:t>Stage 4: TBC on completion of Stage 3.</w:t>
      </w:r>
    </w:p>
    <w:p w14:paraId="626C133A" w14:textId="77777777" w:rsidR="00AF65A0" w:rsidRPr="00EE07EC" w:rsidRDefault="00AF65A0" w:rsidP="001D1193">
      <w:pPr>
        <w:rPr>
          <w:rFonts w:ascii="Arial" w:hAnsi="Arial" w:cs="Arial"/>
          <w:bCs/>
          <w:sz w:val="22"/>
          <w:szCs w:val="22"/>
        </w:rPr>
      </w:pPr>
    </w:p>
    <w:p w14:paraId="271CD264" w14:textId="77777777" w:rsidR="00AE57A1" w:rsidRPr="00EE07EC" w:rsidRDefault="00AE57A1" w:rsidP="001D1193">
      <w:pPr>
        <w:rPr>
          <w:rFonts w:ascii="Arial" w:hAnsi="Arial" w:cs="Arial"/>
          <w:bCs/>
          <w:sz w:val="22"/>
          <w:szCs w:val="22"/>
        </w:rPr>
      </w:pPr>
    </w:p>
    <w:p w14:paraId="113C0462" w14:textId="4680D594" w:rsidR="00AE57A1" w:rsidRPr="00EE07EC" w:rsidRDefault="00AE57A1" w:rsidP="001D1193">
      <w:pPr>
        <w:rPr>
          <w:rFonts w:ascii="Arial" w:hAnsi="Arial" w:cs="Arial"/>
          <w:bCs/>
          <w:sz w:val="22"/>
          <w:szCs w:val="22"/>
        </w:rPr>
      </w:pPr>
    </w:p>
    <w:p w14:paraId="0E32E9C4" w14:textId="43ED3FAA" w:rsidR="00AE57A1" w:rsidRPr="00EE07EC" w:rsidRDefault="00AE57A1" w:rsidP="00AE57A1">
      <w:pPr>
        <w:rPr>
          <w:rFonts w:ascii="Arial" w:hAnsi="Arial" w:cs="Arial"/>
          <w:b/>
          <w:bCs/>
          <w:sz w:val="22"/>
          <w:szCs w:val="22"/>
        </w:rPr>
      </w:pPr>
      <w:r w:rsidRPr="00EE07EC">
        <w:rPr>
          <w:rFonts w:ascii="Arial" w:hAnsi="Arial" w:cs="Arial"/>
          <w:b/>
          <w:bCs/>
          <w:sz w:val="22"/>
          <w:szCs w:val="22"/>
        </w:rPr>
        <w:t>INTELLECTUAL PROPERTY (IP) RIGHTS (KNOWN as IPR)</w:t>
      </w:r>
    </w:p>
    <w:p w14:paraId="523ECAEF" w14:textId="77777777" w:rsidR="00AE57A1" w:rsidRPr="00EE07EC" w:rsidRDefault="00AE57A1" w:rsidP="00AE57A1">
      <w:pPr>
        <w:rPr>
          <w:rFonts w:ascii="Arial" w:hAnsi="Arial" w:cs="Arial"/>
        </w:rPr>
      </w:pPr>
    </w:p>
    <w:p w14:paraId="4DFC1EA5" w14:textId="77777777" w:rsidR="00AE57A1" w:rsidRPr="002F11F5" w:rsidRDefault="00AE57A1" w:rsidP="00AE57A1">
      <w:pPr>
        <w:spacing w:after="160" w:line="259" w:lineRule="auto"/>
        <w:contextualSpacing/>
        <w:rPr>
          <w:rFonts w:ascii="Arial" w:hAnsi="Arial" w:cs="Arial"/>
          <w:sz w:val="20"/>
          <w:szCs w:val="20"/>
        </w:rPr>
      </w:pPr>
      <w:r w:rsidRPr="002F11F5">
        <w:rPr>
          <w:rFonts w:ascii="Arial" w:hAnsi="Arial" w:cs="Arial"/>
          <w:sz w:val="20"/>
          <w:szCs w:val="20"/>
        </w:rPr>
        <w:t>It will be assumed that all work in Draft and Final format will be owned entirely by the          MoD.</w:t>
      </w:r>
    </w:p>
    <w:p w14:paraId="578E6E86" w14:textId="77777777" w:rsidR="00AE57A1" w:rsidRPr="00EE07EC" w:rsidRDefault="00AE57A1" w:rsidP="001D1193">
      <w:pPr>
        <w:rPr>
          <w:rFonts w:ascii="Arial" w:hAnsi="Arial" w:cs="Arial"/>
          <w:bCs/>
          <w:sz w:val="22"/>
          <w:szCs w:val="22"/>
        </w:rPr>
      </w:pPr>
    </w:p>
    <w:p w14:paraId="0DDF7589" w14:textId="3F5E2267" w:rsidR="001D1193" w:rsidRPr="00C17329" w:rsidRDefault="001D1193" w:rsidP="001D1193">
      <w:pPr>
        <w:pStyle w:val="ListParagraph"/>
        <w:ind w:left="502"/>
        <w:rPr>
          <w:rFonts w:ascii="Arial" w:hAnsi="Arial" w:cs="Arial"/>
          <w:b/>
          <w:bCs/>
          <w:sz w:val="22"/>
          <w:szCs w:val="22"/>
        </w:rPr>
      </w:pPr>
    </w:p>
    <w:p w14:paraId="195AA595" w14:textId="77777777" w:rsidR="001D1193" w:rsidRPr="00C17329" w:rsidRDefault="001D1193" w:rsidP="001D1193">
      <w:pPr>
        <w:pStyle w:val="ListParagraph"/>
        <w:ind w:left="502"/>
        <w:rPr>
          <w:rFonts w:ascii="Arial" w:hAnsi="Arial" w:cs="Arial"/>
          <w:b/>
          <w:bCs/>
          <w:sz w:val="22"/>
          <w:szCs w:val="22"/>
        </w:rPr>
      </w:pPr>
    </w:p>
    <w:p w14:paraId="2F78A4F9" w14:textId="3B28236F" w:rsidR="00FF675E" w:rsidRPr="00C17329" w:rsidRDefault="002747D1">
      <w:pPr>
        <w:rPr>
          <w:rFonts w:ascii="Arial" w:hAnsi="Arial" w:cs="Arial"/>
          <w:b/>
          <w:bCs/>
          <w:sz w:val="22"/>
          <w:szCs w:val="22"/>
        </w:rPr>
      </w:pPr>
      <w:r w:rsidRPr="00C17329">
        <w:rPr>
          <w:rFonts w:ascii="Arial" w:hAnsi="Arial" w:cs="Arial"/>
          <w:b/>
          <w:bCs/>
          <w:sz w:val="22"/>
          <w:szCs w:val="22"/>
        </w:rPr>
        <w:t>L Spaldin</w:t>
      </w:r>
      <w:r w:rsidR="006C2FA3" w:rsidRPr="00C17329">
        <w:rPr>
          <w:rFonts w:ascii="Arial" w:hAnsi="Arial" w:cs="Arial"/>
          <w:b/>
          <w:bCs/>
          <w:sz w:val="22"/>
          <w:szCs w:val="22"/>
        </w:rPr>
        <w:t>g</w:t>
      </w:r>
      <w:r w:rsidR="001D1193" w:rsidRPr="00C17329">
        <w:rPr>
          <w:rFonts w:ascii="Arial" w:hAnsi="Arial" w:cs="Arial"/>
          <w:b/>
          <w:bCs/>
          <w:sz w:val="22"/>
          <w:szCs w:val="22"/>
        </w:rPr>
        <w:t xml:space="preserve"> </w:t>
      </w:r>
    </w:p>
    <w:p w14:paraId="4019238C" w14:textId="77777777" w:rsidR="00FF675E" w:rsidRPr="00C17329" w:rsidRDefault="00FF675E">
      <w:pPr>
        <w:rPr>
          <w:rFonts w:ascii="Arial" w:hAnsi="Arial" w:cs="Arial"/>
          <w:b/>
          <w:bCs/>
          <w:sz w:val="22"/>
          <w:szCs w:val="22"/>
        </w:rPr>
      </w:pPr>
    </w:p>
    <w:p w14:paraId="7C1E1C74" w14:textId="77777777" w:rsidR="00FF675E" w:rsidRPr="00C17329" w:rsidRDefault="00FF675E">
      <w:pPr>
        <w:rPr>
          <w:rFonts w:ascii="Arial" w:hAnsi="Arial" w:cs="Arial"/>
          <w:b/>
          <w:bCs/>
          <w:sz w:val="22"/>
          <w:szCs w:val="22"/>
        </w:rPr>
      </w:pPr>
      <w:r w:rsidRPr="00C17329">
        <w:rPr>
          <w:rFonts w:ascii="Arial" w:hAnsi="Arial" w:cs="Arial"/>
          <w:b/>
          <w:bCs/>
          <w:sz w:val="22"/>
          <w:szCs w:val="22"/>
        </w:rPr>
        <w:t>DIO Acquisitions and Disposals</w:t>
      </w:r>
    </w:p>
    <w:p w14:paraId="063745A0" w14:textId="001538D5" w:rsidR="00FF675E" w:rsidRPr="00C17329" w:rsidRDefault="001955DC">
      <w:pPr>
        <w:rPr>
          <w:rFonts w:ascii="Arial" w:hAnsi="Arial" w:cs="Arial"/>
          <w:b/>
          <w:bCs/>
          <w:sz w:val="22"/>
          <w:szCs w:val="22"/>
        </w:rPr>
      </w:pPr>
      <w:r w:rsidRPr="00C17329">
        <w:rPr>
          <w:rFonts w:ascii="Arial" w:hAnsi="Arial" w:cs="Arial"/>
          <w:b/>
          <w:bCs/>
          <w:sz w:val="22"/>
          <w:szCs w:val="22"/>
        </w:rPr>
        <w:t>5</w:t>
      </w:r>
      <w:r w:rsidR="001D1193" w:rsidRPr="00C17329">
        <w:rPr>
          <w:rFonts w:ascii="Arial" w:hAnsi="Arial" w:cs="Arial"/>
          <w:b/>
          <w:bCs/>
          <w:sz w:val="22"/>
          <w:szCs w:val="22"/>
        </w:rPr>
        <w:t xml:space="preserve"> Floor,</w:t>
      </w:r>
      <w:r w:rsidR="00FF675E" w:rsidRPr="00C17329">
        <w:rPr>
          <w:rFonts w:ascii="Arial" w:hAnsi="Arial" w:cs="Arial"/>
          <w:b/>
          <w:bCs/>
          <w:sz w:val="22"/>
          <w:szCs w:val="22"/>
        </w:rPr>
        <w:t xml:space="preserve"> </w:t>
      </w:r>
      <w:r w:rsidR="001D1193" w:rsidRPr="00C17329">
        <w:rPr>
          <w:rFonts w:ascii="Arial" w:hAnsi="Arial" w:cs="Arial"/>
          <w:b/>
          <w:bCs/>
          <w:sz w:val="22"/>
          <w:szCs w:val="22"/>
        </w:rPr>
        <w:t xml:space="preserve">Zone </w:t>
      </w:r>
      <w:r w:rsidR="00472298" w:rsidRPr="00C17329">
        <w:rPr>
          <w:rFonts w:ascii="Arial" w:hAnsi="Arial" w:cs="Arial"/>
          <w:b/>
          <w:bCs/>
          <w:sz w:val="22"/>
          <w:szCs w:val="22"/>
        </w:rPr>
        <w:t>H</w:t>
      </w:r>
    </w:p>
    <w:p w14:paraId="4A904DDB" w14:textId="4B6E4BFA" w:rsidR="00FF675E" w:rsidRPr="00C17329" w:rsidRDefault="00472298">
      <w:pPr>
        <w:rPr>
          <w:rFonts w:ascii="Arial" w:hAnsi="Arial" w:cs="Arial"/>
          <w:b/>
          <w:bCs/>
          <w:sz w:val="22"/>
          <w:szCs w:val="22"/>
        </w:rPr>
      </w:pPr>
      <w:r w:rsidRPr="00C17329">
        <w:rPr>
          <w:rFonts w:ascii="Arial" w:hAnsi="Arial" w:cs="Arial"/>
          <w:b/>
          <w:bCs/>
          <w:sz w:val="22"/>
          <w:szCs w:val="22"/>
        </w:rPr>
        <w:t>Main Building</w:t>
      </w:r>
    </w:p>
    <w:p w14:paraId="4253797C" w14:textId="0F0C2CEB" w:rsidR="00FF675E" w:rsidRPr="00C17329" w:rsidRDefault="00472298">
      <w:pPr>
        <w:rPr>
          <w:rFonts w:ascii="Arial" w:hAnsi="Arial" w:cs="Arial"/>
          <w:b/>
          <w:bCs/>
          <w:sz w:val="22"/>
          <w:szCs w:val="22"/>
        </w:rPr>
      </w:pPr>
      <w:r w:rsidRPr="00C17329">
        <w:rPr>
          <w:rFonts w:ascii="Arial" w:hAnsi="Arial" w:cs="Arial"/>
          <w:b/>
          <w:bCs/>
          <w:sz w:val="22"/>
          <w:szCs w:val="22"/>
        </w:rPr>
        <w:t>London</w:t>
      </w:r>
    </w:p>
    <w:sectPr w:rsidR="00FF675E" w:rsidRPr="00C17329" w:rsidSect="008D289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ABD74" w14:textId="77777777" w:rsidR="00A52B91" w:rsidRDefault="00A52B91" w:rsidP="00A0275F">
      <w:r>
        <w:separator/>
      </w:r>
    </w:p>
  </w:endnote>
  <w:endnote w:type="continuationSeparator" w:id="0">
    <w:p w14:paraId="45809F29" w14:textId="77777777" w:rsidR="00A52B91" w:rsidRDefault="00A52B91" w:rsidP="00A0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23B5E" w14:textId="02924F05" w:rsidR="00A0275F" w:rsidRDefault="12DDB7DE">
    <w:pPr>
      <w:pStyle w:val="Footer"/>
      <w:jc w:val="center"/>
    </w:pPr>
    <w:r>
      <w:t xml:space="preserve">Page </w:t>
    </w:r>
    <w:r w:rsidR="00A0275F" w:rsidRPr="12DDB7DE">
      <w:rPr>
        <w:b/>
        <w:bCs/>
        <w:noProof/>
      </w:rPr>
      <w:fldChar w:fldCharType="begin"/>
    </w:r>
    <w:r w:rsidR="00A0275F" w:rsidRPr="12DDB7DE">
      <w:rPr>
        <w:b/>
        <w:bCs/>
        <w:noProof/>
      </w:rPr>
      <w:instrText xml:space="preserve"> PAGE </w:instrText>
    </w:r>
    <w:r w:rsidR="00A0275F" w:rsidRPr="12DDB7DE">
      <w:rPr>
        <w:b/>
        <w:bCs/>
        <w:noProof/>
      </w:rPr>
      <w:fldChar w:fldCharType="separate"/>
    </w:r>
    <w:r w:rsidR="00E614CD">
      <w:rPr>
        <w:b/>
        <w:bCs/>
        <w:noProof/>
      </w:rPr>
      <w:t>5</w:t>
    </w:r>
    <w:r w:rsidR="00A0275F" w:rsidRPr="12DDB7DE">
      <w:rPr>
        <w:b/>
        <w:bCs/>
        <w:noProof/>
      </w:rPr>
      <w:fldChar w:fldCharType="end"/>
    </w:r>
    <w:r>
      <w:t xml:space="preserve"> of </w:t>
    </w:r>
    <w:r w:rsidR="00A0275F" w:rsidRPr="12DDB7DE">
      <w:rPr>
        <w:b/>
        <w:bCs/>
        <w:noProof/>
      </w:rPr>
      <w:fldChar w:fldCharType="begin"/>
    </w:r>
    <w:r w:rsidR="00A0275F" w:rsidRPr="12DDB7DE">
      <w:rPr>
        <w:b/>
        <w:bCs/>
        <w:noProof/>
      </w:rPr>
      <w:instrText xml:space="preserve"> NUMPAGES  </w:instrText>
    </w:r>
    <w:r w:rsidR="00A0275F" w:rsidRPr="12DDB7DE">
      <w:rPr>
        <w:b/>
        <w:bCs/>
        <w:noProof/>
      </w:rPr>
      <w:fldChar w:fldCharType="separate"/>
    </w:r>
    <w:r w:rsidR="00E614CD">
      <w:rPr>
        <w:b/>
        <w:bCs/>
        <w:noProof/>
      </w:rPr>
      <w:t>5</w:t>
    </w:r>
    <w:r w:rsidR="00A0275F" w:rsidRPr="12DDB7DE">
      <w:rPr>
        <w:b/>
        <w:bCs/>
        <w:noProof/>
      </w:rPr>
      <w:fldChar w:fldCharType="end"/>
    </w:r>
  </w:p>
  <w:p w14:paraId="78023B5F" w14:textId="77777777" w:rsidR="00A0275F" w:rsidRDefault="00A02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54783" w14:textId="77777777" w:rsidR="00A52B91" w:rsidRDefault="00A52B91" w:rsidP="00A0275F">
      <w:r>
        <w:separator/>
      </w:r>
    </w:p>
  </w:footnote>
  <w:footnote w:type="continuationSeparator" w:id="0">
    <w:p w14:paraId="011DE937" w14:textId="77777777" w:rsidR="00A52B91" w:rsidRDefault="00A52B91" w:rsidP="00A02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23B5B" w14:textId="77777777" w:rsidR="00EF00AD" w:rsidRDefault="12DDB7DE" w:rsidP="00A0275F">
    <w:pPr>
      <w:pStyle w:val="Header"/>
      <w:jc w:val="right"/>
    </w:pPr>
    <w:r>
      <w:t>Version 1</w:t>
    </w:r>
  </w:p>
  <w:p w14:paraId="78023B5C" w14:textId="67E07DFF" w:rsidR="00A0275F" w:rsidRDefault="00C95CB4" w:rsidP="00A0275F">
    <w:pPr>
      <w:pStyle w:val="Header"/>
      <w:jc w:val="right"/>
    </w:pPr>
    <w:r>
      <w:t>28/07/22</w:t>
    </w:r>
  </w:p>
  <w:p w14:paraId="78023B5D" w14:textId="77777777" w:rsidR="00A0275F" w:rsidRDefault="00A02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4F74"/>
    <w:multiLevelType w:val="hybridMultilevel"/>
    <w:tmpl w:val="AEE891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986910"/>
    <w:multiLevelType w:val="multilevel"/>
    <w:tmpl w:val="A590FB8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1C57EAE"/>
    <w:multiLevelType w:val="hybridMultilevel"/>
    <w:tmpl w:val="3908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F0137"/>
    <w:multiLevelType w:val="multilevel"/>
    <w:tmpl w:val="49B04AF0"/>
    <w:styleLink w:val="NumberingNotes"/>
    <w:lvl w:ilvl="0">
      <w:start w:val="1"/>
      <w:numFmt w:val="decimal"/>
      <w:pStyle w:val="Note1"/>
      <w:lvlText w:val="%1"/>
      <w:lvlJc w:val="left"/>
      <w:pPr>
        <w:tabs>
          <w:tab w:val="num" w:pos="720"/>
        </w:tabs>
        <w:ind w:left="720" w:hanging="720"/>
      </w:pPr>
    </w:lvl>
    <w:lvl w:ilvl="1">
      <w:start w:val="1"/>
      <w:numFmt w:val="lowerLetter"/>
      <w:pStyle w:val="Note2"/>
      <w:lvlText w:val="(%2)"/>
      <w:lvlJc w:val="left"/>
      <w:pPr>
        <w:tabs>
          <w:tab w:val="num" w:pos="1440"/>
        </w:tabs>
        <w:ind w:left="1440" w:hanging="720"/>
      </w:pPr>
    </w:lvl>
    <w:lvl w:ilvl="2">
      <w:start w:val="1"/>
      <w:numFmt w:val="lowerRoman"/>
      <w:pStyle w:val="Note3"/>
      <w:lvlText w:val="(%3)"/>
      <w:lvlJc w:val="left"/>
      <w:pPr>
        <w:tabs>
          <w:tab w:val="num" w:pos="2160"/>
        </w:tabs>
        <w:ind w:left="2160" w:hanging="720"/>
      </w:pPr>
    </w:lvl>
    <w:lvl w:ilvl="3">
      <w:start w:val="1"/>
      <w:numFmt w:val="upperLetter"/>
      <w:pStyle w:val="Note4"/>
      <w:lvlText w:val="(%4)"/>
      <w:lvlJc w:val="left"/>
      <w:pPr>
        <w:tabs>
          <w:tab w:val="num" w:pos="2880"/>
        </w:tabs>
        <w:ind w:left="2880" w:hanging="720"/>
      </w:pPr>
    </w:lvl>
    <w:lvl w:ilvl="4">
      <w:start w:val="1"/>
      <w:numFmt w:val="decimal"/>
      <w:pStyle w:val="Note5"/>
      <w:lvlText w:val="%5)"/>
      <w:lvlJc w:val="left"/>
      <w:pPr>
        <w:tabs>
          <w:tab w:val="num" w:pos="3600"/>
        </w:tabs>
        <w:ind w:left="3600" w:hanging="720"/>
      </w:pPr>
    </w:lvl>
    <w:lvl w:ilvl="5">
      <w:start w:val="1"/>
      <w:numFmt w:val="lowerLetter"/>
      <w:pStyle w:val="Note6"/>
      <w:lvlText w:val="%6)"/>
      <w:lvlJc w:val="left"/>
      <w:pPr>
        <w:tabs>
          <w:tab w:val="num" w:pos="4321"/>
        </w:tabs>
        <w:ind w:left="4321" w:hanging="721"/>
      </w:pPr>
    </w:lvl>
    <w:lvl w:ilvl="6">
      <w:start w:val="1"/>
      <w:numFmt w:val="lowerRoman"/>
      <w:pStyle w:val="Note7"/>
      <w:lvlText w:val="%7)"/>
      <w:lvlJc w:val="left"/>
      <w:pPr>
        <w:tabs>
          <w:tab w:val="num" w:pos="5041"/>
        </w:tabs>
        <w:ind w:left="5041" w:hanging="720"/>
      </w:pPr>
    </w:lvl>
    <w:lvl w:ilvl="7">
      <w:start w:val="1"/>
      <w:numFmt w:val="upperLetter"/>
      <w:pStyle w:val="Note8"/>
      <w:lvlText w:val="%8)"/>
      <w:lvlJc w:val="left"/>
      <w:pPr>
        <w:tabs>
          <w:tab w:val="num" w:pos="5761"/>
        </w:tabs>
        <w:ind w:left="5761" w:hanging="720"/>
      </w:pPr>
    </w:lvl>
    <w:lvl w:ilvl="8">
      <w:start w:val="1"/>
      <w:numFmt w:val="none"/>
      <w:suff w:val="nothing"/>
      <w:lvlText w:val=""/>
      <w:lvlJc w:val="left"/>
      <w:pPr>
        <w:ind w:left="0" w:firstLine="0"/>
      </w:pPr>
    </w:lvl>
  </w:abstractNum>
  <w:abstractNum w:abstractNumId="4" w15:restartNumberingAfterBreak="0">
    <w:nsid w:val="051057AF"/>
    <w:multiLevelType w:val="hybridMultilevel"/>
    <w:tmpl w:val="481E1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E26F89"/>
    <w:multiLevelType w:val="hybridMultilevel"/>
    <w:tmpl w:val="38E61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C25C4"/>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7" w15:restartNumberingAfterBreak="0">
    <w:nsid w:val="244C36AE"/>
    <w:multiLevelType w:val="hybridMultilevel"/>
    <w:tmpl w:val="D2E07CAC"/>
    <w:lvl w:ilvl="0" w:tplc="10585CA0">
      <w:start w:val="1"/>
      <w:numFmt w:val="decimal"/>
      <w:lvlText w:val="%1."/>
      <w:lvlJc w:val="left"/>
      <w:pPr>
        <w:ind w:left="360" w:hanging="360"/>
      </w:pPr>
    </w:lvl>
    <w:lvl w:ilvl="1" w:tplc="E522E402">
      <w:start w:val="1"/>
      <w:numFmt w:val="lowerLetter"/>
      <w:lvlText w:val="%2."/>
      <w:lvlJc w:val="left"/>
      <w:pPr>
        <w:ind w:left="1080" w:hanging="360"/>
      </w:pPr>
    </w:lvl>
    <w:lvl w:ilvl="2" w:tplc="D28601AE">
      <w:start w:val="1"/>
      <w:numFmt w:val="lowerRoman"/>
      <w:lvlText w:val="%3."/>
      <w:lvlJc w:val="right"/>
      <w:pPr>
        <w:ind w:left="1800" w:hanging="180"/>
      </w:pPr>
    </w:lvl>
    <w:lvl w:ilvl="3" w:tplc="CB180B60">
      <w:start w:val="1"/>
      <w:numFmt w:val="decimal"/>
      <w:lvlText w:val="%4."/>
      <w:lvlJc w:val="left"/>
      <w:pPr>
        <w:ind w:left="2520" w:hanging="360"/>
      </w:pPr>
    </w:lvl>
    <w:lvl w:ilvl="4" w:tplc="DF1E44E4">
      <w:start w:val="1"/>
      <w:numFmt w:val="lowerLetter"/>
      <w:lvlText w:val="%5."/>
      <w:lvlJc w:val="left"/>
      <w:pPr>
        <w:ind w:left="3240" w:hanging="360"/>
      </w:pPr>
    </w:lvl>
    <w:lvl w:ilvl="5" w:tplc="2A6AA008">
      <w:start w:val="1"/>
      <w:numFmt w:val="lowerRoman"/>
      <w:lvlText w:val="%6."/>
      <w:lvlJc w:val="right"/>
      <w:pPr>
        <w:ind w:left="3960" w:hanging="180"/>
      </w:pPr>
    </w:lvl>
    <w:lvl w:ilvl="6" w:tplc="DAA0E534">
      <w:start w:val="1"/>
      <w:numFmt w:val="decimal"/>
      <w:lvlText w:val="%7."/>
      <w:lvlJc w:val="left"/>
      <w:pPr>
        <w:ind w:left="4680" w:hanging="360"/>
      </w:pPr>
    </w:lvl>
    <w:lvl w:ilvl="7" w:tplc="A0B81D88">
      <w:start w:val="1"/>
      <w:numFmt w:val="lowerLetter"/>
      <w:lvlText w:val="%8."/>
      <w:lvlJc w:val="left"/>
      <w:pPr>
        <w:ind w:left="5400" w:hanging="360"/>
      </w:pPr>
    </w:lvl>
    <w:lvl w:ilvl="8" w:tplc="6570F3E2">
      <w:start w:val="1"/>
      <w:numFmt w:val="lowerRoman"/>
      <w:lvlText w:val="%9."/>
      <w:lvlJc w:val="right"/>
      <w:pPr>
        <w:ind w:left="6120" w:hanging="180"/>
      </w:pPr>
    </w:lvl>
  </w:abstractNum>
  <w:abstractNum w:abstractNumId="8" w15:restartNumberingAfterBreak="0">
    <w:nsid w:val="2585128D"/>
    <w:multiLevelType w:val="hybridMultilevel"/>
    <w:tmpl w:val="B22028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872A0D"/>
    <w:multiLevelType w:val="hybridMultilevel"/>
    <w:tmpl w:val="ECA069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783F71"/>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1" w15:restartNumberingAfterBreak="0">
    <w:nsid w:val="2C1975C7"/>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15:restartNumberingAfterBreak="0">
    <w:nsid w:val="307F36EC"/>
    <w:multiLevelType w:val="hybridMultilevel"/>
    <w:tmpl w:val="8E6AEA6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8512A42"/>
    <w:multiLevelType w:val="hybridMultilevel"/>
    <w:tmpl w:val="BFC46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C72865"/>
    <w:multiLevelType w:val="hybridMultilevel"/>
    <w:tmpl w:val="F7D2C724"/>
    <w:lvl w:ilvl="0" w:tplc="193ED234">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3CD27D75"/>
    <w:multiLevelType w:val="hybridMultilevel"/>
    <w:tmpl w:val="819247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F1418C3"/>
    <w:multiLevelType w:val="hybridMultilevel"/>
    <w:tmpl w:val="36386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0D4C81"/>
    <w:multiLevelType w:val="hybridMultilevel"/>
    <w:tmpl w:val="5BD0BC86"/>
    <w:lvl w:ilvl="0" w:tplc="5E7050C8">
      <w:start w:val="1"/>
      <w:numFmt w:val="decimal"/>
      <w:lvlText w:val="%1."/>
      <w:lvlJc w:val="left"/>
      <w:pPr>
        <w:ind w:left="360" w:hanging="360"/>
      </w:pPr>
    </w:lvl>
    <w:lvl w:ilvl="1" w:tplc="925C585A">
      <w:start w:val="1"/>
      <w:numFmt w:val="lowerLetter"/>
      <w:lvlText w:val="%2."/>
      <w:lvlJc w:val="left"/>
      <w:pPr>
        <w:ind w:left="1080" w:hanging="360"/>
      </w:pPr>
    </w:lvl>
    <w:lvl w:ilvl="2" w:tplc="CE5C53B8">
      <w:start w:val="1"/>
      <w:numFmt w:val="lowerRoman"/>
      <w:lvlText w:val="%3."/>
      <w:lvlJc w:val="right"/>
      <w:pPr>
        <w:ind w:left="1800" w:hanging="180"/>
      </w:pPr>
    </w:lvl>
    <w:lvl w:ilvl="3" w:tplc="5328BBCE">
      <w:start w:val="1"/>
      <w:numFmt w:val="decimal"/>
      <w:lvlText w:val="%4."/>
      <w:lvlJc w:val="left"/>
      <w:pPr>
        <w:ind w:left="2520" w:hanging="360"/>
      </w:pPr>
    </w:lvl>
    <w:lvl w:ilvl="4" w:tplc="5354161A">
      <w:start w:val="1"/>
      <w:numFmt w:val="lowerLetter"/>
      <w:lvlText w:val="%5."/>
      <w:lvlJc w:val="left"/>
      <w:pPr>
        <w:ind w:left="3240" w:hanging="360"/>
      </w:pPr>
    </w:lvl>
    <w:lvl w:ilvl="5" w:tplc="6800323E">
      <w:start w:val="1"/>
      <w:numFmt w:val="lowerRoman"/>
      <w:lvlText w:val="%6."/>
      <w:lvlJc w:val="right"/>
      <w:pPr>
        <w:ind w:left="3960" w:hanging="180"/>
      </w:pPr>
    </w:lvl>
    <w:lvl w:ilvl="6" w:tplc="D096BAA6">
      <w:start w:val="1"/>
      <w:numFmt w:val="decimal"/>
      <w:lvlText w:val="%7."/>
      <w:lvlJc w:val="left"/>
      <w:pPr>
        <w:ind w:left="4680" w:hanging="360"/>
      </w:pPr>
    </w:lvl>
    <w:lvl w:ilvl="7" w:tplc="1BEEE284">
      <w:start w:val="1"/>
      <w:numFmt w:val="lowerLetter"/>
      <w:lvlText w:val="%8."/>
      <w:lvlJc w:val="left"/>
      <w:pPr>
        <w:ind w:left="5400" w:hanging="360"/>
      </w:pPr>
    </w:lvl>
    <w:lvl w:ilvl="8" w:tplc="721AE706">
      <w:start w:val="1"/>
      <w:numFmt w:val="lowerRoman"/>
      <w:lvlText w:val="%9."/>
      <w:lvlJc w:val="right"/>
      <w:pPr>
        <w:ind w:left="6120" w:hanging="180"/>
      </w:pPr>
    </w:lvl>
  </w:abstractNum>
  <w:abstractNum w:abstractNumId="18" w15:restartNumberingAfterBreak="0">
    <w:nsid w:val="41DB27F3"/>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9" w15:restartNumberingAfterBreak="0">
    <w:nsid w:val="4746072A"/>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0" w15:restartNumberingAfterBreak="0">
    <w:nsid w:val="4B9F4FB6"/>
    <w:multiLevelType w:val="hybridMultilevel"/>
    <w:tmpl w:val="83BA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853FDC"/>
    <w:multiLevelType w:val="hybridMultilevel"/>
    <w:tmpl w:val="44BC66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E66BC1"/>
    <w:multiLevelType w:val="hybridMultilevel"/>
    <w:tmpl w:val="37CCDF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40130B"/>
    <w:multiLevelType w:val="hybridMultilevel"/>
    <w:tmpl w:val="6FB0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B07DE7"/>
    <w:multiLevelType w:val="hybridMultilevel"/>
    <w:tmpl w:val="92FC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A14A61"/>
    <w:multiLevelType w:val="hybridMultilevel"/>
    <w:tmpl w:val="6C6AA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BA7972"/>
    <w:multiLevelType w:val="hybridMultilevel"/>
    <w:tmpl w:val="A38A60E0"/>
    <w:lvl w:ilvl="0" w:tplc="DD301614">
      <w:start w:val="1"/>
      <w:numFmt w:val="decimal"/>
      <w:lvlText w:val="%1."/>
      <w:lvlJc w:val="left"/>
      <w:pPr>
        <w:ind w:left="360" w:hanging="360"/>
      </w:pPr>
    </w:lvl>
    <w:lvl w:ilvl="1" w:tplc="5BEAB162">
      <w:start w:val="1"/>
      <w:numFmt w:val="lowerLetter"/>
      <w:lvlText w:val="%2."/>
      <w:lvlJc w:val="left"/>
      <w:pPr>
        <w:ind w:left="1080" w:hanging="360"/>
      </w:pPr>
    </w:lvl>
    <w:lvl w:ilvl="2" w:tplc="9DA2C1B8">
      <w:start w:val="1"/>
      <w:numFmt w:val="lowerRoman"/>
      <w:lvlText w:val="%3."/>
      <w:lvlJc w:val="right"/>
      <w:pPr>
        <w:ind w:left="1800" w:hanging="180"/>
      </w:pPr>
    </w:lvl>
    <w:lvl w:ilvl="3" w:tplc="381042A6">
      <w:start w:val="1"/>
      <w:numFmt w:val="decimal"/>
      <w:lvlText w:val="%4."/>
      <w:lvlJc w:val="left"/>
      <w:pPr>
        <w:ind w:left="2520" w:hanging="360"/>
      </w:pPr>
    </w:lvl>
    <w:lvl w:ilvl="4" w:tplc="6900A138">
      <w:start w:val="1"/>
      <w:numFmt w:val="lowerLetter"/>
      <w:lvlText w:val="%5."/>
      <w:lvlJc w:val="left"/>
      <w:pPr>
        <w:ind w:left="3240" w:hanging="360"/>
      </w:pPr>
    </w:lvl>
    <w:lvl w:ilvl="5" w:tplc="773A83FE">
      <w:start w:val="1"/>
      <w:numFmt w:val="lowerRoman"/>
      <w:lvlText w:val="%6."/>
      <w:lvlJc w:val="right"/>
      <w:pPr>
        <w:ind w:left="3960" w:hanging="180"/>
      </w:pPr>
    </w:lvl>
    <w:lvl w:ilvl="6" w:tplc="4D5A0E1C">
      <w:start w:val="1"/>
      <w:numFmt w:val="decimal"/>
      <w:lvlText w:val="%7."/>
      <w:lvlJc w:val="left"/>
      <w:pPr>
        <w:ind w:left="4680" w:hanging="360"/>
      </w:pPr>
    </w:lvl>
    <w:lvl w:ilvl="7" w:tplc="8E68D11A">
      <w:start w:val="1"/>
      <w:numFmt w:val="lowerLetter"/>
      <w:lvlText w:val="%8."/>
      <w:lvlJc w:val="left"/>
      <w:pPr>
        <w:ind w:left="5400" w:hanging="360"/>
      </w:pPr>
    </w:lvl>
    <w:lvl w:ilvl="8" w:tplc="631CB9E4">
      <w:start w:val="1"/>
      <w:numFmt w:val="lowerRoman"/>
      <w:lvlText w:val="%9."/>
      <w:lvlJc w:val="right"/>
      <w:pPr>
        <w:ind w:left="6120" w:hanging="180"/>
      </w:pPr>
    </w:lvl>
  </w:abstractNum>
  <w:abstractNum w:abstractNumId="27" w15:restartNumberingAfterBreak="0">
    <w:nsid w:val="69106299"/>
    <w:multiLevelType w:val="hybridMultilevel"/>
    <w:tmpl w:val="E36E6F1E"/>
    <w:lvl w:ilvl="0" w:tplc="08A4B6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91C365E"/>
    <w:multiLevelType w:val="hybridMultilevel"/>
    <w:tmpl w:val="DC986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E91B91"/>
    <w:multiLevelType w:val="hybridMultilevel"/>
    <w:tmpl w:val="932EC6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707A3F65"/>
    <w:multiLevelType w:val="hybridMultilevel"/>
    <w:tmpl w:val="8D94E4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C84F5C"/>
    <w:multiLevelType w:val="hybridMultilevel"/>
    <w:tmpl w:val="72BE49EA"/>
    <w:lvl w:ilvl="0" w:tplc="0809001B">
      <w:start w:val="1"/>
      <w:numFmt w:val="lowerRoman"/>
      <w:lvlText w:val="%1."/>
      <w:lvlJc w:val="right"/>
      <w:pPr>
        <w:ind w:left="780" w:hanging="360"/>
      </w:p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2" w15:restartNumberingAfterBreak="0">
    <w:nsid w:val="7AC77E65"/>
    <w:multiLevelType w:val="hybridMultilevel"/>
    <w:tmpl w:val="8D94E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BB93014"/>
    <w:multiLevelType w:val="hybridMultilevel"/>
    <w:tmpl w:val="552C02C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C76215C"/>
    <w:multiLevelType w:val="hybridMultilevel"/>
    <w:tmpl w:val="E870D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3"/>
  </w:num>
  <w:num w:numId="3">
    <w:abstractNumId w:val="0"/>
  </w:num>
  <w:num w:numId="4">
    <w:abstractNumId w:val="8"/>
  </w:num>
  <w:num w:numId="5">
    <w:abstractNumId w:val="30"/>
  </w:num>
  <w:num w:numId="6">
    <w:abstractNumId w:val="34"/>
  </w:num>
  <w:num w:numId="7">
    <w:abstractNumId w:val="21"/>
  </w:num>
  <w:num w:numId="8">
    <w:abstractNumId w:val="22"/>
  </w:num>
  <w:num w:numId="9">
    <w:abstractNumId w:val="10"/>
  </w:num>
  <w:num w:numId="10">
    <w:abstractNumId w:val="25"/>
  </w:num>
  <w:num w:numId="11">
    <w:abstractNumId w:val="13"/>
  </w:num>
  <w:num w:numId="12">
    <w:abstractNumId w:val="11"/>
  </w:num>
  <w:num w:numId="13">
    <w:abstractNumId w:val="18"/>
  </w:num>
  <w:num w:numId="14">
    <w:abstractNumId w:val="6"/>
  </w:num>
  <w:num w:numId="15">
    <w:abstractNumId w:val="19"/>
  </w:num>
  <w:num w:numId="16">
    <w:abstractNumId w:val="24"/>
  </w:num>
  <w:num w:numId="17">
    <w:abstractNumId w:val="20"/>
  </w:num>
  <w:num w:numId="18">
    <w:abstractNumId w:val="2"/>
  </w:num>
  <w:num w:numId="19">
    <w:abstractNumId w:val="23"/>
  </w:num>
  <w:num w:numId="20">
    <w:abstractNumId w:val="28"/>
  </w:num>
  <w:num w:numId="21">
    <w:abstractNumId w:val="4"/>
  </w:num>
  <w:num w:numId="22">
    <w:abstractNumId w:val="14"/>
  </w:num>
  <w:num w:numId="23">
    <w:abstractNumId w:val="9"/>
  </w:num>
  <w:num w:numId="24">
    <w:abstractNumId w:val="5"/>
  </w:num>
  <w:num w:numId="25">
    <w:abstractNumId w:val="32"/>
  </w:num>
  <w:num w:numId="26">
    <w:abstractNumId w:val="27"/>
  </w:num>
  <w:num w:numId="27">
    <w:abstractNumId w:val="1"/>
  </w:num>
  <w:num w:numId="28">
    <w:abstractNumId w:val="15"/>
  </w:num>
  <w:num w:numId="29">
    <w:abstractNumId w:val="29"/>
  </w:num>
  <w:num w:numId="30">
    <w:abstractNumId w:val="16"/>
  </w:num>
  <w:num w:numId="31">
    <w:abstractNumId w:val="31"/>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0" w:nlCheck="1" w:checkStyle="0"/>
  <w:activeWritingStyle w:appName="MSWord" w:lang="en-GB" w:vendorID="64" w:dllVersion="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3FE"/>
    <w:rsid w:val="000330D1"/>
    <w:rsid w:val="00055754"/>
    <w:rsid w:val="0007434F"/>
    <w:rsid w:val="00084702"/>
    <w:rsid w:val="000A04C0"/>
    <w:rsid w:val="000E1068"/>
    <w:rsid w:val="000F7751"/>
    <w:rsid w:val="000F7D71"/>
    <w:rsid w:val="00107B2E"/>
    <w:rsid w:val="00141C3F"/>
    <w:rsid w:val="001508E6"/>
    <w:rsid w:val="001517FA"/>
    <w:rsid w:val="00152FEC"/>
    <w:rsid w:val="00157C77"/>
    <w:rsid w:val="00170C21"/>
    <w:rsid w:val="00180962"/>
    <w:rsid w:val="001955DC"/>
    <w:rsid w:val="001A7575"/>
    <w:rsid w:val="001D1193"/>
    <w:rsid w:val="001E1F07"/>
    <w:rsid w:val="0023131E"/>
    <w:rsid w:val="002328CF"/>
    <w:rsid w:val="00250F84"/>
    <w:rsid w:val="00267862"/>
    <w:rsid w:val="002747D1"/>
    <w:rsid w:val="0027492C"/>
    <w:rsid w:val="002800CB"/>
    <w:rsid w:val="002803EC"/>
    <w:rsid w:val="00291673"/>
    <w:rsid w:val="00293395"/>
    <w:rsid w:val="0029484D"/>
    <w:rsid w:val="002A0381"/>
    <w:rsid w:val="002E484E"/>
    <w:rsid w:val="002E7AF4"/>
    <w:rsid w:val="002F11F5"/>
    <w:rsid w:val="002F642B"/>
    <w:rsid w:val="003473F6"/>
    <w:rsid w:val="003654D4"/>
    <w:rsid w:val="00373CBE"/>
    <w:rsid w:val="00384D9F"/>
    <w:rsid w:val="003B3814"/>
    <w:rsid w:val="003E0295"/>
    <w:rsid w:val="003E3F12"/>
    <w:rsid w:val="003E6555"/>
    <w:rsid w:val="004023CC"/>
    <w:rsid w:val="0041773F"/>
    <w:rsid w:val="004203D3"/>
    <w:rsid w:val="004434A4"/>
    <w:rsid w:val="00472298"/>
    <w:rsid w:val="00472F09"/>
    <w:rsid w:val="00474217"/>
    <w:rsid w:val="0048571D"/>
    <w:rsid w:val="004A0513"/>
    <w:rsid w:val="004C25AC"/>
    <w:rsid w:val="004E2665"/>
    <w:rsid w:val="004F7683"/>
    <w:rsid w:val="005046E6"/>
    <w:rsid w:val="005209B3"/>
    <w:rsid w:val="00521D55"/>
    <w:rsid w:val="005410E0"/>
    <w:rsid w:val="00571F56"/>
    <w:rsid w:val="005761DD"/>
    <w:rsid w:val="005838A5"/>
    <w:rsid w:val="00585DB4"/>
    <w:rsid w:val="005A1A79"/>
    <w:rsid w:val="005B0F12"/>
    <w:rsid w:val="005B6477"/>
    <w:rsid w:val="00605C0F"/>
    <w:rsid w:val="00616C91"/>
    <w:rsid w:val="00625EF7"/>
    <w:rsid w:val="00671457"/>
    <w:rsid w:val="006820DF"/>
    <w:rsid w:val="006C2FA3"/>
    <w:rsid w:val="006D02B2"/>
    <w:rsid w:val="006D39FD"/>
    <w:rsid w:val="006E789F"/>
    <w:rsid w:val="00707BE1"/>
    <w:rsid w:val="00712601"/>
    <w:rsid w:val="00721CB8"/>
    <w:rsid w:val="00725A9F"/>
    <w:rsid w:val="007461E4"/>
    <w:rsid w:val="00767FB1"/>
    <w:rsid w:val="0077021E"/>
    <w:rsid w:val="007A67E3"/>
    <w:rsid w:val="007B6EB8"/>
    <w:rsid w:val="007E1AF1"/>
    <w:rsid w:val="007F29C8"/>
    <w:rsid w:val="00800D7C"/>
    <w:rsid w:val="008057C6"/>
    <w:rsid w:val="00805C51"/>
    <w:rsid w:val="00820BAD"/>
    <w:rsid w:val="00826D2A"/>
    <w:rsid w:val="008626F5"/>
    <w:rsid w:val="008744FD"/>
    <w:rsid w:val="008A0A23"/>
    <w:rsid w:val="008B78FC"/>
    <w:rsid w:val="008C361B"/>
    <w:rsid w:val="008D2894"/>
    <w:rsid w:val="008E6BF5"/>
    <w:rsid w:val="008F38F8"/>
    <w:rsid w:val="008F4B12"/>
    <w:rsid w:val="009208D5"/>
    <w:rsid w:val="009308E5"/>
    <w:rsid w:val="00932B2F"/>
    <w:rsid w:val="0098050D"/>
    <w:rsid w:val="009865A0"/>
    <w:rsid w:val="009915EB"/>
    <w:rsid w:val="00993230"/>
    <w:rsid w:val="00996179"/>
    <w:rsid w:val="0099724D"/>
    <w:rsid w:val="009A5E9A"/>
    <w:rsid w:val="009A618B"/>
    <w:rsid w:val="009B0CDE"/>
    <w:rsid w:val="009B6C8B"/>
    <w:rsid w:val="009D38A7"/>
    <w:rsid w:val="009E42ED"/>
    <w:rsid w:val="009F6BBF"/>
    <w:rsid w:val="00A0275F"/>
    <w:rsid w:val="00A02B64"/>
    <w:rsid w:val="00A03DF2"/>
    <w:rsid w:val="00A20132"/>
    <w:rsid w:val="00A23215"/>
    <w:rsid w:val="00A233BB"/>
    <w:rsid w:val="00A30725"/>
    <w:rsid w:val="00A4000F"/>
    <w:rsid w:val="00A4514E"/>
    <w:rsid w:val="00A52B91"/>
    <w:rsid w:val="00A705B6"/>
    <w:rsid w:val="00A76F5E"/>
    <w:rsid w:val="00AE57A1"/>
    <w:rsid w:val="00AE7675"/>
    <w:rsid w:val="00AF65A0"/>
    <w:rsid w:val="00B06709"/>
    <w:rsid w:val="00B07E7F"/>
    <w:rsid w:val="00B150AB"/>
    <w:rsid w:val="00B27ADA"/>
    <w:rsid w:val="00B50AD2"/>
    <w:rsid w:val="00B555B8"/>
    <w:rsid w:val="00B62BF2"/>
    <w:rsid w:val="00B76988"/>
    <w:rsid w:val="00B869E2"/>
    <w:rsid w:val="00BB7DFE"/>
    <w:rsid w:val="00BC5A7F"/>
    <w:rsid w:val="00BC6810"/>
    <w:rsid w:val="00BC7AE8"/>
    <w:rsid w:val="00BE6C42"/>
    <w:rsid w:val="00C03D58"/>
    <w:rsid w:val="00C17329"/>
    <w:rsid w:val="00C32E28"/>
    <w:rsid w:val="00C35AFE"/>
    <w:rsid w:val="00C42EC2"/>
    <w:rsid w:val="00C53E7B"/>
    <w:rsid w:val="00C63E47"/>
    <w:rsid w:val="00C718F5"/>
    <w:rsid w:val="00C732AE"/>
    <w:rsid w:val="00C75297"/>
    <w:rsid w:val="00C929E0"/>
    <w:rsid w:val="00C95CB4"/>
    <w:rsid w:val="00CC58EA"/>
    <w:rsid w:val="00CF1B16"/>
    <w:rsid w:val="00D12210"/>
    <w:rsid w:val="00D47B94"/>
    <w:rsid w:val="00D91506"/>
    <w:rsid w:val="00DA2D74"/>
    <w:rsid w:val="00DA5B06"/>
    <w:rsid w:val="00DC076E"/>
    <w:rsid w:val="00DD4914"/>
    <w:rsid w:val="00DE4EF6"/>
    <w:rsid w:val="00DF5119"/>
    <w:rsid w:val="00DF688A"/>
    <w:rsid w:val="00DF7958"/>
    <w:rsid w:val="00E22CF4"/>
    <w:rsid w:val="00E43CC8"/>
    <w:rsid w:val="00E614CD"/>
    <w:rsid w:val="00E94094"/>
    <w:rsid w:val="00E9775F"/>
    <w:rsid w:val="00EA61C9"/>
    <w:rsid w:val="00EB2EE0"/>
    <w:rsid w:val="00EB6B89"/>
    <w:rsid w:val="00EC5112"/>
    <w:rsid w:val="00EE07EC"/>
    <w:rsid w:val="00EE47E3"/>
    <w:rsid w:val="00EF00AD"/>
    <w:rsid w:val="00EF385C"/>
    <w:rsid w:val="00F01E73"/>
    <w:rsid w:val="00F423FE"/>
    <w:rsid w:val="00F62304"/>
    <w:rsid w:val="00FC786E"/>
    <w:rsid w:val="00FE33FD"/>
    <w:rsid w:val="00FF675E"/>
    <w:rsid w:val="00FF7E94"/>
    <w:rsid w:val="12DDB7DE"/>
    <w:rsid w:val="7272B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23A60"/>
  <w15:docId w15:val="{63B589A3-5EAF-46A4-B634-8A8651613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5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F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8E5"/>
    <w:pPr>
      <w:ind w:left="720"/>
    </w:pPr>
  </w:style>
  <w:style w:type="paragraph" w:styleId="NoSpacing">
    <w:name w:val="No Spacing"/>
    <w:uiPriority w:val="1"/>
    <w:qFormat/>
    <w:rsid w:val="00267862"/>
    <w:rPr>
      <w:sz w:val="22"/>
      <w:szCs w:val="22"/>
      <w:lang w:eastAsia="en-US"/>
    </w:rPr>
  </w:style>
  <w:style w:type="paragraph" w:styleId="Header">
    <w:name w:val="header"/>
    <w:basedOn w:val="Normal"/>
    <w:link w:val="HeaderChar"/>
    <w:uiPriority w:val="99"/>
    <w:unhideWhenUsed/>
    <w:rsid w:val="00A0275F"/>
    <w:pPr>
      <w:tabs>
        <w:tab w:val="center" w:pos="4513"/>
        <w:tab w:val="right" w:pos="9026"/>
      </w:tabs>
    </w:pPr>
  </w:style>
  <w:style w:type="character" w:customStyle="1" w:styleId="HeaderChar">
    <w:name w:val="Header Char"/>
    <w:basedOn w:val="DefaultParagraphFont"/>
    <w:link w:val="Header"/>
    <w:uiPriority w:val="99"/>
    <w:rsid w:val="00A0275F"/>
    <w:rPr>
      <w:rFonts w:ascii="Times New Roman" w:eastAsia="Times New Roman" w:hAnsi="Times New Roman"/>
      <w:sz w:val="24"/>
      <w:szCs w:val="24"/>
    </w:rPr>
  </w:style>
  <w:style w:type="paragraph" w:styleId="Footer">
    <w:name w:val="footer"/>
    <w:basedOn w:val="Normal"/>
    <w:link w:val="FooterChar"/>
    <w:uiPriority w:val="99"/>
    <w:unhideWhenUsed/>
    <w:rsid w:val="00A0275F"/>
    <w:pPr>
      <w:tabs>
        <w:tab w:val="center" w:pos="4513"/>
        <w:tab w:val="right" w:pos="9026"/>
      </w:tabs>
    </w:pPr>
  </w:style>
  <w:style w:type="character" w:customStyle="1" w:styleId="FooterChar">
    <w:name w:val="Footer Char"/>
    <w:basedOn w:val="DefaultParagraphFont"/>
    <w:link w:val="Footer"/>
    <w:uiPriority w:val="99"/>
    <w:rsid w:val="00A0275F"/>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0275F"/>
    <w:rPr>
      <w:rFonts w:ascii="Tahoma" w:hAnsi="Tahoma" w:cs="Tahoma"/>
      <w:sz w:val="16"/>
      <w:szCs w:val="16"/>
    </w:rPr>
  </w:style>
  <w:style w:type="character" w:customStyle="1" w:styleId="BalloonTextChar">
    <w:name w:val="Balloon Text Char"/>
    <w:basedOn w:val="DefaultParagraphFont"/>
    <w:link w:val="BalloonText"/>
    <w:uiPriority w:val="99"/>
    <w:semiHidden/>
    <w:rsid w:val="00A0275F"/>
    <w:rPr>
      <w:rFonts w:ascii="Tahoma" w:eastAsia="Times New Roman" w:hAnsi="Tahoma" w:cs="Tahoma"/>
      <w:sz w:val="16"/>
      <w:szCs w:val="16"/>
    </w:rPr>
  </w:style>
  <w:style w:type="table" w:styleId="TableGrid">
    <w:name w:val="Table Grid"/>
    <w:basedOn w:val="TableNormal"/>
    <w:uiPriority w:val="59"/>
    <w:rsid w:val="00767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54"/>
    <w:unhideWhenUsed/>
    <w:qFormat/>
    <w:rsid w:val="000F7751"/>
    <w:pPr>
      <w:spacing w:after="240"/>
      <w:jc w:val="both"/>
    </w:pPr>
    <w:rPr>
      <w:rFonts w:ascii="Arial" w:eastAsiaTheme="minorEastAsia" w:hAnsi="Arial" w:cstheme="minorBidi"/>
      <w:sz w:val="20"/>
      <w:szCs w:val="20"/>
    </w:rPr>
  </w:style>
  <w:style w:type="character" w:customStyle="1" w:styleId="BodyTextChar">
    <w:name w:val="Body Text Char"/>
    <w:basedOn w:val="DefaultParagraphFont"/>
    <w:link w:val="BodyText"/>
    <w:uiPriority w:val="54"/>
    <w:rsid w:val="000F7751"/>
    <w:rPr>
      <w:rFonts w:ascii="Arial" w:eastAsiaTheme="minorEastAsia" w:hAnsi="Arial" w:cstheme="minorBidi"/>
    </w:rPr>
  </w:style>
  <w:style w:type="paragraph" w:customStyle="1" w:styleId="Note1">
    <w:name w:val="Note 1"/>
    <w:basedOn w:val="BodyText"/>
    <w:uiPriority w:val="72"/>
    <w:qFormat/>
    <w:rsid w:val="00AF65A0"/>
    <w:pPr>
      <w:numPr>
        <w:numId w:val="33"/>
      </w:numPr>
    </w:pPr>
  </w:style>
  <w:style w:type="paragraph" w:customStyle="1" w:styleId="Note2">
    <w:name w:val="Note 2"/>
    <w:basedOn w:val="BodyText"/>
    <w:uiPriority w:val="72"/>
    <w:qFormat/>
    <w:rsid w:val="00AF65A0"/>
    <w:pPr>
      <w:numPr>
        <w:ilvl w:val="1"/>
        <w:numId w:val="33"/>
      </w:numPr>
    </w:pPr>
  </w:style>
  <w:style w:type="paragraph" w:customStyle="1" w:styleId="Note3">
    <w:name w:val="Note 3"/>
    <w:basedOn w:val="BodyText"/>
    <w:uiPriority w:val="72"/>
    <w:qFormat/>
    <w:rsid w:val="00AF65A0"/>
    <w:pPr>
      <w:numPr>
        <w:ilvl w:val="2"/>
        <w:numId w:val="33"/>
      </w:numPr>
    </w:pPr>
  </w:style>
  <w:style w:type="paragraph" w:customStyle="1" w:styleId="Note4">
    <w:name w:val="Note 4"/>
    <w:basedOn w:val="BodyText"/>
    <w:uiPriority w:val="72"/>
    <w:qFormat/>
    <w:rsid w:val="00AF65A0"/>
    <w:pPr>
      <w:numPr>
        <w:ilvl w:val="3"/>
        <w:numId w:val="33"/>
      </w:numPr>
    </w:pPr>
  </w:style>
  <w:style w:type="paragraph" w:customStyle="1" w:styleId="Note5">
    <w:name w:val="Note 5"/>
    <w:basedOn w:val="BodyText"/>
    <w:uiPriority w:val="72"/>
    <w:qFormat/>
    <w:rsid w:val="00AF65A0"/>
    <w:pPr>
      <w:numPr>
        <w:ilvl w:val="4"/>
        <w:numId w:val="33"/>
      </w:numPr>
    </w:pPr>
  </w:style>
  <w:style w:type="paragraph" w:customStyle="1" w:styleId="Note6">
    <w:name w:val="Note 6"/>
    <w:basedOn w:val="BodyText"/>
    <w:uiPriority w:val="72"/>
    <w:qFormat/>
    <w:rsid w:val="00AF65A0"/>
    <w:pPr>
      <w:numPr>
        <w:ilvl w:val="5"/>
        <w:numId w:val="33"/>
      </w:numPr>
    </w:pPr>
  </w:style>
  <w:style w:type="paragraph" w:customStyle="1" w:styleId="Note7">
    <w:name w:val="Note 7"/>
    <w:basedOn w:val="BodyText"/>
    <w:uiPriority w:val="72"/>
    <w:qFormat/>
    <w:rsid w:val="00AF65A0"/>
    <w:pPr>
      <w:numPr>
        <w:ilvl w:val="6"/>
        <w:numId w:val="33"/>
      </w:numPr>
    </w:pPr>
  </w:style>
  <w:style w:type="paragraph" w:customStyle="1" w:styleId="Note8">
    <w:name w:val="Note 8"/>
    <w:basedOn w:val="BodyText"/>
    <w:uiPriority w:val="72"/>
    <w:qFormat/>
    <w:rsid w:val="00AF65A0"/>
    <w:pPr>
      <w:numPr>
        <w:ilvl w:val="7"/>
        <w:numId w:val="33"/>
      </w:numPr>
    </w:pPr>
  </w:style>
  <w:style w:type="numbering" w:customStyle="1" w:styleId="NumberingNotes">
    <w:name w:val="Numbering Notes"/>
    <w:uiPriority w:val="99"/>
    <w:rsid w:val="00AF65A0"/>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99871">
      <w:bodyDiv w:val="1"/>
      <w:marLeft w:val="0"/>
      <w:marRight w:val="0"/>
      <w:marTop w:val="0"/>
      <w:marBottom w:val="0"/>
      <w:divBdr>
        <w:top w:val="none" w:sz="0" w:space="0" w:color="auto"/>
        <w:left w:val="none" w:sz="0" w:space="0" w:color="auto"/>
        <w:bottom w:val="none" w:sz="0" w:space="0" w:color="auto"/>
        <w:right w:val="none" w:sz="0" w:space="0" w:color="auto"/>
      </w:divBdr>
    </w:div>
    <w:div w:id="193815205">
      <w:bodyDiv w:val="1"/>
      <w:marLeft w:val="0"/>
      <w:marRight w:val="0"/>
      <w:marTop w:val="0"/>
      <w:marBottom w:val="0"/>
      <w:divBdr>
        <w:top w:val="none" w:sz="0" w:space="0" w:color="auto"/>
        <w:left w:val="none" w:sz="0" w:space="0" w:color="auto"/>
        <w:bottom w:val="none" w:sz="0" w:space="0" w:color="auto"/>
        <w:right w:val="none" w:sz="0" w:space="0" w:color="auto"/>
      </w:divBdr>
    </w:div>
    <w:div w:id="693700385">
      <w:bodyDiv w:val="1"/>
      <w:marLeft w:val="0"/>
      <w:marRight w:val="0"/>
      <w:marTop w:val="0"/>
      <w:marBottom w:val="0"/>
      <w:divBdr>
        <w:top w:val="none" w:sz="0" w:space="0" w:color="auto"/>
        <w:left w:val="none" w:sz="0" w:space="0" w:color="auto"/>
        <w:bottom w:val="none" w:sz="0" w:space="0" w:color="auto"/>
        <w:right w:val="none" w:sz="0" w:space="0" w:color="auto"/>
      </w:divBdr>
    </w:div>
    <w:div w:id="1355574881">
      <w:bodyDiv w:val="1"/>
      <w:marLeft w:val="0"/>
      <w:marRight w:val="0"/>
      <w:marTop w:val="0"/>
      <w:marBottom w:val="0"/>
      <w:divBdr>
        <w:top w:val="none" w:sz="0" w:space="0" w:color="auto"/>
        <w:left w:val="none" w:sz="0" w:space="0" w:color="auto"/>
        <w:bottom w:val="none" w:sz="0" w:space="0" w:color="auto"/>
        <w:right w:val="none" w:sz="0" w:space="0" w:color="auto"/>
      </w:divBdr>
    </w:div>
    <w:div w:id="1508906115">
      <w:bodyDiv w:val="1"/>
      <w:marLeft w:val="0"/>
      <w:marRight w:val="0"/>
      <w:marTop w:val="0"/>
      <w:marBottom w:val="0"/>
      <w:divBdr>
        <w:top w:val="none" w:sz="0" w:space="0" w:color="auto"/>
        <w:left w:val="none" w:sz="0" w:space="0" w:color="auto"/>
        <w:bottom w:val="none" w:sz="0" w:space="0" w:color="auto"/>
        <w:right w:val="none" w:sz="0" w:space="0" w:color="auto"/>
      </w:divBdr>
    </w:div>
    <w:div w:id="153618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RecordIdentifier xmlns="ad81188f-3ce5-44f7-8632-d03ce10ce0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2E3C01CED27540B4F255BA78F09F82" ma:contentTypeVersion="11" ma:contentTypeDescription="Create a new document." ma:contentTypeScope="" ma:versionID="02a4e246ca1bd37abdc0ea915cc5d194">
  <xsd:schema xmlns:xsd="http://www.w3.org/2001/XMLSchema" xmlns:xs="http://www.w3.org/2001/XMLSchema" xmlns:p="http://schemas.microsoft.com/office/2006/metadata/properties" xmlns:ns2="ad81188f-3ce5-44f7-8632-d03ce10ce09f" xmlns:ns3="18b5a5a9-e64c-4adb-b678-ec5ec59a1b00" targetNamespace="http://schemas.microsoft.com/office/2006/metadata/properties" ma:root="true" ma:fieldsID="217bbcf0d1ad94645efa4d1c7c77b7e6" ns2:_="" ns3:_="">
    <xsd:import namespace="ad81188f-3ce5-44f7-8632-d03ce10ce09f"/>
    <xsd:import namespace="18b5a5a9-e64c-4adb-b678-ec5ec59a1b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RecordIdentif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1188f-3ce5-44f7-8632-d03ce10ce0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RecordIdentifier" ma:index="18" nillable="true" ma:displayName="Record Identifier" ma:format="Dropdown" ma:internalName="RecordIdentifi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b5a5a9-e64c-4adb-b678-ec5ec59a1b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7D3BF-B31A-44D3-A4F9-F836E4679933}">
  <ds:schemaRefs>
    <ds:schemaRef ds:uri="http://schemas.microsoft.com/office/2006/metadata/properties"/>
    <ds:schemaRef ds:uri="ad81188f-3ce5-44f7-8632-d03ce10ce09f"/>
  </ds:schemaRefs>
</ds:datastoreItem>
</file>

<file path=customXml/itemProps2.xml><?xml version="1.0" encoding="utf-8"?>
<ds:datastoreItem xmlns:ds="http://schemas.openxmlformats.org/officeDocument/2006/customXml" ds:itemID="{CC3A187D-B353-4170-9415-3725D650307E}">
  <ds:schemaRefs>
    <ds:schemaRef ds:uri="http://schemas.microsoft.com/sharepoint/v3/contenttype/forms"/>
  </ds:schemaRefs>
</ds:datastoreItem>
</file>

<file path=customXml/itemProps3.xml><?xml version="1.0" encoding="utf-8"?>
<ds:datastoreItem xmlns:ds="http://schemas.openxmlformats.org/officeDocument/2006/customXml" ds:itemID="{DFE7DF96-1B6B-468F-984C-3A5D31F8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1188f-3ce5-44f7-8632-d03ce10ce09f"/>
    <ds:schemaRef ds:uri="18b5a5a9-e64c-4adb-b678-ec5ec59a1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C275B-5946-4B11-804C-F6262944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TEMPLATE STATEMENT OF REQUIREMENT</vt:lpstr>
    </vt:vector>
  </TitlesOfParts>
  <Company>DSTL</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creator>jfmalone</dc:creator>
  <cp:lastModifiedBy>Hoare, Amy D (DIO Comrcl-Disposals11)</cp:lastModifiedBy>
  <cp:revision>3</cp:revision>
  <cp:lastPrinted>2018-06-28T11:45:00Z</cp:lastPrinted>
  <dcterms:created xsi:type="dcterms:W3CDTF">2022-09-15T07:27:00Z</dcterms:created>
  <dcterms:modified xsi:type="dcterms:W3CDTF">2022-09-21T09:37:00Z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0x0101008E2E3C01CED27540B4F255BA78F09F82</vt:lpwstr>
  </property>
  <property fmtid="{D5CDD505-2E9C-101B-9397-08002B2CF9AE}" pid="3" name="MSIP_Label_d8a60473-494b-4586-a1bb-b0e663054676_Enabled">
    <vt:lpwstr>true</vt:lpwstr>
  </property>
  <property fmtid="{D5CDD505-2E9C-101B-9397-08002B2CF9AE}" pid="4" name="MSIP_Label_d8a60473-494b-4586-a1bb-b0e663054676_SetDate">
    <vt:lpwstr>2022-07-26T13:50:33Z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831d0db2-4b9d-49e6-bf9f-19cee2d236a2</vt:lpwstr>
  </property>
  <property fmtid="{D5CDD505-2E9C-101B-9397-08002B2CF9AE}" pid="9" name="MSIP_Label_d8a60473-494b-4586-a1bb-b0e663054676_ContentBits">
    <vt:lpwstr>0</vt:lpwstr>
  </property>
  <property fmtid="{D5CDD505-2E9C-101B-9397-08002B2CF9AE}" pid="10" name="_NewReviewCycle">
    <vt:lpwstr/>
  </property>
</Properties>
</file>