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BF632" w14:textId="77777777" w:rsidR="00A46F17" w:rsidRDefault="00D16D7B" w:rsidP="00A377E5">
      <w:pPr>
        <w:pStyle w:val="Heading1"/>
        <w:spacing w:before="120" w:after="240" w:line="240" w:lineRule="auto"/>
        <w:rPr>
          <w:rFonts w:ascii="Arial" w:eastAsia="Times New Roman" w:hAnsi="Arial" w:cs="Arial"/>
          <w:bCs w:val="0"/>
          <w:color w:val="auto"/>
          <w:sz w:val="36"/>
          <w:szCs w:val="24"/>
          <w:lang w:val="en-US"/>
        </w:rPr>
      </w:pPr>
      <w:r>
        <w:rPr>
          <w:rFonts w:ascii="Arial" w:eastAsia="Times New Roman" w:hAnsi="Arial" w:cs="Arial"/>
          <w:bCs w:val="0"/>
          <w:color w:val="auto"/>
          <w:sz w:val="36"/>
          <w:szCs w:val="24"/>
          <w:lang w:val="en-US"/>
        </w:rPr>
        <w:t xml:space="preserve">2017/18 Business to Business Toolkits </w:t>
      </w:r>
      <w:r w:rsidR="004B32EA">
        <w:rPr>
          <w:rFonts w:ascii="Arial" w:eastAsia="Times New Roman" w:hAnsi="Arial" w:cs="Arial"/>
          <w:bCs w:val="0"/>
          <w:color w:val="auto"/>
          <w:sz w:val="36"/>
          <w:szCs w:val="24"/>
          <w:lang w:val="en-US"/>
        </w:rPr>
        <w:t xml:space="preserve">Specification </w:t>
      </w:r>
    </w:p>
    <w:p w14:paraId="59609855" w14:textId="77777777" w:rsidR="00F179B6" w:rsidRPr="00BD32B8" w:rsidRDefault="00F179B6" w:rsidP="00A377E5">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360"/>
        <w:rPr>
          <w:rFonts w:ascii="Arial" w:hAnsi="Arial" w:cs="Arial"/>
          <w:b/>
          <w:bCs/>
          <w:sz w:val="24"/>
          <w:szCs w:val="24"/>
        </w:rPr>
      </w:pPr>
    </w:p>
    <w:p w14:paraId="69C0C93F" w14:textId="77777777" w:rsidR="00222AFC" w:rsidRPr="00A46F17" w:rsidRDefault="00222AF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Purpose</w:t>
      </w:r>
    </w:p>
    <w:p w14:paraId="23F563F5" w14:textId="77777777" w:rsidR="00D16D7B" w:rsidRDefault="00460EF3"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461A9">
        <w:rPr>
          <w:rFonts w:ascii="Arial" w:hAnsi="Arial" w:cs="Arial"/>
          <w:bCs/>
          <w:sz w:val="24"/>
          <w:szCs w:val="24"/>
        </w:rPr>
        <w:t>Public Health England</w:t>
      </w:r>
      <w:r w:rsidR="00107571" w:rsidRPr="004461A9">
        <w:rPr>
          <w:rFonts w:ascii="Arial" w:hAnsi="Arial" w:cs="Arial"/>
          <w:bCs/>
          <w:sz w:val="24"/>
          <w:szCs w:val="24"/>
        </w:rPr>
        <w:t xml:space="preserve"> (PHE)</w:t>
      </w:r>
      <w:r w:rsidRPr="004461A9">
        <w:rPr>
          <w:rFonts w:ascii="Arial" w:hAnsi="Arial" w:cs="Arial"/>
          <w:bCs/>
          <w:sz w:val="24"/>
          <w:szCs w:val="24"/>
        </w:rPr>
        <w:t xml:space="preserve"> is seeking</w:t>
      </w:r>
      <w:r w:rsidR="004B32EA" w:rsidRPr="004461A9">
        <w:rPr>
          <w:rFonts w:ascii="Arial" w:hAnsi="Arial" w:cs="Arial"/>
          <w:bCs/>
          <w:sz w:val="24"/>
          <w:szCs w:val="24"/>
        </w:rPr>
        <w:t xml:space="preserve"> to commission</w:t>
      </w:r>
      <w:r w:rsidR="00D16D7B" w:rsidRPr="004461A9">
        <w:rPr>
          <w:rFonts w:ascii="Arial" w:hAnsi="Arial" w:cs="Arial"/>
          <w:bCs/>
          <w:sz w:val="24"/>
          <w:szCs w:val="24"/>
        </w:rPr>
        <w:t xml:space="preserve"> an external partner to develop </w:t>
      </w:r>
      <w:r w:rsidR="00BE4D3A">
        <w:rPr>
          <w:rFonts w:ascii="Arial" w:hAnsi="Arial" w:cs="Arial"/>
          <w:bCs/>
          <w:sz w:val="24"/>
          <w:szCs w:val="24"/>
        </w:rPr>
        <w:t>the following employer toolkits:</w:t>
      </w:r>
    </w:p>
    <w:p w14:paraId="18088154" w14:textId="77777777" w:rsidR="00D16D7B" w:rsidRPr="00275CAC" w:rsidRDefault="00D16D7B" w:rsidP="00275CAC">
      <w:pPr>
        <w:pStyle w:val="ListParagraph"/>
        <w:widowControl w:val="0"/>
        <w:numPr>
          <w:ilvl w:val="0"/>
          <w:numId w:val="1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75CAC">
        <w:rPr>
          <w:rFonts w:ascii="Arial" w:hAnsi="Arial" w:cs="Arial"/>
          <w:bCs/>
          <w:sz w:val="24"/>
          <w:szCs w:val="24"/>
        </w:rPr>
        <w:t>Physical activity, Diet and Weight Issues</w:t>
      </w:r>
    </w:p>
    <w:p w14:paraId="19562665" w14:textId="77777777" w:rsidR="00D16D7B" w:rsidRPr="00275CAC" w:rsidRDefault="00D16D7B" w:rsidP="00275CAC">
      <w:pPr>
        <w:pStyle w:val="ListParagraph"/>
        <w:widowControl w:val="0"/>
        <w:numPr>
          <w:ilvl w:val="0"/>
          <w:numId w:val="1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75CAC">
        <w:rPr>
          <w:rFonts w:ascii="Arial" w:hAnsi="Arial" w:cs="Arial"/>
          <w:bCs/>
          <w:sz w:val="24"/>
          <w:szCs w:val="24"/>
        </w:rPr>
        <w:t xml:space="preserve">Drugs, Alcohol and Tobacco </w:t>
      </w:r>
      <w:r w:rsidR="001C6391" w:rsidRPr="00275CAC">
        <w:rPr>
          <w:rFonts w:ascii="Arial" w:hAnsi="Arial" w:cs="Arial"/>
          <w:bCs/>
          <w:sz w:val="24"/>
          <w:szCs w:val="24"/>
        </w:rPr>
        <w:t xml:space="preserve"> </w:t>
      </w:r>
    </w:p>
    <w:p w14:paraId="190BB0FC" w14:textId="77777777" w:rsidR="00D16D7B" w:rsidRDefault="00BE4D3A"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These toolkits will sit</w:t>
      </w:r>
      <w:r w:rsidRPr="00BE4D3A">
        <w:rPr>
          <w:rFonts w:ascii="Arial" w:hAnsi="Arial" w:cs="Arial"/>
          <w:bCs/>
          <w:sz w:val="24"/>
          <w:szCs w:val="24"/>
        </w:rPr>
        <w:t xml:space="preserve"> alongside the existing employer toolkits on MSK, Suicide Prevention, </w:t>
      </w:r>
      <w:proofErr w:type="gramStart"/>
      <w:r w:rsidRPr="00BE4D3A">
        <w:rPr>
          <w:rFonts w:ascii="Arial" w:hAnsi="Arial" w:cs="Arial"/>
          <w:bCs/>
          <w:sz w:val="24"/>
          <w:szCs w:val="24"/>
        </w:rPr>
        <w:t>Suicide</w:t>
      </w:r>
      <w:proofErr w:type="gramEnd"/>
      <w:r w:rsidRPr="00BE4D3A">
        <w:rPr>
          <w:rFonts w:ascii="Arial" w:hAnsi="Arial" w:cs="Arial"/>
          <w:bCs/>
          <w:sz w:val="24"/>
          <w:szCs w:val="24"/>
        </w:rPr>
        <w:t xml:space="preserve"> </w:t>
      </w:r>
      <w:proofErr w:type="spellStart"/>
      <w:r w:rsidRPr="00BE4D3A">
        <w:rPr>
          <w:rFonts w:ascii="Arial" w:hAnsi="Arial" w:cs="Arial"/>
          <w:bCs/>
          <w:sz w:val="24"/>
          <w:szCs w:val="24"/>
        </w:rPr>
        <w:t>Postvention</w:t>
      </w:r>
      <w:proofErr w:type="spellEnd"/>
      <w:r w:rsidRPr="00BE4D3A">
        <w:rPr>
          <w:rFonts w:ascii="Arial" w:hAnsi="Arial" w:cs="Arial"/>
          <w:bCs/>
          <w:sz w:val="24"/>
          <w:szCs w:val="24"/>
        </w:rPr>
        <w:t xml:space="preserve"> and Mental Health issues.</w:t>
      </w:r>
      <w:r>
        <w:rPr>
          <w:rFonts w:ascii="Arial" w:hAnsi="Arial" w:cs="Arial"/>
          <w:bCs/>
          <w:sz w:val="24"/>
          <w:szCs w:val="24"/>
        </w:rPr>
        <w:t xml:space="preserve"> </w:t>
      </w:r>
      <w:r w:rsidR="00D16D7B">
        <w:rPr>
          <w:rFonts w:ascii="Arial" w:hAnsi="Arial" w:cs="Arial"/>
          <w:bCs/>
          <w:sz w:val="24"/>
          <w:szCs w:val="24"/>
        </w:rPr>
        <w:t>These toolkits form part of a suite of free resources that PHE has co-produced to support employer led action to support better employee health, realise the</w:t>
      </w:r>
      <w:r w:rsidR="00275CAC">
        <w:rPr>
          <w:rFonts w:ascii="Arial" w:hAnsi="Arial" w:cs="Arial"/>
          <w:bCs/>
          <w:sz w:val="24"/>
          <w:szCs w:val="24"/>
        </w:rPr>
        <w:t xml:space="preserve"> business</w:t>
      </w:r>
      <w:r w:rsidR="00D16D7B">
        <w:rPr>
          <w:rFonts w:ascii="Arial" w:hAnsi="Arial" w:cs="Arial"/>
          <w:bCs/>
          <w:sz w:val="24"/>
          <w:szCs w:val="24"/>
        </w:rPr>
        <w:t xml:space="preserve"> benefits of </w:t>
      </w:r>
      <w:r w:rsidR="00275CAC">
        <w:rPr>
          <w:rFonts w:ascii="Arial" w:hAnsi="Arial" w:cs="Arial"/>
          <w:bCs/>
          <w:sz w:val="24"/>
          <w:szCs w:val="24"/>
        </w:rPr>
        <w:t xml:space="preserve">supporting </w:t>
      </w:r>
      <w:r w:rsidR="00D16D7B">
        <w:rPr>
          <w:rFonts w:ascii="Arial" w:hAnsi="Arial" w:cs="Arial"/>
          <w:bCs/>
          <w:sz w:val="24"/>
          <w:szCs w:val="24"/>
        </w:rPr>
        <w:t>em</w:t>
      </w:r>
      <w:r w:rsidR="00275CAC">
        <w:rPr>
          <w:rFonts w:ascii="Arial" w:hAnsi="Arial" w:cs="Arial"/>
          <w:bCs/>
          <w:sz w:val="24"/>
          <w:szCs w:val="24"/>
        </w:rPr>
        <w:t>ployee health and wellbeing and maximise the potential for workplace action to support</w:t>
      </w:r>
      <w:r w:rsidR="00D16D7B">
        <w:rPr>
          <w:rFonts w:ascii="Arial" w:hAnsi="Arial" w:cs="Arial"/>
          <w:bCs/>
          <w:sz w:val="24"/>
          <w:szCs w:val="24"/>
        </w:rPr>
        <w:t xml:space="preserve"> improve</w:t>
      </w:r>
      <w:r w:rsidR="00275CAC">
        <w:rPr>
          <w:rFonts w:ascii="Arial" w:hAnsi="Arial" w:cs="Arial"/>
          <w:bCs/>
          <w:sz w:val="24"/>
          <w:szCs w:val="24"/>
        </w:rPr>
        <w:t>ment in</w:t>
      </w:r>
      <w:r w:rsidR="00D16D7B">
        <w:rPr>
          <w:rFonts w:ascii="Arial" w:hAnsi="Arial" w:cs="Arial"/>
          <w:bCs/>
          <w:sz w:val="24"/>
          <w:szCs w:val="24"/>
        </w:rPr>
        <w:t xml:space="preserve"> adult health and wellbeing in England.</w:t>
      </w:r>
    </w:p>
    <w:p w14:paraId="7091612D" w14:textId="77777777" w:rsidR="00B2480C" w:rsidRPr="00A46F17" w:rsidRDefault="00B2480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Background</w:t>
      </w:r>
    </w:p>
    <w:p w14:paraId="1449ECF1" w14:textId="77777777" w:rsidR="00F73C4B" w:rsidRPr="00A46F17"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sz w:val="24"/>
          <w:szCs w:val="24"/>
        </w:rPr>
        <w:t>Public Health England (PHE) is the expert national public health agency which fulfils the Secretary of State for Health’s statutory duty to protect health and address inequalities, and executes his power to promote the health and wellbeing of the nation.</w:t>
      </w:r>
    </w:p>
    <w:p w14:paraId="73139B1C" w14:textId="77777777" w:rsidR="00F73C4B"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A46F17">
        <w:rPr>
          <w:rFonts w:ascii="Arial" w:hAnsi="Arial" w:cs="Arial"/>
          <w:sz w:val="24"/>
          <w:szCs w:val="24"/>
        </w:rPr>
        <w:t>PHE supports local authorities, and through them clinical commissioning groups, by providing evidence and knowledge on local health needs, alongside practical and professional advice on what to do to improve health, and by taking action nationally where it makes sense to do so.</w:t>
      </w:r>
    </w:p>
    <w:p w14:paraId="52327EE7" w14:textId="77777777" w:rsidR="00275CAC" w:rsidRDefault="008F12DC"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PHE works</w:t>
      </w:r>
      <w:r w:rsidR="00275CAC">
        <w:rPr>
          <w:rFonts w:ascii="Arial" w:hAnsi="Arial" w:cs="Arial"/>
          <w:sz w:val="24"/>
          <w:szCs w:val="24"/>
        </w:rPr>
        <w:t xml:space="preserve"> closely with the Joint Health and Work Unit in the development of Work, health and disability: improving lives</w:t>
      </w:r>
      <w:r w:rsidR="00107571">
        <w:rPr>
          <w:rFonts w:ascii="Arial" w:hAnsi="Arial" w:cs="Arial"/>
          <w:sz w:val="24"/>
          <w:szCs w:val="24"/>
        </w:rPr>
        <w:t xml:space="preserve"> green paper</w:t>
      </w:r>
      <w:r w:rsidR="00275CAC">
        <w:rPr>
          <w:rFonts w:ascii="Arial" w:hAnsi="Arial" w:cs="Arial"/>
          <w:sz w:val="24"/>
          <w:szCs w:val="24"/>
        </w:rPr>
        <w:t>, which highlighted the opportunities for employer led action to build on their legal health and safety requirements to promote better health and wellbeing for their staff.</w:t>
      </w:r>
    </w:p>
    <w:p w14:paraId="763B35F6" w14:textId="77777777" w:rsidR="008F12DC" w:rsidRDefault="008F12DC" w:rsidP="008F12DC">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8F12DC">
        <w:rPr>
          <w:rFonts w:ascii="Arial" w:hAnsi="Arial" w:cs="Arial"/>
          <w:sz w:val="24"/>
          <w:szCs w:val="24"/>
        </w:rPr>
        <w:t xml:space="preserve">PHE recognises the importance of the relationship between ‘good work’ and ‘good health’. </w:t>
      </w:r>
    </w:p>
    <w:p w14:paraId="58921A99" w14:textId="77777777" w:rsidR="008F12DC" w:rsidRPr="008F12DC" w:rsidRDefault="008F12DC" w:rsidP="008F12DC">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8F12DC">
        <w:rPr>
          <w:rFonts w:ascii="Arial" w:hAnsi="Arial" w:cs="Arial"/>
          <w:sz w:val="24"/>
          <w:szCs w:val="24"/>
        </w:rPr>
        <w:t>“</w:t>
      </w:r>
      <w:r w:rsidRPr="008F12DC">
        <w:rPr>
          <w:rFonts w:ascii="Arial" w:hAnsi="Arial" w:cs="Arial"/>
          <w:i/>
          <w:sz w:val="24"/>
          <w:szCs w:val="24"/>
        </w:rPr>
        <w:t>Being in good employment is protective of health. Conversely, unemployment contributes to poor health</w:t>
      </w:r>
      <w:r w:rsidRPr="008F12DC">
        <w:rPr>
          <w:rFonts w:ascii="Arial" w:hAnsi="Arial" w:cs="Arial"/>
          <w:sz w:val="24"/>
          <w:szCs w:val="24"/>
        </w:rPr>
        <w:t>.” (Marmot Review, 2010)</w:t>
      </w:r>
    </w:p>
    <w:p w14:paraId="78133FB6" w14:textId="77777777" w:rsidR="008F12DC" w:rsidRPr="008F12DC" w:rsidRDefault="008F12DC" w:rsidP="008F12DC">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8F12DC">
        <w:rPr>
          <w:rFonts w:ascii="Arial" w:hAnsi="Arial" w:cs="Arial"/>
          <w:sz w:val="24"/>
          <w:szCs w:val="24"/>
        </w:rPr>
        <w:t>Work and employment is a primary determinant of health, impacting both directly and indirectly on the individual, their families and communities. It is estimated that socio-</w:t>
      </w:r>
      <w:r w:rsidRPr="008F12DC">
        <w:rPr>
          <w:rFonts w:ascii="Arial" w:hAnsi="Arial" w:cs="Arial"/>
          <w:sz w:val="24"/>
          <w:szCs w:val="24"/>
        </w:rPr>
        <w:lastRenderedPageBreak/>
        <w:t xml:space="preserve">economic factors – of which employment is key – are responsible for 50% of </w:t>
      </w:r>
      <w:r>
        <w:rPr>
          <w:rFonts w:ascii="Arial" w:hAnsi="Arial" w:cs="Arial"/>
          <w:sz w:val="24"/>
          <w:szCs w:val="24"/>
        </w:rPr>
        <w:t xml:space="preserve">an individual’s health status. </w:t>
      </w:r>
    </w:p>
    <w:p w14:paraId="15802B0C" w14:textId="77777777" w:rsidR="008F12DC" w:rsidRPr="008F12DC" w:rsidRDefault="008F12DC" w:rsidP="008F12DC">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8F12DC">
        <w:rPr>
          <w:rFonts w:ascii="Arial" w:hAnsi="Arial" w:cs="Arial"/>
          <w:sz w:val="24"/>
          <w:szCs w:val="24"/>
        </w:rPr>
        <w:t xml:space="preserve">Despite this, 1 in 12 of the working age population is economically inactive due to ill-health and the risk of ill-health rises with longer periods of unemployment. There are also significant inequalities in employment across population groups – with people living with mental ill-health or long-term health conditions least likely to be in employment. Hence, supporting people into work who are living with a mental health condition is a key priority. </w:t>
      </w:r>
    </w:p>
    <w:p w14:paraId="71001DA2" w14:textId="77777777" w:rsidR="008F12DC" w:rsidRPr="008F12DC" w:rsidRDefault="008F12DC" w:rsidP="008F12DC">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8F12DC">
        <w:rPr>
          <w:rFonts w:ascii="Arial" w:hAnsi="Arial" w:cs="Arial"/>
          <w:sz w:val="24"/>
          <w:szCs w:val="24"/>
        </w:rPr>
        <w:t xml:space="preserve">Workplaces are also a key setting for engaging adults in health improvement activity. However, there is still much to be done in reducing unhealthy and dangerous workplaces and supporting inclusive and responsive workplaces that tackle the major causes of sickness absence including stress and anxiety and lower back pain. </w:t>
      </w:r>
    </w:p>
    <w:p w14:paraId="2C7DCB7C" w14:textId="77777777" w:rsidR="008F12DC" w:rsidRDefault="008F12DC" w:rsidP="008F12DC">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8F12DC">
        <w:rPr>
          <w:rFonts w:ascii="Arial" w:hAnsi="Arial" w:cs="Arial"/>
          <w:sz w:val="24"/>
          <w:szCs w:val="24"/>
        </w:rPr>
        <w:t>Given the link with productivity and staff absence rates, supporting employees to improve their health and wellbeing also makes good business sense. Many organisations understand this, and protect and promote their staff’s health and wellbeing. The challenge is to spread this good practice to all organisations across the country – whatever their size and sector.</w:t>
      </w:r>
    </w:p>
    <w:p w14:paraId="70F422CB" w14:textId="77777777" w:rsidR="00BE4D3A" w:rsidRDefault="00BE4D3A"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60E7C246" w14:textId="77777777" w:rsidR="008F12DC" w:rsidRPr="008F12DC" w:rsidRDefault="008F12DC"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8204D6">
        <w:rPr>
          <w:rFonts w:ascii="Arial" w:hAnsi="Arial" w:cs="Arial"/>
          <w:b/>
          <w:bCs/>
          <w:sz w:val="24"/>
          <w:szCs w:val="24"/>
        </w:rPr>
        <w:t>Em</w:t>
      </w:r>
      <w:r>
        <w:rPr>
          <w:rFonts w:ascii="Arial" w:hAnsi="Arial" w:cs="Arial"/>
          <w:b/>
          <w:bCs/>
          <w:sz w:val="24"/>
          <w:szCs w:val="24"/>
        </w:rPr>
        <w:t xml:space="preserve">ployer Toolkits </w:t>
      </w:r>
    </w:p>
    <w:p w14:paraId="3614F370" w14:textId="77777777" w:rsidR="00275CAC" w:rsidRDefault="008F12DC"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Over the last two years PHE has work in partnership with Business in the Community and Forster Communications to develop several new employer toolkits:</w:t>
      </w:r>
    </w:p>
    <w:p w14:paraId="5CCBDAC4" w14:textId="77777777" w:rsidR="008F12DC" w:rsidRDefault="00653D8D"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hyperlink r:id="rId9" w:history="1">
        <w:r w:rsidR="008F12DC" w:rsidRPr="008F12DC">
          <w:rPr>
            <w:rStyle w:val="Hyperlink"/>
            <w:rFonts w:ascii="Arial" w:hAnsi="Arial" w:cs="Arial"/>
            <w:sz w:val="24"/>
            <w:szCs w:val="24"/>
          </w:rPr>
          <w:t>Mental health for employers</w:t>
        </w:r>
      </w:hyperlink>
    </w:p>
    <w:p w14:paraId="13946B32" w14:textId="77777777" w:rsidR="008F12DC" w:rsidRDefault="00653D8D"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hyperlink r:id="rId10" w:history="1">
        <w:r w:rsidR="008F12DC" w:rsidRPr="008F12DC">
          <w:rPr>
            <w:rStyle w:val="Hyperlink"/>
            <w:rFonts w:ascii="Arial" w:hAnsi="Arial" w:cs="Arial"/>
            <w:sz w:val="24"/>
            <w:szCs w:val="24"/>
          </w:rPr>
          <w:t>Musculoskeletal health toolkit for employers</w:t>
        </w:r>
      </w:hyperlink>
    </w:p>
    <w:p w14:paraId="3FE11669" w14:textId="77777777" w:rsidR="008F12DC" w:rsidRDefault="00653D8D"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hyperlink r:id="rId11" w:history="1">
        <w:r w:rsidR="008F12DC">
          <w:rPr>
            <w:rStyle w:val="Hyperlink"/>
            <w:rFonts w:ascii="Arial" w:hAnsi="Arial" w:cs="Arial"/>
            <w:sz w:val="24"/>
            <w:szCs w:val="24"/>
          </w:rPr>
          <w:t>Suicide p</w:t>
        </w:r>
        <w:r w:rsidR="008F12DC" w:rsidRPr="008F12DC">
          <w:rPr>
            <w:rStyle w:val="Hyperlink"/>
            <w:rFonts w:ascii="Arial" w:hAnsi="Arial" w:cs="Arial"/>
            <w:sz w:val="24"/>
            <w:szCs w:val="24"/>
          </w:rPr>
          <w:t>revention toolkit for employers</w:t>
        </w:r>
      </w:hyperlink>
    </w:p>
    <w:p w14:paraId="39258B4B" w14:textId="77777777" w:rsidR="008F12DC" w:rsidRDefault="00653D8D"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hyperlink r:id="rId12" w:history="1">
        <w:r w:rsidR="008F12DC" w:rsidRPr="008F12DC">
          <w:rPr>
            <w:rStyle w:val="Hyperlink"/>
            <w:rFonts w:ascii="Arial" w:hAnsi="Arial" w:cs="Arial"/>
            <w:sz w:val="24"/>
            <w:szCs w:val="24"/>
          </w:rPr>
          <w:t>Suicid</w:t>
        </w:r>
        <w:r w:rsidR="008F12DC">
          <w:rPr>
            <w:rStyle w:val="Hyperlink"/>
            <w:rFonts w:ascii="Arial" w:hAnsi="Arial" w:cs="Arial"/>
            <w:sz w:val="24"/>
            <w:szCs w:val="24"/>
          </w:rPr>
          <w:t xml:space="preserve">e </w:t>
        </w:r>
        <w:proofErr w:type="spellStart"/>
        <w:r w:rsidR="008F12DC">
          <w:rPr>
            <w:rStyle w:val="Hyperlink"/>
            <w:rFonts w:ascii="Arial" w:hAnsi="Arial" w:cs="Arial"/>
            <w:sz w:val="24"/>
            <w:szCs w:val="24"/>
          </w:rPr>
          <w:t>post</w:t>
        </w:r>
        <w:r w:rsidR="008F12DC" w:rsidRPr="008F12DC">
          <w:rPr>
            <w:rStyle w:val="Hyperlink"/>
            <w:rFonts w:ascii="Arial" w:hAnsi="Arial" w:cs="Arial"/>
            <w:sz w:val="24"/>
            <w:szCs w:val="24"/>
          </w:rPr>
          <w:t>vention</w:t>
        </w:r>
        <w:proofErr w:type="spellEnd"/>
        <w:r w:rsidR="008F12DC" w:rsidRPr="008F12DC">
          <w:rPr>
            <w:rStyle w:val="Hyperlink"/>
            <w:rFonts w:ascii="Arial" w:hAnsi="Arial" w:cs="Arial"/>
            <w:sz w:val="24"/>
            <w:szCs w:val="24"/>
          </w:rPr>
          <w:t xml:space="preserve"> toolkit for employers</w:t>
        </w:r>
      </w:hyperlink>
    </w:p>
    <w:p w14:paraId="705D8B38" w14:textId="77777777" w:rsidR="008F12DC" w:rsidRDefault="008F12DC"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employer toolkits are based on the best available evidence, include case studies from a range of business sectors and different sizes of industry and consolidate the existing resources available to support businesses of all sizes as they progress in their journey to address the specific issue. </w:t>
      </w:r>
    </w:p>
    <w:p w14:paraId="4FB2CE6A" w14:textId="77777777" w:rsidR="008F12DC" w:rsidRDefault="008F12DC"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 toolkits have all been developed with from specific third sector partners such as the Samaritans and ARMA to gain their expert technical insight and experience.</w:t>
      </w:r>
    </w:p>
    <w:p w14:paraId="19A5A814" w14:textId="77777777" w:rsidR="008F12DC" w:rsidRDefault="008F12DC"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In developing the toolkits the drafts have been tested with a range of businesses </w:t>
      </w:r>
      <w:r>
        <w:rPr>
          <w:rFonts w:ascii="Arial" w:hAnsi="Arial" w:cs="Arial"/>
          <w:bCs/>
          <w:sz w:val="24"/>
          <w:szCs w:val="24"/>
        </w:rPr>
        <w:lastRenderedPageBreak/>
        <w:t xml:space="preserve">prior to finalisation and reviewed by PHE’s health and work advisory group which includes key national partners such as the Health &amp; Safety Executive, TUC and Faculty of Occupational Medicine.  </w:t>
      </w:r>
    </w:p>
    <w:p w14:paraId="032DCC81" w14:textId="77777777" w:rsidR="008F12DC" w:rsidRPr="008F12DC" w:rsidRDefault="008F12DC"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To date there have been about 10,000 downloads of the resources, with almost 500 downloads of the three resources launched in March 2017 within the first week.</w:t>
      </w:r>
    </w:p>
    <w:p w14:paraId="0F0B1E0C" w14:textId="77777777" w:rsidR="008F12DC" w:rsidRDefault="008F12DC" w:rsidP="007748D8">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We wish to build on this success to commission two new toolkits focusing on:</w:t>
      </w:r>
    </w:p>
    <w:p w14:paraId="388C7A25" w14:textId="77777777" w:rsidR="008F12DC" w:rsidRPr="00275CAC" w:rsidRDefault="008F12DC" w:rsidP="008F12DC">
      <w:pPr>
        <w:pStyle w:val="ListParagraph"/>
        <w:widowControl w:val="0"/>
        <w:numPr>
          <w:ilvl w:val="0"/>
          <w:numId w:val="1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75CAC">
        <w:rPr>
          <w:rFonts w:ascii="Arial" w:hAnsi="Arial" w:cs="Arial"/>
          <w:bCs/>
          <w:sz w:val="24"/>
          <w:szCs w:val="24"/>
        </w:rPr>
        <w:t>Physical activity, Diet and Weight Issues</w:t>
      </w:r>
    </w:p>
    <w:p w14:paraId="0036A860" w14:textId="77777777" w:rsidR="008F12DC" w:rsidRPr="002A0B58" w:rsidRDefault="008F12DC" w:rsidP="007748D8">
      <w:pPr>
        <w:pStyle w:val="ListParagraph"/>
        <w:widowControl w:val="0"/>
        <w:numPr>
          <w:ilvl w:val="0"/>
          <w:numId w:val="1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275CAC">
        <w:rPr>
          <w:rFonts w:ascii="Arial" w:hAnsi="Arial" w:cs="Arial"/>
          <w:bCs/>
          <w:sz w:val="24"/>
          <w:szCs w:val="24"/>
        </w:rPr>
        <w:t xml:space="preserve">Drugs, Alcohol and Tobacco  </w:t>
      </w:r>
    </w:p>
    <w:p w14:paraId="4BE61090" w14:textId="77777777" w:rsidR="00153245" w:rsidRDefault="002A0B58" w:rsidP="002A0B58">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These should mirror the model and format established in the existing toolkits and will be based on a rapid literature review which PHE is already conducting to assess the published evidence base relating to these issues in the workplace.</w:t>
      </w:r>
    </w:p>
    <w:p w14:paraId="54164C2A" w14:textId="77777777" w:rsidR="00044057" w:rsidRDefault="00044057" w:rsidP="002A0B58">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We have focused on these issues because they remain significant issues for adult health and wellbeing and contribute to health, social care and direct business costs.</w:t>
      </w:r>
    </w:p>
    <w:p w14:paraId="7674C60A" w14:textId="77777777" w:rsidR="00044057" w:rsidRDefault="00044057" w:rsidP="00044057">
      <w:pPr>
        <w:pStyle w:val="ListParagraph"/>
        <w:widowControl w:val="0"/>
        <w:numPr>
          <w:ilvl w:val="0"/>
          <w:numId w:val="1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sz w:val="24"/>
          <w:szCs w:val="24"/>
          <w:lang w:val="en-US"/>
        </w:rPr>
      </w:pPr>
      <w:r>
        <w:rPr>
          <w:rFonts w:ascii="Arial" w:eastAsia="Times New Roman" w:hAnsi="Arial" w:cs="Arial"/>
          <w:sz w:val="24"/>
          <w:szCs w:val="24"/>
          <w:lang w:val="en-US"/>
        </w:rPr>
        <w:t>28.7% of adults are doing less than 30minutes of moderate physical activity a week (classified as inactive) and only 57% are achieving the 150 mins of activity needed to have a significant impact on their health (</w:t>
      </w:r>
      <w:hyperlink r:id="rId13" w:anchor="page/6/gid/1000042/pat/6/par/E12000004/ati/102/are/E06000015/iid/90275/age/164/sex/4" w:history="1">
        <w:r w:rsidRPr="00044057">
          <w:rPr>
            <w:rStyle w:val="Hyperlink"/>
            <w:rFonts w:ascii="Arial" w:eastAsia="Times New Roman" w:hAnsi="Arial" w:cs="Arial"/>
            <w:sz w:val="24"/>
            <w:szCs w:val="24"/>
            <w:lang w:val="en-US"/>
          </w:rPr>
          <w:t>2015</w:t>
        </w:r>
      </w:hyperlink>
      <w:r>
        <w:rPr>
          <w:rFonts w:ascii="Arial" w:eastAsia="Times New Roman" w:hAnsi="Arial" w:cs="Arial"/>
          <w:sz w:val="24"/>
          <w:szCs w:val="24"/>
          <w:lang w:val="en-US"/>
        </w:rPr>
        <w:t>)</w:t>
      </w:r>
      <w:r w:rsidR="00071649">
        <w:rPr>
          <w:rFonts w:ascii="Arial" w:eastAsia="Times New Roman" w:hAnsi="Arial" w:cs="Arial"/>
          <w:sz w:val="24"/>
          <w:szCs w:val="24"/>
          <w:lang w:val="en-US"/>
        </w:rPr>
        <w:t>.</w:t>
      </w:r>
    </w:p>
    <w:p w14:paraId="78DE6537" w14:textId="77777777" w:rsidR="00044057" w:rsidRDefault="00044057" w:rsidP="00044057">
      <w:pPr>
        <w:pStyle w:val="ListParagraph"/>
        <w:widowControl w:val="0"/>
        <w:numPr>
          <w:ilvl w:val="0"/>
          <w:numId w:val="1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sz w:val="24"/>
          <w:szCs w:val="24"/>
          <w:lang w:val="en-US"/>
        </w:rPr>
      </w:pPr>
      <w:r>
        <w:rPr>
          <w:rFonts w:ascii="Arial" w:eastAsia="Times New Roman" w:hAnsi="Arial" w:cs="Arial"/>
          <w:sz w:val="24"/>
          <w:szCs w:val="24"/>
          <w:lang w:val="en-US"/>
        </w:rPr>
        <w:t>52.3% of adults are meeting the recommended ‘5-a-day’ guidelines for intake of fruit and vegetables (</w:t>
      </w:r>
      <w:hyperlink r:id="rId14" w:anchor="page/6/gid/1000042/pat/6/par/E12000004/ati/102/are/E06000015/iid/91477/age/164/sex/4" w:history="1">
        <w:r w:rsidRPr="00044057">
          <w:rPr>
            <w:rStyle w:val="Hyperlink"/>
            <w:rFonts w:ascii="Arial" w:eastAsia="Times New Roman" w:hAnsi="Arial" w:cs="Arial"/>
            <w:sz w:val="24"/>
            <w:szCs w:val="24"/>
            <w:lang w:val="en-US"/>
          </w:rPr>
          <w:t>2015</w:t>
        </w:r>
      </w:hyperlink>
      <w:r>
        <w:rPr>
          <w:rFonts w:ascii="Arial" w:eastAsia="Times New Roman" w:hAnsi="Arial" w:cs="Arial"/>
          <w:sz w:val="24"/>
          <w:szCs w:val="24"/>
          <w:lang w:val="en-US"/>
        </w:rPr>
        <w:t>)</w:t>
      </w:r>
    </w:p>
    <w:p w14:paraId="06DDEB4A" w14:textId="77777777" w:rsidR="00044057" w:rsidRDefault="00044057" w:rsidP="00044057">
      <w:pPr>
        <w:pStyle w:val="ListParagraph"/>
        <w:widowControl w:val="0"/>
        <w:numPr>
          <w:ilvl w:val="0"/>
          <w:numId w:val="1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sz w:val="24"/>
          <w:szCs w:val="24"/>
          <w:lang w:val="en-US"/>
        </w:rPr>
      </w:pPr>
      <w:r>
        <w:rPr>
          <w:rFonts w:ascii="Arial" w:eastAsia="Times New Roman" w:hAnsi="Arial" w:cs="Arial"/>
          <w:sz w:val="24"/>
          <w:szCs w:val="24"/>
          <w:lang w:val="en-US"/>
        </w:rPr>
        <w:t>64.8% of adults are carrying excess weight i.e. overweight or obese (</w:t>
      </w:r>
      <w:hyperlink r:id="rId15" w:anchor="page/6/gid/1000042/pat/6/par/E12000004/ati/102/are/E06000015/iid/90640/age/164/sex/4" w:history="1">
        <w:r w:rsidRPr="00044057">
          <w:rPr>
            <w:rStyle w:val="Hyperlink"/>
            <w:rFonts w:ascii="Arial" w:eastAsia="Times New Roman" w:hAnsi="Arial" w:cs="Arial"/>
            <w:sz w:val="24"/>
            <w:szCs w:val="24"/>
            <w:lang w:val="en-US"/>
          </w:rPr>
          <w:t>2015</w:t>
        </w:r>
      </w:hyperlink>
      <w:r>
        <w:rPr>
          <w:rFonts w:ascii="Arial" w:eastAsia="Times New Roman" w:hAnsi="Arial" w:cs="Arial"/>
          <w:sz w:val="24"/>
          <w:szCs w:val="24"/>
          <w:lang w:val="en-US"/>
        </w:rPr>
        <w:t>)</w:t>
      </w:r>
      <w:r w:rsidR="00071649">
        <w:rPr>
          <w:rFonts w:ascii="Arial" w:eastAsia="Times New Roman" w:hAnsi="Arial" w:cs="Arial"/>
          <w:sz w:val="24"/>
          <w:szCs w:val="24"/>
          <w:lang w:val="en-US"/>
        </w:rPr>
        <w:t xml:space="preserve"> The Dame Carol Black Review</w:t>
      </w:r>
      <w:r w:rsidR="00071649" w:rsidRPr="00071649">
        <w:rPr>
          <w:rFonts w:ascii="Arial" w:eastAsia="Times New Roman" w:hAnsi="Arial" w:cs="Arial"/>
          <w:sz w:val="24"/>
          <w:szCs w:val="24"/>
          <w:vertAlign w:val="superscript"/>
          <w:lang w:val="en-US"/>
        </w:rPr>
        <w:t xml:space="preserve">2 </w:t>
      </w:r>
      <w:r w:rsidR="00071649">
        <w:rPr>
          <w:rFonts w:ascii="Arial" w:eastAsia="Times New Roman" w:hAnsi="Arial" w:cs="Arial"/>
          <w:sz w:val="24"/>
          <w:szCs w:val="24"/>
          <w:lang w:val="en-US"/>
        </w:rPr>
        <w:t>highlighted that although there is not a causal relationship between excess weight and work outcomes there is evidence of an impact due to the health conditions that may result from excess weight e.g. MSK conditions.</w:t>
      </w:r>
    </w:p>
    <w:p w14:paraId="0A98368D" w14:textId="77777777" w:rsidR="00044057" w:rsidRDefault="00044057" w:rsidP="00044057">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sz w:val="24"/>
          <w:szCs w:val="24"/>
          <w:lang w:val="en-US"/>
        </w:rPr>
      </w:pPr>
    </w:p>
    <w:p w14:paraId="0C716956" w14:textId="77777777" w:rsidR="00044057" w:rsidRDefault="00570EB7" w:rsidP="00044057">
      <w:pPr>
        <w:pStyle w:val="ListParagraph"/>
        <w:widowControl w:val="0"/>
        <w:numPr>
          <w:ilvl w:val="0"/>
          <w:numId w:val="1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sz w:val="24"/>
          <w:szCs w:val="24"/>
          <w:lang w:val="en-US"/>
        </w:rPr>
      </w:pPr>
      <w:r>
        <w:rPr>
          <w:rFonts w:ascii="Arial" w:eastAsia="Times New Roman" w:hAnsi="Arial" w:cs="Arial"/>
          <w:sz w:val="24"/>
          <w:szCs w:val="24"/>
          <w:lang w:val="en-US"/>
        </w:rPr>
        <w:t>18.1</w:t>
      </w:r>
      <w:r w:rsidR="00044057">
        <w:rPr>
          <w:rFonts w:ascii="Arial" w:eastAsia="Times New Roman" w:hAnsi="Arial" w:cs="Arial"/>
          <w:sz w:val="24"/>
          <w:szCs w:val="24"/>
          <w:lang w:val="en-US"/>
        </w:rPr>
        <w:t>% of adults are current smokers (</w:t>
      </w:r>
      <w:hyperlink r:id="rId16" w:anchor="page/6/gid/1938132886/pat/6/par/E12000004/ati/102/are/E06000015/iid/91547/age/188/sex/4" w:history="1">
        <w:r w:rsidR="00044057" w:rsidRPr="0008516D">
          <w:rPr>
            <w:rStyle w:val="Hyperlink"/>
            <w:rFonts w:ascii="Arial" w:eastAsia="Times New Roman" w:hAnsi="Arial" w:cs="Arial"/>
            <w:sz w:val="24"/>
            <w:szCs w:val="24"/>
            <w:lang w:val="en-US"/>
          </w:rPr>
          <w:t>2015</w:t>
        </w:r>
        <w:r w:rsidRPr="0008516D">
          <w:rPr>
            <w:rStyle w:val="Hyperlink"/>
            <w:rFonts w:ascii="Arial" w:eastAsia="Times New Roman" w:hAnsi="Arial" w:cs="Arial"/>
            <w:sz w:val="24"/>
            <w:szCs w:val="24"/>
            <w:lang w:val="en-US"/>
          </w:rPr>
          <w:t>/16</w:t>
        </w:r>
      </w:hyperlink>
      <w:r w:rsidR="00044057">
        <w:rPr>
          <w:rFonts w:ascii="Arial" w:eastAsia="Times New Roman" w:hAnsi="Arial" w:cs="Arial"/>
          <w:sz w:val="24"/>
          <w:szCs w:val="24"/>
          <w:lang w:val="en-US"/>
        </w:rPr>
        <w:t xml:space="preserve">) but the rate rises to </w:t>
      </w:r>
      <w:r w:rsidR="0008516D">
        <w:rPr>
          <w:rFonts w:ascii="Arial" w:eastAsia="Times New Roman" w:hAnsi="Arial" w:cs="Arial"/>
          <w:sz w:val="24"/>
          <w:szCs w:val="24"/>
          <w:lang w:val="en-US"/>
        </w:rPr>
        <w:t>28.0</w:t>
      </w:r>
      <w:r w:rsidR="00044057">
        <w:rPr>
          <w:rFonts w:ascii="Arial" w:eastAsia="Times New Roman" w:hAnsi="Arial" w:cs="Arial"/>
          <w:sz w:val="24"/>
          <w:szCs w:val="24"/>
          <w:lang w:val="en-US"/>
        </w:rPr>
        <w:t>% in routine and manual workers (</w:t>
      </w:r>
      <w:hyperlink r:id="rId17" w:anchor="page/3/gid/1938132886/pat/6/par/E12000004/ati/102/are/E06000015/iid/1209/age/168/sex/4" w:history="1">
        <w:r w:rsidR="00044057" w:rsidRPr="0008516D">
          <w:rPr>
            <w:rStyle w:val="Hyperlink"/>
            <w:rFonts w:ascii="Arial" w:eastAsia="Times New Roman" w:hAnsi="Arial" w:cs="Arial"/>
            <w:sz w:val="24"/>
            <w:szCs w:val="24"/>
            <w:lang w:val="en-US"/>
          </w:rPr>
          <w:t>2015</w:t>
        </w:r>
        <w:r w:rsidR="0008516D" w:rsidRPr="0008516D">
          <w:rPr>
            <w:rStyle w:val="Hyperlink"/>
            <w:rFonts w:ascii="Arial" w:eastAsia="Times New Roman" w:hAnsi="Arial" w:cs="Arial"/>
            <w:sz w:val="24"/>
            <w:szCs w:val="24"/>
            <w:lang w:val="en-US"/>
          </w:rPr>
          <w:t>/16</w:t>
        </w:r>
      </w:hyperlink>
      <w:r w:rsidR="00044057">
        <w:rPr>
          <w:rFonts w:ascii="Arial" w:eastAsia="Times New Roman" w:hAnsi="Arial" w:cs="Arial"/>
          <w:sz w:val="24"/>
          <w:szCs w:val="24"/>
          <w:lang w:val="en-US"/>
        </w:rPr>
        <w:t>)</w:t>
      </w:r>
    </w:p>
    <w:p w14:paraId="75E2BEDD" w14:textId="77777777" w:rsidR="00044057" w:rsidRDefault="00A960BA" w:rsidP="00044057">
      <w:pPr>
        <w:pStyle w:val="ListParagraph"/>
        <w:widowControl w:val="0"/>
        <w:numPr>
          <w:ilvl w:val="0"/>
          <w:numId w:val="1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sz w:val="24"/>
          <w:szCs w:val="24"/>
          <w:lang w:val="en-US"/>
        </w:rPr>
      </w:pPr>
      <w:r>
        <w:rPr>
          <w:rFonts w:ascii="Arial" w:eastAsia="Times New Roman" w:hAnsi="Arial" w:cs="Arial"/>
          <w:sz w:val="24"/>
          <w:szCs w:val="24"/>
          <w:lang w:val="en-US"/>
        </w:rPr>
        <w:t>The UK is in the top 20 OECD countries for overall alcohol consumption in 2012</w:t>
      </w:r>
      <w:r>
        <w:rPr>
          <w:rStyle w:val="FootnoteReference"/>
          <w:rFonts w:ascii="Arial" w:eastAsia="Times New Roman" w:hAnsi="Arial" w:cs="Arial"/>
          <w:sz w:val="24"/>
          <w:szCs w:val="24"/>
          <w:lang w:val="en-US"/>
        </w:rPr>
        <w:footnoteReference w:id="1"/>
      </w:r>
      <w:r>
        <w:rPr>
          <w:rFonts w:ascii="Arial" w:eastAsia="Times New Roman" w:hAnsi="Arial" w:cs="Arial"/>
          <w:sz w:val="24"/>
          <w:szCs w:val="24"/>
          <w:lang w:val="en-US"/>
        </w:rPr>
        <w:t xml:space="preserve">. </w:t>
      </w:r>
      <w:r w:rsidRPr="00A960BA">
        <w:rPr>
          <w:rFonts w:ascii="Arial" w:eastAsia="Times New Roman" w:hAnsi="Arial" w:cs="Arial"/>
          <w:sz w:val="24"/>
          <w:szCs w:val="24"/>
        </w:rPr>
        <w:t>Most alcohol is consumed by the heaviest drinking 20 per cent of the population and it is estimated that 10.3 million adults now drink at levels that increase the risk of harm</w:t>
      </w:r>
      <w:r>
        <w:rPr>
          <w:rStyle w:val="FootnoteReference"/>
          <w:rFonts w:ascii="Arial" w:eastAsia="Times New Roman" w:hAnsi="Arial" w:cs="Arial"/>
          <w:sz w:val="24"/>
          <w:szCs w:val="24"/>
          <w:lang w:val="en-US"/>
        </w:rPr>
        <w:footnoteReference w:id="2"/>
      </w:r>
      <w:r w:rsidRPr="00A960BA">
        <w:rPr>
          <w:rFonts w:ascii="Arial" w:eastAsia="Times New Roman" w:hAnsi="Arial" w:cs="Arial"/>
          <w:sz w:val="24"/>
          <w:szCs w:val="24"/>
          <w:lang w:val="en-US"/>
        </w:rPr>
        <w:t>.</w:t>
      </w:r>
      <w:r w:rsidRPr="00A960BA">
        <w:rPr>
          <w:rFonts w:ascii="Arial" w:eastAsia="Times New Roman" w:hAnsi="Arial" w:cs="Arial"/>
          <w:sz w:val="24"/>
          <w:szCs w:val="24"/>
        </w:rPr>
        <w:t xml:space="preserve"> </w:t>
      </w:r>
      <w:r w:rsidR="00570EB7">
        <w:rPr>
          <w:rFonts w:ascii="Arial" w:eastAsia="Times New Roman" w:hAnsi="Arial" w:cs="Arial"/>
          <w:sz w:val="24"/>
          <w:szCs w:val="24"/>
          <w:lang w:val="en-US"/>
        </w:rPr>
        <w:t xml:space="preserve">There are over 330,000 admissions in </w:t>
      </w:r>
      <w:hyperlink r:id="rId18" w:anchor="page/6/gid/1000042/pat/6/par/E12000004/ati/102/are/E06000015/iid/91414/age/1/sex/4" w:history="1">
        <w:r w:rsidR="00570EB7" w:rsidRPr="00570EB7">
          <w:rPr>
            <w:rStyle w:val="Hyperlink"/>
            <w:rFonts w:ascii="Arial" w:eastAsia="Times New Roman" w:hAnsi="Arial" w:cs="Arial"/>
            <w:sz w:val="24"/>
            <w:szCs w:val="24"/>
            <w:lang w:val="en-US"/>
          </w:rPr>
          <w:t>2015</w:t>
        </w:r>
      </w:hyperlink>
      <w:r w:rsidR="00570EB7">
        <w:rPr>
          <w:rFonts w:ascii="Arial" w:eastAsia="Times New Roman" w:hAnsi="Arial" w:cs="Arial"/>
          <w:sz w:val="24"/>
          <w:szCs w:val="24"/>
          <w:lang w:val="en-US"/>
        </w:rPr>
        <w:t xml:space="preserve"> for alcohol related issues. 16.5% of adults report having binge drunk in the last week (</w:t>
      </w:r>
      <w:hyperlink r:id="rId19" w:anchor="page/6/gid/1938133118/pat/6/par/E12000004/ati/102/are/E06000015/iid/92776/age/168/sex/4" w:history="1">
        <w:r w:rsidR="00570EB7" w:rsidRPr="00570EB7">
          <w:rPr>
            <w:rStyle w:val="Hyperlink"/>
            <w:rFonts w:ascii="Arial" w:eastAsia="Times New Roman" w:hAnsi="Arial" w:cs="Arial"/>
            <w:sz w:val="24"/>
            <w:szCs w:val="24"/>
            <w:lang w:val="en-US"/>
          </w:rPr>
          <w:t>2014</w:t>
        </w:r>
      </w:hyperlink>
      <w:r w:rsidR="00570EB7">
        <w:rPr>
          <w:rFonts w:ascii="Arial" w:eastAsia="Times New Roman" w:hAnsi="Arial" w:cs="Arial"/>
          <w:sz w:val="24"/>
          <w:szCs w:val="24"/>
          <w:lang w:val="en-US"/>
        </w:rPr>
        <w:t>) and 25.7% report having drunk over the recommended 14 units of alcohol in the last week (</w:t>
      </w:r>
      <w:hyperlink r:id="rId20" w:anchor="page/6/gid/1938133118/pat/6/par/E12000004/ati/102/are/E06000015/iid/92778/age/168/sex/4" w:history="1">
        <w:r w:rsidR="00570EB7" w:rsidRPr="00570EB7">
          <w:rPr>
            <w:rStyle w:val="Hyperlink"/>
            <w:rFonts w:ascii="Arial" w:eastAsia="Times New Roman" w:hAnsi="Arial" w:cs="Arial"/>
            <w:sz w:val="24"/>
            <w:szCs w:val="24"/>
            <w:lang w:val="en-US"/>
          </w:rPr>
          <w:t>2014</w:t>
        </w:r>
      </w:hyperlink>
      <w:r w:rsidR="00570EB7">
        <w:rPr>
          <w:rFonts w:ascii="Arial" w:eastAsia="Times New Roman" w:hAnsi="Arial" w:cs="Arial"/>
          <w:sz w:val="24"/>
          <w:szCs w:val="24"/>
          <w:lang w:val="en-US"/>
        </w:rPr>
        <w:t>)</w:t>
      </w:r>
    </w:p>
    <w:p w14:paraId="16C10E16" w14:textId="77777777" w:rsidR="00570EB7" w:rsidRPr="00044057" w:rsidRDefault="00A960BA" w:rsidP="00A960BA">
      <w:pPr>
        <w:pStyle w:val="ListParagraph"/>
        <w:widowControl w:val="0"/>
        <w:numPr>
          <w:ilvl w:val="0"/>
          <w:numId w:val="17"/>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sz w:val="24"/>
          <w:szCs w:val="24"/>
          <w:lang w:val="en-US"/>
        </w:rPr>
      </w:pPr>
      <w:r w:rsidRPr="00A960BA">
        <w:rPr>
          <w:rFonts w:ascii="Arial" w:eastAsia="Times New Roman" w:hAnsi="Arial" w:cs="Arial"/>
          <w:sz w:val="24"/>
          <w:szCs w:val="24"/>
          <w:lang w:val="en-US"/>
        </w:rPr>
        <w:t xml:space="preserve">Illegal drug use is common. About a third of the population admits to taking </w:t>
      </w:r>
      <w:r w:rsidRPr="00A960BA">
        <w:rPr>
          <w:rFonts w:ascii="Arial" w:eastAsia="Times New Roman" w:hAnsi="Arial" w:cs="Arial"/>
          <w:sz w:val="24"/>
          <w:szCs w:val="24"/>
          <w:lang w:val="en-US"/>
        </w:rPr>
        <w:lastRenderedPageBreak/>
        <w:t>drugs at some stage in their lives, but few go on to develop significant problems</w:t>
      </w:r>
      <w:r w:rsidRPr="00A960BA">
        <w:rPr>
          <w:rFonts w:ascii="Arial" w:eastAsia="Times New Roman" w:hAnsi="Arial" w:cs="Arial"/>
          <w:sz w:val="24"/>
          <w:szCs w:val="24"/>
          <w:vertAlign w:val="superscript"/>
          <w:lang w:val="en-US"/>
        </w:rPr>
        <w:t>2</w:t>
      </w:r>
      <w:r w:rsidRPr="00A960BA">
        <w:rPr>
          <w:rFonts w:ascii="Arial" w:eastAsia="Times New Roman" w:hAnsi="Arial" w:cs="Arial"/>
          <w:sz w:val="24"/>
          <w:szCs w:val="24"/>
          <w:lang w:val="en-US"/>
        </w:rPr>
        <w:t>.</w:t>
      </w:r>
      <w:r>
        <w:rPr>
          <w:rFonts w:ascii="Arial" w:eastAsia="Times New Roman" w:hAnsi="Arial" w:cs="Arial"/>
          <w:sz w:val="24"/>
          <w:szCs w:val="24"/>
          <w:lang w:val="en-US"/>
        </w:rPr>
        <w:t xml:space="preserve"> </w:t>
      </w:r>
      <w:r w:rsidR="00AA6F1B">
        <w:rPr>
          <w:rFonts w:ascii="Arial" w:eastAsia="Times New Roman" w:hAnsi="Arial" w:cs="Arial"/>
          <w:sz w:val="24"/>
          <w:szCs w:val="24"/>
          <w:lang w:val="en-US"/>
        </w:rPr>
        <w:t xml:space="preserve">Over 288,000 individuals were in contact with substance misuse services in </w:t>
      </w:r>
      <w:hyperlink r:id="rId21" w:history="1">
        <w:r w:rsidR="00AA6F1B" w:rsidRPr="00AA6F1B">
          <w:rPr>
            <w:rStyle w:val="Hyperlink"/>
            <w:rFonts w:ascii="Arial" w:eastAsia="Times New Roman" w:hAnsi="Arial" w:cs="Arial"/>
            <w:sz w:val="24"/>
            <w:szCs w:val="24"/>
            <w:lang w:val="en-US"/>
          </w:rPr>
          <w:t>2015/16</w:t>
        </w:r>
      </w:hyperlink>
      <w:r w:rsidR="00AA6F1B">
        <w:rPr>
          <w:rFonts w:ascii="Arial" w:eastAsia="Times New Roman" w:hAnsi="Arial" w:cs="Arial"/>
          <w:sz w:val="24"/>
          <w:szCs w:val="24"/>
          <w:lang w:val="en-US"/>
        </w:rPr>
        <w:t>, the majority of these were opiate users, however this may represent just the tip of the iceberg</w:t>
      </w:r>
      <w:r w:rsidR="00390D60">
        <w:rPr>
          <w:rFonts w:ascii="Arial" w:eastAsia="Times New Roman" w:hAnsi="Arial" w:cs="Arial"/>
          <w:sz w:val="24"/>
          <w:szCs w:val="24"/>
          <w:lang w:val="en-US"/>
        </w:rPr>
        <w:t xml:space="preserve"> as many employees with substance use issues maintain a high level of functioning and may not present to services.</w:t>
      </w:r>
    </w:p>
    <w:p w14:paraId="074627C1" w14:textId="77777777" w:rsidR="00107571" w:rsidRDefault="00AC3F65"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A46F17">
        <w:rPr>
          <w:rFonts w:ascii="Arial" w:hAnsi="Arial" w:cs="Arial"/>
          <w:sz w:val="24"/>
          <w:szCs w:val="24"/>
        </w:rPr>
        <w:t>The proposed contract value for this service is expected to circa £</w:t>
      </w:r>
      <w:r w:rsidR="002A0B58">
        <w:rPr>
          <w:rFonts w:ascii="Arial" w:hAnsi="Arial" w:cs="Arial"/>
          <w:sz w:val="24"/>
          <w:szCs w:val="24"/>
        </w:rPr>
        <w:t>6</w:t>
      </w:r>
      <w:r w:rsidR="00701B57">
        <w:rPr>
          <w:rFonts w:ascii="Arial" w:hAnsi="Arial" w:cs="Arial"/>
          <w:sz w:val="24"/>
          <w:szCs w:val="24"/>
        </w:rPr>
        <w:t>0</w:t>
      </w:r>
      <w:r w:rsidR="00CE0652" w:rsidRPr="00A46F17">
        <w:rPr>
          <w:rFonts w:ascii="Arial" w:hAnsi="Arial" w:cs="Arial"/>
          <w:sz w:val="24"/>
          <w:szCs w:val="24"/>
        </w:rPr>
        <w:t>,000</w:t>
      </w:r>
      <w:r w:rsidR="00001642" w:rsidRPr="00A46F17">
        <w:rPr>
          <w:rFonts w:ascii="Arial" w:hAnsi="Arial" w:cs="Arial"/>
          <w:sz w:val="24"/>
          <w:szCs w:val="24"/>
        </w:rPr>
        <w:t xml:space="preserve"> (</w:t>
      </w:r>
      <w:proofErr w:type="spellStart"/>
      <w:proofErr w:type="gramStart"/>
      <w:r w:rsidR="00701B57">
        <w:rPr>
          <w:rFonts w:ascii="Arial" w:hAnsi="Arial" w:cs="Arial"/>
          <w:sz w:val="24"/>
          <w:szCs w:val="24"/>
        </w:rPr>
        <w:t>inc</w:t>
      </w:r>
      <w:proofErr w:type="spellEnd"/>
      <w:proofErr w:type="gramEnd"/>
      <w:r w:rsidR="00001642" w:rsidRPr="00A46F17">
        <w:rPr>
          <w:rFonts w:ascii="Arial" w:hAnsi="Arial" w:cs="Arial"/>
          <w:sz w:val="24"/>
          <w:szCs w:val="24"/>
        </w:rPr>
        <w:t xml:space="preserve"> VAT)</w:t>
      </w:r>
      <w:r w:rsidR="00D41F46" w:rsidRPr="00A46F17">
        <w:rPr>
          <w:rFonts w:ascii="Arial" w:hAnsi="Arial" w:cs="Arial"/>
          <w:sz w:val="24"/>
          <w:szCs w:val="24"/>
        </w:rPr>
        <w:t xml:space="preserve"> </w:t>
      </w:r>
      <w:r w:rsidR="002A0B58">
        <w:rPr>
          <w:rFonts w:ascii="Arial" w:hAnsi="Arial" w:cs="Arial"/>
          <w:sz w:val="24"/>
          <w:szCs w:val="24"/>
        </w:rPr>
        <w:t>and the draft products will need to be completed by the end of December 2017 in order to go through the PHE publications approval process prior to launch in March 2018.</w:t>
      </w:r>
      <w:r w:rsidR="00A80A07" w:rsidRPr="00A46F17">
        <w:rPr>
          <w:rFonts w:ascii="Arial" w:hAnsi="Arial" w:cs="Arial"/>
          <w:sz w:val="24"/>
          <w:szCs w:val="24"/>
        </w:rPr>
        <w:t xml:space="preserve"> </w:t>
      </w:r>
    </w:p>
    <w:p w14:paraId="296FCEB6" w14:textId="77777777" w:rsidR="00BE4D3A" w:rsidRPr="00BE4D3A" w:rsidRDefault="00BE4D3A"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p>
    <w:p w14:paraId="4159ED6A" w14:textId="77777777" w:rsidR="00E44D32" w:rsidRDefault="00E44D32"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Scope</w:t>
      </w:r>
    </w:p>
    <w:p w14:paraId="31F5D86C" w14:textId="77777777" w:rsidR="00C503C9" w:rsidRPr="00107571" w:rsidRDefault="00CC36DF" w:rsidP="00107571">
      <w:pPr>
        <w:pStyle w:val="ListParagraph"/>
        <w:widowControl w:val="0"/>
        <w:numPr>
          <w:ilvl w:val="0"/>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u w:val="single"/>
        </w:rPr>
      </w:pPr>
      <w:r w:rsidRPr="00107571">
        <w:rPr>
          <w:rFonts w:ascii="Arial" w:hAnsi="Arial" w:cs="Arial"/>
          <w:bCs/>
          <w:sz w:val="24"/>
          <w:szCs w:val="24"/>
          <w:u w:val="single"/>
        </w:rPr>
        <w:t xml:space="preserve">Mapping the evidence and gathering promising practice case studies </w:t>
      </w:r>
    </w:p>
    <w:p w14:paraId="3F7C63B4" w14:textId="77777777" w:rsidR="00CC36DF" w:rsidRDefault="00C503C9"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w:t>
      </w:r>
      <w:r w:rsidR="00067E8C">
        <w:rPr>
          <w:rFonts w:ascii="Arial" w:hAnsi="Arial" w:cs="Arial"/>
          <w:bCs/>
          <w:sz w:val="24"/>
          <w:szCs w:val="24"/>
        </w:rPr>
        <w:t xml:space="preserve"> </w:t>
      </w:r>
      <w:r w:rsidR="00CC36DF">
        <w:rPr>
          <w:rFonts w:ascii="Arial" w:hAnsi="Arial" w:cs="Arial"/>
          <w:bCs/>
          <w:sz w:val="24"/>
          <w:szCs w:val="24"/>
        </w:rPr>
        <w:t>toolkits should be based on the best available evidence. PHE is undertaking a rapid evidence review of the six areas covered by the two toolkits and this will be shared with the provider alongside other key systematic reviews that are relevant.</w:t>
      </w:r>
    </w:p>
    <w:p w14:paraId="2209BA46" w14:textId="77777777" w:rsidR="00CC36DF" w:rsidRDefault="00CC36DF"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 provider should use this evidence base in the content development of the toolkits.</w:t>
      </w:r>
    </w:p>
    <w:p w14:paraId="6A3BC6A6" w14:textId="77777777" w:rsidR="00CC36DF" w:rsidRDefault="00CC36DF"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 provider should supplement this evidence base by mapping the relevant legislative requirements on business and any other relevant corporate guidelines or legal levers which can support or incentivise improvement action by employers.</w:t>
      </w:r>
    </w:p>
    <w:p w14:paraId="1240C97D" w14:textId="77777777" w:rsidR="00B46675" w:rsidRDefault="00B46675"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 provider should explore through key informant discussions with business leaders the context of these topics to help frame the toolkits and to provide supporting quotes for inclusion in the toolkit where appropriate.</w:t>
      </w:r>
    </w:p>
    <w:p w14:paraId="5A7E8B90" w14:textId="7B97697C" w:rsidR="008204D6" w:rsidRDefault="00CC36DF"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provider should use their existing business networks to gather </w:t>
      </w:r>
      <w:r w:rsidR="00F80A07">
        <w:rPr>
          <w:rFonts w:ascii="Arial" w:hAnsi="Arial" w:cs="Arial"/>
          <w:bCs/>
          <w:sz w:val="24"/>
          <w:szCs w:val="24"/>
        </w:rPr>
        <w:t xml:space="preserve">local practice examples </w:t>
      </w:r>
      <w:r>
        <w:rPr>
          <w:rFonts w:ascii="Arial" w:hAnsi="Arial" w:cs="Arial"/>
          <w:bCs/>
          <w:sz w:val="24"/>
          <w:szCs w:val="24"/>
        </w:rPr>
        <w:t>which link to the research evidence base and have evidence of direct and measurable impact within their workplace setting</w:t>
      </w:r>
      <w:r w:rsidR="00F80A07">
        <w:rPr>
          <w:rFonts w:ascii="Arial" w:hAnsi="Arial" w:cs="Arial"/>
          <w:bCs/>
          <w:sz w:val="24"/>
          <w:szCs w:val="24"/>
        </w:rPr>
        <w:t xml:space="preserve">. </w:t>
      </w:r>
    </w:p>
    <w:p w14:paraId="43BCF445" w14:textId="77777777" w:rsidR="00347249" w:rsidRDefault="00347249" w:rsidP="00207660">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0"/>
        <w:rPr>
          <w:rFonts w:ascii="Arial" w:eastAsia="Calibri" w:hAnsi="Arial" w:cs="Arial"/>
          <w:sz w:val="24"/>
          <w:szCs w:val="24"/>
          <w:u w:val="single"/>
        </w:rPr>
      </w:pPr>
    </w:p>
    <w:p w14:paraId="42F3D68E" w14:textId="77777777" w:rsidR="00B46675" w:rsidRPr="00107571" w:rsidRDefault="00CC36DF" w:rsidP="00107571">
      <w:pPr>
        <w:pStyle w:val="ListParagraph"/>
        <w:widowControl w:val="0"/>
        <w:numPr>
          <w:ilvl w:val="0"/>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u w:val="single"/>
        </w:rPr>
      </w:pPr>
      <w:r w:rsidRPr="00107571">
        <w:rPr>
          <w:rFonts w:ascii="Arial" w:hAnsi="Arial" w:cs="Arial"/>
          <w:bCs/>
          <w:sz w:val="24"/>
          <w:szCs w:val="24"/>
          <w:u w:val="single"/>
        </w:rPr>
        <w:t>Development of the two toolkit resources</w:t>
      </w:r>
    </w:p>
    <w:p w14:paraId="1F7AD71C" w14:textId="77777777" w:rsidR="00207660" w:rsidRDefault="00207660" w:rsidP="00207660">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delivery partner should aim to: </w:t>
      </w:r>
    </w:p>
    <w:p w14:paraId="469B18A0" w14:textId="77777777" w:rsidR="00B46675" w:rsidRDefault="00B46675" w:rsidP="00B46675">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B46675">
        <w:rPr>
          <w:rFonts w:ascii="Arial" w:hAnsi="Arial" w:cs="Arial"/>
          <w:bCs/>
          <w:sz w:val="24"/>
          <w:szCs w:val="24"/>
        </w:rPr>
        <w:t>Review existing evidence and toolkits regarding health and wellbeing promotion and prevention in workplaces rel</w:t>
      </w:r>
      <w:r>
        <w:rPr>
          <w:rFonts w:ascii="Arial" w:hAnsi="Arial" w:cs="Arial"/>
          <w:bCs/>
          <w:sz w:val="24"/>
          <w:szCs w:val="24"/>
        </w:rPr>
        <w:t>evant to businesses for the six topics covered in the two toolkits</w:t>
      </w:r>
    </w:p>
    <w:p w14:paraId="470C8898" w14:textId="77777777" w:rsidR="00B46675" w:rsidRPr="00B46675" w:rsidRDefault="00B46675" w:rsidP="00B46675">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852"/>
        <w:rPr>
          <w:rFonts w:ascii="Arial" w:hAnsi="Arial" w:cs="Arial"/>
          <w:bCs/>
          <w:sz w:val="24"/>
          <w:szCs w:val="24"/>
        </w:rPr>
      </w:pPr>
    </w:p>
    <w:p w14:paraId="46E0FA39" w14:textId="77777777" w:rsidR="00B46675" w:rsidRDefault="00B46675" w:rsidP="00B46675">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B46675">
        <w:rPr>
          <w:rFonts w:ascii="Arial" w:hAnsi="Arial" w:cs="Arial"/>
          <w:bCs/>
          <w:sz w:val="24"/>
          <w:szCs w:val="24"/>
        </w:rPr>
        <w:t>Synthesize the evidence</w:t>
      </w:r>
      <w:r>
        <w:rPr>
          <w:rFonts w:ascii="Arial" w:hAnsi="Arial" w:cs="Arial"/>
          <w:bCs/>
          <w:sz w:val="24"/>
          <w:szCs w:val="24"/>
        </w:rPr>
        <w:t xml:space="preserve"> into two</w:t>
      </w:r>
      <w:r w:rsidRPr="00B46675">
        <w:rPr>
          <w:rFonts w:ascii="Arial" w:hAnsi="Arial" w:cs="Arial"/>
          <w:bCs/>
          <w:sz w:val="24"/>
          <w:szCs w:val="24"/>
        </w:rPr>
        <w:t xml:space="preserve"> practical interactive PDF toolkit</w:t>
      </w:r>
      <w:r>
        <w:rPr>
          <w:rFonts w:ascii="Arial" w:hAnsi="Arial" w:cs="Arial"/>
          <w:bCs/>
          <w:sz w:val="24"/>
          <w:szCs w:val="24"/>
        </w:rPr>
        <w:t>s</w:t>
      </w:r>
      <w:r w:rsidRPr="00B46675">
        <w:rPr>
          <w:rFonts w:ascii="Arial" w:hAnsi="Arial" w:cs="Arial"/>
          <w:bCs/>
          <w:sz w:val="24"/>
          <w:szCs w:val="24"/>
        </w:rPr>
        <w:t xml:space="preserve"> for businesses with referenc</w:t>
      </w:r>
      <w:r>
        <w:rPr>
          <w:rFonts w:ascii="Arial" w:hAnsi="Arial" w:cs="Arial"/>
          <w:bCs/>
          <w:sz w:val="24"/>
          <w:szCs w:val="24"/>
        </w:rPr>
        <w:t>es to case studies and links to other supporting resources and toolkits.</w:t>
      </w:r>
    </w:p>
    <w:p w14:paraId="3FEC2FBA" w14:textId="77777777" w:rsidR="00B46675" w:rsidRPr="00B46675" w:rsidRDefault="00B46675" w:rsidP="00B46675">
      <w:pPr>
        <w:pStyle w:val="ListParagraph"/>
        <w:rPr>
          <w:rFonts w:ascii="Arial" w:hAnsi="Arial" w:cs="Arial"/>
          <w:bCs/>
          <w:sz w:val="24"/>
          <w:szCs w:val="24"/>
        </w:rPr>
      </w:pPr>
    </w:p>
    <w:p w14:paraId="62EFD64C" w14:textId="77777777" w:rsidR="00B46675" w:rsidRPr="00B46675" w:rsidRDefault="00B46675" w:rsidP="00B46675">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 toolkits should closely follow the format and design of the existing toolkits and include within each toolkit:</w:t>
      </w:r>
    </w:p>
    <w:p w14:paraId="25FD18BF" w14:textId="77777777" w:rsidR="00B46675" w:rsidRPr="00B46675" w:rsidRDefault="00B46675" w:rsidP="00B46675">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852"/>
        <w:rPr>
          <w:rFonts w:ascii="Arial" w:hAnsi="Arial" w:cs="Arial"/>
          <w:bCs/>
          <w:sz w:val="24"/>
          <w:szCs w:val="24"/>
        </w:rPr>
      </w:pPr>
    </w:p>
    <w:p w14:paraId="79AB29E1" w14:textId="77777777" w:rsidR="00B46675" w:rsidRPr="00B46675" w:rsidRDefault="00B46675" w:rsidP="00B46675">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B46675">
        <w:rPr>
          <w:rFonts w:ascii="Arial" w:hAnsi="Arial" w:cs="Arial"/>
          <w:bCs/>
          <w:sz w:val="24"/>
          <w:szCs w:val="24"/>
        </w:rPr>
        <w:t>Case for action – e.g. why this is important, business case for taking action (including recruitment and retention of people who have (or have had) health problems;</w:t>
      </w:r>
    </w:p>
    <w:p w14:paraId="36729C6B" w14:textId="77777777" w:rsidR="00B46675" w:rsidRPr="00B46675" w:rsidRDefault="00B46675" w:rsidP="00B46675">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B46675">
        <w:rPr>
          <w:rFonts w:ascii="Arial" w:hAnsi="Arial" w:cs="Arial"/>
          <w:bCs/>
          <w:sz w:val="24"/>
          <w:szCs w:val="24"/>
        </w:rPr>
        <w:t xml:space="preserve">Promotion of good health – e.g. how to </w:t>
      </w:r>
      <w:r>
        <w:rPr>
          <w:rFonts w:ascii="Arial" w:hAnsi="Arial" w:cs="Arial"/>
          <w:bCs/>
          <w:sz w:val="24"/>
          <w:szCs w:val="24"/>
        </w:rPr>
        <w:t>avoid negative health behaviours and outcomes and how to encourage behaviour change</w:t>
      </w:r>
    </w:p>
    <w:p w14:paraId="65E77C20" w14:textId="77777777" w:rsidR="00B46675" w:rsidRPr="00B46675" w:rsidRDefault="00B46675" w:rsidP="00B46675">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B46675">
        <w:rPr>
          <w:rFonts w:ascii="Arial" w:hAnsi="Arial" w:cs="Arial"/>
          <w:bCs/>
          <w:sz w:val="24"/>
          <w:szCs w:val="24"/>
        </w:rPr>
        <w:t>Prevention of poor health – e.g. tackling the common causes of work-</w:t>
      </w:r>
      <w:r>
        <w:rPr>
          <w:rFonts w:ascii="Arial" w:hAnsi="Arial" w:cs="Arial"/>
          <w:bCs/>
          <w:sz w:val="24"/>
          <w:szCs w:val="24"/>
        </w:rPr>
        <w:t>related ill health linked to these issues</w:t>
      </w:r>
    </w:p>
    <w:p w14:paraId="7C91CDDC" w14:textId="77777777" w:rsidR="00B46675" w:rsidRDefault="00B46675" w:rsidP="00B46675">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B46675">
        <w:rPr>
          <w:rFonts w:ascii="Arial" w:hAnsi="Arial" w:cs="Arial"/>
          <w:bCs/>
          <w:sz w:val="24"/>
          <w:szCs w:val="24"/>
        </w:rPr>
        <w:t>Support</w:t>
      </w:r>
      <w:r>
        <w:rPr>
          <w:rFonts w:ascii="Arial" w:hAnsi="Arial" w:cs="Arial"/>
          <w:bCs/>
          <w:sz w:val="24"/>
          <w:szCs w:val="24"/>
        </w:rPr>
        <w:t>ing people who have significant health issues such as morbid obesity or drug/alcohol addiction</w:t>
      </w:r>
    </w:p>
    <w:p w14:paraId="009362E4" w14:textId="77777777" w:rsidR="00B46675" w:rsidRDefault="00B46675" w:rsidP="00B46675">
      <w:pPr>
        <w:pStyle w:val="ListParagraph"/>
        <w:widowControl w:val="0"/>
        <w:numPr>
          <w:ilvl w:val="1"/>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Where appropriate cross-reference with the existing PHE/BITC toolkits</w:t>
      </w:r>
    </w:p>
    <w:p w14:paraId="314582F2" w14:textId="77777777" w:rsidR="00A44545" w:rsidRPr="00A44545" w:rsidRDefault="00A44545" w:rsidP="00A44545">
      <w:pPr>
        <w:rPr>
          <w:rFonts w:ascii="Arial" w:hAnsi="Arial" w:cs="Arial"/>
          <w:bCs/>
          <w:sz w:val="24"/>
          <w:szCs w:val="24"/>
        </w:rPr>
      </w:pPr>
      <w:r>
        <w:rPr>
          <w:rFonts w:ascii="Arial" w:hAnsi="Arial" w:cs="Arial"/>
          <w:bCs/>
          <w:sz w:val="24"/>
          <w:szCs w:val="24"/>
        </w:rPr>
        <w:t>The provider should p</w:t>
      </w:r>
      <w:r w:rsidRPr="00A44545">
        <w:rPr>
          <w:rFonts w:ascii="Arial" w:hAnsi="Arial" w:cs="Arial"/>
          <w:bCs/>
          <w:sz w:val="24"/>
          <w:szCs w:val="24"/>
        </w:rPr>
        <w:t>ilot the toolkit with businesses to ensure language is appropriate and to</w:t>
      </w:r>
      <w:r>
        <w:rPr>
          <w:rFonts w:ascii="Arial" w:hAnsi="Arial" w:cs="Arial"/>
          <w:bCs/>
          <w:sz w:val="24"/>
          <w:szCs w:val="24"/>
        </w:rPr>
        <w:t xml:space="preserve"> potentially</w:t>
      </w:r>
      <w:r w:rsidRPr="00A44545">
        <w:rPr>
          <w:rFonts w:ascii="Arial" w:hAnsi="Arial" w:cs="Arial"/>
          <w:bCs/>
          <w:sz w:val="24"/>
          <w:szCs w:val="24"/>
        </w:rPr>
        <w:t xml:space="preserve"> generate</w:t>
      </w:r>
      <w:r>
        <w:rPr>
          <w:rFonts w:ascii="Arial" w:hAnsi="Arial" w:cs="Arial"/>
          <w:bCs/>
          <w:sz w:val="24"/>
          <w:szCs w:val="24"/>
        </w:rPr>
        <w:t xml:space="preserve"> additional</w:t>
      </w:r>
      <w:r w:rsidRPr="00A44545">
        <w:rPr>
          <w:rFonts w:ascii="Arial" w:hAnsi="Arial" w:cs="Arial"/>
          <w:bCs/>
          <w:sz w:val="24"/>
          <w:szCs w:val="24"/>
        </w:rPr>
        <w:t xml:space="preserve"> case studies for inclusion</w:t>
      </w:r>
    </w:p>
    <w:p w14:paraId="52BD47A5" w14:textId="77777777" w:rsidR="00347249" w:rsidRPr="00207660" w:rsidRDefault="00347249" w:rsidP="0020766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eastAsia="Calibri" w:hAnsi="Arial" w:cs="Arial"/>
          <w:sz w:val="24"/>
          <w:szCs w:val="24"/>
        </w:rPr>
      </w:pPr>
    </w:p>
    <w:p w14:paraId="42726018" w14:textId="77777777" w:rsidR="00315071" w:rsidRPr="00A46F17" w:rsidRDefault="003150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Dissemination of findings</w:t>
      </w:r>
    </w:p>
    <w:p w14:paraId="38DD3E1A" w14:textId="77777777" w:rsidR="00A44545" w:rsidRDefault="00A44545" w:rsidP="00A377E5">
      <w:pPr>
        <w:pStyle w:val="NoSpacing"/>
        <w:tabs>
          <w:tab w:val="left" w:pos="1620"/>
        </w:tabs>
        <w:spacing w:before="120" w:after="240"/>
        <w:rPr>
          <w:rFonts w:ascii="Arial" w:hAnsi="Arial" w:cs="Arial"/>
          <w:bCs/>
          <w:color w:val="000000"/>
          <w:sz w:val="24"/>
          <w:szCs w:val="24"/>
        </w:rPr>
      </w:pPr>
      <w:r>
        <w:rPr>
          <w:rFonts w:ascii="Arial" w:hAnsi="Arial" w:cs="Arial"/>
          <w:bCs/>
          <w:color w:val="000000"/>
          <w:sz w:val="24"/>
          <w:szCs w:val="24"/>
        </w:rPr>
        <w:t>The provider should have a clear and coherent dissemination plan which will encourage business across England to access the toolkits and larger businesses to mobilise their supply chains to engage with the resources.</w:t>
      </w:r>
    </w:p>
    <w:p w14:paraId="1AA44CEE" w14:textId="77777777" w:rsidR="00107571" w:rsidRPr="00107571" w:rsidRDefault="00107571" w:rsidP="001075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Arial"/>
          <w:bCs/>
          <w:color w:val="000000"/>
          <w:sz w:val="24"/>
          <w:szCs w:val="36"/>
          <w:lang w:val="en-US"/>
        </w:rPr>
      </w:pPr>
      <w:r w:rsidRPr="00107571">
        <w:rPr>
          <w:rFonts w:ascii="Arial" w:eastAsia="Cambria" w:hAnsi="Arial" w:cs="Arial"/>
          <w:bCs/>
          <w:color w:val="000000"/>
          <w:sz w:val="24"/>
          <w:szCs w:val="36"/>
          <w:lang w:val="en-US"/>
        </w:rPr>
        <w:t>The intellectual copyright to the resources will be shared between PHE and the provider.</w:t>
      </w:r>
    </w:p>
    <w:p w14:paraId="2C280600" w14:textId="77777777" w:rsidR="00107571" w:rsidRDefault="00107571" w:rsidP="00A377E5">
      <w:pPr>
        <w:spacing w:before="120" w:after="240" w:line="240" w:lineRule="auto"/>
        <w:rPr>
          <w:rFonts w:ascii="Arial" w:hAnsi="Arial" w:cs="Arial"/>
          <w:b/>
          <w:bCs/>
          <w:sz w:val="24"/>
          <w:szCs w:val="24"/>
        </w:rPr>
      </w:pPr>
    </w:p>
    <w:p w14:paraId="167B090A" w14:textId="77777777" w:rsidR="00417F74" w:rsidRPr="00A46F17" w:rsidRDefault="004461A9" w:rsidP="00A377E5">
      <w:pPr>
        <w:spacing w:before="120" w:after="240" w:line="240" w:lineRule="auto"/>
        <w:rPr>
          <w:rFonts w:ascii="Arial" w:hAnsi="Arial" w:cs="Arial"/>
          <w:b/>
          <w:bCs/>
          <w:sz w:val="24"/>
          <w:szCs w:val="24"/>
        </w:rPr>
      </w:pPr>
      <w:r>
        <w:rPr>
          <w:rFonts w:ascii="Arial" w:hAnsi="Arial" w:cs="Arial"/>
          <w:b/>
          <w:bCs/>
          <w:sz w:val="24"/>
          <w:szCs w:val="24"/>
        </w:rPr>
        <w:t>Reporting arrangements</w:t>
      </w:r>
    </w:p>
    <w:p w14:paraId="091692B6" w14:textId="77777777" w:rsidR="00417F74" w:rsidRDefault="00574AA3"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 delivery partner</w:t>
      </w:r>
      <w:r w:rsidR="00417F74">
        <w:rPr>
          <w:rFonts w:ascii="Arial" w:hAnsi="Arial" w:cs="Arial"/>
          <w:bCs/>
          <w:sz w:val="24"/>
          <w:szCs w:val="24"/>
        </w:rPr>
        <w:t xml:space="preserve"> should work closely with the PHE </w:t>
      </w:r>
      <w:r w:rsidR="006F2D00">
        <w:rPr>
          <w:rFonts w:ascii="Arial" w:hAnsi="Arial" w:cs="Arial"/>
          <w:bCs/>
          <w:sz w:val="24"/>
          <w:szCs w:val="24"/>
        </w:rPr>
        <w:t xml:space="preserve">Adult Health and Wellbeing </w:t>
      </w:r>
      <w:r w:rsidR="00F06BE3">
        <w:rPr>
          <w:rFonts w:ascii="Arial" w:hAnsi="Arial" w:cs="Arial"/>
          <w:bCs/>
          <w:sz w:val="24"/>
          <w:szCs w:val="24"/>
        </w:rPr>
        <w:t>team</w:t>
      </w:r>
      <w:r w:rsidR="00417F74">
        <w:rPr>
          <w:rFonts w:ascii="Arial" w:hAnsi="Arial" w:cs="Arial"/>
          <w:bCs/>
          <w:sz w:val="24"/>
          <w:szCs w:val="24"/>
        </w:rPr>
        <w:t xml:space="preserve"> to plan, implem</w:t>
      </w:r>
      <w:r>
        <w:rPr>
          <w:rFonts w:ascii="Arial" w:hAnsi="Arial" w:cs="Arial"/>
          <w:bCs/>
          <w:sz w:val="24"/>
          <w:szCs w:val="24"/>
        </w:rPr>
        <w:t>ent and report on the project</w:t>
      </w:r>
      <w:r w:rsidR="00417F74">
        <w:rPr>
          <w:rFonts w:ascii="Arial" w:hAnsi="Arial" w:cs="Arial"/>
          <w:bCs/>
          <w:sz w:val="24"/>
          <w:szCs w:val="24"/>
        </w:rPr>
        <w:t>.</w:t>
      </w:r>
    </w:p>
    <w:p w14:paraId="42070DEF" w14:textId="77777777" w:rsidR="00593BC5" w:rsidRPr="00A46F17" w:rsidRDefault="00593BC5"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A46F17">
        <w:rPr>
          <w:rFonts w:ascii="Arial" w:hAnsi="Arial" w:cs="Arial"/>
          <w:bCs/>
          <w:sz w:val="24"/>
          <w:szCs w:val="24"/>
        </w:rPr>
        <w:t xml:space="preserve">The </w:t>
      </w:r>
      <w:r w:rsidR="00574AA3">
        <w:rPr>
          <w:rFonts w:ascii="Arial" w:hAnsi="Arial" w:cs="Arial"/>
          <w:bCs/>
          <w:sz w:val="24"/>
          <w:szCs w:val="24"/>
        </w:rPr>
        <w:t xml:space="preserve">delivery partner should utilise the </w:t>
      </w:r>
      <w:r w:rsidR="00A44545">
        <w:rPr>
          <w:rFonts w:ascii="Arial" w:hAnsi="Arial" w:cs="Arial"/>
          <w:bCs/>
          <w:sz w:val="24"/>
          <w:szCs w:val="24"/>
        </w:rPr>
        <w:t>PHE Health and Work Advisory Board</w:t>
      </w:r>
      <w:r w:rsidR="004461A9">
        <w:rPr>
          <w:rFonts w:ascii="Arial" w:hAnsi="Arial" w:cs="Arial"/>
          <w:bCs/>
          <w:sz w:val="24"/>
          <w:szCs w:val="24"/>
        </w:rPr>
        <w:t xml:space="preserve"> as it</w:t>
      </w:r>
      <w:r w:rsidR="00574AA3">
        <w:rPr>
          <w:rFonts w:ascii="Arial" w:hAnsi="Arial" w:cs="Arial"/>
          <w:bCs/>
          <w:sz w:val="24"/>
          <w:szCs w:val="24"/>
        </w:rPr>
        <w:t>s project</w:t>
      </w:r>
      <w:r w:rsidRPr="00A46F17">
        <w:rPr>
          <w:rFonts w:ascii="Arial" w:hAnsi="Arial" w:cs="Arial"/>
          <w:bCs/>
          <w:sz w:val="24"/>
          <w:szCs w:val="24"/>
        </w:rPr>
        <w:t xml:space="preserve"> steering group</w:t>
      </w:r>
      <w:r w:rsidR="00B82F78">
        <w:rPr>
          <w:rFonts w:ascii="Arial" w:hAnsi="Arial" w:cs="Arial"/>
          <w:bCs/>
          <w:sz w:val="24"/>
          <w:szCs w:val="24"/>
        </w:rPr>
        <w:t>, under the advice and approval of PHE,</w:t>
      </w:r>
      <w:r w:rsidRPr="00A46F17">
        <w:rPr>
          <w:rFonts w:ascii="Arial" w:hAnsi="Arial" w:cs="Arial"/>
          <w:bCs/>
          <w:sz w:val="24"/>
          <w:szCs w:val="24"/>
        </w:rPr>
        <w:t xml:space="preserve"> to oversee </w:t>
      </w:r>
      <w:r w:rsidR="009B0341" w:rsidRPr="00A46F17">
        <w:rPr>
          <w:rFonts w:ascii="Arial" w:hAnsi="Arial" w:cs="Arial"/>
          <w:bCs/>
          <w:sz w:val="24"/>
          <w:szCs w:val="24"/>
        </w:rPr>
        <w:t>the</w:t>
      </w:r>
      <w:r w:rsidRPr="00A46F17">
        <w:rPr>
          <w:rFonts w:ascii="Arial" w:hAnsi="Arial" w:cs="Arial"/>
          <w:bCs/>
          <w:sz w:val="24"/>
          <w:szCs w:val="24"/>
        </w:rPr>
        <w:t xml:space="preserve"> q</w:t>
      </w:r>
      <w:r w:rsidR="00574AA3">
        <w:rPr>
          <w:rFonts w:ascii="Arial" w:hAnsi="Arial" w:cs="Arial"/>
          <w:bCs/>
          <w:sz w:val="24"/>
          <w:szCs w:val="24"/>
        </w:rPr>
        <w:t>uality control of the project</w:t>
      </w:r>
      <w:r w:rsidRPr="00A46F17">
        <w:rPr>
          <w:rFonts w:ascii="Arial" w:hAnsi="Arial" w:cs="Arial"/>
          <w:bCs/>
          <w:sz w:val="24"/>
          <w:szCs w:val="24"/>
        </w:rPr>
        <w:t>. This group should ensu</w:t>
      </w:r>
      <w:r w:rsidR="00574AA3">
        <w:rPr>
          <w:rFonts w:ascii="Arial" w:hAnsi="Arial" w:cs="Arial"/>
          <w:bCs/>
          <w:sz w:val="24"/>
          <w:szCs w:val="24"/>
        </w:rPr>
        <w:t>re the quality of the project</w:t>
      </w:r>
      <w:r w:rsidRPr="00A46F17">
        <w:rPr>
          <w:rFonts w:ascii="Arial" w:hAnsi="Arial" w:cs="Arial"/>
          <w:bCs/>
          <w:sz w:val="24"/>
          <w:szCs w:val="24"/>
        </w:rPr>
        <w:t xml:space="preserve"> and that it is fit for pu</w:t>
      </w:r>
      <w:r w:rsidR="0093358C">
        <w:rPr>
          <w:rFonts w:ascii="Arial" w:hAnsi="Arial" w:cs="Arial"/>
          <w:bCs/>
          <w:sz w:val="24"/>
          <w:szCs w:val="24"/>
        </w:rPr>
        <w:t xml:space="preserve">rposes of businesses </w:t>
      </w:r>
      <w:r w:rsidRPr="00A46F17">
        <w:rPr>
          <w:rFonts w:ascii="Arial" w:hAnsi="Arial" w:cs="Arial"/>
          <w:bCs/>
          <w:sz w:val="24"/>
          <w:szCs w:val="24"/>
        </w:rPr>
        <w:t>and transparent to stakeholders and providers.</w:t>
      </w:r>
    </w:p>
    <w:p w14:paraId="23AE5E0C" w14:textId="77777777" w:rsidR="00593BC5" w:rsidRPr="00A46F17" w:rsidRDefault="0093358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sz w:val="24"/>
          <w:szCs w:val="24"/>
        </w:rPr>
        <w:t>The dissemination</w:t>
      </w:r>
      <w:r w:rsidR="00593BC5" w:rsidRPr="00A46F17">
        <w:rPr>
          <w:rFonts w:ascii="Arial" w:hAnsi="Arial" w:cs="Arial"/>
          <w:sz w:val="24"/>
          <w:szCs w:val="24"/>
        </w:rPr>
        <w:t xml:space="preserve"> </w:t>
      </w:r>
      <w:r w:rsidR="009B0341" w:rsidRPr="00A46F17">
        <w:rPr>
          <w:rFonts w:ascii="Arial" w:hAnsi="Arial" w:cs="Arial"/>
          <w:sz w:val="24"/>
          <w:szCs w:val="24"/>
        </w:rPr>
        <w:t xml:space="preserve">process </w:t>
      </w:r>
      <w:r w:rsidR="00593BC5" w:rsidRPr="00A46F17">
        <w:rPr>
          <w:rFonts w:ascii="Arial" w:hAnsi="Arial" w:cs="Arial"/>
          <w:sz w:val="24"/>
          <w:szCs w:val="24"/>
        </w:rPr>
        <w:t xml:space="preserve">should be inclusive of </w:t>
      </w:r>
      <w:r w:rsidR="00574AA3">
        <w:rPr>
          <w:rFonts w:ascii="Arial" w:hAnsi="Arial" w:cs="Arial"/>
          <w:sz w:val="24"/>
          <w:szCs w:val="24"/>
        </w:rPr>
        <w:t>local and national stakeholders</w:t>
      </w:r>
      <w:r w:rsidR="00593BC5" w:rsidRPr="00A46F17">
        <w:rPr>
          <w:rFonts w:ascii="Arial" w:hAnsi="Arial" w:cs="Arial"/>
          <w:sz w:val="24"/>
          <w:szCs w:val="24"/>
        </w:rPr>
        <w:t>.</w:t>
      </w:r>
    </w:p>
    <w:p w14:paraId="735AAC20" w14:textId="77777777" w:rsidR="00852B04" w:rsidRDefault="0093358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lastRenderedPageBreak/>
        <w:t>The toolkit development</w:t>
      </w:r>
      <w:r w:rsidR="009B0341" w:rsidRPr="00A46F17">
        <w:rPr>
          <w:rFonts w:ascii="Arial" w:hAnsi="Arial" w:cs="Arial"/>
          <w:bCs/>
          <w:sz w:val="24"/>
          <w:szCs w:val="24"/>
        </w:rPr>
        <w:t xml:space="preserve"> process</w:t>
      </w:r>
      <w:r w:rsidR="00593BC5" w:rsidRPr="00A46F17">
        <w:rPr>
          <w:rFonts w:ascii="Arial" w:hAnsi="Arial" w:cs="Arial"/>
          <w:bCs/>
          <w:sz w:val="24"/>
          <w:szCs w:val="24"/>
        </w:rPr>
        <w:t xml:space="preserve"> should be t</w:t>
      </w:r>
      <w:r w:rsidR="00852B04" w:rsidRPr="00A46F17">
        <w:rPr>
          <w:rFonts w:ascii="Arial" w:hAnsi="Arial" w:cs="Arial"/>
          <w:bCs/>
          <w:sz w:val="24"/>
          <w:szCs w:val="24"/>
        </w:rPr>
        <w:t>ranspar</w:t>
      </w:r>
      <w:r w:rsidR="00593BC5" w:rsidRPr="00A46F17">
        <w:rPr>
          <w:rFonts w:ascii="Arial" w:hAnsi="Arial" w:cs="Arial"/>
          <w:bCs/>
          <w:sz w:val="24"/>
          <w:szCs w:val="24"/>
        </w:rPr>
        <w:t>ent</w:t>
      </w:r>
      <w:r w:rsidR="00852B04" w:rsidRPr="00A46F17">
        <w:rPr>
          <w:rFonts w:ascii="Arial" w:hAnsi="Arial" w:cs="Arial"/>
          <w:bCs/>
          <w:sz w:val="24"/>
          <w:szCs w:val="24"/>
        </w:rPr>
        <w:t xml:space="preserve"> – </w:t>
      </w:r>
      <w:r w:rsidR="00593BC5" w:rsidRPr="00A46F17">
        <w:rPr>
          <w:rFonts w:ascii="Arial" w:hAnsi="Arial" w:cs="Arial"/>
          <w:bCs/>
          <w:sz w:val="24"/>
          <w:szCs w:val="24"/>
        </w:rPr>
        <w:t xml:space="preserve">sharing information </w:t>
      </w:r>
      <w:r w:rsidR="00BB36F2" w:rsidRPr="00A46F17">
        <w:rPr>
          <w:rFonts w:ascii="Arial" w:hAnsi="Arial" w:cs="Arial"/>
          <w:bCs/>
          <w:sz w:val="24"/>
          <w:szCs w:val="24"/>
        </w:rPr>
        <w:t xml:space="preserve">on objectives, plan and timetable and report </w:t>
      </w:r>
      <w:r w:rsidR="00593BC5" w:rsidRPr="00A46F17">
        <w:rPr>
          <w:rFonts w:ascii="Arial" w:hAnsi="Arial" w:cs="Arial"/>
          <w:bCs/>
          <w:sz w:val="24"/>
          <w:szCs w:val="24"/>
        </w:rPr>
        <w:t xml:space="preserve">with </w:t>
      </w:r>
      <w:r w:rsidR="00593BC5" w:rsidRPr="00A46F17">
        <w:rPr>
          <w:rFonts w:ascii="Arial" w:hAnsi="Arial" w:cs="Arial"/>
          <w:sz w:val="24"/>
          <w:szCs w:val="24"/>
        </w:rPr>
        <w:t>recipients, providers, stakeholders, commissioners</w:t>
      </w:r>
      <w:r w:rsidR="00593BC5" w:rsidRPr="00A46F17">
        <w:rPr>
          <w:rFonts w:ascii="Arial" w:hAnsi="Arial" w:cs="Arial"/>
          <w:bCs/>
          <w:sz w:val="24"/>
          <w:szCs w:val="24"/>
        </w:rPr>
        <w:t xml:space="preserve"> and policy makers</w:t>
      </w:r>
      <w:r w:rsidR="00852B04" w:rsidRPr="00A46F17">
        <w:rPr>
          <w:rFonts w:ascii="Arial" w:hAnsi="Arial" w:cs="Arial"/>
          <w:bCs/>
          <w:sz w:val="24"/>
          <w:szCs w:val="24"/>
        </w:rPr>
        <w:t>.</w:t>
      </w:r>
    </w:p>
    <w:p w14:paraId="788A498C" w14:textId="77777777"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071649">
        <w:rPr>
          <w:rFonts w:ascii="Arial" w:hAnsi="Arial" w:cs="Arial"/>
          <w:bCs/>
          <w:sz w:val="24"/>
          <w:szCs w:val="24"/>
        </w:rPr>
        <w:t>The successful provider must adhere to the Data Protection Act (1998) and the Freedom of Information Act (2000). Effective security management, and ensuring personal information and assessment data are kept secure, will be essential.</w:t>
      </w:r>
    </w:p>
    <w:p w14:paraId="6C347EDC" w14:textId="77777777" w:rsidR="00107571" w:rsidRDefault="001075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34F3B9A1" w14:textId="77777777"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Risk Management</w:t>
      </w:r>
    </w:p>
    <w:p w14:paraId="05252B23" w14:textId="77777777" w:rsidR="00071649" w:rsidRPr="00071649"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Applicants should submit, as part of their application, a summary explaining what they believe will be the key risks to delivering this project, and what contingencies they will put in place to deal with them.</w:t>
      </w:r>
    </w:p>
    <w:p w14:paraId="7DF4826D" w14:textId="77777777" w:rsidR="00071649" w:rsidRPr="00071649"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14:paraId="283C8FF4" w14:textId="77777777" w:rsidR="00BE4D3A" w:rsidRDefault="00BE4D3A"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p>
    <w:p w14:paraId="366B3CF6" w14:textId="77777777" w:rsidR="00071649" w:rsidRPr="00071649"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sidRPr="00071649">
        <w:rPr>
          <w:rFonts w:ascii="Arial" w:hAnsi="Arial" w:cs="Arial"/>
          <w:b/>
          <w:bCs/>
          <w:sz w:val="24"/>
          <w:szCs w:val="24"/>
          <w:lang w:val="en-US"/>
        </w:rPr>
        <w:t xml:space="preserve">Patient and Public Involvement </w:t>
      </w:r>
    </w:p>
    <w:p w14:paraId="4B0E817C" w14:textId="77777777" w:rsidR="00071649" w:rsidRP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The provider will be undertaking direct engagement with stakeholders as appropriate.</w:t>
      </w:r>
      <w:r>
        <w:rPr>
          <w:rFonts w:ascii="Arial" w:hAnsi="Arial" w:cs="Arial"/>
          <w:bCs/>
          <w:sz w:val="24"/>
          <w:szCs w:val="24"/>
          <w:lang w:val="en-US"/>
        </w:rPr>
        <w:t xml:space="preserve"> The provider will be expect to submit as part of their application their mechanism for engaging businesses from different sectors and different sizes of business across a national geographic in the development of the toolkits.</w:t>
      </w:r>
    </w:p>
    <w:p w14:paraId="068A3CE7" w14:textId="77777777" w:rsidR="00107571" w:rsidRDefault="001075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004F2F02" w14:textId="77777777" w:rsidR="00345DEA"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Delivery Timescale</w:t>
      </w:r>
    </w:p>
    <w:p w14:paraId="78CAFEF8" w14:textId="77777777" w:rsidR="00270CD7" w:rsidRDefault="00574AA3" w:rsidP="00A377E5">
      <w:pPr>
        <w:spacing w:before="120" w:after="240" w:line="240" w:lineRule="auto"/>
        <w:rPr>
          <w:rFonts w:ascii="Arial" w:eastAsia="Times New Roman" w:hAnsi="Arial" w:cs="Arial"/>
          <w:sz w:val="24"/>
          <w:szCs w:val="24"/>
          <w:lang w:val="en-US"/>
        </w:rPr>
      </w:pPr>
      <w:r>
        <w:rPr>
          <w:rFonts w:ascii="Arial" w:eastAsia="Times New Roman" w:hAnsi="Arial" w:cs="Arial"/>
          <w:sz w:val="24"/>
          <w:szCs w:val="24"/>
          <w:lang w:val="en-US"/>
        </w:rPr>
        <w:t>The delivery partner</w:t>
      </w:r>
      <w:r w:rsidR="00345DEA">
        <w:rPr>
          <w:rFonts w:ascii="Arial" w:eastAsia="Times New Roman" w:hAnsi="Arial" w:cs="Arial"/>
          <w:sz w:val="24"/>
          <w:szCs w:val="24"/>
          <w:lang w:val="en-US"/>
        </w:rPr>
        <w:t xml:space="preserve"> should start as soon as p</w:t>
      </w:r>
      <w:r>
        <w:rPr>
          <w:rFonts w:ascii="Arial" w:eastAsia="Times New Roman" w:hAnsi="Arial" w:cs="Arial"/>
          <w:sz w:val="24"/>
          <w:szCs w:val="24"/>
          <w:lang w:val="en-US"/>
        </w:rPr>
        <w:t xml:space="preserve">ossible and </w:t>
      </w:r>
      <w:r w:rsidR="0093358C">
        <w:rPr>
          <w:rFonts w:ascii="Arial" w:eastAsia="Times New Roman" w:hAnsi="Arial" w:cs="Arial"/>
          <w:sz w:val="24"/>
          <w:szCs w:val="24"/>
          <w:lang w:val="en-US"/>
        </w:rPr>
        <w:t>complete the final draft of both toolkits by the end of December 2017 with a publication/launch date in early March 2018.</w:t>
      </w:r>
    </w:p>
    <w:p w14:paraId="1EA4667C" w14:textId="77777777" w:rsidR="00345DEA" w:rsidRDefault="00433A29" w:rsidP="00A377E5">
      <w:pPr>
        <w:spacing w:before="120" w:after="240" w:line="240" w:lineRule="auto"/>
        <w:rPr>
          <w:rFonts w:ascii="Arial" w:hAnsi="Arial" w:cs="Arial"/>
          <w:sz w:val="24"/>
          <w:szCs w:val="24"/>
        </w:rPr>
      </w:pPr>
      <w:r>
        <w:rPr>
          <w:rFonts w:ascii="Arial" w:hAnsi="Arial" w:cs="Arial"/>
          <w:sz w:val="24"/>
          <w:szCs w:val="24"/>
        </w:rPr>
        <w:t>P</w:t>
      </w:r>
      <w:r w:rsidR="00345DEA" w:rsidRPr="00A46F17">
        <w:rPr>
          <w:rFonts w:ascii="Arial" w:hAnsi="Arial" w:cs="Arial"/>
          <w:sz w:val="24"/>
          <w:szCs w:val="24"/>
        </w:rPr>
        <w:t xml:space="preserve">ayment will be made quarterly in arrears once an accurate and timely invoice is received and PHE project manager is content that the agreed relevant milestones have been completed for the quarter.        </w:t>
      </w:r>
      <w:r w:rsidR="00EB5104">
        <w:rPr>
          <w:rFonts w:ascii="Arial" w:hAnsi="Arial" w:cs="Arial"/>
          <w:sz w:val="24"/>
          <w:szCs w:val="24"/>
        </w:rPr>
        <w:t xml:space="preserve"> </w:t>
      </w:r>
    </w:p>
    <w:p w14:paraId="23FC649C" w14:textId="77777777" w:rsidR="00107571" w:rsidRDefault="001075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24AC8C0A" w14:textId="77777777"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lastRenderedPageBreak/>
        <w:t>Contract Period</w:t>
      </w:r>
    </w:p>
    <w:p w14:paraId="0A852D88" w14:textId="77777777" w:rsidR="00345DEA" w:rsidRPr="00A46F17" w:rsidRDefault="00345DEA" w:rsidP="00A377E5">
      <w:pPr>
        <w:spacing w:before="120" w:after="240" w:line="240" w:lineRule="auto"/>
        <w:rPr>
          <w:rFonts w:ascii="Arial" w:hAnsi="Arial" w:cs="Arial"/>
          <w:sz w:val="24"/>
          <w:szCs w:val="24"/>
        </w:rPr>
      </w:pPr>
      <w:r w:rsidRPr="00A46F17">
        <w:rPr>
          <w:rFonts w:ascii="Arial" w:hAnsi="Arial" w:cs="Arial"/>
          <w:sz w:val="24"/>
          <w:szCs w:val="24"/>
        </w:rPr>
        <w:t xml:space="preserve">The contract will be </w:t>
      </w:r>
      <w:r w:rsidR="0093358C">
        <w:rPr>
          <w:rFonts w:ascii="Arial" w:hAnsi="Arial" w:cs="Arial"/>
          <w:sz w:val="24"/>
          <w:szCs w:val="24"/>
        </w:rPr>
        <w:t xml:space="preserve">until </w:t>
      </w:r>
      <w:r w:rsidR="004461A9">
        <w:rPr>
          <w:rFonts w:ascii="Arial" w:hAnsi="Arial" w:cs="Arial"/>
          <w:sz w:val="24"/>
          <w:szCs w:val="24"/>
        </w:rPr>
        <w:t xml:space="preserve">31 </w:t>
      </w:r>
      <w:r w:rsidR="0093358C">
        <w:rPr>
          <w:rFonts w:ascii="Arial" w:hAnsi="Arial" w:cs="Arial"/>
          <w:sz w:val="24"/>
          <w:szCs w:val="24"/>
        </w:rPr>
        <w:t>March</w:t>
      </w:r>
      <w:r>
        <w:rPr>
          <w:rFonts w:ascii="Arial" w:hAnsi="Arial" w:cs="Arial"/>
          <w:sz w:val="24"/>
          <w:szCs w:val="24"/>
        </w:rPr>
        <w:t xml:space="preserve"> 2018</w:t>
      </w:r>
      <w:r w:rsidRPr="00A46F17">
        <w:rPr>
          <w:rFonts w:ascii="Arial" w:hAnsi="Arial" w:cs="Arial"/>
          <w:sz w:val="24"/>
          <w:szCs w:val="24"/>
        </w:rPr>
        <w:t xml:space="preserve"> </w:t>
      </w:r>
    </w:p>
    <w:p w14:paraId="32308257" w14:textId="77777777" w:rsidR="00345DEA" w:rsidRPr="00A46F17" w:rsidRDefault="00345DEA" w:rsidP="00A377E5">
      <w:pPr>
        <w:spacing w:before="120" w:after="240" w:line="240" w:lineRule="auto"/>
        <w:rPr>
          <w:rFonts w:ascii="Arial" w:hAnsi="Arial" w:cs="Arial"/>
          <w:sz w:val="24"/>
          <w:szCs w:val="24"/>
        </w:rPr>
      </w:pPr>
      <w:r w:rsidRPr="00A46F17">
        <w:rPr>
          <w:rFonts w:ascii="Arial" w:hAnsi="Arial" w:cs="Arial"/>
          <w:sz w:val="24"/>
          <w:szCs w:val="24"/>
        </w:rPr>
        <w:t xml:space="preserve">Standard break clauses for each contract will be enforced prior to the contract renewal.  </w:t>
      </w:r>
    </w:p>
    <w:p w14:paraId="0A050579" w14:textId="77777777" w:rsidR="00BE4D3A" w:rsidRDefault="00BE4D3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7DAF9977" w14:textId="77777777"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Contact Point(s)</w:t>
      </w:r>
    </w:p>
    <w:p w14:paraId="549F785E" w14:textId="77777777" w:rsidR="00345DEA" w:rsidRPr="00BD32B8"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 xml:space="preserve">It is expected that the supplier will appoint a named, suitably qualified Project Manager who will be the main point of contact with Public Health England.  </w:t>
      </w:r>
    </w:p>
    <w:p w14:paraId="04D99E05" w14:textId="23D2E18B" w:rsidR="00345DEA" w:rsidRPr="00BD32B8"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The key contact points at PHE will be</w:t>
      </w:r>
      <w:r w:rsidR="00006702">
        <w:rPr>
          <w:rFonts w:ascii="Arial" w:eastAsia="Calibri" w:hAnsi="Arial" w:cs="Arial"/>
          <w:sz w:val="24"/>
          <w:szCs w:val="24"/>
        </w:rPr>
        <w:t xml:space="preserve"> the Deputy National Lead for Adult Health and Wellbeing (Dr Michael Brannan) and the </w:t>
      </w:r>
      <w:r w:rsidR="00955A3A">
        <w:rPr>
          <w:rFonts w:ascii="Arial" w:eastAsia="Calibri" w:hAnsi="Arial" w:cs="Arial"/>
          <w:sz w:val="24"/>
          <w:szCs w:val="24"/>
        </w:rPr>
        <w:t xml:space="preserve">Healthy Adults </w:t>
      </w:r>
      <w:r w:rsidR="00107571">
        <w:rPr>
          <w:rFonts w:ascii="Arial" w:eastAsia="Calibri" w:hAnsi="Arial" w:cs="Arial"/>
          <w:sz w:val="24"/>
          <w:szCs w:val="24"/>
        </w:rPr>
        <w:t>Manager (</w:t>
      </w:r>
      <w:r w:rsidR="0093358C">
        <w:rPr>
          <w:rFonts w:ascii="Arial" w:eastAsia="Calibri" w:hAnsi="Arial" w:cs="Arial"/>
          <w:sz w:val="24"/>
          <w:szCs w:val="24"/>
        </w:rPr>
        <w:t>Manuel Ramos</w:t>
      </w:r>
      <w:r w:rsidR="00006702">
        <w:rPr>
          <w:rFonts w:ascii="Arial" w:eastAsia="Calibri" w:hAnsi="Arial" w:cs="Arial"/>
          <w:sz w:val="24"/>
          <w:szCs w:val="24"/>
        </w:rPr>
        <w:t>)</w:t>
      </w:r>
      <w:r w:rsidRPr="00BD32B8">
        <w:rPr>
          <w:rFonts w:ascii="Arial" w:eastAsia="Calibri" w:hAnsi="Arial" w:cs="Arial"/>
          <w:sz w:val="24"/>
          <w:szCs w:val="24"/>
        </w:rPr>
        <w:t xml:space="preserve">. </w:t>
      </w:r>
      <w:r w:rsidR="00F80A07">
        <w:rPr>
          <w:rFonts w:ascii="Arial" w:eastAsia="Calibri" w:hAnsi="Arial" w:cs="Arial"/>
          <w:sz w:val="24"/>
          <w:szCs w:val="24"/>
        </w:rPr>
        <w:t xml:space="preserve"> </w:t>
      </w:r>
      <w:r w:rsidRPr="00BD32B8">
        <w:rPr>
          <w:rFonts w:ascii="Arial" w:eastAsia="Calibri" w:hAnsi="Arial" w:cs="Arial"/>
          <w:sz w:val="24"/>
          <w:szCs w:val="24"/>
        </w:rPr>
        <w:t>Both members of staff will be available for telephone or face to face advice throughout the project lifetime.</w:t>
      </w:r>
      <w:r w:rsidR="00FD7500">
        <w:rPr>
          <w:rFonts w:ascii="Arial" w:eastAsia="Calibri" w:hAnsi="Arial" w:cs="Arial"/>
          <w:sz w:val="24"/>
          <w:szCs w:val="24"/>
        </w:rPr>
        <w:t xml:space="preserve"> </w:t>
      </w:r>
      <w:r w:rsidR="00FD7500" w:rsidRPr="00FD7500">
        <w:rPr>
          <w:rFonts w:ascii="Arial" w:eastAsia="Calibri" w:hAnsi="Arial" w:cs="Arial"/>
          <w:color w:val="FF0000"/>
          <w:sz w:val="24"/>
          <w:szCs w:val="24"/>
        </w:rPr>
        <w:t>Topics experts from PHE’s Drugs, Alcohol and T</w:t>
      </w:r>
      <w:r w:rsidR="00FD7500">
        <w:rPr>
          <w:rFonts w:ascii="Arial" w:eastAsia="Calibri" w:hAnsi="Arial" w:cs="Arial"/>
          <w:color w:val="FF0000"/>
          <w:sz w:val="24"/>
          <w:szCs w:val="24"/>
        </w:rPr>
        <w:t>obacco and Diet and Obesity teams</w:t>
      </w:r>
      <w:r w:rsidR="00FD7500" w:rsidRPr="00FD7500">
        <w:rPr>
          <w:rFonts w:ascii="Arial" w:eastAsia="Calibri" w:hAnsi="Arial" w:cs="Arial"/>
          <w:color w:val="FF0000"/>
          <w:sz w:val="24"/>
          <w:szCs w:val="24"/>
        </w:rPr>
        <w:t xml:space="preserve"> will be involved throughout.</w:t>
      </w:r>
    </w:p>
    <w:p w14:paraId="2B8FE090" w14:textId="77777777" w:rsidR="00BE4D3A" w:rsidRDefault="00BE4D3A"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49A6B760" w14:textId="77777777" w:rsidR="00433A29" w:rsidRPr="00BD32B8"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Costs</w:t>
      </w:r>
    </w:p>
    <w:p w14:paraId="1BD5A728" w14:textId="77777777" w:rsidR="00433A29" w:rsidRPr="00A46F17" w:rsidRDefault="008E339C" w:rsidP="00433A29">
      <w:pPr>
        <w:spacing w:before="120" w:after="240" w:line="240" w:lineRule="auto"/>
        <w:rPr>
          <w:rFonts w:ascii="Arial" w:eastAsia="Calibri" w:hAnsi="Arial" w:cs="Arial"/>
          <w:sz w:val="24"/>
          <w:szCs w:val="24"/>
        </w:rPr>
      </w:pPr>
      <w:r>
        <w:rPr>
          <w:rFonts w:ascii="Arial" w:eastAsia="Calibri" w:hAnsi="Arial" w:cs="Arial"/>
          <w:sz w:val="24"/>
          <w:szCs w:val="24"/>
        </w:rPr>
        <w:t xml:space="preserve">The provider </w:t>
      </w:r>
      <w:r w:rsidR="00433A29" w:rsidRPr="00A46F17">
        <w:rPr>
          <w:rFonts w:ascii="Arial" w:eastAsia="Calibri" w:hAnsi="Arial" w:cs="Arial"/>
          <w:sz w:val="24"/>
          <w:szCs w:val="24"/>
        </w:rPr>
        <w:t>will need to give a detailed breakdown of their costs. Please note that applicants will need to demonstrate value for money.</w:t>
      </w:r>
    </w:p>
    <w:p w14:paraId="6E7A75BB" w14:textId="6AF9F016" w:rsidR="004F3A7D" w:rsidRDefault="00433A29" w:rsidP="00A56E29">
      <w:pPr>
        <w:spacing w:before="120" w:after="240" w:line="240" w:lineRule="auto"/>
        <w:rPr>
          <w:rFonts w:ascii="Arial" w:eastAsia="Calibri" w:hAnsi="Arial" w:cs="Arial"/>
          <w:sz w:val="24"/>
          <w:szCs w:val="24"/>
        </w:rPr>
      </w:pPr>
      <w:r w:rsidRPr="008502B9">
        <w:rPr>
          <w:rFonts w:ascii="Arial" w:eastAsia="Calibri" w:hAnsi="Arial" w:cs="Arial"/>
          <w:sz w:val="24"/>
          <w:szCs w:val="24"/>
        </w:rPr>
        <w:t>The overall contract va</w:t>
      </w:r>
      <w:r w:rsidR="00574AA3">
        <w:rPr>
          <w:rFonts w:ascii="Arial" w:eastAsia="Calibri" w:hAnsi="Arial" w:cs="Arial"/>
          <w:sz w:val="24"/>
          <w:szCs w:val="24"/>
        </w:rPr>
        <w:t>lue will be in the region of £</w:t>
      </w:r>
      <w:r w:rsidR="00653D8D">
        <w:rPr>
          <w:rFonts w:ascii="Arial" w:eastAsia="Calibri" w:hAnsi="Arial" w:cs="Arial"/>
          <w:sz w:val="24"/>
          <w:szCs w:val="24"/>
        </w:rPr>
        <w:t>72</w:t>
      </w:r>
      <w:r w:rsidRPr="008502B9">
        <w:rPr>
          <w:rFonts w:ascii="Arial" w:eastAsia="Calibri" w:hAnsi="Arial" w:cs="Arial"/>
          <w:sz w:val="24"/>
          <w:szCs w:val="24"/>
        </w:rPr>
        <w:t>,000 per annum</w:t>
      </w:r>
      <w:r w:rsidR="008E339C">
        <w:rPr>
          <w:rFonts w:ascii="Arial" w:eastAsia="Calibri" w:hAnsi="Arial" w:cs="Arial"/>
          <w:sz w:val="24"/>
          <w:szCs w:val="24"/>
        </w:rPr>
        <w:t xml:space="preserve"> (</w:t>
      </w:r>
      <w:r w:rsidR="00653D8D">
        <w:rPr>
          <w:rFonts w:ascii="Arial" w:eastAsia="Calibri" w:hAnsi="Arial" w:cs="Arial"/>
          <w:sz w:val="24"/>
          <w:szCs w:val="24"/>
        </w:rPr>
        <w:t>in</w:t>
      </w:r>
      <w:r w:rsidR="00955A3A">
        <w:rPr>
          <w:rFonts w:ascii="Arial" w:eastAsia="Calibri" w:hAnsi="Arial" w:cs="Arial"/>
          <w:sz w:val="24"/>
          <w:szCs w:val="24"/>
        </w:rPr>
        <w:t>cluding VAT)</w:t>
      </w:r>
      <w:r w:rsidR="00107571">
        <w:rPr>
          <w:rFonts w:ascii="Arial" w:eastAsia="Calibri" w:hAnsi="Arial" w:cs="Arial"/>
          <w:sz w:val="24"/>
          <w:szCs w:val="24"/>
        </w:rPr>
        <w:t xml:space="preserve">. </w:t>
      </w:r>
      <w:r w:rsidR="002B7431" w:rsidRPr="008502B9">
        <w:rPr>
          <w:rFonts w:ascii="Arial" w:eastAsia="Calibri" w:hAnsi="Arial" w:cs="Arial"/>
          <w:sz w:val="24"/>
          <w:szCs w:val="24"/>
        </w:rPr>
        <w:t xml:space="preserve">This is with an expected start date of </w:t>
      </w:r>
      <w:r w:rsidR="00653D8D">
        <w:rPr>
          <w:rFonts w:ascii="Arial" w:eastAsia="Calibri" w:hAnsi="Arial" w:cs="Arial"/>
          <w:sz w:val="24"/>
          <w:szCs w:val="24"/>
        </w:rPr>
        <w:t>June</w:t>
      </w:r>
      <w:bookmarkStart w:id="0" w:name="_GoBack"/>
      <w:bookmarkEnd w:id="0"/>
      <w:r w:rsidR="00A6593D" w:rsidRPr="008502B9">
        <w:rPr>
          <w:rFonts w:ascii="Arial" w:eastAsia="Calibri" w:hAnsi="Arial" w:cs="Arial"/>
          <w:sz w:val="24"/>
          <w:szCs w:val="24"/>
        </w:rPr>
        <w:t xml:space="preserve"> 2017</w:t>
      </w:r>
      <w:r w:rsidR="002B7431" w:rsidRPr="008502B9">
        <w:rPr>
          <w:rFonts w:ascii="Arial" w:eastAsia="Calibri" w:hAnsi="Arial" w:cs="Arial"/>
          <w:sz w:val="24"/>
          <w:szCs w:val="24"/>
        </w:rPr>
        <w:t xml:space="preserve"> and end date of </w:t>
      </w:r>
      <w:r w:rsidR="0093358C">
        <w:rPr>
          <w:rFonts w:ascii="Arial" w:eastAsia="Calibri" w:hAnsi="Arial" w:cs="Arial"/>
          <w:sz w:val="24"/>
          <w:szCs w:val="24"/>
        </w:rPr>
        <w:t>March</w:t>
      </w:r>
      <w:r w:rsidR="008E339C">
        <w:rPr>
          <w:rFonts w:ascii="Arial" w:eastAsia="Calibri" w:hAnsi="Arial" w:cs="Arial"/>
          <w:sz w:val="24"/>
          <w:szCs w:val="24"/>
        </w:rPr>
        <w:t xml:space="preserve"> 2018</w:t>
      </w:r>
      <w:r w:rsidR="00A56E29">
        <w:rPr>
          <w:rFonts w:ascii="Arial" w:eastAsia="Calibri" w:hAnsi="Arial" w:cs="Arial"/>
          <w:sz w:val="24"/>
          <w:szCs w:val="24"/>
        </w:rPr>
        <w:t>.</w:t>
      </w:r>
    </w:p>
    <w:p w14:paraId="6B037CB8" w14:textId="77777777" w:rsidR="00BE4D3A" w:rsidRDefault="00BE4D3A" w:rsidP="00071649">
      <w:pPr>
        <w:rPr>
          <w:rFonts w:ascii="Arial" w:hAnsi="Arial" w:cs="Arial"/>
          <w:b/>
          <w:bCs/>
          <w:sz w:val="24"/>
          <w:szCs w:val="24"/>
          <w:lang w:val="en-US"/>
        </w:rPr>
      </w:pPr>
    </w:p>
    <w:p w14:paraId="7FD48D5C" w14:textId="77777777"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 xml:space="preserve">Application Process </w:t>
      </w:r>
    </w:p>
    <w:p w14:paraId="183FFFA1"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should be submitted electronically and include the following documentation:</w:t>
      </w:r>
    </w:p>
    <w:p w14:paraId="6A3E8B0B" w14:textId="77777777" w:rsidR="00071649" w:rsidRP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 xml:space="preserve">Supporting statement setting out establishing suitability to undertake the project, including evidence of national business networks </w:t>
      </w:r>
    </w:p>
    <w:p w14:paraId="7C6910BD" w14:textId="77777777" w:rsidR="00071649" w:rsidRP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Outline project plan &amp; methodology</w:t>
      </w:r>
      <w:r>
        <w:rPr>
          <w:rFonts w:ascii="Arial" w:hAnsi="Arial" w:cs="Arial"/>
          <w:bCs/>
          <w:sz w:val="24"/>
          <w:szCs w:val="24"/>
          <w:lang w:val="en-US"/>
        </w:rPr>
        <w:t xml:space="preserve"> including and national business engagement to support development and dissemination strategy</w:t>
      </w:r>
    </w:p>
    <w:p w14:paraId="65B42A81" w14:textId="77777777" w:rsid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Budget</w:t>
      </w:r>
    </w:p>
    <w:p w14:paraId="4BCF7CD7" w14:textId="77777777" w:rsidR="00071649" w:rsidRPr="00071649" w:rsidRDefault="00071649" w:rsidP="00071649">
      <w:pPr>
        <w:numPr>
          <w:ilvl w:val="0"/>
          <w:numId w:val="20"/>
        </w:numPr>
        <w:rPr>
          <w:rFonts w:ascii="Arial" w:hAnsi="Arial" w:cs="Arial"/>
          <w:bCs/>
          <w:sz w:val="24"/>
          <w:szCs w:val="24"/>
          <w:lang w:val="en-US"/>
        </w:rPr>
      </w:pPr>
      <w:r>
        <w:rPr>
          <w:rFonts w:ascii="Arial" w:hAnsi="Arial" w:cs="Arial"/>
          <w:bCs/>
          <w:sz w:val="24"/>
          <w:szCs w:val="24"/>
          <w:lang w:val="en-US"/>
        </w:rPr>
        <w:t>Risk mapping</w:t>
      </w:r>
    </w:p>
    <w:p w14:paraId="71F5261C" w14:textId="77777777" w:rsidR="00071649" w:rsidRP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lastRenderedPageBreak/>
        <w:t>Project team CVs</w:t>
      </w:r>
    </w:p>
    <w:p w14:paraId="64C3F07D"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 xml:space="preserve">Word count (excluding Project Team CVs) is a maximum of 1,500 words. </w:t>
      </w:r>
    </w:p>
    <w:p w14:paraId="4BEDD00A"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will be reviewed by an internal PHE panel and candidates will be informed electronically of the result.</w:t>
      </w:r>
    </w:p>
    <w:p w14:paraId="7D52E74C" w14:textId="77777777" w:rsidR="00071649" w:rsidRDefault="00071649" w:rsidP="00071649">
      <w:pPr>
        <w:rPr>
          <w:rFonts w:ascii="Arial" w:hAnsi="Arial" w:cs="Arial"/>
          <w:bCs/>
          <w:sz w:val="24"/>
          <w:szCs w:val="24"/>
          <w:lang w:val="en-US"/>
        </w:rPr>
      </w:pPr>
      <w:proofErr w:type="gramStart"/>
      <w:r w:rsidRPr="00071649">
        <w:rPr>
          <w:rFonts w:ascii="Arial" w:hAnsi="Arial" w:cs="Arial"/>
          <w:bCs/>
          <w:sz w:val="24"/>
          <w:szCs w:val="24"/>
          <w:lang w:val="en-US"/>
        </w:rPr>
        <w:t>If two applications are scored identically then both applicants will be invited to a verbal presentation.</w:t>
      </w:r>
      <w:proofErr w:type="gramEnd"/>
    </w:p>
    <w:p w14:paraId="70803C60" w14:textId="77777777" w:rsidR="00071649" w:rsidRPr="00071649" w:rsidRDefault="00071649" w:rsidP="00071649">
      <w:pPr>
        <w:rPr>
          <w:rFonts w:ascii="Arial" w:hAnsi="Arial" w:cs="Arial"/>
          <w:bCs/>
          <w:sz w:val="24"/>
          <w:szCs w:val="24"/>
          <w:lang w:val="en-US"/>
        </w:rPr>
      </w:pPr>
    </w:p>
    <w:p w14:paraId="02993321" w14:textId="77777777"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Selection Criteria</w:t>
      </w:r>
    </w:p>
    <w:p w14:paraId="4A4B1D07"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Criteria used by members of the PHE panel to assess applications for funding from the project include:</w:t>
      </w:r>
    </w:p>
    <w:p w14:paraId="3EA57D8C" w14:textId="77777777" w:rsidR="00071649" w:rsidRPr="00071649" w:rsidRDefault="00071649" w:rsidP="00071649">
      <w:pPr>
        <w:rPr>
          <w:rFonts w:ascii="Arial" w:hAnsi="Arial" w:cs="Arial"/>
          <w:bCs/>
          <w:sz w:val="24"/>
          <w:szCs w:val="24"/>
          <w:lang w:val="en-US"/>
        </w:rPr>
      </w:pPr>
    </w:p>
    <w:p w14:paraId="6DCE32D5"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RELEVANCE</w:t>
      </w:r>
      <w:r w:rsidRPr="00071649">
        <w:rPr>
          <w:rFonts w:ascii="Arial" w:hAnsi="Arial" w:cs="Arial"/>
          <w:sz w:val="24"/>
          <w:szCs w:val="24"/>
          <w:lang w:val="en-US"/>
        </w:rPr>
        <w:t xml:space="preserve"> of the proposed project plan and methodology to the aims and objectives of the project </w:t>
      </w:r>
    </w:p>
    <w:p w14:paraId="1A810074"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QUALITY</w:t>
      </w:r>
      <w:r w:rsidRPr="00071649">
        <w:rPr>
          <w:rFonts w:ascii="Arial" w:hAnsi="Arial" w:cs="Arial"/>
          <w:sz w:val="24"/>
          <w:szCs w:val="24"/>
          <w:lang w:val="en-US"/>
        </w:rPr>
        <w:t xml:space="preserve"> of the work plan and proposed management arrangements</w:t>
      </w:r>
    </w:p>
    <w:p w14:paraId="61FB2B58"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STRENGTH</w:t>
      </w:r>
      <w:r w:rsidRPr="00071649">
        <w:rPr>
          <w:rFonts w:ascii="Arial" w:hAnsi="Arial" w:cs="Arial"/>
          <w:sz w:val="24"/>
          <w:szCs w:val="24"/>
          <w:lang w:val="en-US"/>
        </w:rPr>
        <w:t xml:space="preserve"> of the project team</w:t>
      </w:r>
    </w:p>
    <w:p w14:paraId="7BBABA90"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IMPACT</w:t>
      </w:r>
      <w:r w:rsidRPr="00071649">
        <w:rPr>
          <w:rFonts w:ascii="Arial" w:hAnsi="Arial" w:cs="Arial"/>
          <w:sz w:val="24"/>
          <w:szCs w:val="24"/>
          <w:lang w:val="en-US"/>
        </w:rPr>
        <w:t xml:space="preserve"> of the proposed work </w:t>
      </w:r>
    </w:p>
    <w:p w14:paraId="45942039"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 xml:space="preserve">VALUE </w:t>
      </w:r>
      <w:r w:rsidRPr="00071649">
        <w:rPr>
          <w:rFonts w:ascii="Arial" w:hAnsi="Arial" w:cs="Arial"/>
          <w:sz w:val="24"/>
          <w:szCs w:val="24"/>
          <w:lang w:val="en-US"/>
        </w:rPr>
        <w:t xml:space="preserve">for money (justification of the proposed costs) </w:t>
      </w:r>
    </w:p>
    <w:p w14:paraId="5EA4F290"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INVOLVEMENT</w:t>
      </w:r>
      <w:r w:rsidRPr="00071649">
        <w:rPr>
          <w:rFonts w:ascii="Arial" w:hAnsi="Arial" w:cs="Arial"/>
          <w:sz w:val="24"/>
          <w:szCs w:val="24"/>
          <w:lang w:val="en-US"/>
        </w:rPr>
        <w:t xml:space="preserve"> of patients and the public</w:t>
      </w:r>
    </w:p>
    <w:p w14:paraId="78FA5F91" w14:textId="77777777" w:rsidR="00071649" w:rsidRPr="00071649" w:rsidRDefault="00071649" w:rsidP="00071649">
      <w:pPr>
        <w:rPr>
          <w:rFonts w:ascii="Arial" w:hAnsi="Arial" w:cs="Arial"/>
          <w:bCs/>
          <w:sz w:val="24"/>
          <w:szCs w:val="24"/>
          <w:lang w:val="en-US"/>
        </w:rPr>
      </w:pPr>
    </w:p>
    <w:p w14:paraId="3831350A" w14:textId="77777777" w:rsidR="00071649" w:rsidRPr="00071649" w:rsidRDefault="00071649" w:rsidP="00071649">
      <w:pPr>
        <w:rPr>
          <w:rFonts w:ascii="Arial" w:hAnsi="Arial" w:cs="Arial"/>
          <w:bCs/>
          <w:sz w:val="24"/>
          <w:szCs w:val="24"/>
          <w:lang w:val="en-US"/>
        </w:rPr>
      </w:pPr>
    </w:p>
    <w:p w14:paraId="52CC81BF" w14:textId="77777777" w:rsidR="00071649" w:rsidRPr="00071649" w:rsidRDefault="00071649" w:rsidP="00071649">
      <w:pPr>
        <w:rPr>
          <w:rFonts w:ascii="Arial" w:hAnsi="Arial" w:cs="Arial"/>
          <w:b/>
          <w:bCs/>
          <w:sz w:val="24"/>
          <w:szCs w:val="24"/>
          <w:lang w:val="en-US"/>
        </w:rPr>
      </w:pPr>
      <w:r>
        <w:rPr>
          <w:rFonts w:ascii="Arial" w:hAnsi="Arial" w:cs="Arial"/>
          <w:b/>
          <w:bCs/>
          <w:sz w:val="24"/>
          <w:szCs w:val="24"/>
          <w:lang w:val="en-US"/>
        </w:rPr>
        <w:t xml:space="preserve">Commissioning </w:t>
      </w:r>
      <w:r w:rsidRPr="00071649">
        <w:rPr>
          <w:rFonts w:ascii="Arial" w:hAnsi="Arial" w:cs="Arial"/>
          <w:b/>
          <w:bCs/>
          <w:sz w:val="24"/>
          <w:szCs w:val="24"/>
          <w:lang w:val="en-US"/>
        </w:rPr>
        <w:t>Timetable</w:t>
      </w:r>
    </w:p>
    <w:p w14:paraId="0A9A504F"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It is anticipated that commissioning of this project will occur to the following approximate timetable: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423"/>
      </w:tblGrid>
      <w:tr w:rsidR="00071649" w:rsidRPr="00071649" w14:paraId="63CF7AB6" w14:textId="77777777" w:rsidTr="00152B5C">
        <w:tc>
          <w:tcPr>
            <w:tcW w:w="1418" w:type="dxa"/>
            <w:shd w:val="clear" w:color="auto" w:fill="BFBFBF"/>
          </w:tcPr>
          <w:p w14:paraId="5D07AAF5" w14:textId="77777777" w:rsidR="00071649" w:rsidRPr="00071649" w:rsidRDefault="00071649" w:rsidP="00071649">
            <w:pPr>
              <w:rPr>
                <w:rFonts w:ascii="Arial" w:hAnsi="Arial" w:cs="Arial"/>
                <w:b/>
                <w:sz w:val="24"/>
                <w:szCs w:val="24"/>
              </w:rPr>
            </w:pPr>
            <w:r w:rsidRPr="00071649">
              <w:rPr>
                <w:rFonts w:ascii="Arial" w:hAnsi="Arial" w:cs="Arial"/>
                <w:b/>
                <w:sz w:val="24"/>
                <w:szCs w:val="24"/>
              </w:rPr>
              <w:t>Date</w:t>
            </w:r>
          </w:p>
        </w:tc>
        <w:tc>
          <w:tcPr>
            <w:tcW w:w="6423" w:type="dxa"/>
            <w:shd w:val="clear" w:color="auto" w:fill="BFBFBF"/>
          </w:tcPr>
          <w:p w14:paraId="0A36650E" w14:textId="77777777" w:rsidR="00071649" w:rsidRPr="00071649" w:rsidRDefault="00071649" w:rsidP="00071649">
            <w:pPr>
              <w:rPr>
                <w:rFonts w:ascii="Arial" w:hAnsi="Arial" w:cs="Arial"/>
                <w:b/>
                <w:sz w:val="24"/>
                <w:szCs w:val="24"/>
              </w:rPr>
            </w:pPr>
            <w:r w:rsidRPr="00071649">
              <w:rPr>
                <w:rFonts w:ascii="Arial" w:hAnsi="Arial" w:cs="Arial"/>
                <w:b/>
                <w:sz w:val="24"/>
                <w:szCs w:val="24"/>
              </w:rPr>
              <w:t>Action</w:t>
            </w:r>
          </w:p>
        </w:tc>
      </w:tr>
      <w:tr w:rsidR="00071649" w:rsidRPr="00071649" w14:paraId="23AF47B6" w14:textId="77777777" w:rsidTr="00152B5C">
        <w:tc>
          <w:tcPr>
            <w:tcW w:w="1418" w:type="dxa"/>
            <w:shd w:val="clear" w:color="auto" w:fill="auto"/>
          </w:tcPr>
          <w:p w14:paraId="29A393E7" w14:textId="2F44953F" w:rsidR="00071649" w:rsidRPr="00071649" w:rsidRDefault="007424CD" w:rsidP="007424CD">
            <w:pPr>
              <w:rPr>
                <w:rFonts w:ascii="Arial" w:hAnsi="Arial" w:cs="Arial"/>
                <w:b/>
                <w:sz w:val="24"/>
                <w:szCs w:val="24"/>
                <w:highlight w:val="yellow"/>
              </w:rPr>
            </w:pPr>
            <w:r>
              <w:rPr>
                <w:rFonts w:ascii="Arial" w:hAnsi="Arial" w:cs="Arial"/>
                <w:b/>
                <w:bCs/>
                <w:sz w:val="24"/>
                <w:szCs w:val="24"/>
                <w:highlight w:val="yellow"/>
                <w:lang w:val="en-US"/>
              </w:rPr>
              <w:t>25</w:t>
            </w:r>
            <w:r w:rsidR="00BE4D3A">
              <w:rPr>
                <w:rFonts w:ascii="Arial" w:hAnsi="Arial" w:cs="Arial"/>
                <w:b/>
                <w:bCs/>
                <w:sz w:val="24"/>
                <w:szCs w:val="24"/>
                <w:highlight w:val="yellow"/>
                <w:lang w:val="en-US"/>
              </w:rPr>
              <w:t>/0</w:t>
            </w:r>
            <w:r>
              <w:rPr>
                <w:rFonts w:ascii="Arial" w:hAnsi="Arial" w:cs="Arial"/>
                <w:b/>
                <w:bCs/>
                <w:sz w:val="24"/>
                <w:szCs w:val="24"/>
                <w:highlight w:val="yellow"/>
                <w:lang w:val="en-US"/>
              </w:rPr>
              <w:t>5</w:t>
            </w:r>
            <w:r w:rsidR="00BE4D3A">
              <w:rPr>
                <w:rFonts w:ascii="Arial" w:hAnsi="Arial" w:cs="Arial"/>
                <w:b/>
                <w:bCs/>
                <w:sz w:val="24"/>
                <w:szCs w:val="24"/>
                <w:highlight w:val="yellow"/>
                <w:lang w:val="en-US"/>
              </w:rPr>
              <w:t>/17</w:t>
            </w:r>
          </w:p>
        </w:tc>
        <w:tc>
          <w:tcPr>
            <w:tcW w:w="6423" w:type="dxa"/>
            <w:shd w:val="clear" w:color="auto" w:fill="auto"/>
          </w:tcPr>
          <w:p w14:paraId="036DBB18" w14:textId="77777777" w:rsidR="00071649" w:rsidRPr="00071649" w:rsidRDefault="00071649" w:rsidP="00071649">
            <w:pPr>
              <w:rPr>
                <w:rFonts w:ascii="Arial" w:hAnsi="Arial" w:cs="Arial"/>
                <w:sz w:val="24"/>
                <w:szCs w:val="24"/>
                <w:lang w:val="en-US"/>
              </w:rPr>
            </w:pPr>
            <w:r w:rsidRPr="00071649">
              <w:rPr>
                <w:rFonts w:ascii="Arial" w:hAnsi="Arial" w:cs="Arial"/>
                <w:sz w:val="24"/>
                <w:szCs w:val="24"/>
                <w:lang w:val="en-US"/>
              </w:rPr>
              <w:t>Issue of  invitation to tender via BRAVO</w:t>
            </w:r>
          </w:p>
        </w:tc>
      </w:tr>
      <w:tr w:rsidR="00071649" w:rsidRPr="00071649" w14:paraId="37D6C571" w14:textId="77777777" w:rsidTr="00152B5C">
        <w:tc>
          <w:tcPr>
            <w:tcW w:w="1418" w:type="dxa"/>
            <w:shd w:val="clear" w:color="auto" w:fill="auto"/>
          </w:tcPr>
          <w:p w14:paraId="165EC93E" w14:textId="54C801D4" w:rsidR="00071649" w:rsidRPr="00071649" w:rsidRDefault="007424CD" w:rsidP="007424CD">
            <w:pPr>
              <w:rPr>
                <w:rFonts w:ascii="Arial" w:hAnsi="Arial" w:cs="Arial"/>
                <w:b/>
                <w:sz w:val="24"/>
                <w:szCs w:val="24"/>
                <w:highlight w:val="yellow"/>
              </w:rPr>
            </w:pPr>
            <w:r>
              <w:rPr>
                <w:rFonts w:ascii="Arial" w:hAnsi="Arial" w:cs="Arial"/>
                <w:b/>
                <w:sz w:val="24"/>
                <w:szCs w:val="24"/>
                <w:highlight w:val="yellow"/>
              </w:rPr>
              <w:t>12</w:t>
            </w:r>
            <w:r w:rsidR="00BE4D3A">
              <w:rPr>
                <w:rFonts w:ascii="Arial" w:hAnsi="Arial" w:cs="Arial"/>
                <w:b/>
                <w:sz w:val="24"/>
                <w:szCs w:val="24"/>
                <w:highlight w:val="yellow"/>
              </w:rPr>
              <w:t>/0</w:t>
            </w:r>
            <w:r>
              <w:rPr>
                <w:rFonts w:ascii="Arial" w:hAnsi="Arial" w:cs="Arial"/>
                <w:b/>
                <w:sz w:val="24"/>
                <w:szCs w:val="24"/>
                <w:highlight w:val="yellow"/>
              </w:rPr>
              <w:t>6</w:t>
            </w:r>
            <w:r w:rsidR="00BE4D3A">
              <w:rPr>
                <w:rFonts w:ascii="Arial" w:hAnsi="Arial" w:cs="Arial"/>
                <w:b/>
                <w:sz w:val="24"/>
                <w:szCs w:val="24"/>
                <w:highlight w:val="yellow"/>
              </w:rPr>
              <w:t>/17</w:t>
            </w:r>
          </w:p>
        </w:tc>
        <w:tc>
          <w:tcPr>
            <w:tcW w:w="6423" w:type="dxa"/>
            <w:shd w:val="clear" w:color="auto" w:fill="auto"/>
          </w:tcPr>
          <w:p w14:paraId="4D5B04DF" w14:textId="77777777" w:rsidR="00071649" w:rsidRPr="00071649" w:rsidRDefault="00071649" w:rsidP="00071649">
            <w:pPr>
              <w:rPr>
                <w:rFonts w:ascii="Arial" w:hAnsi="Arial" w:cs="Arial"/>
                <w:sz w:val="24"/>
                <w:szCs w:val="24"/>
              </w:rPr>
            </w:pPr>
            <w:r w:rsidRPr="00071649">
              <w:rPr>
                <w:rFonts w:ascii="Arial" w:hAnsi="Arial" w:cs="Arial"/>
                <w:sz w:val="24"/>
                <w:szCs w:val="24"/>
              </w:rPr>
              <w:t>Deadline for receipt of applications</w:t>
            </w:r>
          </w:p>
        </w:tc>
      </w:tr>
      <w:tr w:rsidR="00071649" w:rsidRPr="00071649" w14:paraId="6B8BC9EC" w14:textId="77777777" w:rsidTr="00152B5C">
        <w:tc>
          <w:tcPr>
            <w:tcW w:w="1418" w:type="dxa"/>
            <w:shd w:val="clear" w:color="auto" w:fill="auto"/>
          </w:tcPr>
          <w:p w14:paraId="45613F24" w14:textId="7E80947D" w:rsidR="00071649" w:rsidRPr="00071649" w:rsidRDefault="00BE4D3A" w:rsidP="004D6A70">
            <w:pPr>
              <w:rPr>
                <w:rFonts w:ascii="Arial" w:hAnsi="Arial" w:cs="Arial"/>
                <w:b/>
                <w:sz w:val="24"/>
                <w:szCs w:val="24"/>
                <w:highlight w:val="yellow"/>
              </w:rPr>
            </w:pPr>
            <w:r>
              <w:rPr>
                <w:rFonts w:ascii="Arial" w:hAnsi="Arial" w:cs="Arial"/>
                <w:b/>
                <w:sz w:val="24"/>
                <w:szCs w:val="24"/>
                <w:highlight w:val="yellow"/>
              </w:rPr>
              <w:lastRenderedPageBreak/>
              <w:t>1</w:t>
            </w:r>
            <w:r w:rsidR="004D6A70">
              <w:rPr>
                <w:rFonts w:ascii="Arial" w:hAnsi="Arial" w:cs="Arial"/>
                <w:b/>
                <w:sz w:val="24"/>
                <w:szCs w:val="24"/>
                <w:highlight w:val="yellow"/>
              </w:rPr>
              <w:t>6</w:t>
            </w:r>
            <w:r>
              <w:rPr>
                <w:rFonts w:ascii="Arial" w:hAnsi="Arial" w:cs="Arial"/>
                <w:b/>
                <w:sz w:val="24"/>
                <w:szCs w:val="24"/>
                <w:highlight w:val="yellow"/>
              </w:rPr>
              <w:t>/0</w:t>
            </w:r>
            <w:r w:rsidR="004D6A70">
              <w:rPr>
                <w:rFonts w:ascii="Arial" w:hAnsi="Arial" w:cs="Arial"/>
                <w:b/>
                <w:sz w:val="24"/>
                <w:szCs w:val="24"/>
                <w:highlight w:val="yellow"/>
              </w:rPr>
              <w:t>6</w:t>
            </w:r>
            <w:r>
              <w:rPr>
                <w:rFonts w:ascii="Arial" w:hAnsi="Arial" w:cs="Arial"/>
                <w:b/>
                <w:sz w:val="24"/>
                <w:szCs w:val="24"/>
                <w:highlight w:val="yellow"/>
              </w:rPr>
              <w:t>/17</w:t>
            </w:r>
          </w:p>
        </w:tc>
        <w:tc>
          <w:tcPr>
            <w:tcW w:w="6423" w:type="dxa"/>
            <w:shd w:val="clear" w:color="auto" w:fill="auto"/>
          </w:tcPr>
          <w:p w14:paraId="3EC01FAB" w14:textId="77777777" w:rsidR="00071649" w:rsidRPr="00071649" w:rsidRDefault="00071649" w:rsidP="00071649">
            <w:pPr>
              <w:rPr>
                <w:rFonts w:ascii="Arial" w:hAnsi="Arial" w:cs="Arial"/>
                <w:sz w:val="24"/>
                <w:szCs w:val="24"/>
              </w:rPr>
            </w:pPr>
            <w:r w:rsidRPr="00071649">
              <w:rPr>
                <w:rFonts w:ascii="Arial" w:hAnsi="Arial" w:cs="Arial"/>
                <w:sz w:val="24"/>
                <w:szCs w:val="24"/>
              </w:rPr>
              <w:t>Notification of outcome of applications review</w:t>
            </w:r>
          </w:p>
        </w:tc>
      </w:tr>
      <w:tr w:rsidR="00071649" w:rsidRPr="00071649" w14:paraId="1CDF2F6E" w14:textId="77777777" w:rsidTr="00152B5C">
        <w:tc>
          <w:tcPr>
            <w:tcW w:w="1418" w:type="dxa"/>
            <w:shd w:val="clear" w:color="auto" w:fill="auto"/>
          </w:tcPr>
          <w:p w14:paraId="6CCE44AA" w14:textId="7284DBEB" w:rsidR="00071649" w:rsidRPr="00071649" w:rsidRDefault="004D6A70" w:rsidP="004D6A70">
            <w:pPr>
              <w:rPr>
                <w:rFonts w:ascii="Arial" w:hAnsi="Arial" w:cs="Arial"/>
                <w:b/>
                <w:sz w:val="24"/>
                <w:szCs w:val="24"/>
                <w:highlight w:val="yellow"/>
              </w:rPr>
            </w:pPr>
            <w:r>
              <w:rPr>
                <w:rFonts w:ascii="Arial" w:hAnsi="Arial" w:cs="Arial"/>
                <w:b/>
                <w:sz w:val="24"/>
                <w:szCs w:val="24"/>
                <w:highlight w:val="yellow"/>
              </w:rPr>
              <w:t>26</w:t>
            </w:r>
            <w:r w:rsidR="00BE4D3A">
              <w:rPr>
                <w:rFonts w:ascii="Arial" w:hAnsi="Arial" w:cs="Arial"/>
                <w:b/>
                <w:sz w:val="24"/>
                <w:szCs w:val="24"/>
                <w:highlight w:val="yellow"/>
              </w:rPr>
              <w:t>/0</w:t>
            </w:r>
            <w:r>
              <w:rPr>
                <w:rFonts w:ascii="Arial" w:hAnsi="Arial" w:cs="Arial"/>
                <w:b/>
                <w:sz w:val="24"/>
                <w:szCs w:val="24"/>
                <w:highlight w:val="yellow"/>
              </w:rPr>
              <w:t>6</w:t>
            </w:r>
            <w:r w:rsidR="00BE4D3A">
              <w:rPr>
                <w:rFonts w:ascii="Arial" w:hAnsi="Arial" w:cs="Arial"/>
                <w:b/>
                <w:sz w:val="24"/>
                <w:szCs w:val="24"/>
                <w:highlight w:val="yellow"/>
              </w:rPr>
              <w:t>/17</w:t>
            </w:r>
          </w:p>
        </w:tc>
        <w:tc>
          <w:tcPr>
            <w:tcW w:w="6423" w:type="dxa"/>
            <w:shd w:val="clear" w:color="auto" w:fill="auto"/>
          </w:tcPr>
          <w:p w14:paraId="402D172F" w14:textId="77777777" w:rsidR="00071649" w:rsidRPr="00071649" w:rsidRDefault="00071649" w:rsidP="00071649">
            <w:pPr>
              <w:rPr>
                <w:rFonts w:ascii="Arial" w:hAnsi="Arial" w:cs="Arial"/>
                <w:sz w:val="24"/>
                <w:szCs w:val="24"/>
              </w:rPr>
            </w:pPr>
            <w:r w:rsidRPr="00071649">
              <w:rPr>
                <w:rFonts w:ascii="Arial" w:hAnsi="Arial" w:cs="Arial"/>
                <w:sz w:val="24"/>
                <w:szCs w:val="24"/>
              </w:rPr>
              <w:t>Award of contract</w:t>
            </w:r>
          </w:p>
        </w:tc>
      </w:tr>
      <w:tr w:rsidR="00071649" w:rsidRPr="00071649" w14:paraId="20C15E90" w14:textId="77777777" w:rsidTr="00152B5C">
        <w:tc>
          <w:tcPr>
            <w:tcW w:w="1418" w:type="dxa"/>
            <w:shd w:val="clear" w:color="auto" w:fill="auto"/>
          </w:tcPr>
          <w:p w14:paraId="392B6222" w14:textId="77777777" w:rsidR="00071649" w:rsidRPr="00071649" w:rsidRDefault="00071649" w:rsidP="00071649">
            <w:pPr>
              <w:rPr>
                <w:rFonts w:ascii="Arial" w:hAnsi="Arial" w:cs="Arial"/>
                <w:b/>
                <w:sz w:val="24"/>
                <w:szCs w:val="24"/>
                <w:highlight w:val="yellow"/>
              </w:rPr>
            </w:pPr>
            <w:r w:rsidRPr="00071649">
              <w:rPr>
                <w:rFonts w:ascii="Arial" w:hAnsi="Arial" w:cs="Arial"/>
                <w:b/>
                <w:sz w:val="24"/>
                <w:szCs w:val="24"/>
                <w:highlight w:val="yellow"/>
              </w:rPr>
              <w:t>31/03/1</w:t>
            </w:r>
            <w:r w:rsidR="00955A3A">
              <w:rPr>
                <w:rFonts w:ascii="Arial" w:hAnsi="Arial" w:cs="Arial"/>
                <w:b/>
                <w:sz w:val="24"/>
                <w:szCs w:val="24"/>
                <w:highlight w:val="yellow"/>
              </w:rPr>
              <w:t>8</w:t>
            </w:r>
          </w:p>
        </w:tc>
        <w:tc>
          <w:tcPr>
            <w:tcW w:w="6423" w:type="dxa"/>
            <w:shd w:val="clear" w:color="auto" w:fill="auto"/>
          </w:tcPr>
          <w:p w14:paraId="50607DA7" w14:textId="77777777" w:rsidR="00071649" w:rsidRPr="00071649" w:rsidRDefault="00071649" w:rsidP="00071649">
            <w:pPr>
              <w:rPr>
                <w:rFonts w:ascii="Arial" w:hAnsi="Arial" w:cs="Arial"/>
                <w:sz w:val="24"/>
                <w:szCs w:val="24"/>
              </w:rPr>
            </w:pPr>
            <w:r w:rsidRPr="00071649">
              <w:rPr>
                <w:rFonts w:ascii="Arial" w:hAnsi="Arial" w:cs="Arial"/>
                <w:sz w:val="24"/>
                <w:szCs w:val="24"/>
              </w:rPr>
              <w:t>Project completion</w:t>
            </w:r>
          </w:p>
        </w:tc>
      </w:tr>
    </w:tbl>
    <w:p w14:paraId="35558D8F" w14:textId="77777777" w:rsidR="00071649" w:rsidRPr="00071649" w:rsidRDefault="00071649" w:rsidP="00071649">
      <w:pPr>
        <w:rPr>
          <w:rFonts w:ascii="Arial" w:hAnsi="Arial" w:cs="Arial"/>
          <w:sz w:val="24"/>
          <w:szCs w:val="24"/>
        </w:rPr>
      </w:pPr>
    </w:p>
    <w:p w14:paraId="2E247939" w14:textId="77777777" w:rsidR="00071649" w:rsidRPr="00071649" w:rsidRDefault="00071649" w:rsidP="00071649">
      <w:pPr>
        <w:rPr>
          <w:rFonts w:ascii="Arial" w:hAnsi="Arial" w:cs="Arial"/>
          <w:sz w:val="24"/>
          <w:szCs w:val="24"/>
        </w:rPr>
      </w:pPr>
    </w:p>
    <w:sectPr w:rsidR="00071649" w:rsidRPr="00071649">
      <w:headerReference w:type="default" r:id="rId22"/>
      <w:footerReference w:type="default" r:id="rId23"/>
      <w:endnotePr>
        <w:numFmt w:val="decimal"/>
      </w:endnotePr>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810686" w15:done="0"/>
  <w15:commentEx w15:paraId="12E3EB12" w15:done="0"/>
  <w15:commentEx w15:paraId="4CBDC158" w15:done="0"/>
  <w15:commentEx w15:paraId="26AF2277" w15:done="0"/>
  <w15:commentEx w15:paraId="27C9EC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97C54" w14:textId="77777777" w:rsidR="00EE2E0A" w:rsidRDefault="00EE2E0A" w:rsidP="000D6E1B">
      <w:pPr>
        <w:spacing w:after="0" w:line="240" w:lineRule="auto"/>
      </w:pPr>
      <w:r>
        <w:separator/>
      </w:r>
    </w:p>
  </w:endnote>
  <w:endnote w:type="continuationSeparator" w:id="0">
    <w:p w14:paraId="0050D5CC" w14:textId="77777777" w:rsidR="00EE2E0A" w:rsidRDefault="00EE2E0A"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14566"/>
      <w:docPartObj>
        <w:docPartGallery w:val="Page Numbers (Bottom of Page)"/>
        <w:docPartUnique/>
      </w:docPartObj>
    </w:sdtPr>
    <w:sdtEndPr>
      <w:rPr>
        <w:noProof/>
      </w:rPr>
    </w:sdtEndPr>
    <w:sdtContent>
      <w:p w14:paraId="037161B6" w14:textId="77777777" w:rsidR="00EB5104" w:rsidRDefault="00EB5104">
        <w:pPr>
          <w:pStyle w:val="Footer"/>
          <w:jc w:val="right"/>
        </w:pPr>
        <w:r>
          <w:fldChar w:fldCharType="begin"/>
        </w:r>
        <w:r>
          <w:instrText xml:space="preserve"> PAGE   \* MERGEFORMAT </w:instrText>
        </w:r>
        <w:r>
          <w:fldChar w:fldCharType="separate"/>
        </w:r>
        <w:r w:rsidR="00653D8D">
          <w:rPr>
            <w:noProof/>
          </w:rPr>
          <w:t>8</w:t>
        </w:r>
        <w:r>
          <w:rPr>
            <w:noProof/>
          </w:rPr>
          <w:fldChar w:fldCharType="end"/>
        </w:r>
      </w:p>
    </w:sdtContent>
  </w:sdt>
  <w:p w14:paraId="2FBE26DC" w14:textId="77777777" w:rsidR="00EB5104" w:rsidRDefault="00EB5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907E7" w14:textId="77777777" w:rsidR="00EE2E0A" w:rsidRDefault="00EE2E0A" w:rsidP="000D6E1B">
      <w:pPr>
        <w:spacing w:after="0" w:line="240" w:lineRule="auto"/>
      </w:pPr>
      <w:r>
        <w:separator/>
      </w:r>
    </w:p>
  </w:footnote>
  <w:footnote w:type="continuationSeparator" w:id="0">
    <w:p w14:paraId="378E39C1" w14:textId="77777777" w:rsidR="00EE2E0A" w:rsidRDefault="00EE2E0A" w:rsidP="000D6E1B">
      <w:pPr>
        <w:spacing w:after="0" w:line="240" w:lineRule="auto"/>
      </w:pPr>
      <w:r>
        <w:continuationSeparator/>
      </w:r>
    </w:p>
  </w:footnote>
  <w:footnote w:id="1">
    <w:p w14:paraId="0FFEFD1E" w14:textId="77777777" w:rsidR="00A960BA" w:rsidRDefault="00A960BA">
      <w:pPr>
        <w:pStyle w:val="FootnoteText"/>
      </w:pPr>
      <w:r>
        <w:rPr>
          <w:rStyle w:val="FootnoteReference"/>
        </w:rPr>
        <w:footnoteRef/>
      </w:r>
      <w:r>
        <w:t xml:space="preserve"> </w:t>
      </w:r>
      <w:proofErr w:type="gramStart"/>
      <w:r w:rsidRPr="00A960BA">
        <w:t>Alcohol consumption (</w:t>
      </w:r>
      <w:r w:rsidRPr="00A960BA">
        <w:rPr>
          <w:iCs/>
        </w:rPr>
        <w:t xml:space="preserve">Litres per capita </w:t>
      </w:r>
      <w:r w:rsidRPr="00A960BA">
        <w:t>(</w:t>
      </w:r>
      <w:r w:rsidRPr="00A960BA">
        <w:rPr>
          <w:iCs/>
        </w:rPr>
        <w:t>15+</w:t>
      </w:r>
      <w:r w:rsidRPr="00A960BA">
        <w:t>).</w:t>
      </w:r>
      <w:proofErr w:type="gramEnd"/>
      <w:r w:rsidRPr="00A960BA">
        <w:t xml:space="preserve"> </w:t>
      </w:r>
      <w:hyperlink r:id="rId1" w:history="1">
        <w:r w:rsidRPr="00A960BA">
          <w:rPr>
            <w:rStyle w:val="Hyperlink"/>
          </w:rPr>
          <w:t>OECD Health Data</w:t>
        </w:r>
      </w:hyperlink>
      <w:r w:rsidRPr="00A960BA">
        <w:t>: Non-medical determinants of health: OECD Health Statistics.</w:t>
      </w:r>
    </w:p>
  </w:footnote>
  <w:footnote w:id="2">
    <w:p w14:paraId="4441106F" w14:textId="77777777" w:rsidR="00A960BA" w:rsidRDefault="00A960BA" w:rsidP="00A960BA">
      <w:pPr>
        <w:pStyle w:val="FootnoteText"/>
      </w:pPr>
      <w:r>
        <w:rPr>
          <w:rStyle w:val="FootnoteReference"/>
        </w:rPr>
        <w:footnoteRef/>
      </w:r>
      <w:r>
        <w:t xml:space="preserve"> Black C (2016)  </w:t>
      </w:r>
      <w:hyperlink r:id="rId2" w:history="1">
        <w:r w:rsidRPr="00A960BA">
          <w:rPr>
            <w:rStyle w:val="Hyperlink"/>
          </w:rPr>
          <w:t>An Independent Review into the impact on employment outcomes of drug or alcohol addiction, and obesity</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39047" w14:textId="77777777" w:rsidR="00EB5104" w:rsidRDefault="00EB5104">
    <w:pPr>
      <w:pStyle w:val="Header"/>
    </w:pPr>
    <w:r>
      <w:rPr>
        <w:noProof/>
        <w:lang w:eastAsia="en-GB"/>
      </w:rPr>
      <w:drawing>
        <wp:anchor distT="0" distB="0" distL="114300" distR="114300" simplePos="0" relativeHeight="251657216" behindDoc="0" locked="0" layoutInCell="1" allowOverlap="1" wp14:anchorId="4A3941FD" wp14:editId="11A55D75">
          <wp:simplePos x="0" y="0"/>
          <wp:positionH relativeFrom="column">
            <wp:posOffset>-650240</wp:posOffset>
          </wp:positionH>
          <wp:positionV relativeFrom="paragraph">
            <wp:posOffset>-429260</wp:posOffset>
          </wp:positionV>
          <wp:extent cx="4065270" cy="2007870"/>
          <wp:effectExtent l="0" t="0" r="0" b="0"/>
          <wp:wrapTopAndBottom/>
          <wp:docPr id="2" name="Picture 2"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774"/>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0B1AAA"/>
    <w:multiLevelType w:val="hybridMultilevel"/>
    <w:tmpl w:val="2D08E6A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nsid w:val="0D691C0C"/>
    <w:multiLevelType w:val="hybridMultilevel"/>
    <w:tmpl w:val="37E84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CF7795"/>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F321ED"/>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343032"/>
    <w:multiLevelType w:val="hybridMultilevel"/>
    <w:tmpl w:val="A850758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117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B7668D"/>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2125B3"/>
    <w:multiLevelType w:val="hybridMultilevel"/>
    <w:tmpl w:val="F20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27701B"/>
    <w:multiLevelType w:val="hybridMultilevel"/>
    <w:tmpl w:val="2E165FE4"/>
    <w:lvl w:ilvl="0" w:tplc="08090017">
      <w:start w:val="1"/>
      <w:numFmt w:val="lowerLetter"/>
      <w:lvlText w:val="%1)"/>
      <w:lvlJc w:val="left"/>
      <w:pPr>
        <w:ind w:left="1211" w:hanging="360"/>
      </w:pPr>
    </w:lvl>
    <w:lvl w:ilvl="1" w:tplc="08090017">
      <w:start w:val="1"/>
      <w:numFmt w:val="lowerLetter"/>
      <w:lvlText w:val="%2)"/>
      <w:lvlJc w:val="left"/>
      <w:pPr>
        <w:ind w:left="1931" w:hanging="360"/>
      </w:pPr>
    </w:lvl>
    <w:lvl w:ilvl="2" w:tplc="08090017">
      <w:start w:val="1"/>
      <w:numFmt w:val="lowerLetter"/>
      <w:lvlText w:val="%3)"/>
      <w:lvlJc w:val="left"/>
      <w:pPr>
        <w:ind w:left="1664"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nsid w:val="3F142923"/>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2E02D2"/>
    <w:multiLevelType w:val="hybridMultilevel"/>
    <w:tmpl w:val="E5800F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0A598C"/>
    <w:multiLevelType w:val="hybridMultilevel"/>
    <w:tmpl w:val="5EF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BE6B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284288"/>
    <w:multiLevelType w:val="hybridMultilevel"/>
    <w:tmpl w:val="43523378"/>
    <w:lvl w:ilvl="0" w:tplc="83C23A74">
      <w:numFmt w:val="bullet"/>
      <w:lvlText w:val="•"/>
      <w:lvlJc w:val="left"/>
      <w:pPr>
        <w:ind w:left="852" w:hanging="852"/>
      </w:pPr>
      <w:rPr>
        <w:rFonts w:ascii="Arial" w:eastAsiaTheme="maj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E8956F3"/>
    <w:multiLevelType w:val="hybridMultilevel"/>
    <w:tmpl w:val="F0603E4E"/>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7">
      <w:start w:val="1"/>
      <w:numFmt w:val="lowerLetter"/>
      <w:lvlText w:val="%3)"/>
      <w:lvlJc w:val="left"/>
      <w:pPr>
        <w:ind w:left="1533"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1BD2032"/>
    <w:multiLevelType w:val="hybridMultilevel"/>
    <w:tmpl w:val="99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48B5ADB"/>
    <w:multiLevelType w:val="hybridMultilevel"/>
    <w:tmpl w:val="A44694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6962339"/>
    <w:multiLevelType w:val="hybridMultilevel"/>
    <w:tmpl w:val="AB5C5896"/>
    <w:lvl w:ilvl="0" w:tplc="FC2270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8EC3BE6"/>
    <w:multiLevelType w:val="hybridMultilevel"/>
    <w:tmpl w:val="59B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2C6E61"/>
    <w:multiLevelType w:val="multilevel"/>
    <w:tmpl w:val="638C837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99A516A"/>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2"/>
  </w:num>
  <w:num w:numId="4">
    <w:abstractNumId w:val="18"/>
  </w:num>
  <w:num w:numId="5">
    <w:abstractNumId w:val="9"/>
  </w:num>
  <w:num w:numId="6">
    <w:abstractNumId w:val="17"/>
  </w:num>
  <w:num w:numId="7">
    <w:abstractNumId w:val="0"/>
  </w:num>
  <w:num w:numId="8">
    <w:abstractNumId w:val="4"/>
  </w:num>
  <w:num w:numId="9">
    <w:abstractNumId w:val="5"/>
  </w:num>
  <w:num w:numId="10">
    <w:abstractNumId w:val="8"/>
  </w:num>
  <w:num w:numId="11">
    <w:abstractNumId w:val="1"/>
  </w:num>
  <w:num w:numId="12">
    <w:abstractNumId w:val="21"/>
  </w:num>
  <w:num w:numId="13">
    <w:abstractNumId w:val="19"/>
  </w:num>
  <w:num w:numId="14">
    <w:abstractNumId w:val="15"/>
  </w:num>
  <w:num w:numId="15">
    <w:abstractNumId w:val="6"/>
  </w:num>
  <w:num w:numId="16">
    <w:abstractNumId w:val="3"/>
  </w:num>
  <w:num w:numId="17">
    <w:abstractNumId w:val="11"/>
  </w:num>
  <w:num w:numId="18">
    <w:abstractNumId w:val="7"/>
  </w:num>
  <w:num w:numId="19">
    <w:abstractNumId w:val="20"/>
  </w:num>
  <w:num w:numId="20">
    <w:abstractNumId w:val="22"/>
  </w:num>
  <w:num w:numId="21">
    <w:abstractNumId w:val="14"/>
  </w:num>
  <w:num w:numId="22">
    <w:abstractNumId w:val="10"/>
  </w:num>
  <w:num w:numId="23">
    <w:abstractNumId w:val="1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ie Blackshaw">
    <w15:presenceInfo w15:providerId="Windows Live" w15:userId="bbce94542f182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D8"/>
    <w:rsid w:val="00001642"/>
    <w:rsid w:val="0000262A"/>
    <w:rsid w:val="00006702"/>
    <w:rsid w:val="00044057"/>
    <w:rsid w:val="000512CF"/>
    <w:rsid w:val="00067E8C"/>
    <w:rsid w:val="00071649"/>
    <w:rsid w:val="0008318C"/>
    <w:rsid w:val="00084547"/>
    <w:rsid w:val="0008516D"/>
    <w:rsid w:val="0008763D"/>
    <w:rsid w:val="00090464"/>
    <w:rsid w:val="000A61BA"/>
    <w:rsid w:val="000B33B2"/>
    <w:rsid w:val="000B4476"/>
    <w:rsid w:val="000C0D06"/>
    <w:rsid w:val="000C1183"/>
    <w:rsid w:val="000C35B2"/>
    <w:rsid w:val="000C757F"/>
    <w:rsid w:val="000D4791"/>
    <w:rsid w:val="000D6E1B"/>
    <w:rsid w:val="000E0421"/>
    <w:rsid w:val="000E1C2C"/>
    <w:rsid w:val="000E266F"/>
    <w:rsid w:val="000E3728"/>
    <w:rsid w:val="000F0925"/>
    <w:rsid w:val="000F4C0E"/>
    <w:rsid w:val="0010303A"/>
    <w:rsid w:val="00106080"/>
    <w:rsid w:val="00107571"/>
    <w:rsid w:val="001238F3"/>
    <w:rsid w:val="001241C9"/>
    <w:rsid w:val="00124C56"/>
    <w:rsid w:val="00132554"/>
    <w:rsid w:val="0013549B"/>
    <w:rsid w:val="00135739"/>
    <w:rsid w:val="00153245"/>
    <w:rsid w:val="00156FBF"/>
    <w:rsid w:val="00180679"/>
    <w:rsid w:val="00184528"/>
    <w:rsid w:val="00185445"/>
    <w:rsid w:val="00190C77"/>
    <w:rsid w:val="001929FE"/>
    <w:rsid w:val="00193EFC"/>
    <w:rsid w:val="001A6908"/>
    <w:rsid w:val="001B0C33"/>
    <w:rsid w:val="001C6391"/>
    <w:rsid w:val="001C72EB"/>
    <w:rsid w:val="001C7752"/>
    <w:rsid w:val="001E0A4E"/>
    <w:rsid w:val="001E1728"/>
    <w:rsid w:val="001E17F0"/>
    <w:rsid w:val="001E1A35"/>
    <w:rsid w:val="001E3F42"/>
    <w:rsid w:val="001E63EB"/>
    <w:rsid w:val="001E7413"/>
    <w:rsid w:val="001F54CA"/>
    <w:rsid w:val="00207660"/>
    <w:rsid w:val="00212267"/>
    <w:rsid w:val="002226AF"/>
    <w:rsid w:val="00222AFC"/>
    <w:rsid w:val="002230A3"/>
    <w:rsid w:val="00232D48"/>
    <w:rsid w:val="0023359B"/>
    <w:rsid w:val="002662B4"/>
    <w:rsid w:val="00270CD7"/>
    <w:rsid w:val="00273F87"/>
    <w:rsid w:val="00275CAC"/>
    <w:rsid w:val="00276410"/>
    <w:rsid w:val="00277A5A"/>
    <w:rsid w:val="0028237B"/>
    <w:rsid w:val="002A0B58"/>
    <w:rsid w:val="002A643E"/>
    <w:rsid w:val="002B1392"/>
    <w:rsid w:val="002B7431"/>
    <w:rsid w:val="002B7906"/>
    <w:rsid w:val="002C561D"/>
    <w:rsid w:val="002D247D"/>
    <w:rsid w:val="002D70E8"/>
    <w:rsid w:val="002D726B"/>
    <w:rsid w:val="002D7898"/>
    <w:rsid w:val="002E3156"/>
    <w:rsid w:val="002E4E05"/>
    <w:rsid w:val="002E601A"/>
    <w:rsid w:val="002F4EEB"/>
    <w:rsid w:val="00315071"/>
    <w:rsid w:val="00316C8D"/>
    <w:rsid w:val="00320158"/>
    <w:rsid w:val="003212F2"/>
    <w:rsid w:val="003326DA"/>
    <w:rsid w:val="00332B1C"/>
    <w:rsid w:val="00342B7E"/>
    <w:rsid w:val="0034339C"/>
    <w:rsid w:val="00345DEA"/>
    <w:rsid w:val="00346C05"/>
    <w:rsid w:val="00347249"/>
    <w:rsid w:val="00357695"/>
    <w:rsid w:val="00361DE1"/>
    <w:rsid w:val="00363324"/>
    <w:rsid w:val="00365DBD"/>
    <w:rsid w:val="00376B8B"/>
    <w:rsid w:val="00383E92"/>
    <w:rsid w:val="00390D60"/>
    <w:rsid w:val="003A3FB1"/>
    <w:rsid w:val="003B0E2E"/>
    <w:rsid w:val="003B67F5"/>
    <w:rsid w:val="003D2BB2"/>
    <w:rsid w:val="003E77A6"/>
    <w:rsid w:val="003F29AC"/>
    <w:rsid w:val="003F5065"/>
    <w:rsid w:val="00400C6E"/>
    <w:rsid w:val="00402856"/>
    <w:rsid w:val="004125A9"/>
    <w:rsid w:val="00417F74"/>
    <w:rsid w:val="00417FC3"/>
    <w:rsid w:val="0042716F"/>
    <w:rsid w:val="00433A29"/>
    <w:rsid w:val="004349D1"/>
    <w:rsid w:val="004461A9"/>
    <w:rsid w:val="004515CA"/>
    <w:rsid w:val="00454A8C"/>
    <w:rsid w:val="00457805"/>
    <w:rsid w:val="00460EF3"/>
    <w:rsid w:val="0046126C"/>
    <w:rsid w:val="004626F9"/>
    <w:rsid w:val="004764DA"/>
    <w:rsid w:val="00481DBE"/>
    <w:rsid w:val="0048274B"/>
    <w:rsid w:val="00484543"/>
    <w:rsid w:val="00484803"/>
    <w:rsid w:val="00490FA2"/>
    <w:rsid w:val="00491D86"/>
    <w:rsid w:val="00494961"/>
    <w:rsid w:val="004964F2"/>
    <w:rsid w:val="004B32EA"/>
    <w:rsid w:val="004B7ABA"/>
    <w:rsid w:val="004D1CD7"/>
    <w:rsid w:val="004D6666"/>
    <w:rsid w:val="004D6A37"/>
    <w:rsid w:val="004D6A70"/>
    <w:rsid w:val="004E7C9A"/>
    <w:rsid w:val="004F3A7D"/>
    <w:rsid w:val="0050131F"/>
    <w:rsid w:val="00502AB1"/>
    <w:rsid w:val="005116B3"/>
    <w:rsid w:val="00512193"/>
    <w:rsid w:val="0051459F"/>
    <w:rsid w:val="005241E7"/>
    <w:rsid w:val="00534DC9"/>
    <w:rsid w:val="00545B9D"/>
    <w:rsid w:val="0054612C"/>
    <w:rsid w:val="00546628"/>
    <w:rsid w:val="00553CE7"/>
    <w:rsid w:val="00557A6B"/>
    <w:rsid w:val="00560575"/>
    <w:rsid w:val="005649DF"/>
    <w:rsid w:val="00565A5A"/>
    <w:rsid w:val="00570EB7"/>
    <w:rsid w:val="00572ECC"/>
    <w:rsid w:val="00574AA3"/>
    <w:rsid w:val="00591E08"/>
    <w:rsid w:val="00591F4A"/>
    <w:rsid w:val="00593BC5"/>
    <w:rsid w:val="00593E3A"/>
    <w:rsid w:val="00594AF7"/>
    <w:rsid w:val="005A2E81"/>
    <w:rsid w:val="005A5F23"/>
    <w:rsid w:val="005B178A"/>
    <w:rsid w:val="005B1A3A"/>
    <w:rsid w:val="005B6148"/>
    <w:rsid w:val="005C638B"/>
    <w:rsid w:val="005E15B9"/>
    <w:rsid w:val="005E30D6"/>
    <w:rsid w:val="005E3FCF"/>
    <w:rsid w:val="00612D60"/>
    <w:rsid w:val="00626EFB"/>
    <w:rsid w:val="00633D5D"/>
    <w:rsid w:val="00653A4D"/>
    <w:rsid w:val="00653D8D"/>
    <w:rsid w:val="00654D38"/>
    <w:rsid w:val="00667AE3"/>
    <w:rsid w:val="0067239D"/>
    <w:rsid w:val="00694AA8"/>
    <w:rsid w:val="006B6556"/>
    <w:rsid w:val="006C2058"/>
    <w:rsid w:val="006C6351"/>
    <w:rsid w:val="006D2804"/>
    <w:rsid w:val="006E44E9"/>
    <w:rsid w:val="006E4E94"/>
    <w:rsid w:val="006E52EA"/>
    <w:rsid w:val="006F056E"/>
    <w:rsid w:val="006F2D00"/>
    <w:rsid w:val="006F7214"/>
    <w:rsid w:val="00701617"/>
    <w:rsid w:val="00701B57"/>
    <w:rsid w:val="007327F4"/>
    <w:rsid w:val="007424CD"/>
    <w:rsid w:val="00743D68"/>
    <w:rsid w:val="007475FD"/>
    <w:rsid w:val="0075158B"/>
    <w:rsid w:val="00753DFE"/>
    <w:rsid w:val="007570EF"/>
    <w:rsid w:val="007645BD"/>
    <w:rsid w:val="007748D8"/>
    <w:rsid w:val="0078798E"/>
    <w:rsid w:val="007A3021"/>
    <w:rsid w:val="007B7E55"/>
    <w:rsid w:val="007C1243"/>
    <w:rsid w:val="007C1576"/>
    <w:rsid w:val="007C1E16"/>
    <w:rsid w:val="007C3763"/>
    <w:rsid w:val="007C3F93"/>
    <w:rsid w:val="007D32BC"/>
    <w:rsid w:val="007D3748"/>
    <w:rsid w:val="007F5390"/>
    <w:rsid w:val="00801C5D"/>
    <w:rsid w:val="0080432B"/>
    <w:rsid w:val="008162F4"/>
    <w:rsid w:val="008204D6"/>
    <w:rsid w:val="00820D56"/>
    <w:rsid w:val="008214BA"/>
    <w:rsid w:val="00827D6F"/>
    <w:rsid w:val="00834BD9"/>
    <w:rsid w:val="00837B7C"/>
    <w:rsid w:val="008502B9"/>
    <w:rsid w:val="008528ED"/>
    <w:rsid w:val="00852B04"/>
    <w:rsid w:val="00854E68"/>
    <w:rsid w:val="00867AAE"/>
    <w:rsid w:val="008705A5"/>
    <w:rsid w:val="00874247"/>
    <w:rsid w:val="00890E26"/>
    <w:rsid w:val="008A5BB9"/>
    <w:rsid w:val="008C27D3"/>
    <w:rsid w:val="008C3553"/>
    <w:rsid w:val="008C3F93"/>
    <w:rsid w:val="008D2688"/>
    <w:rsid w:val="008D3AA8"/>
    <w:rsid w:val="008E339C"/>
    <w:rsid w:val="008F12DC"/>
    <w:rsid w:val="009004E1"/>
    <w:rsid w:val="00905667"/>
    <w:rsid w:val="00907343"/>
    <w:rsid w:val="0090767C"/>
    <w:rsid w:val="00913484"/>
    <w:rsid w:val="0091477F"/>
    <w:rsid w:val="00916408"/>
    <w:rsid w:val="00931DB4"/>
    <w:rsid w:val="0093358C"/>
    <w:rsid w:val="00935069"/>
    <w:rsid w:val="009409F5"/>
    <w:rsid w:val="00955A3A"/>
    <w:rsid w:val="00962E25"/>
    <w:rsid w:val="0097305F"/>
    <w:rsid w:val="0098201E"/>
    <w:rsid w:val="0099072C"/>
    <w:rsid w:val="009924D2"/>
    <w:rsid w:val="00993FF1"/>
    <w:rsid w:val="009956FA"/>
    <w:rsid w:val="009A7965"/>
    <w:rsid w:val="009B0341"/>
    <w:rsid w:val="009B0BF1"/>
    <w:rsid w:val="009B10E1"/>
    <w:rsid w:val="009B6EAA"/>
    <w:rsid w:val="009E44F6"/>
    <w:rsid w:val="009E5FD6"/>
    <w:rsid w:val="00A025AB"/>
    <w:rsid w:val="00A17585"/>
    <w:rsid w:val="00A206BD"/>
    <w:rsid w:val="00A21F7A"/>
    <w:rsid w:val="00A24118"/>
    <w:rsid w:val="00A377E5"/>
    <w:rsid w:val="00A42F01"/>
    <w:rsid w:val="00A44545"/>
    <w:rsid w:val="00A458F2"/>
    <w:rsid w:val="00A46F17"/>
    <w:rsid w:val="00A55215"/>
    <w:rsid w:val="00A557A9"/>
    <w:rsid w:val="00A566E2"/>
    <w:rsid w:val="00A56E29"/>
    <w:rsid w:val="00A57E00"/>
    <w:rsid w:val="00A6555B"/>
    <w:rsid w:val="00A6593D"/>
    <w:rsid w:val="00A704CF"/>
    <w:rsid w:val="00A80A07"/>
    <w:rsid w:val="00A90D8E"/>
    <w:rsid w:val="00A960BA"/>
    <w:rsid w:val="00A966C7"/>
    <w:rsid w:val="00AA2E61"/>
    <w:rsid w:val="00AA6F1B"/>
    <w:rsid w:val="00AB43B1"/>
    <w:rsid w:val="00AB79D8"/>
    <w:rsid w:val="00AC07B1"/>
    <w:rsid w:val="00AC3F65"/>
    <w:rsid w:val="00AC4AE4"/>
    <w:rsid w:val="00AD48E3"/>
    <w:rsid w:val="00AD704C"/>
    <w:rsid w:val="00AE2AEF"/>
    <w:rsid w:val="00AF3CAB"/>
    <w:rsid w:val="00AF4A8D"/>
    <w:rsid w:val="00B01457"/>
    <w:rsid w:val="00B0650C"/>
    <w:rsid w:val="00B1110E"/>
    <w:rsid w:val="00B11C85"/>
    <w:rsid w:val="00B2042A"/>
    <w:rsid w:val="00B2480C"/>
    <w:rsid w:val="00B3013D"/>
    <w:rsid w:val="00B43B8A"/>
    <w:rsid w:val="00B46675"/>
    <w:rsid w:val="00B620A4"/>
    <w:rsid w:val="00B74B40"/>
    <w:rsid w:val="00B76423"/>
    <w:rsid w:val="00B7675E"/>
    <w:rsid w:val="00B82F78"/>
    <w:rsid w:val="00B8394B"/>
    <w:rsid w:val="00B85F13"/>
    <w:rsid w:val="00B9417D"/>
    <w:rsid w:val="00B97B53"/>
    <w:rsid w:val="00BB36F2"/>
    <w:rsid w:val="00BC10FA"/>
    <w:rsid w:val="00BC121F"/>
    <w:rsid w:val="00BD32B8"/>
    <w:rsid w:val="00BE4D3A"/>
    <w:rsid w:val="00BE61C5"/>
    <w:rsid w:val="00BF0A72"/>
    <w:rsid w:val="00BF3F8D"/>
    <w:rsid w:val="00C125DC"/>
    <w:rsid w:val="00C261DD"/>
    <w:rsid w:val="00C26FEC"/>
    <w:rsid w:val="00C2721F"/>
    <w:rsid w:val="00C35BC8"/>
    <w:rsid w:val="00C503C9"/>
    <w:rsid w:val="00C56888"/>
    <w:rsid w:val="00C67DF2"/>
    <w:rsid w:val="00C73AF8"/>
    <w:rsid w:val="00C8058C"/>
    <w:rsid w:val="00C872DC"/>
    <w:rsid w:val="00C912F7"/>
    <w:rsid w:val="00C915C3"/>
    <w:rsid w:val="00C939AD"/>
    <w:rsid w:val="00CB378B"/>
    <w:rsid w:val="00CC36DF"/>
    <w:rsid w:val="00CC3D5A"/>
    <w:rsid w:val="00CC41AD"/>
    <w:rsid w:val="00CC77A8"/>
    <w:rsid w:val="00CC78E8"/>
    <w:rsid w:val="00CC7EF7"/>
    <w:rsid w:val="00CE0652"/>
    <w:rsid w:val="00CE3B32"/>
    <w:rsid w:val="00CE531E"/>
    <w:rsid w:val="00CF080C"/>
    <w:rsid w:val="00D04086"/>
    <w:rsid w:val="00D10F2B"/>
    <w:rsid w:val="00D16D7B"/>
    <w:rsid w:val="00D2456C"/>
    <w:rsid w:val="00D345AD"/>
    <w:rsid w:val="00D41F46"/>
    <w:rsid w:val="00D50CFA"/>
    <w:rsid w:val="00D5442F"/>
    <w:rsid w:val="00D611FF"/>
    <w:rsid w:val="00D61A68"/>
    <w:rsid w:val="00D631E1"/>
    <w:rsid w:val="00D700A8"/>
    <w:rsid w:val="00D72CEB"/>
    <w:rsid w:val="00D73C7A"/>
    <w:rsid w:val="00D73D6F"/>
    <w:rsid w:val="00D742F0"/>
    <w:rsid w:val="00D847C9"/>
    <w:rsid w:val="00D92855"/>
    <w:rsid w:val="00D95245"/>
    <w:rsid w:val="00DC0AD1"/>
    <w:rsid w:val="00DC67D7"/>
    <w:rsid w:val="00DD022B"/>
    <w:rsid w:val="00DE4E4B"/>
    <w:rsid w:val="00DE648D"/>
    <w:rsid w:val="00DF2D0C"/>
    <w:rsid w:val="00E02FB3"/>
    <w:rsid w:val="00E04EC9"/>
    <w:rsid w:val="00E35663"/>
    <w:rsid w:val="00E44D32"/>
    <w:rsid w:val="00E47130"/>
    <w:rsid w:val="00E47E0F"/>
    <w:rsid w:val="00E6058C"/>
    <w:rsid w:val="00E705DE"/>
    <w:rsid w:val="00E72583"/>
    <w:rsid w:val="00E7296B"/>
    <w:rsid w:val="00E821B1"/>
    <w:rsid w:val="00E916B6"/>
    <w:rsid w:val="00EB0E85"/>
    <w:rsid w:val="00EB49D3"/>
    <w:rsid w:val="00EB5104"/>
    <w:rsid w:val="00EC0351"/>
    <w:rsid w:val="00EC31C2"/>
    <w:rsid w:val="00EC43BC"/>
    <w:rsid w:val="00EC618E"/>
    <w:rsid w:val="00ED4F61"/>
    <w:rsid w:val="00EE2E0A"/>
    <w:rsid w:val="00EF360F"/>
    <w:rsid w:val="00F06BE3"/>
    <w:rsid w:val="00F1535D"/>
    <w:rsid w:val="00F179B6"/>
    <w:rsid w:val="00F230E9"/>
    <w:rsid w:val="00F434C7"/>
    <w:rsid w:val="00F62CC4"/>
    <w:rsid w:val="00F6783F"/>
    <w:rsid w:val="00F73C4B"/>
    <w:rsid w:val="00F7758D"/>
    <w:rsid w:val="00F80A07"/>
    <w:rsid w:val="00F82551"/>
    <w:rsid w:val="00F82713"/>
    <w:rsid w:val="00F8435A"/>
    <w:rsid w:val="00F85354"/>
    <w:rsid w:val="00F86924"/>
    <w:rsid w:val="00FA1388"/>
    <w:rsid w:val="00FA229D"/>
    <w:rsid w:val="00FB36BA"/>
    <w:rsid w:val="00FB5352"/>
    <w:rsid w:val="00FB7B30"/>
    <w:rsid w:val="00FC336E"/>
    <w:rsid w:val="00FC74B7"/>
    <w:rsid w:val="00FD7340"/>
    <w:rsid w:val="00FD7500"/>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70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outcomes.info/public-health-outcomes-framework" TargetMode="External"/><Relationship Id="rId18" Type="http://schemas.openxmlformats.org/officeDocument/2006/relationships/hyperlink" Target="http://www.phoutcomes.info/public-health-outcomes-framework"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nta.nhs.uk/uploads/adult-statistics-from-the-national-drug-treatment-monitoring-system-2015-2016%5b0%5d.pdf" TargetMode="External"/><Relationship Id="rId7" Type="http://schemas.openxmlformats.org/officeDocument/2006/relationships/footnotes" Target="footnotes.xml"/><Relationship Id="rId12" Type="http://schemas.openxmlformats.org/officeDocument/2006/relationships/hyperlink" Target="http://wellbeing.bitc.org.uk/all-resources/toolkits/suicide-postvention-toolkit" TargetMode="External"/><Relationship Id="rId17" Type="http://schemas.openxmlformats.org/officeDocument/2006/relationships/hyperlink" Target="http://www.tobaccoprofiles.info/profile/tobacco-control/dat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baccoprofiles.info/profile/tobacco-control/data" TargetMode="External"/><Relationship Id="rId20" Type="http://schemas.openxmlformats.org/officeDocument/2006/relationships/hyperlink" Target="https://fingertips.phe.org.uk/profile/local-alcohol-profiles/da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llbeing.bitc.org.uk/all-resources/toolkits/suicide-prevention-toolki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houtcomes.info/public-health-outcomes-framework" TargetMode="External"/><Relationship Id="rId23" Type="http://schemas.openxmlformats.org/officeDocument/2006/relationships/footer" Target="footer1.xml"/><Relationship Id="rId10" Type="http://schemas.openxmlformats.org/officeDocument/2006/relationships/hyperlink" Target="http://wellbeing.bitc.org.uk/all-resources/toolkits/musculoskeletal-health-toolkit-employers" TargetMode="External"/><Relationship Id="rId19" Type="http://schemas.openxmlformats.org/officeDocument/2006/relationships/hyperlink" Target="https://fingertips.phe.org.uk/profile/local-alcohol-profiles/data" TargetMode="External"/><Relationship Id="rId4" Type="http://schemas.microsoft.com/office/2007/relationships/stylesWithEffects" Target="stylesWithEffects.xml"/><Relationship Id="rId9" Type="http://schemas.openxmlformats.org/officeDocument/2006/relationships/hyperlink" Target="http://wellbeing.bitc.org.uk/all-resources/toolkits/mental-health-employers" TargetMode="External"/><Relationship Id="rId14" Type="http://schemas.openxmlformats.org/officeDocument/2006/relationships/hyperlink" Target="http://www.phoutcomes.info/public-health-outcomes-framework" TargetMode="External"/><Relationship Id="rId22" Type="http://schemas.openxmlformats.org/officeDocument/2006/relationships/header" Target="header1.xm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573891/employment-outcomes-of-drug-or-alcohol-addiction-and-obesity.pdf" TargetMode="External"/><Relationship Id="rId1" Type="http://schemas.openxmlformats.org/officeDocument/2006/relationships/hyperlink" Target="http://www.oecd-ilibrary.org/social-issues-migration-health/alcohol-consumption-2013-2_alcoholcons-table-2013-2-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3561A-E590-45F2-80AF-6D95642B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Timothy Purchase</cp:lastModifiedBy>
  <cp:revision>5</cp:revision>
  <cp:lastPrinted>2017-05-25T07:40:00Z</cp:lastPrinted>
  <dcterms:created xsi:type="dcterms:W3CDTF">2017-05-25T07:46:00Z</dcterms:created>
  <dcterms:modified xsi:type="dcterms:W3CDTF">2017-05-25T08:03:00Z</dcterms:modified>
</cp:coreProperties>
</file>