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17B53CC9"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D63D72" w:rsidRPr="00D63D72">
        <w:rPr>
          <w:rFonts w:ascii="Century Gothic" w:hAnsi="Century Gothic" w:cs="Arial"/>
          <w:b/>
          <w:sz w:val="20"/>
          <w:szCs w:val="20"/>
        </w:rPr>
        <w:t>Distribution of climate action co-benefits</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22A19E44"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DE6B6C">
        <w:rPr>
          <w:rFonts w:ascii="Century Gothic" w:hAnsi="Century Gothic" w:cs="Arial"/>
          <w:sz w:val="20"/>
          <w:szCs w:val="20"/>
        </w:rPr>
        <w:t xml:space="preserve"> CN-1222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lastRenderedPageBreak/>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2D526A9E" w:rsidR="003A05B7" w:rsidRPr="003A05B7" w:rsidRDefault="003A05B7" w:rsidP="003A05B7">
      <w:pPr>
        <w:pStyle w:val="Norma"/>
        <w:ind w:left="720" w:firstLine="72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D63D72" w:rsidRPr="00D63D72">
        <w:rPr>
          <w:rFonts w:ascii="Century Gothic" w:hAnsi="Century Gothic" w:cs="Arial"/>
          <w:sz w:val="20"/>
          <w:szCs w:val="20"/>
        </w:rPr>
        <w:t>Distribution of climate action co-benefits</w:t>
      </w:r>
    </w:p>
    <w:p w14:paraId="2BF4D589" w14:textId="4A88118C"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DE6B6C">
        <w:rPr>
          <w:rFonts w:ascii="Century Gothic" w:hAnsi="Century Gothic" w:cs="Arial"/>
          <w:sz w:val="20"/>
          <w:szCs w:val="20"/>
        </w:rPr>
        <w:t>CN-1222</w:t>
      </w:r>
    </w:p>
    <w:p w14:paraId="6AB0AC47" w14:textId="1EE99714"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4F16E4">
        <w:rPr>
          <w:rFonts w:ascii="Century Gothic" w:hAnsi="Century Gothic" w:cs="Arial"/>
          <w:sz w:val="20"/>
          <w:szCs w:val="20"/>
        </w:rPr>
        <w:t>8</w:t>
      </w:r>
      <w:r w:rsidR="00410B5B" w:rsidRPr="00DE6B6C">
        <w:rPr>
          <w:rFonts w:ascii="Century Gothic" w:hAnsi="Century Gothic" w:cs="Arial"/>
          <w:sz w:val="20"/>
          <w:szCs w:val="20"/>
          <w:vertAlign w:val="superscript"/>
        </w:rPr>
        <w:t>th</w:t>
      </w:r>
      <w:r w:rsidR="00410B5B">
        <w:rPr>
          <w:rFonts w:ascii="Century Gothic" w:hAnsi="Century Gothic" w:cs="Arial"/>
          <w:sz w:val="20"/>
          <w:szCs w:val="20"/>
        </w:rPr>
        <w:t xml:space="preserve"> January 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5C2E1910" w14:textId="60CFF5A5" w:rsidR="00D15F3A" w:rsidRDefault="003A05B7" w:rsidP="001B1D10">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sdt>
      <w:sdtPr>
        <w:rPr>
          <w:rFonts w:asciiTheme="minorHAnsi" w:eastAsiaTheme="minorHAnsi" w:hAnsiTheme="minorHAnsi" w:cstheme="minorBidi"/>
          <w:color w:val="auto"/>
          <w:sz w:val="22"/>
          <w:szCs w:val="22"/>
          <w:lang w:val="en-GB"/>
        </w:rPr>
        <w:id w:val="1627423997"/>
        <w:docPartObj>
          <w:docPartGallery w:val="Table of Contents"/>
          <w:docPartUnique/>
        </w:docPartObj>
      </w:sdtPr>
      <w:sdtEndPr>
        <w:rPr>
          <w:b/>
          <w:bCs/>
          <w:noProof/>
        </w:rPr>
      </w:sdtEndPr>
      <w:sdtContent>
        <w:p w14:paraId="5B5659C9" w14:textId="7FD80257" w:rsidR="00D15F3A" w:rsidRPr="00D15F3A" w:rsidRDefault="00D15F3A">
          <w:pPr>
            <w:pStyle w:val="TOCHeading"/>
          </w:pPr>
        </w:p>
        <w:p w14:paraId="3B3E17AA" w14:textId="46994EAA" w:rsidR="00D15F3A" w:rsidRPr="00347E15" w:rsidRDefault="00D15F3A">
          <w:pPr>
            <w:pStyle w:val="TOC1"/>
            <w:tabs>
              <w:tab w:val="left" w:pos="440"/>
              <w:tab w:val="right" w:leader="dot" w:pos="7854"/>
            </w:tabs>
            <w:rPr>
              <w:rFonts w:asciiTheme="majorHAnsi" w:eastAsiaTheme="minorEastAsia" w:hAnsiTheme="majorHAnsi" w:cstheme="minorBidi"/>
              <w:noProof/>
              <w:sz w:val="20"/>
              <w:szCs w:val="20"/>
              <w:lang w:eastAsia="en-GB"/>
            </w:rPr>
          </w:pPr>
          <w:r w:rsidRPr="00D15F3A">
            <w:rPr>
              <w:rFonts w:asciiTheme="majorHAnsi" w:hAnsiTheme="majorHAnsi"/>
            </w:rPr>
            <w:fldChar w:fldCharType="begin"/>
          </w:r>
          <w:r w:rsidRPr="00D15F3A">
            <w:rPr>
              <w:rFonts w:asciiTheme="majorHAnsi" w:hAnsiTheme="majorHAnsi"/>
            </w:rPr>
            <w:instrText xml:space="preserve"> TOC \o "1-3" \h \z \u </w:instrText>
          </w:r>
          <w:r w:rsidRPr="00D15F3A">
            <w:rPr>
              <w:rFonts w:asciiTheme="majorHAnsi" w:hAnsiTheme="majorHAnsi"/>
            </w:rPr>
            <w:fldChar w:fldCharType="separate"/>
          </w:r>
          <w:hyperlink w:anchor="_Toc120104411" w:history="1">
            <w:r w:rsidRPr="00347E15">
              <w:rPr>
                <w:rStyle w:val="Hyperlink"/>
                <w:rFonts w:asciiTheme="majorHAnsi" w:hAnsiTheme="majorHAnsi" w:cs="Arial"/>
                <w:noProof/>
                <w:sz w:val="20"/>
                <w:szCs w:val="20"/>
              </w:rPr>
              <w:t>1</w:t>
            </w:r>
            <w:r w:rsidRPr="00347E15">
              <w:rPr>
                <w:rFonts w:asciiTheme="majorHAnsi" w:eastAsiaTheme="minorEastAsia" w:hAnsiTheme="majorHAnsi" w:cstheme="minorBidi"/>
                <w:noProof/>
                <w:sz w:val="20"/>
                <w:szCs w:val="20"/>
                <w:lang w:eastAsia="en-GB"/>
              </w:rPr>
              <w:tab/>
            </w:r>
            <w:r w:rsidR="001B1D10">
              <w:rPr>
                <w:rStyle w:val="Hyperlink"/>
                <w:rFonts w:asciiTheme="majorHAnsi" w:hAnsiTheme="majorHAnsi" w:cs="Arial"/>
                <w:noProof/>
                <w:sz w:val="20"/>
                <w:szCs w:val="20"/>
              </w:rPr>
              <w:t>Preamble</w:t>
            </w:r>
            <w:r w:rsidRPr="00347E15">
              <w:rPr>
                <w:rFonts w:asciiTheme="majorHAnsi" w:hAnsiTheme="majorHAnsi"/>
                <w:noProof/>
                <w:webHidden/>
                <w:sz w:val="20"/>
                <w:szCs w:val="20"/>
              </w:rPr>
              <w:tab/>
            </w:r>
            <w:r w:rsidRPr="00347E15">
              <w:rPr>
                <w:rFonts w:asciiTheme="majorHAnsi" w:hAnsiTheme="majorHAnsi"/>
                <w:noProof/>
                <w:webHidden/>
                <w:sz w:val="20"/>
                <w:szCs w:val="20"/>
              </w:rPr>
              <w:fldChar w:fldCharType="begin"/>
            </w:r>
            <w:r w:rsidRPr="00347E15">
              <w:rPr>
                <w:rFonts w:asciiTheme="majorHAnsi" w:hAnsiTheme="majorHAnsi"/>
                <w:noProof/>
                <w:webHidden/>
                <w:sz w:val="20"/>
                <w:szCs w:val="20"/>
              </w:rPr>
              <w:instrText xml:space="preserve"> PAGEREF _Toc120104411 \h </w:instrText>
            </w:r>
            <w:r w:rsidRPr="00347E15">
              <w:rPr>
                <w:rFonts w:asciiTheme="majorHAnsi" w:hAnsiTheme="majorHAnsi"/>
                <w:noProof/>
                <w:webHidden/>
                <w:sz w:val="20"/>
                <w:szCs w:val="20"/>
              </w:rPr>
            </w:r>
            <w:r w:rsidRPr="00347E15">
              <w:rPr>
                <w:rFonts w:asciiTheme="majorHAnsi" w:hAnsiTheme="majorHAnsi"/>
                <w:noProof/>
                <w:webHidden/>
                <w:sz w:val="20"/>
                <w:szCs w:val="20"/>
              </w:rPr>
              <w:fldChar w:fldCharType="separate"/>
            </w:r>
            <w:r w:rsidRPr="00347E15">
              <w:rPr>
                <w:rFonts w:asciiTheme="majorHAnsi" w:hAnsiTheme="majorHAnsi"/>
                <w:noProof/>
                <w:webHidden/>
                <w:sz w:val="20"/>
                <w:szCs w:val="20"/>
              </w:rPr>
              <w:t>3</w:t>
            </w:r>
            <w:r w:rsidRPr="00347E15">
              <w:rPr>
                <w:rFonts w:asciiTheme="majorHAnsi" w:hAnsiTheme="majorHAnsi"/>
                <w:noProof/>
                <w:webHidden/>
                <w:sz w:val="20"/>
                <w:szCs w:val="20"/>
              </w:rPr>
              <w:fldChar w:fldCharType="end"/>
            </w:r>
          </w:hyperlink>
        </w:p>
        <w:p w14:paraId="581EB03E" w14:textId="7C6C5360"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2" w:history="1">
            <w:r w:rsidR="00D15F3A" w:rsidRPr="00347E15">
              <w:rPr>
                <w:rStyle w:val="Hyperlink"/>
                <w:rFonts w:asciiTheme="majorHAnsi" w:hAnsiTheme="majorHAnsi" w:cs="Arial"/>
                <w:noProof/>
                <w:sz w:val="20"/>
                <w:szCs w:val="20"/>
              </w:rPr>
              <w:t>2</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Background</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_Toc120104412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3</w:t>
            </w:r>
            <w:r w:rsidR="00D15F3A" w:rsidRPr="00347E15">
              <w:rPr>
                <w:rFonts w:asciiTheme="majorHAnsi" w:hAnsiTheme="majorHAnsi"/>
                <w:noProof/>
                <w:webHidden/>
                <w:sz w:val="20"/>
                <w:szCs w:val="20"/>
              </w:rPr>
              <w:fldChar w:fldCharType="end"/>
            </w:r>
          </w:hyperlink>
        </w:p>
        <w:p w14:paraId="2C5C3269" w14:textId="182E3363"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3" w:history="1">
            <w:r w:rsidR="00D15F3A" w:rsidRPr="00347E15">
              <w:rPr>
                <w:rStyle w:val="Hyperlink"/>
                <w:rFonts w:asciiTheme="majorHAnsi" w:hAnsiTheme="majorHAnsi" w:cs="Arial"/>
                <w:noProof/>
                <w:sz w:val="20"/>
                <w:szCs w:val="20"/>
              </w:rPr>
              <w:t>3</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Aims and Objectives</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_Toc120104413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4</w:t>
            </w:r>
            <w:r w:rsidR="00D15F3A" w:rsidRPr="00347E15">
              <w:rPr>
                <w:rFonts w:asciiTheme="majorHAnsi" w:hAnsiTheme="majorHAnsi"/>
                <w:noProof/>
                <w:webHidden/>
                <w:sz w:val="20"/>
                <w:szCs w:val="20"/>
              </w:rPr>
              <w:fldChar w:fldCharType="end"/>
            </w:r>
          </w:hyperlink>
        </w:p>
        <w:p w14:paraId="6806B198" w14:textId="44C91307"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4" w:history="1">
            <w:r w:rsidR="00D15F3A" w:rsidRPr="00347E15">
              <w:rPr>
                <w:rStyle w:val="Hyperlink"/>
                <w:rFonts w:asciiTheme="majorHAnsi" w:hAnsiTheme="majorHAnsi" w:cs="Arial"/>
                <w:noProof/>
                <w:sz w:val="20"/>
                <w:szCs w:val="20"/>
              </w:rPr>
              <w:t>4</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Methodology</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_Toc120104414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5</w:t>
            </w:r>
            <w:r w:rsidR="00D15F3A" w:rsidRPr="00347E15">
              <w:rPr>
                <w:rFonts w:asciiTheme="majorHAnsi" w:hAnsiTheme="majorHAnsi"/>
                <w:noProof/>
                <w:webHidden/>
                <w:sz w:val="20"/>
                <w:szCs w:val="20"/>
              </w:rPr>
              <w:fldChar w:fldCharType="end"/>
            </w:r>
          </w:hyperlink>
        </w:p>
        <w:p w14:paraId="63D8110C" w14:textId="7C478DCE"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5" w:history="1">
            <w:r w:rsidR="00D15F3A" w:rsidRPr="00347E15">
              <w:rPr>
                <w:rStyle w:val="Hyperlink"/>
                <w:rFonts w:asciiTheme="majorHAnsi" w:hAnsiTheme="majorHAnsi" w:cs="Arial"/>
                <w:noProof/>
                <w:sz w:val="20"/>
                <w:szCs w:val="20"/>
              </w:rPr>
              <w:t>5</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Outputs Required</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_Toc120104415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6</w:t>
            </w:r>
            <w:r w:rsidR="00D15F3A" w:rsidRPr="00347E15">
              <w:rPr>
                <w:rFonts w:asciiTheme="majorHAnsi" w:hAnsiTheme="majorHAnsi"/>
                <w:noProof/>
                <w:webHidden/>
                <w:sz w:val="20"/>
                <w:szCs w:val="20"/>
              </w:rPr>
              <w:fldChar w:fldCharType="end"/>
            </w:r>
          </w:hyperlink>
        </w:p>
        <w:p w14:paraId="7312EAB9" w14:textId="792A88E1"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6" w:history="1">
            <w:r w:rsidR="00D15F3A" w:rsidRPr="00347E15">
              <w:rPr>
                <w:rStyle w:val="Hyperlink"/>
                <w:rFonts w:asciiTheme="majorHAnsi" w:hAnsiTheme="majorHAnsi" w:cs="Arial"/>
                <w:noProof/>
                <w:sz w:val="20"/>
                <w:szCs w:val="20"/>
              </w:rPr>
              <w:t>6</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Ownership and Publication</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_Toc120104416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6</w:t>
            </w:r>
            <w:r w:rsidR="00D15F3A" w:rsidRPr="00347E15">
              <w:rPr>
                <w:rFonts w:asciiTheme="majorHAnsi" w:hAnsiTheme="majorHAnsi"/>
                <w:noProof/>
                <w:webHidden/>
                <w:sz w:val="20"/>
                <w:szCs w:val="20"/>
              </w:rPr>
              <w:fldChar w:fldCharType="end"/>
            </w:r>
          </w:hyperlink>
        </w:p>
        <w:p w14:paraId="37C3B497" w14:textId="6F3E5D25"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7" w:history="1">
            <w:r w:rsidR="00D15F3A" w:rsidRPr="00347E15">
              <w:rPr>
                <w:rStyle w:val="Hyperlink"/>
                <w:rFonts w:asciiTheme="majorHAnsi" w:hAnsiTheme="majorHAnsi"/>
                <w:noProof/>
                <w:sz w:val="20"/>
                <w:szCs w:val="20"/>
              </w:rPr>
              <w:t>7</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Quality Assurance</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_Toc120104417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6</w:t>
            </w:r>
            <w:r w:rsidR="00D15F3A" w:rsidRPr="00347E15">
              <w:rPr>
                <w:rFonts w:asciiTheme="majorHAnsi" w:hAnsiTheme="majorHAnsi"/>
                <w:noProof/>
                <w:webHidden/>
                <w:sz w:val="20"/>
                <w:szCs w:val="20"/>
              </w:rPr>
              <w:fldChar w:fldCharType="end"/>
            </w:r>
          </w:hyperlink>
        </w:p>
        <w:p w14:paraId="69F3E895" w14:textId="1CCAA454"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8" w:history="1">
            <w:r w:rsidR="00D15F3A" w:rsidRPr="00347E15">
              <w:rPr>
                <w:rStyle w:val="Hyperlink"/>
                <w:rFonts w:asciiTheme="majorHAnsi" w:hAnsiTheme="majorHAnsi"/>
                <w:noProof/>
                <w:sz w:val="20"/>
                <w:szCs w:val="20"/>
              </w:rPr>
              <w:t>8</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Timetable</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_Toc120104418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7</w:t>
            </w:r>
            <w:r w:rsidR="00D15F3A" w:rsidRPr="00347E15">
              <w:rPr>
                <w:rFonts w:asciiTheme="majorHAnsi" w:hAnsiTheme="majorHAnsi"/>
                <w:noProof/>
                <w:webHidden/>
                <w:sz w:val="20"/>
                <w:szCs w:val="20"/>
              </w:rPr>
              <w:fldChar w:fldCharType="end"/>
            </w:r>
          </w:hyperlink>
        </w:p>
        <w:p w14:paraId="4D2E9344" w14:textId="3E28654E" w:rsidR="00D15F3A" w:rsidRPr="00347E15" w:rsidRDefault="00BD505A">
          <w:pPr>
            <w:pStyle w:val="TOC1"/>
            <w:tabs>
              <w:tab w:val="left" w:pos="440"/>
              <w:tab w:val="right" w:leader="dot" w:pos="7854"/>
            </w:tabs>
            <w:rPr>
              <w:rFonts w:asciiTheme="majorHAnsi" w:eastAsiaTheme="minorEastAsia" w:hAnsiTheme="majorHAnsi" w:cstheme="minorBidi"/>
              <w:noProof/>
              <w:sz w:val="20"/>
              <w:szCs w:val="20"/>
              <w:lang w:eastAsia="en-GB"/>
            </w:rPr>
          </w:pPr>
          <w:hyperlink w:anchor="_Toc120104419" w:history="1">
            <w:r w:rsidR="00D15F3A" w:rsidRPr="00347E15">
              <w:rPr>
                <w:rStyle w:val="Hyperlink"/>
                <w:rFonts w:asciiTheme="majorHAnsi" w:hAnsiTheme="majorHAnsi"/>
                <w:noProof/>
                <w:sz w:val="20"/>
                <w:szCs w:val="20"/>
              </w:rPr>
              <w:t>9</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Challenges</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_Toc120104419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7</w:t>
            </w:r>
            <w:r w:rsidR="00D15F3A" w:rsidRPr="00347E15">
              <w:rPr>
                <w:rFonts w:asciiTheme="majorHAnsi" w:hAnsiTheme="majorHAnsi"/>
                <w:noProof/>
                <w:webHidden/>
                <w:sz w:val="20"/>
                <w:szCs w:val="20"/>
              </w:rPr>
              <w:fldChar w:fldCharType="end"/>
            </w:r>
          </w:hyperlink>
        </w:p>
        <w:p w14:paraId="0ED46A34" w14:textId="441E3FCA" w:rsidR="00D15F3A" w:rsidRPr="00347E15" w:rsidRDefault="00BD505A">
          <w:pPr>
            <w:pStyle w:val="TOC1"/>
            <w:tabs>
              <w:tab w:val="left" w:pos="660"/>
              <w:tab w:val="right" w:leader="dot" w:pos="7854"/>
            </w:tabs>
            <w:rPr>
              <w:rFonts w:asciiTheme="majorHAnsi" w:eastAsiaTheme="minorEastAsia" w:hAnsiTheme="majorHAnsi" w:cstheme="minorBidi"/>
              <w:noProof/>
              <w:sz w:val="20"/>
              <w:szCs w:val="20"/>
              <w:lang w:eastAsia="en-GB"/>
            </w:rPr>
          </w:pPr>
          <w:hyperlink w:anchor="_Toc120104420" w:history="1">
            <w:r w:rsidR="00D15F3A" w:rsidRPr="00347E15">
              <w:rPr>
                <w:rStyle w:val="Hyperlink"/>
                <w:rFonts w:asciiTheme="majorHAnsi" w:hAnsiTheme="majorHAnsi" w:cs="Arial"/>
                <w:noProof/>
                <w:sz w:val="20"/>
                <w:szCs w:val="20"/>
              </w:rPr>
              <w:t>10</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Working Arrangements</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_Toc120104420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7</w:t>
            </w:r>
            <w:r w:rsidR="00D15F3A" w:rsidRPr="00347E15">
              <w:rPr>
                <w:rFonts w:asciiTheme="majorHAnsi" w:hAnsiTheme="majorHAnsi"/>
                <w:noProof/>
                <w:webHidden/>
                <w:sz w:val="20"/>
                <w:szCs w:val="20"/>
              </w:rPr>
              <w:fldChar w:fldCharType="end"/>
            </w:r>
          </w:hyperlink>
        </w:p>
        <w:p w14:paraId="05FAFFD9" w14:textId="1372D747" w:rsidR="00D15F3A" w:rsidRPr="00347E15" w:rsidRDefault="00BD505A">
          <w:pPr>
            <w:pStyle w:val="TOC1"/>
            <w:tabs>
              <w:tab w:val="left" w:pos="660"/>
              <w:tab w:val="right" w:leader="dot" w:pos="7854"/>
            </w:tabs>
            <w:rPr>
              <w:rFonts w:asciiTheme="majorHAnsi" w:eastAsiaTheme="minorEastAsia" w:hAnsiTheme="majorHAnsi" w:cstheme="minorBidi"/>
              <w:noProof/>
              <w:sz w:val="20"/>
              <w:szCs w:val="20"/>
              <w:lang w:eastAsia="en-GB"/>
            </w:rPr>
          </w:pPr>
          <w:hyperlink w:anchor="_Toc120104421" w:history="1">
            <w:r w:rsidR="00D15F3A" w:rsidRPr="00347E15">
              <w:rPr>
                <w:rStyle w:val="Hyperlink"/>
                <w:rFonts w:asciiTheme="majorHAnsi" w:hAnsiTheme="majorHAnsi" w:cs="Arial"/>
                <w:noProof/>
                <w:sz w:val="20"/>
                <w:szCs w:val="20"/>
              </w:rPr>
              <w:t>11</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Skills and experience</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_Toc120104421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7</w:t>
            </w:r>
            <w:r w:rsidR="00D15F3A" w:rsidRPr="00347E15">
              <w:rPr>
                <w:rFonts w:asciiTheme="majorHAnsi" w:hAnsiTheme="majorHAnsi"/>
                <w:noProof/>
                <w:webHidden/>
                <w:sz w:val="20"/>
                <w:szCs w:val="20"/>
              </w:rPr>
              <w:fldChar w:fldCharType="end"/>
            </w:r>
          </w:hyperlink>
        </w:p>
        <w:p w14:paraId="0935C8BB" w14:textId="5BCE50A1" w:rsidR="00D15F3A" w:rsidRPr="00347E15" w:rsidRDefault="00BD505A">
          <w:pPr>
            <w:pStyle w:val="TOC1"/>
            <w:tabs>
              <w:tab w:val="left" w:pos="660"/>
              <w:tab w:val="right" w:leader="dot" w:pos="7854"/>
            </w:tabs>
            <w:rPr>
              <w:rFonts w:asciiTheme="majorHAnsi" w:eastAsiaTheme="minorEastAsia" w:hAnsiTheme="majorHAnsi" w:cstheme="minorBidi"/>
              <w:noProof/>
              <w:sz w:val="20"/>
              <w:szCs w:val="20"/>
              <w:lang w:eastAsia="en-GB"/>
            </w:rPr>
          </w:pPr>
          <w:hyperlink w:anchor="_Toc120104422" w:history="1">
            <w:r w:rsidR="00D15F3A" w:rsidRPr="00347E15">
              <w:rPr>
                <w:rStyle w:val="Hyperlink"/>
                <w:rFonts w:asciiTheme="majorHAnsi" w:hAnsiTheme="majorHAnsi" w:cs="Arial"/>
                <w:noProof/>
                <w:sz w:val="20"/>
                <w:szCs w:val="20"/>
              </w:rPr>
              <w:t>12</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Consortium Bids</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_Toc120104422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8</w:t>
            </w:r>
            <w:r w:rsidR="00D15F3A" w:rsidRPr="00347E15">
              <w:rPr>
                <w:rFonts w:asciiTheme="majorHAnsi" w:hAnsiTheme="majorHAnsi"/>
                <w:noProof/>
                <w:webHidden/>
                <w:sz w:val="20"/>
                <w:szCs w:val="20"/>
              </w:rPr>
              <w:fldChar w:fldCharType="end"/>
            </w:r>
          </w:hyperlink>
        </w:p>
        <w:p w14:paraId="6F625771" w14:textId="63C08646" w:rsidR="00D15F3A" w:rsidRPr="00347E15" w:rsidRDefault="00BD505A">
          <w:pPr>
            <w:pStyle w:val="TOC1"/>
            <w:tabs>
              <w:tab w:val="left" w:pos="660"/>
              <w:tab w:val="right" w:leader="dot" w:pos="7854"/>
            </w:tabs>
            <w:rPr>
              <w:rFonts w:asciiTheme="majorHAnsi" w:eastAsiaTheme="minorEastAsia" w:hAnsiTheme="majorHAnsi" w:cstheme="minorBidi"/>
              <w:noProof/>
              <w:sz w:val="20"/>
              <w:szCs w:val="20"/>
              <w:lang w:eastAsia="en-GB"/>
            </w:rPr>
          </w:pPr>
          <w:hyperlink w:anchor="_Toc120104423" w:history="1">
            <w:r w:rsidR="00D15F3A" w:rsidRPr="00347E15">
              <w:rPr>
                <w:rStyle w:val="Hyperlink"/>
                <w:rFonts w:asciiTheme="majorHAnsi" w:hAnsiTheme="majorHAnsi" w:cs="Arial"/>
                <w:noProof/>
                <w:sz w:val="20"/>
                <w:szCs w:val="20"/>
              </w:rPr>
              <w:t>13</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Budget</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_Toc120104423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8</w:t>
            </w:r>
            <w:r w:rsidR="00D15F3A" w:rsidRPr="00347E15">
              <w:rPr>
                <w:rFonts w:asciiTheme="majorHAnsi" w:hAnsiTheme="majorHAnsi"/>
                <w:noProof/>
                <w:webHidden/>
                <w:sz w:val="20"/>
                <w:szCs w:val="20"/>
              </w:rPr>
              <w:fldChar w:fldCharType="end"/>
            </w:r>
          </w:hyperlink>
        </w:p>
        <w:p w14:paraId="2AC17C05" w14:textId="64F51722" w:rsidR="00D15F3A" w:rsidRPr="00347E15" w:rsidRDefault="00BD505A">
          <w:pPr>
            <w:pStyle w:val="TOC1"/>
            <w:tabs>
              <w:tab w:val="left" w:pos="660"/>
              <w:tab w:val="right" w:leader="dot" w:pos="7854"/>
            </w:tabs>
            <w:rPr>
              <w:rFonts w:asciiTheme="majorHAnsi" w:eastAsiaTheme="minorEastAsia" w:hAnsiTheme="majorHAnsi" w:cstheme="minorBidi"/>
              <w:noProof/>
              <w:sz w:val="20"/>
              <w:szCs w:val="20"/>
              <w:lang w:eastAsia="en-GB"/>
            </w:rPr>
          </w:pPr>
          <w:hyperlink w:anchor="_Toc120104424" w:history="1">
            <w:r w:rsidR="00D15F3A" w:rsidRPr="00347E15">
              <w:rPr>
                <w:rStyle w:val="Hyperlink"/>
                <w:rFonts w:asciiTheme="majorHAnsi" w:hAnsiTheme="majorHAnsi" w:cs="Arial"/>
                <w:noProof/>
                <w:sz w:val="20"/>
                <w:szCs w:val="20"/>
              </w:rPr>
              <w:t>14</w:t>
            </w:r>
            <w:r w:rsidR="00D15F3A" w:rsidRPr="00347E15">
              <w:rPr>
                <w:rFonts w:asciiTheme="majorHAnsi" w:eastAsiaTheme="minorEastAsia" w:hAnsiTheme="majorHAnsi" w:cstheme="minorBidi"/>
                <w:noProof/>
                <w:sz w:val="20"/>
                <w:szCs w:val="20"/>
                <w:lang w:eastAsia="en-GB"/>
              </w:rPr>
              <w:tab/>
            </w:r>
            <w:r w:rsidR="00D15F3A" w:rsidRPr="00347E15">
              <w:rPr>
                <w:rStyle w:val="Hyperlink"/>
                <w:rFonts w:asciiTheme="majorHAnsi" w:hAnsiTheme="majorHAnsi" w:cs="Arial"/>
                <w:noProof/>
                <w:sz w:val="20"/>
                <w:szCs w:val="20"/>
              </w:rPr>
              <w:t>Evaluation of Tenders</w:t>
            </w:r>
            <w:r w:rsidR="00D15F3A" w:rsidRPr="00347E15">
              <w:rPr>
                <w:rFonts w:asciiTheme="majorHAnsi" w:hAnsiTheme="majorHAnsi"/>
                <w:noProof/>
                <w:webHidden/>
                <w:sz w:val="20"/>
                <w:szCs w:val="20"/>
              </w:rPr>
              <w:tab/>
            </w:r>
            <w:r w:rsidR="00D15F3A" w:rsidRPr="00347E15">
              <w:rPr>
                <w:rFonts w:asciiTheme="majorHAnsi" w:hAnsiTheme="majorHAnsi"/>
                <w:noProof/>
                <w:webHidden/>
                <w:sz w:val="20"/>
                <w:szCs w:val="20"/>
              </w:rPr>
              <w:fldChar w:fldCharType="begin"/>
            </w:r>
            <w:r w:rsidR="00D15F3A" w:rsidRPr="00347E15">
              <w:rPr>
                <w:rFonts w:asciiTheme="majorHAnsi" w:hAnsiTheme="majorHAnsi"/>
                <w:noProof/>
                <w:webHidden/>
                <w:sz w:val="20"/>
                <w:szCs w:val="20"/>
              </w:rPr>
              <w:instrText xml:space="preserve"> PAGEREF _Toc120104424 \h </w:instrText>
            </w:r>
            <w:r w:rsidR="00D15F3A" w:rsidRPr="00347E15">
              <w:rPr>
                <w:rFonts w:asciiTheme="majorHAnsi" w:hAnsiTheme="majorHAnsi"/>
                <w:noProof/>
                <w:webHidden/>
                <w:sz w:val="20"/>
                <w:szCs w:val="20"/>
              </w:rPr>
            </w:r>
            <w:r w:rsidR="00D15F3A" w:rsidRPr="00347E15">
              <w:rPr>
                <w:rFonts w:asciiTheme="majorHAnsi" w:hAnsiTheme="majorHAnsi"/>
                <w:noProof/>
                <w:webHidden/>
                <w:sz w:val="20"/>
                <w:szCs w:val="20"/>
              </w:rPr>
              <w:fldChar w:fldCharType="separate"/>
            </w:r>
            <w:r w:rsidR="00D15F3A" w:rsidRPr="00347E15">
              <w:rPr>
                <w:rFonts w:asciiTheme="majorHAnsi" w:hAnsiTheme="majorHAnsi"/>
                <w:noProof/>
                <w:webHidden/>
                <w:sz w:val="20"/>
                <w:szCs w:val="20"/>
              </w:rPr>
              <w:t>8</w:t>
            </w:r>
            <w:r w:rsidR="00D15F3A" w:rsidRPr="00347E15">
              <w:rPr>
                <w:rFonts w:asciiTheme="majorHAnsi" w:hAnsiTheme="majorHAnsi"/>
                <w:noProof/>
                <w:webHidden/>
                <w:sz w:val="20"/>
                <w:szCs w:val="20"/>
              </w:rPr>
              <w:fldChar w:fldCharType="end"/>
            </w:r>
          </w:hyperlink>
        </w:p>
        <w:p w14:paraId="1ABF6C95" w14:textId="110A2BB7" w:rsidR="00D15F3A" w:rsidRDefault="00D15F3A">
          <w:r w:rsidRPr="00D15F3A">
            <w:rPr>
              <w:rFonts w:asciiTheme="majorHAnsi" w:hAnsiTheme="majorHAnsi"/>
              <w:b/>
              <w:bCs/>
              <w:noProof/>
            </w:rPr>
            <w:fldChar w:fldCharType="end"/>
          </w:r>
        </w:p>
      </w:sdtContent>
    </w:sdt>
    <w:p w14:paraId="46AFAE4D" w14:textId="77777777" w:rsidR="00D15F3A" w:rsidRPr="003A05B7" w:rsidRDefault="00D15F3A" w:rsidP="003A05B7">
      <w:pPr>
        <w:pStyle w:val="Numbered"/>
        <w:widowControl/>
        <w:ind w:left="720" w:firstLine="720"/>
        <w:rPr>
          <w:rFonts w:asciiTheme="minorHAnsi" w:hAnsiTheme="minorHAnsi"/>
          <w:b/>
          <w:sz w:val="20"/>
          <w:szCs w:val="20"/>
        </w:rPr>
      </w:pPr>
    </w:p>
    <w:p w14:paraId="36A5EF3C" w14:textId="77777777" w:rsidR="003A05B7" w:rsidRPr="003A05B7" w:rsidRDefault="003A05B7" w:rsidP="003A05B7">
      <w:pPr>
        <w:pStyle w:val="Norma"/>
        <w:rPr>
          <w:rFonts w:asciiTheme="minorHAnsi" w:hAnsiTheme="minorHAnsi"/>
          <w:sz w:val="20"/>
          <w:szCs w:val="20"/>
          <w:lang w:val="en-US" w:eastAsia="ja-JP"/>
        </w:rPr>
      </w:pPr>
    </w:p>
    <w:p w14:paraId="5137A7E3" w14:textId="40EBA902" w:rsidR="003A05B7" w:rsidRDefault="003A05B7" w:rsidP="003A05B7">
      <w:pPr>
        <w:pStyle w:val="BodyText"/>
        <w:rPr>
          <w:rFonts w:cs="Arial"/>
          <w:color w:val="000000"/>
          <w:szCs w:val="20"/>
        </w:rPr>
      </w:pP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5CE9787A" w14:textId="77777777" w:rsidR="00347E15" w:rsidRDefault="00347E15" w:rsidP="003A05B7">
      <w:pPr>
        <w:pStyle w:val="BodyText"/>
        <w:rPr>
          <w:rFonts w:cs="Arial"/>
          <w:color w:val="000000"/>
          <w:szCs w:val="20"/>
        </w:rPr>
      </w:pPr>
    </w:p>
    <w:p w14:paraId="7077847B" w14:textId="77777777" w:rsidR="00347E15" w:rsidRDefault="00347E15" w:rsidP="003A05B7">
      <w:pPr>
        <w:pStyle w:val="BodyText"/>
        <w:rPr>
          <w:rFonts w:cs="Arial"/>
          <w:color w:val="000000"/>
          <w:szCs w:val="20"/>
        </w:rPr>
      </w:pPr>
    </w:p>
    <w:p w14:paraId="26524EFA" w14:textId="77777777" w:rsidR="00347E15" w:rsidRDefault="00347E15"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4E086D84" w:rsidR="003A05B7" w:rsidRPr="00D63D72" w:rsidRDefault="001B1D10" w:rsidP="00880287">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auto"/>
          <w:sz w:val="20"/>
          <w:szCs w:val="20"/>
        </w:rPr>
      </w:pPr>
      <w:r>
        <w:rPr>
          <w:rFonts w:asciiTheme="minorHAnsi" w:hAnsiTheme="minorHAnsi" w:cs="Arial"/>
          <w:color w:val="auto"/>
          <w:sz w:val="20"/>
          <w:szCs w:val="20"/>
        </w:rPr>
        <w:lastRenderedPageBreak/>
        <w:t>Preamble</w:t>
      </w:r>
    </w:p>
    <w:p w14:paraId="56C11707" w14:textId="13B9748D" w:rsidR="003A05B7" w:rsidRPr="00D63D72" w:rsidRDefault="00D63D72" w:rsidP="00D63D72">
      <w:pPr>
        <w:pStyle w:val="Norma"/>
        <w:spacing w:before="120"/>
        <w:ind w:left="720"/>
        <w:rPr>
          <w:rFonts w:asciiTheme="minorHAnsi" w:hAnsiTheme="minorHAnsi"/>
          <w:bCs/>
          <w:sz w:val="20"/>
          <w:szCs w:val="20"/>
        </w:rPr>
      </w:pPr>
      <w:r w:rsidRPr="00D63D72">
        <w:rPr>
          <w:rFonts w:asciiTheme="minorHAnsi" w:hAnsiTheme="minorHAnsi"/>
          <w:bCs/>
          <w:sz w:val="20"/>
          <w:szCs w:val="20"/>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489D4427" w14:textId="014F0078" w:rsidR="003A05B7" w:rsidRPr="00880287" w:rsidRDefault="003A05B7" w:rsidP="0088028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0" w:name="_Ref357535668"/>
      <w:bookmarkStart w:id="1" w:name="_Toc381969507"/>
      <w:bookmarkStart w:id="2" w:name="_Toc405888456"/>
      <w:bookmarkStart w:id="3" w:name="_Toc120104412"/>
      <w:r w:rsidRPr="00D63D72">
        <w:rPr>
          <w:rFonts w:asciiTheme="minorHAnsi" w:hAnsiTheme="minorHAnsi" w:cs="Arial"/>
          <w:color w:val="auto"/>
          <w:sz w:val="20"/>
          <w:szCs w:val="20"/>
        </w:rPr>
        <w:t>Background</w:t>
      </w:r>
      <w:bookmarkEnd w:id="0"/>
      <w:bookmarkEnd w:id="1"/>
      <w:bookmarkEnd w:id="2"/>
      <w:bookmarkEnd w:id="3"/>
    </w:p>
    <w:p w14:paraId="698F7D28" w14:textId="0F414A5E" w:rsidR="00D63D72" w:rsidRPr="00D63D72" w:rsidRDefault="00D63D72" w:rsidP="00D63D72">
      <w:pPr>
        <w:pStyle w:val="Norma"/>
        <w:spacing w:before="120"/>
        <w:ind w:left="720"/>
        <w:rPr>
          <w:rFonts w:asciiTheme="minorHAnsi" w:hAnsiTheme="minorHAnsi"/>
          <w:bCs/>
          <w:sz w:val="20"/>
          <w:szCs w:val="20"/>
        </w:rPr>
      </w:pPr>
      <w:r w:rsidRPr="00D63D72">
        <w:rPr>
          <w:rFonts w:asciiTheme="minorHAnsi" w:hAnsiTheme="minorHAnsi"/>
          <w:bCs/>
          <w:sz w:val="20"/>
          <w:szCs w:val="20"/>
        </w:rPr>
        <w:t>The CCC’s Sixth Carbon Budget scenarios imply growing and enduring savings in operating costs, alongside a major investment programme. To 2030, the largest cost increases affecting households are for decarbonising buildings. Large savings are available for households in other areas, most notably in transport from the shift to electric cars. However, even in areas where costs are likely to fall relative to today, the distribution of costs and savings could create both ‘winners’ and ‘losers’ during the transition.</w:t>
      </w:r>
    </w:p>
    <w:p w14:paraId="40C14AA9" w14:textId="6B37158E" w:rsidR="00D63D72" w:rsidRPr="00D63D72" w:rsidRDefault="00D63D72" w:rsidP="00D63D72">
      <w:pPr>
        <w:pStyle w:val="Norma"/>
        <w:spacing w:before="120"/>
        <w:ind w:left="720"/>
        <w:rPr>
          <w:rFonts w:asciiTheme="minorHAnsi" w:hAnsiTheme="minorHAnsi"/>
          <w:bCs/>
          <w:sz w:val="20"/>
          <w:szCs w:val="20"/>
        </w:rPr>
      </w:pPr>
      <w:r w:rsidRPr="00D63D72">
        <w:rPr>
          <w:rFonts w:asciiTheme="minorHAnsi" w:hAnsiTheme="minorHAnsi"/>
          <w:bCs/>
          <w:sz w:val="20"/>
          <w:szCs w:val="20"/>
        </w:rPr>
        <w:t xml:space="preserve">Achieving Net Zero in the UK will also result in significant benefits to human health from better air quality, less noise, more active </w:t>
      </w:r>
      <w:proofErr w:type="gramStart"/>
      <w:r w:rsidRPr="00D63D72">
        <w:rPr>
          <w:rFonts w:asciiTheme="minorHAnsi" w:hAnsiTheme="minorHAnsi"/>
          <w:bCs/>
          <w:sz w:val="20"/>
          <w:szCs w:val="20"/>
        </w:rPr>
        <w:t>travel</w:t>
      </w:r>
      <w:proofErr w:type="gramEnd"/>
      <w:r w:rsidRPr="00D63D72">
        <w:rPr>
          <w:rFonts w:asciiTheme="minorHAnsi" w:hAnsiTheme="minorHAnsi"/>
          <w:bCs/>
          <w:sz w:val="20"/>
          <w:szCs w:val="20"/>
        </w:rPr>
        <w:t xml:space="preserve"> and a shift to healthier diets. Changes to land use and farming practices that cut emissions can also improve air quality and water quality and benefit biodiversity, resilience to climate change and bring recreational benefits. Benefits could partially or fully offset costs.</w:t>
      </w:r>
      <w:r w:rsidR="00944AFF">
        <w:rPr>
          <w:rFonts w:asciiTheme="minorHAnsi" w:hAnsiTheme="minorHAnsi"/>
          <w:bCs/>
          <w:sz w:val="20"/>
          <w:szCs w:val="20"/>
        </w:rPr>
        <w:t xml:space="preserve"> Adapting to a changing climate could also result in co-benefits beyond direct policy impacts.</w:t>
      </w:r>
    </w:p>
    <w:p w14:paraId="525A1B25" w14:textId="7657A040" w:rsidR="00D63D72" w:rsidRPr="00D63D72" w:rsidRDefault="00D63D72" w:rsidP="00D63D72">
      <w:pPr>
        <w:pStyle w:val="Norma"/>
        <w:spacing w:before="120"/>
        <w:ind w:left="720"/>
        <w:rPr>
          <w:rFonts w:asciiTheme="minorHAnsi" w:hAnsiTheme="minorHAnsi"/>
          <w:bCs/>
          <w:sz w:val="20"/>
          <w:szCs w:val="20"/>
        </w:rPr>
      </w:pPr>
      <w:r w:rsidRPr="00D63D72">
        <w:rPr>
          <w:rFonts w:asciiTheme="minorHAnsi" w:hAnsiTheme="minorHAnsi"/>
          <w:bCs/>
          <w:sz w:val="20"/>
          <w:szCs w:val="20"/>
        </w:rPr>
        <w:t xml:space="preserve">As set out in the CCC’s Sixth Carbon Budget advice, a key challenge on the path to Net Zero is how to spread the costs and benefits of the transition across the economy: for households, </w:t>
      </w:r>
      <w:proofErr w:type="gramStart"/>
      <w:r w:rsidRPr="00D63D72">
        <w:rPr>
          <w:rFonts w:asciiTheme="minorHAnsi" w:hAnsiTheme="minorHAnsi"/>
          <w:bCs/>
          <w:sz w:val="20"/>
          <w:szCs w:val="20"/>
        </w:rPr>
        <w:t>businesses</w:t>
      </w:r>
      <w:proofErr w:type="gramEnd"/>
      <w:r w:rsidRPr="00D63D72">
        <w:rPr>
          <w:rFonts w:asciiTheme="minorHAnsi" w:hAnsiTheme="minorHAnsi"/>
          <w:bCs/>
          <w:sz w:val="20"/>
          <w:szCs w:val="20"/>
        </w:rPr>
        <w:t xml:space="preserve"> and the Exchequer. The CCC commissioned Frontier Economics</w:t>
      </w:r>
      <w:r>
        <w:rPr>
          <w:rFonts w:asciiTheme="minorHAnsi" w:hAnsiTheme="minorHAnsi"/>
          <w:bCs/>
          <w:sz w:val="20"/>
          <w:szCs w:val="20"/>
        </w:rPr>
        <w:t xml:space="preserve"> in early 2022</w:t>
      </w:r>
      <w:r w:rsidRPr="00D63D72">
        <w:rPr>
          <w:rFonts w:asciiTheme="minorHAnsi" w:hAnsiTheme="minorHAnsi"/>
          <w:bCs/>
          <w:sz w:val="20"/>
          <w:szCs w:val="20"/>
        </w:rPr>
        <w:t xml:space="preserve"> to develop a set of household archetypes (using Ofgem’s archetypes as a starting point) and a distributional impacts model, to explore the costs </w:t>
      </w:r>
      <w:r>
        <w:rPr>
          <w:rFonts w:asciiTheme="minorHAnsi" w:hAnsiTheme="minorHAnsi"/>
          <w:bCs/>
          <w:sz w:val="20"/>
          <w:szCs w:val="20"/>
        </w:rPr>
        <w:t>and savings to</w:t>
      </w:r>
      <w:r w:rsidRPr="00D63D72">
        <w:rPr>
          <w:rFonts w:asciiTheme="minorHAnsi" w:hAnsiTheme="minorHAnsi"/>
          <w:bCs/>
          <w:sz w:val="20"/>
          <w:szCs w:val="20"/>
        </w:rPr>
        <w:t xml:space="preserve"> households from decarbonising homes and transport. The archetypes developed are shown in Table 1.</w:t>
      </w:r>
    </w:p>
    <w:p w14:paraId="14DD8AC7" w14:textId="7357697D" w:rsidR="003A05B7" w:rsidRDefault="00D63D72" w:rsidP="00D63D72">
      <w:pPr>
        <w:pStyle w:val="Norma"/>
        <w:spacing w:before="120"/>
        <w:ind w:left="720"/>
        <w:rPr>
          <w:rFonts w:asciiTheme="minorHAnsi" w:hAnsiTheme="minorHAnsi"/>
          <w:bCs/>
          <w:sz w:val="20"/>
          <w:szCs w:val="20"/>
        </w:rPr>
      </w:pPr>
      <w:r w:rsidRPr="00D63D72">
        <w:rPr>
          <w:rFonts w:asciiTheme="minorHAnsi" w:hAnsiTheme="minorHAnsi"/>
          <w:bCs/>
          <w:sz w:val="20"/>
          <w:szCs w:val="20"/>
        </w:rPr>
        <w:t xml:space="preserve">This analysis will only tell part of the story, as it does not yet incorporate the co-benefits enjoyed by households alongside any direct financial costs or savings. We are </w:t>
      </w:r>
      <w:r w:rsidR="00954475">
        <w:rPr>
          <w:rFonts w:asciiTheme="minorHAnsi" w:hAnsiTheme="minorHAnsi"/>
          <w:bCs/>
          <w:sz w:val="20"/>
          <w:szCs w:val="20"/>
        </w:rPr>
        <w:t xml:space="preserve">specifically </w:t>
      </w:r>
      <w:r w:rsidRPr="00D63D72">
        <w:rPr>
          <w:rFonts w:asciiTheme="minorHAnsi" w:hAnsiTheme="minorHAnsi"/>
          <w:bCs/>
          <w:sz w:val="20"/>
          <w:szCs w:val="20"/>
        </w:rPr>
        <w:t xml:space="preserve">interested in exploring the </w:t>
      </w:r>
      <w:r w:rsidR="00954475">
        <w:rPr>
          <w:rFonts w:asciiTheme="minorHAnsi" w:hAnsiTheme="minorHAnsi"/>
          <w:bCs/>
          <w:sz w:val="20"/>
          <w:szCs w:val="20"/>
        </w:rPr>
        <w:t xml:space="preserve">health </w:t>
      </w:r>
      <w:r w:rsidRPr="00D63D72">
        <w:rPr>
          <w:rFonts w:asciiTheme="minorHAnsi" w:hAnsiTheme="minorHAnsi"/>
          <w:bCs/>
          <w:sz w:val="20"/>
          <w:szCs w:val="20"/>
        </w:rPr>
        <w:t xml:space="preserve">co-benefits of our Sixth Carbon Budget scenarios </w:t>
      </w:r>
      <w:r w:rsidR="00954475">
        <w:rPr>
          <w:rFonts w:asciiTheme="minorHAnsi" w:hAnsiTheme="minorHAnsi"/>
          <w:bCs/>
          <w:sz w:val="20"/>
          <w:szCs w:val="20"/>
        </w:rPr>
        <w:t>from which</w:t>
      </w:r>
      <w:r w:rsidRPr="00D63D72">
        <w:rPr>
          <w:rFonts w:asciiTheme="minorHAnsi" w:hAnsiTheme="minorHAnsi"/>
          <w:bCs/>
          <w:sz w:val="20"/>
          <w:szCs w:val="20"/>
        </w:rPr>
        <w:t xml:space="preserve"> the 15 archetypes developed by Frontier could </w:t>
      </w:r>
      <w:r w:rsidR="00954475">
        <w:rPr>
          <w:rFonts w:asciiTheme="minorHAnsi" w:hAnsiTheme="minorHAnsi"/>
          <w:bCs/>
          <w:sz w:val="20"/>
          <w:szCs w:val="20"/>
        </w:rPr>
        <w:t>benefit</w:t>
      </w:r>
      <w:r w:rsidRPr="00D63D72">
        <w:rPr>
          <w:rFonts w:asciiTheme="minorHAnsi" w:hAnsiTheme="minorHAnsi"/>
          <w:bCs/>
          <w:sz w:val="20"/>
          <w:szCs w:val="20"/>
        </w:rPr>
        <w:t>.</w:t>
      </w:r>
    </w:p>
    <w:p w14:paraId="6319A7A9" w14:textId="77777777" w:rsidR="00D63D72" w:rsidRPr="00D15F3A" w:rsidRDefault="00D63D72" w:rsidP="00D63D72">
      <w:pPr>
        <w:pStyle w:val="Norma"/>
        <w:spacing w:before="240" w:after="120" w:line="264" w:lineRule="auto"/>
        <w:rPr>
          <w:rFonts w:ascii="Century Gothic" w:hAnsi="Century Gothic"/>
          <w:color w:val="280049" w:themeColor="text1"/>
          <w:sz w:val="20"/>
          <w:szCs w:val="20"/>
        </w:rPr>
      </w:pPr>
      <w:r w:rsidRPr="00D15F3A">
        <w:rPr>
          <w:rFonts w:ascii="Century Gothic" w:hAnsi="Century Gothic"/>
          <w:color w:val="280049" w:themeColor="text1"/>
          <w:sz w:val="20"/>
          <w:szCs w:val="20"/>
        </w:rPr>
        <w:t>Table 1 – Summary of archetype starting characteristics</w:t>
      </w:r>
    </w:p>
    <w:tbl>
      <w:tblPr>
        <w:tblStyle w:val="CCCTable"/>
        <w:tblW w:w="5000" w:type="pct"/>
        <w:tblInd w:w="0" w:type="dxa"/>
        <w:tblLook w:val="04A0" w:firstRow="1" w:lastRow="0" w:firstColumn="1" w:lastColumn="0" w:noHBand="0" w:noVBand="1"/>
      </w:tblPr>
      <w:tblGrid>
        <w:gridCol w:w="1092"/>
        <w:gridCol w:w="2307"/>
        <w:gridCol w:w="1726"/>
        <w:gridCol w:w="2729"/>
      </w:tblGrid>
      <w:tr w:rsidR="004E464F" w:rsidRPr="002D1C90" w14:paraId="5494659D" w14:textId="77777777" w:rsidTr="00D15F3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5" w:type="pct"/>
            <w:hideMark/>
          </w:tcPr>
          <w:p w14:paraId="69476805"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Archetype</w:t>
            </w:r>
          </w:p>
        </w:tc>
        <w:tc>
          <w:tcPr>
            <w:tcW w:w="1287" w:type="pct"/>
            <w:hideMark/>
          </w:tcPr>
          <w:p w14:paraId="736E6E17" w14:textId="77777777" w:rsidR="002D1C90" w:rsidRPr="002D1C90" w:rsidRDefault="002D1C90" w:rsidP="004E464F">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b/>
                <w:bCs/>
                <w:szCs w:val="18"/>
                <w:lang w:eastAsia="en-GB"/>
              </w:rPr>
            </w:pPr>
            <w:r w:rsidRPr="002D1C90">
              <w:rPr>
                <w:rFonts w:ascii="Century Gothic" w:eastAsia="Times New Roman" w:hAnsi="Century Gothic" w:cs="Calibri"/>
                <w:b/>
                <w:bCs/>
                <w:szCs w:val="18"/>
                <w:lang w:eastAsia="en-GB"/>
              </w:rPr>
              <w:t>Income group (based on IMD income proxy)</w:t>
            </w:r>
          </w:p>
        </w:tc>
        <w:tc>
          <w:tcPr>
            <w:tcW w:w="1190" w:type="pct"/>
            <w:hideMark/>
          </w:tcPr>
          <w:p w14:paraId="6E82663C" w14:textId="77777777" w:rsidR="002D1C90" w:rsidRPr="002D1C90" w:rsidRDefault="002D1C90" w:rsidP="004E464F">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b/>
                <w:bCs/>
                <w:szCs w:val="18"/>
                <w:lang w:eastAsia="en-GB"/>
              </w:rPr>
            </w:pPr>
            <w:r w:rsidRPr="002D1C90">
              <w:rPr>
                <w:rFonts w:ascii="Century Gothic" w:eastAsia="Times New Roman" w:hAnsi="Century Gothic" w:cs="Calibri"/>
                <w:b/>
                <w:bCs/>
                <w:szCs w:val="18"/>
                <w:lang w:eastAsia="en-GB"/>
              </w:rPr>
              <w:t>Short qualitative description</w:t>
            </w:r>
          </w:p>
        </w:tc>
        <w:tc>
          <w:tcPr>
            <w:tcW w:w="1828" w:type="pct"/>
            <w:hideMark/>
          </w:tcPr>
          <w:p w14:paraId="1B98EBA2" w14:textId="77777777" w:rsidR="002D1C90" w:rsidRPr="002D1C90" w:rsidRDefault="002D1C90" w:rsidP="004E464F">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b/>
                <w:bCs/>
                <w:szCs w:val="18"/>
                <w:lang w:eastAsia="en-GB"/>
              </w:rPr>
            </w:pPr>
            <w:r w:rsidRPr="002D1C90">
              <w:rPr>
                <w:rFonts w:ascii="Century Gothic" w:eastAsia="Times New Roman" w:hAnsi="Century Gothic" w:cs="Calibri"/>
                <w:b/>
                <w:bCs/>
                <w:szCs w:val="18"/>
                <w:lang w:eastAsia="en-GB"/>
              </w:rPr>
              <w:t>Detailed qualitative description</w:t>
            </w:r>
          </w:p>
        </w:tc>
      </w:tr>
      <w:tr w:rsidR="00D15F3A" w:rsidRPr="002D1C90" w14:paraId="08E7346E" w14:textId="77777777" w:rsidTr="00D15F3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5C0B27FA"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A1</w:t>
            </w:r>
          </w:p>
        </w:tc>
        <w:tc>
          <w:tcPr>
            <w:tcW w:w="1287" w:type="pct"/>
            <w:noWrap/>
            <w:hideMark/>
          </w:tcPr>
          <w:p w14:paraId="330989E6" w14:textId="4CE656CD"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w:t>
            </w:r>
          </w:p>
        </w:tc>
        <w:tc>
          <w:tcPr>
            <w:tcW w:w="1190" w:type="pct"/>
            <w:hideMark/>
          </w:tcPr>
          <w:p w14:paraId="0FFBFB7F"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 urban, EPC C, no car</w:t>
            </w:r>
          </w:p>
        </w:tc>
        <w:tc>
          <w:tcPr>
            <w:tcW w:w="1828" w:type="pct"/>
            <w:hideMark/>
          </w:tcPr>
          <w:p w14:paraId="50EC00CA" w14:textId="31C78EF1"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Unemployed, younger, urban, social renter, EPC C, mid-terrace, no car</w:t>
            </w:r>
          </w:p>
        </w:tc>
      </w:tr>
      <w:tr w:rsidR="00D15F3A" w:rsidRPr="002D1C90" w14:paraId="110BAF4D" w14:textId="77777777" w:rsidTr="00D15F3A">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28D31AC8"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A2</w:t>
            </w:r>
          </w:p>
        </w:tc>
        <w:tc>
          <w:tcPr>
            <w:tcW w:w="1287" w:type="pct"/>
            <w:noWrap/>
            <w:hideMark/>
          </w:tcPr>
          <w:p w14:paraId="45B734AF" w14:textId="3B9CDF4C"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w:t>
            </w:r>
          </w:p>
        </w:tc>
        <w:tc>
          <w:tcPr>
            <w:tcW w:w="1190" w:type="pct"/>
            <w:hideMark/>
          </w:tcPr>
          <w:p w14:paraId="206D0919"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 urban, EPC C, high mileage</w:t>
            </w:r>
          </w:p>
        </w:tc>
        <w:tc>
          <w:tcPr>
            <w:tcW w:w="1828" w:type="pct"/>
            <w:hideMark/>
          </w:tcPr>
          <w:p w14:paraId="1202D0A9"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Older household, urban, semi-detached, social renter, EPC C, 2 diesel cars with high mileage</w:t>
            </w:r>
          </w:p>
        </w:tc>
      </w:tr>
      <w:tr w:rsidR="00D15F3A" w:rsidRPr="002D1C90" w14:paraId="04AD98F5" w14:textId="77777777" w:rsidTr="00D15F3A">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95" w:type="pct"/>
            <w:noWrap/>
            <w:hideMark/>
          </w:tcPr>
          <w:p w14:paraId="0850D087"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A3</w:t>
            </w:r>
          </w:p>
        </w:tc>
        <w:tc>
          <w:tcPr>
            <w:tcW w:w="1287" w:type="pct"/>
            <w:noWrap/>
            <w:hideMark/>
          </w:tcPr>
          <w:p w14:paraId="1F5C7D52" w14:textId="0C2F44DF"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w:t>
            </w:r>
          </w:p>
        </w:tc>
        <w:tc>
          <w:tcPr>
            <w:tcW w:w="1190" w:type="pct"/>
            <w:hideMark/>
          </w:tcPr>
          <w:p w14:paraId="3A40880F"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 urban, EPC E, no car</w:t>
            </w:r>
          </w:p>
        </w:tc>
        <w:tc>
          <w:tcPr>
            <w:tcW w:w="1828" w:type="pct"/>
            <w:hideMark/>
          </w:tcPr>
          <w:p w14:paraId="58B0760C" w14:textId="2C77109F"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Younger household, urban, private renter, EPC E, flat, no car</w:t>
            </w:r>
          </w:p>
        </w:tc>
      </w:tr>
      <w:tr w:rsidR="00D15F3A" w:rsidRPr="002D1C90" w14:paraId="4365314E" w14:textId="77777777" w:rsidTr="00D15F3A">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12D1A661"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A4</w:t>
            </w:r>
          </w:p>
        </w:tc>
        <w:tc>
          <w:tcPr>
            <w:tcW w:w="1287" w:type="pct"/>
            <w:noWrap/>
            <w:hideMark/>
          </w:tcPr>
          <w:p w14:paraId="0FE893A2" w14:textId="0C71E5D3"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w:t>
            </w:r>
          </w:p>
        </w:tc>
        <w:tc>
          <w:tcPr>
            <w:tcW w:w="1190" w:type="pct"/>
            <w:hideMark/>
          </w:tcPr>
          <w:p w14:paraId="687470C3"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Low income, urban, EPC C, medium mileage</w:t>
            </w:r>
          </w:p>
        </w:tc>
        <w:tc>
          <w:tcPr>
            <w:tcW w:w="1828" w:type="pct"/>
            <w:hideMark/>
          </w:tcPr>
          <w:p w14:paraId="5616CA8C" w14:textId="4FC3800D"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Younger household, urban, social renter, mid terrace, EPC C, two petrol cars</w:t>
            </w:r>
          </w:p>
        </w:tc>
      </w:tr>
      <w:tr w:rsidR="00D15F3A" w:rsidRPr="002D1C90" w14:paraId="5A223B74" w14:textId="77777777" w:rsidTr="00D15F3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1C214C03"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A5</w:t>
            </w:r>
          </w:p>
        </w:tc>
        <w:tc>
          <w:tcPr>
            <w:tcW w:w="1287" w:type="pct"/>
            <w:noWrap/>
            <w:hideMark/>
          </w:tcPr>
          <w:p w14:paraId="446DDE4A" w14:textId="088A75B8"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income</w:t>
            </w:r>
          </w:p>
        </w:tc>
        <w:tc>
          <w:tcPr>
            <w:tcW w:w="1190" w:type="pct"/>
            <w:hideMark/>
          </w:tcPr>
          <w:p w14:paraId="45F5967F"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income, urban, EPC D, high mileage</w:t>
            </w:r>
          </w:p>
        </w:tc>
        <w:tc>
          <w:tcPr>
            <w:tcW w:w="1828" w:type="pct"/>
            <w:hideMark/>
          </w:tcPr>
          <w:p w14:paraId="799B6943"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Older household, owner occupied terrace, EPC D, town, 2 diesel cars with high mileage</w:t>
            </w:r>
          </w:p>
        </w:tc>
      </w:tr>
      <w:tr w:rsidR="00D15F3A" w:rsidRPr="002D1C90" w14:paraId="66B81D54" w14:textId="77777777" w:rsidTr="00D15F3A">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95" w:type="pct"/>
            <w:noWrap/>
            <w:hideMark/>
          </w:tcPr>
          <w:p w14:paraId="6E4FC4C1"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A6</w:t>
            </w:r>
          </w:p>
        </w:tc>
        <w:tc>
          <w:tcPr>
            <w:tcW w:w="1287" w:type="pct"/>
            <w:noWrap/>
            <w:hideMark/>
          </w:tcPr>
          <w:p w14:paraId="053C045F" w14:textId="42D2D1CF"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income</w:t>
            </w:r>
          </w:p>
        </w:tc>
        <w:tc>
          <w:tcPr>
            <w:tcW w:w="1190" w:type="pct"/>
            <w:hideMark/>
          </w:tcPr>
          <w:p w14:paraId="6A80657C"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income, urban, EPC B, medium mileage</w:t>
            </w:r>
          </w:p>
        </w:tc>
        <w:tc>
          <w:tcPr>
            <w:tcW w:w="1828" w:type="pct"/>
            <w:hideMark/>
          </w:tcPr>
          <w:p w14:paraId="5AC22FFF" w14:textId="278D6459"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Social renters, EPC B, urban, detached, one car</w:t>
            </w:r>
          </w:p>
        </w:tc>
      </w:tr>
      <w:tr w:rsidR="00D15F3A" w:rsidRPr="002D1C90" w14:paraId="1612B65E" w14:textId="77777777" w:rsidTr="00D15F3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404A1B99"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lastRenderedPageBreak/>
              <w:t>A7</w:t>
            </w:r>
          </w:p>
        </w:tc>
        <w:tc>
          <w:tcPr>
            <w:tcW w:w="1287" w:type="pct"/>
            <w:noWrap/>
            <w:hideMark/>
          </w:tcPr>
          <w:p w14:paraId="76118EA0" w14:textId="2CC7D45B"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auto"/>
                <w:szCs w:val="18"/>
                <w:lang w:eastAsia="en-GB"/>
              </w:rPr>
            </w:pPr>
            <w:r w:rsidRPr="002D1C90">
              <w:rPr>
                <w:rFonts w:ascii="Century Gothic" w:eastAsia="Times New Roman" w:hAnsi="Century Gothic" w:cs="Calibri"/>
                <w:color w:val="auto"/>
                <w:szCs w:val="18"/>
                <w:lang w:eastAsia="en-GB"/>
              </w:rPr>
              <w:t>Average income</w:t>
            </w:r>
          </w:p>
        </w:tc>
        <w:tc>
          <w:tcPr>
            <w:tcW w:w="1190" w:type="pct"/>
            <w:hideMark/>
          </w:tcPr>
          <w:p w14:paraId="1A998C5C"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income, urban, EPC D, medium mileage</w:t>
            </w:r>
          </w:p>
        </w:tc>
        <w:tc>
          <w:tcPr>
            <w:tcW w:w="1828" w:type="pct"/>
            <w:hideMark/>
          </w:tcPr>
          <w:p w14:paraId="0FAA5F32" w14:textId="764F5F4E"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Older household, owner occupied semi-detached, EPC D, two petrol cars, urban</w:t>
            </w:r>
          </w:p>
        </w:tc>
      </w:tr>
      <w:tr w:rsidR="00D15F3A" w:rsidRPr="002D1C90" w14:paraId="75FDA3AE" w14:textId="77777777" w:rsidTr="00D15F3A">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95" w:type="pct"/>
            <w:noWrap/>
            <w:hideMark/>
          </w:tcPr>
          <w:p w14:paraId="66EAE646"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A8</w:t>
            </w:r>
          </w:p>
        </w:tc>
        <w:tc>
          <w:tcPr>
            <w:tcW w:w="1287" w:type="pct"/>
            <w:noWrap/>
            <w:hideMark/>
          </w:tcPr>
          <w:p w14:paraId="5C90F920" w14:textId="092A7EF4"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szCs w:val="18"/>
                <w:lang w:eastAsia="en-GB"/>
              </w:rPr>
            </w:pPr>
            <w:r w:rsidRPr="002D1C90">
              <w:rPr>
                <w:rFonts w:ascii="Century Gothic" w:eastAsia="Times New Roman" w:hAnsi="Century Gothic" w:cs="Calibri"/>
                <w:szCs w:val="18"/>
                <w:lang w:eastAsia="en-GB"/>
              </w:rPr>
              <w:t>Average income</w:t>
            </w:r>
          </w:p>
        </w:tc>
        <w:tc>
          <w:tcPr>
            <w:tcW w:w="1190" w:type="pct"/>
            <w:hideMark/>
          </w:tcPr>
          <w:p w14:paraId="40B21778"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income, urban, EPC C, high mileage</w:t>
            </w:r>
          </w:p>
        </w:tc>
        <w:tc>
          <w:tcPr>
            <w:tcW w:w="1828" w:type="pct"/>
            <w:hideMark/>
          </w:tcPr>
          <w:p w14:paraId="0B3B1E14" w14:textId="5E081D48"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Urban, owner occupier, semi-detached, EPC C, one car</w:t>
            </w:r>
          </w:p>
        </w:tc>
      </w:tr>
      <w:tr w:rsidR="00D15F3A" w:rsidRPr="002D1C90" w14:paraId="2EC40D52" w14:textId="77777777" w:rsidTr="00D15F3A">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95" w:type="pct"/>
            <w:noWrap/>
            <w:hideMark/>
          </w:tcPr>
          <w:p w14:paraId="1E7D2FD1"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A9</w:t>
            </w:r>
          </w:p>
        </w:tc>
        <w:tc>
          <w:tcPr>
            <w:tcW w:w="1287" w:type="pct"/>
            <w:noWrap/>
            <w:hideMark/>
          </w:tcPr>
          <w:p w14:paraId="43A02417" w14:textId="3E550C9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auto"/>
                <w:szCs w:val="18"/>
                <w:lang w:eastAsia="en-GB"/>
              </w:rPr>
            </w:pPr>
            <w:r w:rsidRPr="002D1C90">
              <w:rPr>
                <w:rFonts w:ascii="Century Gothic" w:eastAsia="Times New Roman" w:hAnsi="Century Gothic" w:cs="Calibri"/>
                <w:color w:val="auto"/>
                <w:szCs w:val="18"/>
                <w:lang w:eastAsia="en-GB"/>
              </w:rPr>
              <w:t>Average to high income</w:t>
            </w:r>
          </w:p>
        </w:tc>
        <w:tc>
          <w:tcPr>
            <w:tcW w:w="1190" w:type="pct"/>
            <w:hideMark/>
          </w:tcPr>
          <w:p w14:paraId="719564EA"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to high income, urban, EPC D, low mileage</w:t>
            </w:r>
          </w:p>
        </w:tc>
        <w:tc>
          <w:tcPr>
            <w:tcW w:w="1828" w:type="pct"/>
            <w:hideMark/>
          </w:tcPr>
          <w:p w14:paraId="0B4D47B1" w14:textId="78584D5C"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Urban, older, owner occupier, detached, EPC D, one car</w:t>
            </w:r>
          </w:p>
        </w:tc>
      </w:tr>
      <w:tr w:rsidR="00D15F3A" w:rsidRPr="002D1C90" w14:paraId="20225092" w14:textId="77777777" w:rsidTr="00D15F3A">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695" w:type="pct"/>
            <w:noWrap/>
            <w:hideMark/>
          </w:tcPr>
          <w:p w14:paraId="323FC939"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A10</w:t>
            </w:r>
          </w:p>
        </w:tc>
        <w:tc>
          <w:tcPr>
            <w:tcW w:w="1287" w:type="pct"/>
            <w:noWrap/>
            <w:hideMark/>
          </w:tcPr>
          <w:p w14:paraId="54175FA8" w14:textId="5FD0CE4D"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szCs w:val="18"/>
                <w:lang w:eastAsia="en-GB"/>
              </w:rPr>
            </w:pPr>
            <w:r w:rsidRPr="002D1C90">
              <w:rPr>
                <w:rFonts w:ascii="Century Gothic" w:eastAsia="Times New Roman" w:hAnsi="Century Gothic" w:cs="Calibri"/>
                <w:szCs w:val="18"/>
                <w:lang w:eastAsia="en-GB"/>
              </w:rPr>
              <w:t>Average to high income</w:t>
            </w:r>
          </w:p>
        </w:tc>
        <w:tc>
          <w:tcPr>
            <w:tcW w:w="1190" w:type="pct"/>
            <w:hideMark/>
          </w:tcPr>
          <w:p w14:paraId="1FBD829B"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to high income, rural, electric heating, high mileage</w:t>
            </w:r>
          </w:p>
        </w:tc>
        <w:tc>
          <w:tcPr>
            <w:tcW w:w="1828" w:type="pct"/>
            <w:hideMark/>
          </w:tcPr>
          <w:p w14:paraId="44482E3A" w14:textId="1A145E06"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Older household, rural social renter detached house, EPC E, electric heating, one car, high mileage</w:t>
            </w:r>
          </w:p>
        </w:tc>
      </w:tr>
      <w:tr w:rsidR="00D15F3A" w:rsidRPr="002D1C90" w14:paraId="2797C829" w14:textId="77777777" w:rsidTr="00D15F3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5F79C149"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A11</w:t>
            </w:r>
          </w:p>
        </w:tc>
        <w:tc>
          <w:tcPr>
            <w:tcW w:w="1287" w:type="pct"/>
            <w:noWrap/>
            <w:hideMark/>
          </w:tcPr>
          <w:p w14:paraId="5CF8FBF6" w14:textId="68874AD1"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auto"/>
                <w:szCs w:val="18"/>
                <w:lang w:eastAsia="en-GB"/>
              </w:rPr>
            </w:pPr>
            <w:r w:rsidRPr="002D1C90">
              <w:rPr>
                <w:rFonts w:ascii="Century Gothic" w:eastAsia="Times New Roman" w:hAnsi="Century Gothic" w:cs="Calibri"/>
                <w:color w:val="auto"/>
                <w:szCs w:val="18"/>
                <w:lang w:eastAsia="en-GB"/>
              </w:rPr>
              <w:t>Average to high income</w:t>
            </w:r>
          </w:p>
        </w:tc>
        <w:tc>
          <w:tcPr>
            <w:tcW w:w="1190" w:type="pct"/>
            <w:hideMark/>
          </w:tcPr>
          <w:p w14:paraId="56E70287"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to high income, rural, oil heating, high mileage</w:t>
            </w:r>
          </w:p>
        </w:tc>
        <w:tc>
          <w:tcPr>
            <w:tcW w:w="1828" w:type="pct"/>
            <w:hideMark/>
          </w:tcPr>
          <w:p w14:paraId="7758E00A" w14:textId="105BD502"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Older household, detached house, EPC E, oil heating, one car, high mileage</w:t>
            </w:r>
          </w:p>
        </w:tc>
      </w:tr>
      <w:tr w:rsidR="00D15F3A" w:rsidRPr="002D1C90" w14:paraId="2F31970F" w14:textId="77777777" w:rsidTr="00D15F3A">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04E68F5C"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A12</w:t>
            </w:r>
          </w:p>
        </w:tc>
        <w:tc>
          <w:tcPr>
            <w:tcW w:w="1287" w:type="pct"/>
            <w:noWrap/>
            <w:hideMark/>
          </w:tcPr>
          <w:p w14:paraId="1C167452" w14:textId="294E34E1"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szCs w:val="18"/>
                <w:lang w:eastAsia="en-GB"/>
              </w:rPr>
            </w:pPr>
            <w:r w:rsidRPr="002D1C90">
              <w:rPr>
                <w:rFonts w:ascii="Century Gothic" w:eastAsia="Times New Roman" w:hAnsi="Century Gothic" w:cs="Calibri"/>
                <w:szCs w:val="18"/>
                <w:lang w:eastAsia="en-GB"/>
              </w:rPr>
              <w:t>Average to high income</w:t>
            </w:r>
          </w:p>
        </w:tc>
        <w:tc>
          <w:tcPr>
            <w:tcW w:w="1190" w:type="pct"/>
            <w:hideMark/>
          </w:tcPr>
          <w:p w14:paraId="24793499"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to high income, urban, EPC C, low mileage</w:t>
            </w:r>
          </w:p>
        </w:tc>
        <w:tc>
          <w:tcPr>
            <w:tcW w:w="1828" w:type="pct"/>
            <w:hideMark/>
          </w:tcPr>
          <w:p w14:paraId="58E39E02"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Older household, town owner occupied detached, EPC C, 1 petrol cars with low mileage</w:t>
            </w:r>
          </w:p>
        </w:tc>
      </w:tr>
      <w:tr w:rsidR="00D15F3A" w:rsidRPr="002D1C90" w14:paraId="64F02A38" w14:textId="77777777" w:rsidTr="00D15F3A">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95" w:type="pct"/>
            <w:noWrap/>
            <w:hideMark/>
          </w:tcPr>
          <w:p w14:paraId="1C7CD63F"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A13</w:t>
            </w:r>
          </w:p>
        </w:tc>
        <w:tc>
          <w:tcPr>
            <w:tcW w:w="1287" w:type="pct"/>
            <w:noWrap/>
            <w:hideMark/>
          </w:tcPr>
          <w:p w14:paraId="7C33E069" w14:textId="384F665E"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auto"/>
                <w:szCs w:val="18"/>
                <w:lang w:eastAsia="en-GB"/>
              </w:rPr>
            </w:pPr>
            <w:r w:rsidRPr="002D1C90">
              <w:rPr>
                <w:rFonts w:ascii="Century Gothic" w:eastAsia="Times New Roman" w:hAnsi="Century Gothic" w:cs="Calibri"/>
                <w:color w:val="auto"/>
                <w:szCs w:val="18"/>
                <w:lang w:eastAsia="en-GB"/>
              </w:rPr>
              <w:t>Average to high income</w:t>
            </w:r>
          </w:p>
        </w:tc>
        <w:tc>
          <w:tcPr>
            <w:tcW w:w="1190" w:type="pct"/>
            <w:hideMark/>
          </w:tcPr>
          <w:p w14:paraId="6D351ED1"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to high income, urban, EPC C, no car</w:t>
            </w:r>
          </w:p>
        </w:tc>
        <w:tc>
          <w:tcPr>
            <w:tcW w:w="1828" w:type="pct"/>
            <w:hideMark/>
          </w:tcPr>
          <w:p w14:paraId="29EC2FBD" w14:textId="2E076BFE"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Younger household, owner occupier, flat, EPC C, no car</w:t>
            </w:r>
          </w:p>
        </w:tc>
      </w:tr>
      <w:tr w:rsidR="00D15F3A" w:rsidRPr="002D1C90" w14:paraId="043FCED7" w14:textId="77777777" w:rsidTr="00D15F3A">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95" w:type="pct"/>
            <w:noWrap/>
            <w:hideMark/>
          </w:tcPr>
          <w:p w14:paraId="6C9087E6"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A14</w:t>
            </w:r>
          </w:p>
        </w:tc>
        <w:tc>
          <w:tcPr>
            <w:tcW w:w="1287" w:type="pct"/>
            <w:noWrap/>
            <w:hideMark/>
          </w:tcPr>
          <w:p w14:paraId="7FBA6F6C" w14:textId="5916FAB0"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szCs w:val="18"/>
                <w:lang w:eastAsia="en-GB"/>
              </w:rPr>
            </w:pPr>
            <w:r w:rsidRPr="002D1C90">
              <w:rPr>
                <w:rFonts w:ascii="Century Gothic" w:eastAsia="Times New Roman" w:hAnsi="Century Gothic" w:cs="Calibri"/>
                <w:szCs w:val="18"/>
                <w:lang w:eastAsia="en-GB"/>
              </w:rPr>
              <w:t>Average to high income</w:t>
            </w:r>
          </w:p>
        </w:tc>
        <w:tc>
          <w:tcPr>
            <w:tcW w:w="1190" w:type="pct"/>
            <w:hideMark/>
          </w:tcPr>
          <w:p w14:paraId="2E517F97" w14:textId="77777777"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to high income, urban, EPC D, medium mileage</w:t>
            </w:r>
          </w:p>
        </w:tc>
        <w:tc>
          <w:tcPr>
            <w:tcW w:w="1828" w:type="pct"/>
            <w:hideMark/>
          </w:tcPr>
          <w:p w14:paraId="0798995A" w14:textId="6DC6C6F0" w:rsidR="002D1C90" w:rsidRPr="002D1C90" w:rsidRDefault="002D1C90" w:rsidP="004E464F">
            <w:pPr>
              <w:jc w:val="center"/>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Urban, mid-terrace, two cars, EPC D, medium mileage</w:t>
            </w:r>
          </w:p>
        </w:tc>
      </w:tr>
      <w:tr w:rsidR="00D15F3A" w:rsidRPr="002D1C90" w14:paraId="4CA185AB" w14:textId="77777777" w:rsidTr="00D15F3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95" w:type="pct"/>
            <w:noWrap/>
            <w:hideMark/>
          </w:tcPr>
          <w:p w14:paraId="1EEEC9FA" w14:textId="77777777" w:rsidR="002D1C90" w:rsidRPr="002D1C90" w:rsidRDefault="002D1C90" w:rsidP="004E464F">
            <w:pPr>
              <w:jc w:val="center"/>
              <w:rPr>
                <w:rFonts w:ascii="Century Gothic" w:eastAsia="Times New Roman" w:hAnsi="Century Gothic" w:cs="Calibri"/>
                <w:bCs/>
                <w:szCs w:val="18"/>
                <w:lang w:eastAsia="en-GB"/>
              </w:rPr>
            </w:pPr>
            <w:r w:rsidRPr="002D1C90">
              <w:rPr>
                <w:rFonts w:ascii="Century Gothic" w:eastAsia="Times New Roman" w:hAnsi="Century Gothic" w:cs="Calibri"/>
                <w:bCs/>
                <w:szCs w:val="18"/>
                <w:lang w:eastAsia="en-GB"/>
              </w:rPr>
              <w:t>A15</w:t>
            </w:r>
          </w:p>
        </w:tc>
        <w:tc>
          <w:tcPr>
            <w:tcW w:w="1287" w:type="pct"/>
            <w:noWrap/>
            <w:hideMark/>
          </w:tcPr>
          <w:p w14:paraId="49C73451" w14:textId="619C2A45"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auto"/>
                <w:szCs w:val="18"/>
                <w:lang w:eastAsia="en-GB"/>
              </w:rPr>
            </w:pPr>
            <w:r w:rsidRPr="002D1C90">
              <w:rPr>
                <w:rFonts w:ascii="Century Gothic" w:eastAsia="Times New Roman" w:hAnsi="Century Gothic" w:cs="Calibri"/>
                <w:color w:val="auto"/>
                <w:szCs w:val="18"/>
                <w:lang w:eastAsia="en-GB"/>
              </w:rPr>
              <w:t>Average to high income</w:t>
            </w:r>
          </w:p>
        </w:tc>
        <w:tc>
          <w:tcPr>
            <w:tcW w:w="1190" w:type="pct"/>
            <w:hideMark/>
          </w:tcPr>
          <w:p w14:paraId="7A2EDF9D" w14:textId="77777777"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Average to high income, urban, EPC D, medium mileage</w:t>
            </w:r>
          </w:p>
        </w:tc>
        <w:tc>
          <w:tcPr>
            <w:tcW w:w="1828" w:type="pct"/>
            <w:hideMark/>
          </w:tcPr>
          <w:p w14:paraId="73458238" w14:textId="7DCAD2F4" w:rsidR="002D1C90" w:rsidRPr="002D1C90" w:rsidRDefault="002D1C90" w:rsidP="004E464F">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2D2926"/>
                <w:szCs w:val="18"/>
                <w:lang w:eastAsia="en-GB"/>
              </w:rPr>
            </w:pPr>
            <w:r w:rsidRPr="002D1C90">
              <w:rPr>
                <w:rFonts w:ascii="Century Gothic" w:eastAsia="Times New Roman" w:hAnsi="Century Gothic" w:cs="Calibri"/>
                <w:color w:val="2D2926"/>
                <w:szCs w:val="18"/>
                <w:lang w:eastAsia="en-GB"/>
              </w:rPr>
              <w:t>Older household, owner occupier, EPC D, one car, low mileage</w:t>
            </w:r>
          </w:p>
        </w:tc>
      </w:tr>
    </w:tbl>
    <w:p w14:paraId="1221AA05" w14:textId="6F9D5D4F" w:rsidR="003A05B7" w:rsidRPr="00880287" w:rsidRDefault="003A05B7" w:rsidP="0088028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4" w:name="_Ref357535689"/>
      <w:bookmarkStart w:id="5" w:name="_Toc381969508"/>
      <w:bookmarkStart w:id="6" w:name="_Toc405888457"/>
      <w:bookmarkStart w:id="7" w:name="_Toc120104413"/>
      <w:r w:rsidRPr="00D63D72">
        <w:rPr>
          <w:rFonts w:asciiTheme="minorHAnsi" w:hAnsiTheme="minorHAnsi" w:cs="Arial"/>
          <w:color w:val="auto"/>
          <w:sz w:val="20"/>
          <w:szCs w:val="20"/>
        </w:rPr>
        <w:t>Aims and Objectives</w:t>
      </w:r>
      <w:bookmarkEnd w:id="4"/>
      <w:bookmarkEnd w:id="5"/>
      <w:bookmarkEnd w:id="6"/>
      <w:bookmarkEnd w:id="7"/>
    </w:p>
    <w:p w14:paraId="5031CD05" w14:textId="546C6A56" w:rsidR="001122C4" w:rsidRDefault="005D4B70" w:rsidP="005D4B70">
      <w:pPr>
        <w:pStyle w:val="Norma"/>
        <w:spacing w:before="120"/>
        <w:ind w:left="720"/>
        <w:rPr>
          <w:rFonts w:asciiTheme="minorHAnsi" w:hAnsiTheme="minorHAnsi"/>
          <w:bCs/>
          <w:sz w:val="20"/>
          <w:szCs w:val="20"/>
        </w:rPr>
      </w:pPr>
      <w:r>
        <w:rPr>
          <w:rFonts w:asciiTheme="minorHAnsi" w:hAnsiTheme="minorHAnsi"/>
          <w:bCs/>
          <w:sz w:val="20"/>
          <w:szCs w:val="20"/>
        </w:rPr>
        <w:t xml:space="preserve">This project encompasses essential and desirable </w:t>
      </w:r>
      <w:r w:rsidR="00F33EEE">
        <w:rPr>
          <w:rFonts w:asciiTheme="minorHAnsi" w:hAnsiTheme="minorHAnsi"/>
          <w:bCs/>
          <w:sz w:val="20"/>
          <w:szCs w:val="20"/>
        </w:rPr>
        <w:t>elements</w:t>
      </w:r>
      <w:r w:rsidR="005C0D7C">
        <w:rPr>
          <w:rFonts w:asciiTheme="minorHAnsi" w:hAnsiTheme="minorHAnsi"/>
          <w:bCs/>
          <w:sz w:val="20"/>
          <w:szCs w:val="20"/>
        </w:rPr>
        <w:t>:</w:t>
      </w:r>
      <w:r>
        <w:rPr>
          <w:rFonts w:asciiTheme="minorHAnsi" w:hAnsiTheme="minorHAnsi"/>
          <w:bCs/>
          <w:sz w:val="20"/>
          <w:szCs w:val="20"/>
        </w:rPr>
        <w:t xml:space="preserve"> </w:t>
      </w:r>
    </w:p>
    <w:p w14:paraId="302C5A82" w14:textId="19D15A77" w:rsidR="001122C4" w:rsidRDefault="00D63D72" w:rsidP="001122C4">
      <w:pPr>
        <w:pStyle w:val="Norma"/>
        <w:numPr>
          <w:ilvl w:val="0"/>
          <w:numId w:val="12"/>
        </w:numPr>
        <w:spacing w:before="120"/>
        <w:rPr>
          <w:rFonts w:asciiTheme="minorHAnsi" w:hAnsiTheme="minorHAnsi"/>
          <w:bCs/>
          <w:sz w:val="20"/>
          <w:szCs w:val="20"/>
        </w:rPr>
      </w:pPr>
      <w:r w:rsidRPr="00D63D72">
        <w:rPr>
          <w:rFonts w:asciiTheme="minorHAnsi" w:hAnsiTheme="minorHAnsi"/>
          <w:bCs/>
          <w:sz w:val="20"/>
          <w:szCs w:val="20"/>
        </w:rPr>
        <w:t xml:space="preserve">The </w:t>
      </w:r>
      <w:r w:rsidR="005D4B70">
        <w:rPr>
          <w:rFonts w:asciiTheme="minorHAnsi" w:hAnsiTheme="minorHAnsi"/>
          <w:bCs/>
          <w:sz w:val="20"/>
          <w:szCs w:val="20"/>
        </w:rPr>
        <w:t xml:space="preserve">essential </w:t>
      </w:r>
      <w:r w:rsidR="00F33EEE">
        <w:rPr>
          <w:rFonts w:asciiTheme="minorHAnsi" w:hAnsiTheme="minorHAnsi"/>
          <w:bCs/>
          <w:sz w:val="20"/>
          <w:szCs w:val="20"/>
        </w:rPr>
        <w:t>elements</w:t>
      </w:r>
      <w:r w:rsidRPr="00D63D72">
        <w:rPr>
          <w:rFonts w:asciiTheme="minorHAnsi" w:hAnsiTheme="minorHAnsi"/>
          <w:bCs/>
          <w:sz w:val="20"/>
          <w:szCs w:val="20"/>
        </w:rPr>
        <w:t xml:space="preserve"> of</w:t>
      </w:r>
      <w:r w:rsidR="008E44AC">
        <w:rPr>
          <w:rFonts w:asciiTheme="minorHAnsi" w:hAnsiTheme="minorHAnsi"/>
          <w:bCs/>
          <w:sz w:val="20"/>
          <w:szCs w:val="20"/>
        </w:rPr>
        <w:t xml:space="preserve"> this project </w:t>
      </w:r>
      <w:r w:rsidR="007C6B4B">
        <w:rPr>
          <w:rFonts w:asciiTheme="minorHAnsi" w:hAnsiTheme="minorHAnsi"/>
          <w:bCs/>
          <w:sz w:val="20"/>
          <w:szCs w:val="20"/>
        </w:rPr>
        <w:t xml:space="preserve">aim </w:t>
      </w:r>
      <w:r w:rsidR="008E44AC">
        <w:rPr>
          <w:rFonts w:asciiTheme="minorHAnsi" w:hAnsiTheme="minorHAnsi"/>
          <w:bCs/>
          <w:sz w:val="20"/>
          <w:szCs w:val="20"/>
        </w:rPr>
        <w:t>to examine</w:t>
      </w:r>
      <w:r w:rsidR="00CB0CA8">
        <w:rPr>
          <w:rFonts w:asciiTheme="minorHAnsi" w:hAnsiTheme="minorHAnsi"/>
          <w:bCs/>
          <w:sz w:val="20"/>
          <w:szCs w:val="20"/>
        </w:rPr>
        <w:t>,</w:t>
      </w:r>
      <w:r w:rsidR="008E44AC">
        <w:rPr>
          <w:rFonts w:asciiTheme="minorHAnsi" w:hAnsiTheme="minorHAnsi"/>
          <w:bCs/>
          <w:sz w:val="20"/>
          <w:szCs w:val="20"/>
        </w:rPr>
        <w:t xml:space="preserve"> and as far as possible quantify</w:t>
      </w:r>
      <w:r w:rsidR="00CB0CA8">
        <w:rPr>
          <w:rFonts w:asciiTheme="minorHAnsi" w:hAnsiTheme="minorHAnsi"/>
          <w:bCs/>
          <w:sz w:val="20"/>
          <w:szCs w:val="20"/>
        </w:rPr>
        <w:t>,</w:t>
      </w:r>
      <w:r w:rsidR="008E44AC">
        <w:rPr>
          <w:rFonts w:asciiTheme="minorHAnsi" w:hAnsiTheme="minorHAnsi"/>
          <w:bCs/>
          <w:sz w:val="20"/>
          <w:szCs w:val="20"/>
        </w:rPr>
        <w:t xml:space="preserve"> the </w:t>
      </w:r>
      <w:r w:rsidR="005D4B70">
        <w:rPr>
          <w:rFonts w:asciiTheme="minorHAnsi" w:hAnsiTheme="minorHAnsi"/>
          <w:bCs/>
          <w:sz w:val="20"/>
          <w:szCs w:val="20"/>
        </w:rPr>
        <w:t xml:space="preserve">health </w:t>
      </w:r>
      <w:r w:rsidR="008E44AC">
        <w:rPr>
          <w:rFonts w:asciiTheme="minorHAnsi" w:hAnsiTheme="minorHAnsi"/>
          <w:bCs/>
          <w:sz w:val="20"/>
          <w:szCs w:val="20"/>
        </w:rPr>
        <w:t>co-benefits faced by household archetypes from achieving the CCC’s Sixth Carbon Budget scenarios. We are also interested in knock</w:t>
      </w:r>
      <w:r w:rsidR="001B1D10">
        <w:rPr>
          <w:rFonts w:asciiTheme="minorHAnsi" w:hAnsiTheme="minorHAnsi"/>
          <w:bCs/>
          <w:sz w:val="20"/>
          <w:szCs w:val="20"/>
        </w:rPr>
        <w:t>-</w:t>
      </w:r>
      <w:r w:rsidR="008E44AC">
        <w:rPr>
          <w:rFonts w:asciiTheme="minorHAnsi" w:hAnsiTheme="minorHAnsi"/>
          <w:bCs/>
          <w:sz w:val="20"/>
          <w:szCs w:val="20"/>
        </w:rPr>
        <w:t>on effects of these co-benefits</w:t>
      </w:r>
      <w:r w:rsidR="008F6D24">
        <w:rPr>
          <w:rFonts w:asciiTheme="minorHAnsi" w:hAnsiTheme="minorHAnsi"/>
          <w:bCs/>
          <w:sz w:val="20"/>
          <w:szCs w:val="20"/>
        </w:rPr>
        <w:t>,</w:t>
      </w:r>
      <w:r w:rsidR="008E44AC">
        <w:rPr>
          <w:rFonts w:asciiTheme="minorHAnsi" w:hAnsiTheme="minorHAnsi"/>
          <w:bCs/>
          <w:sz w:val="20"/>
          <w:szCs w:val="20"/>
        </w:rPr>
        <w:t xml:space="preserve"> to the Exchequer</w:t>
      </w:r>
      <w:r w:rsidR="008F6D24">
        <w:rPr>
          <w:rFonts w:asciiTheme="minorHAnsi" w:hAnsiTheme="minorHAnsi"/>
          <w:bCs/>
          <w:sz w:val="20"/>
          <w:szCs w:val="20"/>
        </w:rPr>
        <w:t xml:space="preserve"> and more broadly</w:t>
      </w:r>
      <w:r w:rsidR="008E44AC">
        <w:rPr>
          <w:rFonts w:asciiTheme="minorHAnsi" w:hAnsiTheme="minorHAnsi"/>
          <w:bCs/>
          <w:sz w:val="20"/>
          <w:szCs w:val="20"/>
        </w:rPr>
        <w:t xml:space="preserve"> – for example, savings to the NHS </w:t>
      </w:r>
      <w:r w:rsidR="00B75F51">
        <w:rPr>
          <w:rFonts w:asciiTheme="minorHAnsi" w:hAnsiTheme="minorHAnsi"/>
          <w:bCs/>
          <w:sz w:val="20"/>
          <w:szCs w:val="20"/>
        </w:rPr>
        <w:t>from reduced air pollution</w:t>
      </w:r>
      <w:r w:rsidR="001122C4">
        <w:rPr>
          <w:rFonts w:asciiTheme="minorHAnsi" w:hAnsiTheme="minorHAnsi"/>
          <w:bCs/>
          <w:sz w:val="20"/>
          <w:szCs w:val="20"/>
        </w:rPr>
        <w:t xml:space="preserve"> or</w:t>
      </w:r>
      <w:r w:rsidR="00A0036F">
        <w:rPr>
          <w:rFonts w:asciiTheme="minorHAnsi" w:hAnsiTheme="minorHAnsi"/>
          <w:bCs/>
          <w:sz w:val="20"/>
          <w:szCs w:val="20"/>
        </w:rPr>
        <w:t xml:space="preserve"> sustainable diets</w:t>
      </w:r>
      <w:r w:rsidR="00C14CEF">
        <w:rPr>
          <w:rFonts w:asciiTheme="minorHAnsi" w:hAnsiTheme="minorHAnsi"/>
          <w:bCs/>
          <w:sz w:val="20"/>
          <w:szCs w:val="20"/>
        </w:rPr>
        <w:t>.</w:t>
      </w:r>
      <w:r w:rsidR="000411AD">
        <w:rPr>
          <w:rFonts w:asciiTheme="minorHAnsi" w:hAnsiTheme="minorHAnsi"/>
          <w:bCs/>
          <w:sz w:val="20"/>
          <w:szCs w:val="20"/>
        </w:rPr>
        <w:t xml:space="preserve"> </w:t>
      </w:r>
    </w:p>
    <w:p w14:paraId="7FACD475" w14:textId="52943A09" w:rsidR="000411AD" w:rsidRDefault="001122C4" w:rsidP="00F65134">
      <w:pPr>
        <w:pStyle w:val="Norma"/>
        <w:numPr>
          <w:ilvl w:val="0"/>
          <w:numId w:val="12"/>
        </w:numPr>
        <w:spacing w:before="120"/>
        <w:rPr>
          <w:rFonts w:asciiTheme="minorHAnsi" w:hAnsiTheme="minorHAnsi"/>
          <w:bCs/>
          <w:sz w:val="20"/>
          <w:szCs w:val="20"/>
        </w:rPr>
      </w:pPr>
      <w:r>
        <w:rPr>
          <w:rFonts w:asciiTheme="minorHAnsi" w:hAnsiTheme="minorHAnsi"/>
          <w:bCs/>
          <w:sz w:val="20"/>
          <w:szCs w:val="20"/>
        </w:rPr>
        <w:t xml:space="preserve">Expanding the scope to include </w:t>
      </w:r>
      <w:r w:rsidR="005C0D7C">
        <w:rPr>
          <w:rFonts w:asciiTheme="minorHAnsi" w:hAnsiTheme="minorHAnsi"/>
          <w:bCs/>
          <w:sz w:val="20"/>
          <w:szCs w:val="20"/>
        </w:rPr>
        <w:t xml:space="preserve">wider </w:t>
      </w:r>
      <w:r>
        <w:rPr>
          <w:rFonts w:asciiTheme="minorHAnsi" w:hAnsiTheme="minorHAnsi"/>
          <w:bCs/>
          <w:sz w:val="20"/>
          <w:szCs w:val="20"/>
        </w:rPr>
        <w:t>co-benefits (</w:t>
      </w:r>
      <w:proofErr w:type="gramStart"/>
      <w:r>
        <w:rPr>
          <w:rFonts w:asciiTheme="minorHAnsi" w:hAnsiTheme="minorHAnsi"/>
          <w:bCs/>
          <w:sz w:val="20"/>
          <w:szCs w:val="20"/>
        </w:rPr>
        <w:t>e.g.</w:t>
      </w:r>
      <w:proofErr w:type="gramEnd"/>
      <w:r w:rsidR="005C0D7C">
        <w:rPr>
          <w:rFonts w:asciiTheme="minorHAnsi" w:hAnsiTheme="minorHAnsi"/>
          <w:bCs/>
          <w:sz w:val="20"/>
          <w:szCs w:val="20"/>
        </w:rPr>
        <w:t xml:space="preserve"> environmental benefits</w:t>
      </w:r>
      <w:r w:rsidR="00D94C83">
        <w:rPr>
          <w:rFonts w:asciiTheme="minorHAnsi" w:hAnsiTheme="minorHAnsi"/>
          <w:bCs/>
          <w:sz w:val="20"/>
          <w:szCs w:val="20"/>
        </w:rPr>
        <w:t>,</w:t>
      </w:r>
      <w:r>
        <w:rPr>
          <w:rFonts w:asciiTheme="minorHAnsi" w:hAnsiTheme="minorHAnsi"/>
          <w:bCs/>
          <w:sz w:val="20"/>
          <w:szCs w:val="20"/>
        </w:rPr>
        <w:t xml:space="preserve"> increased productivity from lower congestion</w:t>
      </w:r>
      <w:r w:rsidR="00D94C83">
        <w:rPr>
          <w:rFonts w:asciiTheme="minorHAnsi" w:hAnsiTheme="minorHAnsi"/>
          <w:bCs/>
          <w:sz w:val="20"/>
          <w:szCs w:val="20"/>
        </w:rPr>
        <w:t>)</w:t>
      </w:r>
      <w:r>
        <w:rPr>
          <w:rFonts w:asciiTheme="minorHAnsi" w:hAnsiTheme="minorHAnsi"/>
          <w:bCs/>
          <w:sz w:val="20"/>
          <w:szCs w:val="20"/>
        </w:rPr>
        <w:t xml:space="preserve"> would be desirable but is </w:t>
      </w:r>
      <w:r w:rsidR="00B04F96">
        <w:rPr>
          <w:rFonts w:asciiTheme="minorHAnsi" w:hAnsiTheme="minorHAnsi"/>
          <w:bCs/>
          <w:sz w:val="20"/>
          <w:szCs w:val="20"/>
        </w:rPr>
        <w:t xml:space="preserve">subject to </w:t>
      </w:r>
      <w:r w:rsidR="00A0036F">
        <w:rPr>
          <w:rFonts w:asciiTheme="minorHAnsi" w:hAnsiTheme="minorHAnsi"/>
          <w:bCs/>
          <w:sz w:val="20"/>
          <w:szCs w:val="20"/>
        </w:rPr>
        <w:t xml:space="preserve">agreement on additional </w:t>
      </w:r>
      <w:r w:rsidR="00B04F96">
        <w:rPr>
          <w:rFonts w:asciiTheme="minorHAnsi" w:hAnsiTheme="minorHAnsi"/>
          <w:bCs/>
          <w:sz w:val="20"/>
          <w:szCs w:val="20"/>
        </w:rPr>
        <w:t>budget</w:t>
      </w:r>
      <w:r w:rsidR="00A0036F">
        <w:rPr>
          <w:rFonts w:asciiTheme="minorHAnsi" w:hAnsiTheme="minorHAnsi"/>
          <w:bCs/>
          <w:sz w:val="20"/>
          <w:szCs w:val="20"/>
        </w:rPr>
        <w:t xml:space="preserve"> </w:t>
      </w:r>
      <w:r w:rsidR="005C0D7C">
        <w:rPr>
          <w:rFonts w:asciiTheme="minorHAnsi" w:hAnsiTheme="minorHAnsi"/>
          <w:bCs/>
          <w:sz w:val="20"/>
          <w:szCs w:val="20"/>
        </w:rPr>
        <w:t xml:space="preserve">and timings </w:t>
      </w:r>
      <w:r w:rsidR="00B04F96">
        <w:rPr>
          <w:rFonts w:asciiTheme="minorHAnsi" w:hAnsiTheme="minorHAnsi"/>
          <w:bCs/>
          <w:sz w:val="20"/>
          <w:szCs w:val="20"/>
        </w:rPr>
        <w:t xml:space="preserve">(see section 13). </w:t>
      </w:r>
    </w:p>
    <w:p w14:paraId="2F1CA971" w14:textId="1B833DC5" w:rsidR="008E44AC" w:rsidRPr="0072677E" w:rsidRDefault="00B04F96" w:rsidP="00F65134">
      <w:pPr>
        <w:pStyle w:val="Norma"/>
        <w:numPr>
          <w:ilvl w:val="0"/>
          <w:numId w:val="13"/>
        </w:numPr>
        <w:spacing w:before="120"/>
        <w:rPr>
          <w:rFonts w:asciiTheme="minorHAnsi" w:hAnsiTheme="minorHAnsi"/>
          <w:b/>
          <w:color w:val="7142FF" w:themeColor="accent4"/>
          <w:sz w:val="20"/>
          <w:szCs w:val="20"/>
        </w:rPr>
      </w:pPr>
      <w:r w:rsidRPr="00F65134">
        <w:rPr>
          <w:rFonts w:asciiTheme="minorHAnsi" w:hAnsiTheme="minorHAnsi"/>
          <w:b/>
          <w:color w:val="7142FF" w:themeColor="accent4"/>
          <w:sz w:val="20"/>
          <w:szCs w:val="20"/>
        </w:rPr>
        <w:t xml:space="preserve">Essential </w:t>
      </w:r>
      <w:r w:rsidR="00F65134">
        <w:rPr>
          <w:rFonts w:asciiTheme="minorHAnsi" w:hAnsiTheme="minorHAnsi"/>
          <w:b/>
          <w:color w:val="7142FF" w:themeColor="accent4"/>
          <w:sz w:val="20"/>
          <w:szCs w:val="20"/>
        </w:rPr>
        <w:t>elements</w:t>
      </w:r>
    </w:p>
    <w:p w14:paraId="0192EA7B" w14:textId="3EDAF293" w:rsidR="008E44AC" w:rsidRPr="008E44AC" w:rsidRDefault="008E44AC" w:rsidP="008E44AC">
      <w:pPr>
        <w:pStyle w:val="Norma"/>
        <w:spacing w:before="120"/>
        <w:ind w:left="720"/>
        <w:rPr>
          <w:rFonts w:asciiTheme="minorHAnsi" w:hAnsiTheme="minorHAnsi"/>
          <w:bCs/>
          <w:sz w:val="20"/>
          <w:szCs w:val="20"/>
        </w:rPr>
      </w:pPr>
      <w:r>
        <w:rPr>
          <w:rFonts w:asciiTheme="minorHAnsi" w:hAnsiTheme="minorHAnsi"/>
          <w:bCs/>
          <w:sz w:val="20"/>
          <w:szCs w:val="20"/>
        </w:rPr>
        <w:t xml:space="preserve">The CCC would like to work collaboratively with the successful contractor to determine the </w:t>
      </w:r>
      <w:r w:rsidRPr="008E44AC">
        <w:rPr>
          <w:rFonts w:asciiTheme="minorHAnsi" w:hAnsiTheme="minorHAnsi"/>
          <w:bCs/>
          <w:sz w:val="20"/>
          <w:szCs w:val="20"/>
        </w:rPr>
        <w:t>appropriate methodology for undertaking this work</w:t>
      </w:r>
      <w:r>
        <w:rPr>
          <w:rFonts w:asciiTheme="minorHAnsi" w:hAnsiTheme="minorHAnsi"/>
          <w:bCs/>
          <w:sz w:val="20"/>
          <w:szCs w:val="20"/>
        </w:rPr>
        <w:t xml:space="preserve">. </w:t>
      </w:r>
      <w:r w:rsidR="007C6B4B">
        <w:rPr>
          <w:rFonts w:asciiTheme="minorHAnsi" w:hAnsiTheme="minorHAnsi"/>
          <w:bCs/>
          <w:sz w:val="20"/>
          <w:szCs w:val="20"/>
        </w:rPr>
        <w:t xml:space="preserve">We </w:t>
      </w:r>
      <w:r w:rsidR="007C6B4B" w:rsidRPr="008E44AC">
        <w:rPr>
          <w:rFonts w:asciiTheme="minorHAnsi" w:hAnsiTheme="minorHAnsi"/>
          <w:bCs/>
          <w:sz w:val="20"/>
          <w:szCs w:val="20"/>
        </w:rPr>
        <w:t>envisage</w:t>
      </w:r>
      <w:r w:rsidRPr="008E44AC">
        <w:rPr>
          <w:rFonts w:asciiTheme="minorHAnsi" w:hAnsiTheme="minorHAnsi"/>
          <w:bCs/>
          <w:sz w:val="20"/>
          <w:szCs w:val="20"/>
        </w:rPr>
        <w:t xml:space="preserve"> that it could include </w:t>
      </w:r>
      <w:r w:rsidR="00B40E17">
        <w:rPr>
          <w:rFonts w:asciiTheme="minorHAnsi" w:hAnsiTheme="minorHAnsi"/>
          <w:bCs/>
          <w:sz w:val="20"/>
          <w:szCs w:val="20"/>
        </w:rPr>
        <w:t>t</w:t>
      </w:r>
      <w:r w:rsidRPr="008E44AC">
        <w:rPr>
          <w:rFonts w:asciiTheme="minorHAnsi" w:hAnsiTheme="minorHAnsi"/>
          <w:bCs/>
          <w:sz w:val="20"/>
          <w:szCs w:val="20"/>
        </w:rPr>
        <w:t xml:space="preserve">he following </w:t>
      </w:r>
      <w:r w:rsidR="00B40E17">
        <w:rPr>
          <w:rFonts w:asciiTheme="minorHAnsi" w:hAnsiTheme="minorHAnsi"/>
          <w:bCs/>
          <w:sz w:val="20"/>
          <w:szCs w:val="20"/>
        </w:rPr>
        <w:t>tasks</w:t>
      </w:r>
      <w:r w:rsidRPr="008E44AC">
        <w:rPr>
          <w:rFonts w:asciiTheme="minorHAnsi" w:hAnsiTheme="minorHAnsi"/>
          <w:bCs/>
          <w:sz w:val="20"/>
          <w:szCs w:val="20"/>
        </w:rPr>
        <w:t>:</w:t>
      </w:r>
    </w:p>
    <w:p w14:paraId="78302FC4" w14:textId="50C71A63" w:rsidR="00EC539C" w:rsidRPr="00EC539C" w:rsidRDefault="008361B6" w:rsidP="008E44AC">
      <w:pPr>
        <w:pStyle w:val="Norma"/>
        <w:numPr>
          <w:ilvl w:val="0"/>
          <w:numId w:val="4"/>
        </w:numPr>
        <w:spacing w:before="120"/>
        <w:rPr>
          <w:rFonts w:asciiTheme="minorHAnsi" w:hAnsiTheme="minorHAnsi"/>
          <w:b/>
          <w:sz w:val="20"/>
          <w:szCs w:val="20"/>
        </w:rPr>
      </w:pPr>
      <w:r>
        <w:rPr>
          <w:rFonts w:asciiTheme="minorHAnsi" w:hAnsiTheme="minorHAnsi"/>
          <w:b/>
          <w:sz w:val="20"/>
          <w:szCs w:val="20"/>
        </w:rPr>
        <w:t xml:space="preserve">Producing a </w:t>
      </w:r>
      <w:proofErr w:type="gramStart"/>
      <w:r>
        <w:rPr>
          <w:rFonts w:asciiTheme="minorHAnsi" w:hAnsiTheme="minorHAnsi"/>
          <w:b/>
          <w:sz w:val="20"/>
          <w:szCs w:val="20"/>
        </w:rPr>
        <w:t>long-list</w:t>
      </w:r>
      <w:proofErr w:type="gramEnd"/>
      <w:r>
        <w:rPr>
          <w:rFonts w:asciiTheme="minorHAnsi" w:hAnsiTheme="minorHAnsi"/>
          <w:b/>
          <w:sz w:val="20"/>
          <w:szCs w:val="20"/>
        </w:rPr>
        <w:t xml:space="preserve"> of </w:t>
      </w:r>
      <w:r w:rsidR="00A0036F">
        <w:rPr>
          <w:rFonts w:asciiTheme="minorHAnsi" w:hAnsiTheme="minorHAnsi"/>
          <w:b/>
          <w:sz w:val="20"/>
          <w:szCs w:val="20"/>
        </w:rPr>
        <w:t xml:space="preserve">health </w:t>
      </w:r>
      <w:r>
        <w:rPr>
          <w:rFonts w:asciiTheme="minorHAnsi" w:hAnsiTheme="minorHAnsi"/>
          <w:b/>
          <w:sz w:val="20"/>
          <w:szCs w:val="20"/>
        </w:rPr>
        <w:t>co-benefits and s</w:t>
      </w:r>
      <w:r w:rsidR="008E44AC" w:rsidRPr="00EC539C">
        <w:rPr>
          <w:rFonts w:asciiTheme="minorHAnsi" w:hAnsiTheme="minorHAnsi"/>
          <w:b/>
          <w:sz w:val="20"/>
          <w:szCs w:val="20"/>
        </w:rPr>
        <w:t xml:space="preserve">electing </w:t>
      </w:r>
      <w:r>
        <w:rPr>
          <w:rFonts w:asciiTheme="minorHAnsi" w:hAnsiTheme="minorHAnsi"/>
          <w:b/>
          <w:sz w:val="20"/>
          <w:szCs w:val="20"/>
        </w:rPr>
        <w:t>which</w:t>
      </w:r>
      <w:r w:rsidR="008E44AC" w:rsidRPr="00EC539C">
        <w:rPr>
          <w:rFonts w:asciiTheme="minorHAnsi" w:hAnsiTheme="minorHAnsi"/>
          <w:b/>
          <w:sz w:val="20"/>
          <w:szCs w:val="20"/>
        </w:rPr>
        <w:t xml:space="preserve"> to include in the analysis</w:t>
      </w:r>
      <w:r w:rsidR="00EC539C" w:rsidRPr="00EC539C">
        <w:rPr>
          <w:rFonts w:asciiTheme="minorHAnsi" w:hAnsiTheme="minorHAnsi"/>
          <w:b/>
          <w:sz w:val="20"/>
          <w:szCs w:val="20"/>
        </w:rPr>
        <w:t xml:space="preserve"> based on a clear set of criteria</w:t>
      </w:r>
      <w:r>
        <w:rPr>
          <w:rFonts w:asciiTheme="minorHAnsi" w:hAnsiTheme="minorHAnsi"/>
          <w:b/>
          <w:sz w:val="20"/>
          <w:szCs w:val="20"/>
        </w:rPr>
        <w:t>:</w:t>
      </w:r>
    </w:p>
    <w:p w14:paraId="57A18378" w14:textId="2DADFE4A" w:rsidR="008361B6" w:rsidRDefault="008361B6" w:rsidP="008361B6">
      <w:pPr>
        <w:pStyle w:val="Norma"/>
        <w:numPr>
          <w:ilvl w:val="1"/>
          <w:numId w:val="4"/>
        </w:numPr>
        <w:spacing w:before="120"/>
        <w:rPr>
          <w:rFonts w:asciiTheme="minorHAnsi" w:hAnsiTheme="minorHAnsi"/>
          <w:bCs/>
          <w:sz w:val="20"/>
          <w:szCs w:val="20"/>
        </w:rPr>
      </w:pPr>
      <w:r w:rsidRPr="008E44AC">
        <w:rPr>
          <w:rFonts w:asciiTheme="minorHAnsi" w:hAnsiTheme="minorHAnsi"/>
          <w:bCs/>
          <w:sz w:val="20"/>
          <w:szCs w:val="20"/>
        </w:rPr>
        <w:t xml:space="preserve">The CCC have </w:t>
      </w:r>
      <w:r>
        <w:rPr>
          <w:rFonts w:asciiTheme="minorHAnsi" w:hAnsiTheme="minorHAnsi"/>
          <w:bCs/>
          <w:sz w:val="20"/>
          <w:szCs w:val="20"/>
        </w:rPr>
        <w:t xml:space="preserve">qualitatively assessed co-benefits of climate action </w:t>
      </w:r>
      <w:r w:rsidRPr="008E44AC">
        <w:rPr>
          <w:rFonts w:asciiTheme="minorHAnsi" w:hAnsiTheme="minorHAnsi"/>
          <w:bCs/>
          <w:sz w:val="20"/>
          <w:szCs w:val="20"/>
        </w:rPr>
        <w:t>in our Net Zero</w:t>
      </w:r>
      <w:r>
        <w:rPr>
          <w:rStyle w:val="FootnoteReference"/>
          <w:rFonts w:asciiTheme="minorHAnsi" w:hAnsiTheme="minorHAnsi"/>
          <w:bCs/>
          <w:sz w:val="20"/>
          <w:szCs w:val="20"/>
        </w:rPr>
        <w:footnoteReference w:id="2"/>
      </w:r>
      <w:r w:rsidRPr="008E44AC">
        <w:rPr>
          <w:rFonts w:asciiTheme="minorHAnsi" w:hAnsiTheme="minorHAnsi"/>
          <w:bCs/>
          <w:sz w:val="20"/>
          <w:szCs w:val="20"/>
        </w:rPr>
        <w:t xml:space="preserve"> and Sixth Carbon Budget</w:t>
      </w:r>
      <w:r>
        <w:rPr>
          <w:rStyle w:val="FootnoteReference"/>
          <w:rFonts w:asciiTheme="minorHAnsi" w:hAnsiTheme="minorHAnsi"/>
          <w:bCs/>
          <w:sz w:val="20"/>
          <w:szCs w:val="20"/>
        </w:rPr>
        <w:footnoteReference w:id="3"/>
      </w:r>
      <w:r w:rsidRPr="008E44AC">
        <w:rPr>
          <w:rFonts w:asciiTheme="minorHAnsi" w:hAnsiTheme="minorHAnsi"/>
          <w:bCs/>
          <w:sz w:val="20"/>
          <w:szCs w:val="20"/>
        </w:rPr>
        <w:t xml:space="preserve"> </w:t>
      </w:r>
      <w:r w:rsidRPr="008E44AC">
        <w:rPr>
          <w:rFonts w:asciiTheme="minorHAnsi" w:hAnsiTheme="minorHAnsi"/>
          <w:bCs/>
          <w:sz w:val="20"/>
          <w:szCs w:val="20"/>
        </w:rPr>
        <w:lastRenderedPageBreak/>
        <w:t>reports</w:t>
      </w:r>
      <w:r w:rsidR="008263D7">
        <w:rPr>
          <w:rFonts w:asciiTheme="minorHAnsi" w:hAnsiTheme="minorHAnsi"/>
          <w:bCs/>
          <w:sz w:val="20"/>
          <w:szCs w:val="20"/>
        </w:rPr>
        <w:t>,</w:t>
      </w:r>
      <w:r w:rsidR="001B1D10">
        <w:rPr>
          <w:rFonts w:asciiTheme="minorHAnsi" w:hAnsiTheme="minorHAnsi"/>
          <w:bCs/>
          <w:sz w:val="20"/>
          <w:szCs w:val="20"/>
        </w:rPr>
        <w:t xml:space="preserve"> including </w:t>
      </w:r>
      <w:r w:rsidR="008263D7">
        <w:rPr>
          <w:rFonts w:asciiTheme="minorHAnsi" w:hAnsiTheme="minorHAnsi"/>
          <w:bCs/>
          <w:sz w:val="20"/>
          <w:szCs w:val="20"/>
        </w:rPr>
        <w:t>health co-benefits</w:t>
      </w:r>
      <w:r w:rsidR="001B1D10">
        <w:rPr>
          <w:rFonts w:asciiTheme="minorHAnsi" w:hAnsiTheme="minorHAnsi"/>
          <w:bCs/>
          <w:sz w:val="20"/>
          <w:szCs w:val="20"/>
        </w:rPr>
        <w:t xml:space="preserve"> specifically</w:t>
      </w:r>
      <w:r w:rsidR="00594F81">
        <w:rPr>
          <w:rFonts w:asciiTheme="minorHAnsi" w:hAnsiTheme="minorHAnsi"/>
          <w:bCs/>
          <w:sz w:val="20"/>
          <w:szCs w:val="20"/>
        </w:rPr>
        <w:t>.</w:t>
      </w:r>
      <w:r w:rsidR="008263D7">
        <w:rPr>
          <w:rStyle w:val="FootnoteReference"/>
          <w:rFonts w:asciiTheme="minorHAnsi" w:hAnsiTheme="minorHAnsi"/>
          <w:bCs/>
          <w:sz w:val="20"/>
          <w:szCs w:val="20"/>
        </w:rPr>
        <w:footnoteReference w:id="4"/>
      </w:r>
      <w:r w:rsidR="00594F81">
        <w:rPr>
          <w:rFonts w:asciiTheme="minorHAnsi" w:hAnsiTheme="minorHAnsi"/>
          <w:bCs/>
          <w:sz w:val="20"/>
          <w:szCs w:val="20"/>
        </w:rPr>
        <w:t xml:space="preserve"> </w:t>
      </w:r>
      <w:r>
        <w:rPr>
          <w:rFonts w:asciiTheme="minorHAnsi" w:hAnsiTheme="minorHAnsi"/>
          <w:bCs/>
          <w:sz w:val="20"/>
          <w:szCs w:val="20"/>
        </w:rPr>
        <w:t xml:space="preserve">The co-benefits identified in that work should be part of the initial </w:t>
      </w:r>
      <w:proofErr w:type="gramStart"/>
      <w:r>
        <w:rPr>
          <w:rFonts w:asciiTheme="minorHAnsi" w:hAnsiTheme="minorHAnsi"/>
          <w:bCs/>
          <w:sz w:val="20"/>
          <w:szCs w:val="20"/>
        </w:rPr>
        <w:t>long-list</w:t>
      </w:r>
      <w:proofErr w:type="gramEnd"/>
      <w:r>
        <w:rPr>
          <w:rFonts w:asciiTheme="minorHAnsi" w:hAnsiTheme="minorHAnsi"/>
          <w:bCs/>
          <w:sz w:val="20"/>
          <w:szCs w:val="20"/>
        </w:rPr>
        <w:t xml:space="preserve"> of co-benefits.</w:t>
      </w:r>
    </w:p>
    <w:p w14:paraId="4ED018E1" w14:textId="05C23539" w:rsidR="00EC539C" w:rsidRDefault="00EC539C" w:rsidP="00EC539C">
      <w:pPr>
        <w:pStyle w:val="Norma"/>
        <w:numPr>
          <w:ilvl w:val="1"/>
          <w:numId w:val="4"/>
        </w:numPr>
        <w:spacing w:before="120"/>
        <w:rPr>
          <w:rFonts w:asciiTheme="minorHAnsi" w:hAnsiTheme="minorHAnsi"/>
          <w:bCs/>
          <w:sz w:val="20"/>
          <w:szCs w:val="20"/>
        </w:rPr>
      </w:pPr>
      <w:r>
        <w:rPr>
          <w:rFonts w:asciiTheme="minorHAnsi" w:hAnsiTheme="minorHAnsi"/>
          <w:bCs/>
          <w:sz w:val="20"/>
          <w:szCs w:val="20"/>
        </w:rPr>
        <w:t>Th</w:t>
      </w:r>
      <w:r w:rsidR="008361B6">
        <w:rPr>
          <w:rFonts w:asciiTheme="minorHAnsi" w:hAnsiTheme="minorHAnsi"/>
          <w:bCs/>
          <w:sz w:val="20"/>
          <w:szCs w:val="20"/>
        </w:rPr>
        <w:t>e criteria</w:t>
      </w:r>
      <w:r>
        <w:rPr>
          <w:rFonts w:asciiTheme="minorHAnsi" w:hAnsiTheme="minorHAnsi"/>
          <w:bCs/>
          <w:sz w:val="20"/>
          <w:szCs w:val="20"/>
        </w:rPr>
        <w:t xml:space="preserve"> should be informed by the abatement </w:t>
      </w:r>
      <w:r w:rsidR="008361B6">
        <w:rPr>
          <w:rFonts w:asciiTheme="minorHAnsi" w:hAnsiTheme="minorHAnsi"/>
          <w:bCs/>
          <w:sz w:val="20"/>
          <w:szCs w:val="20"/>
        </w:rPr>
        <w:t>occurring in</w:t>
      </w:r>
      <w:r w:rsidR="008E44AC">
        <w:rPr>
          <w:rFonts w:asciiTheme="minorHAnsi" w:hAnsiTheme="minorHAnsi"/>
          <w:bCs/>
          <w:sz w:val="20"/>
          <w:szCs w:val="20"/>
        </w:rPr>
        <w:t xml:space="preserve"> our </w:t>
      </w:r>
      <w:r w:rsidR="008E44AC" w:rsidRPr="008E44AC">
        <w:rPr>
          <w:rFonts w:asciiTheme="minorHAnsi" w:hAnsiTheme="minorHAnsi"/>
          <w:bCs/>
          <w:sz w:val="20"/>
          <w:szCs w:val="20"/>
        </w:rPr>
        <w:t>Sixth Carbon Budget scenarios</w:t>
      </w:r>
      <w:r>
        <w:rPr>
          <w:rFonts w:asciiTheme="minorHAnsi" w:hAnsiTheme="minorHAnsi"/>
          <w:bCs/>
          <w:sz w:val="20"/>
          <w:szCs w:val="20"/>
        </w:rPr>
        <w:t xml:space="preserve"> across</w:t>
      </w:r>
      <w:r w:rsidR="008361B6">
        <w:rPr>
          <w:rFonts w:asciiTheme="minorHAnsi" w:hAnsiTheme="minorHAnsi"/>
          <w:bCs/>
          <w:sz w:val="20"/>
          <w:szCs w:val="20"/>
        </w:rPr>
        <w:t xml:space="preserve"> the</w:t>
      </w:r>
      <w:r>
        <w:rPr>
          <w:rFonts w:asciiTheme="minorHAnsi" w:hAnsiTheme="minorHAnsi"/>
          <w:bCs/>
          <w:sz w:val="20"/>
          <w:szCs w:val="20"/>
        </w:rPr>
        <w:t xml:space="preserve"> energy use sectors as a minimum.</w:t>
      </w:r>
      <w:r w:rsidR="00B40E17">
        <w:rPr>
          <w:rFonts w:asciiTheme="minorHAnsi" w:hAnsiTheme="minorHAnsi"/>
          <w:bCs/>
          <w:sz w:val="20"/>
          <w:szCs w:val="20"/>
        </w:rPr>
        <w:t xml:space="preserve"> </w:t>
      </w:r>
    </w:p>
    <w:p w14:paraId="3A6A5DFF" w14:textId="0E2603CD" w:rsidR="004E32FE" w:rsidRPr="004E32FE" w:rsidRDefault="008E44AC" w:rsidP="004E32FE">
      <w:pPr>
        <w:pStyle w:val="Norma"/>
        <w:numPr>
          <w:ilvl w:val="0"/>
          <w:numId w:val="4"/>
        </w:numPr>
        <w:spacing w:before="120"/>
        <w:rPr>
          <w:rFonts w:asciiTheme="minorHAnsi" w:hAnsiTheme="minorHAnsi"/>
          <w:bCs/>
          <w:sz w:val="20"/>
          <w:szCs w:val="20"/>
        </w:rPr>
      </w:pPr>
      <w:r w:rsidRPr="004E32FE">
        <w:rPr>
          <w:rFonts w:asciiTheme="minorHAnsi" w:hAnsiTheme="minorHAnsi"/>
          <w:b/>
          <w:sz w:val="20"/>
          <w:szCs w:val="20"/>
        </w:rPr>
        <w:t xml:space="preserve">Linking co-benefits to </w:t>
      </w:r>
      <w:proofErr w:type="gramStart"/>
      <w:r w:rsidRPr="004E32FE">
        <w:rPr>
          <w:rFonts w:asciiTheme="minorHAnsi" w:hAnsiTheme="minorHAnsi"/>
          <w:b/>
          <w:sz w:val="20"/>
          <w:szCs w:val="20"/>
        </w:rPr>
        <w:t>particular characteristics</w:t>
      </w:r>
      <w:proofErr w:type="gramEnd"/>
      <w:r w:rsidRPr="004E32FE">
        <w:rPr>
          <w:rFonts w:asciiTheme="minorHAnsi" w:hAnsiTheme="minorHAnsi"/>
          <w:b/>
          <w:sz w:val="20"/>
          <w:szCs w:val="20"/>
        </w:rPr>
        <w:t xml:space="preserve"> of household</w:t>
      </w:r>
      <w:r w:rsidR="001803B2">
        <w:rPr>
          <w:rFonts w:asciiTheme="minorHAnsi" w:hAnsiTheme="minorHAnsi"/>
          <w:b/>
          <w:sz w:val="20"/>
          <w:szCs w:val="20"/>
        </w:rPr>
        <w:t>s</w:t>
      </w:r>
      <w:r w:rsidR="004E32FE">
        <w:rPr>
          <w:rFonts w:asciiTheme="minorHAnsi" w:hAnsiTheme="minorHAnsi"/>
          <w:b/>
          <w:sz w:val="20"/>
          <w:szCs w:val="20"/>
        </w:rPr>
        <w:t>:</w:t>
      </w:r>
    </w:p>
    <w:p w14:paraId="38C81375" w14:textId="758AE653" w:rsidR="004E32FE" w:rsidRDefault="004E32FE" w:rsidP="004E32FE">
      <w:pPr>
        <w:pStyle w:val="Norma"/>
        <w:numPr>
          <w:ilvl w:val="1"/>
          <w:numId w:val="4"/>
        </w:numPr>
        <w:spacing w:before="120"/>
        <w:rPr>
          <w:rFonts w:asciiTheme="minorHAnsi" w:hAnsiTheme="minorHAnsi"/>
          <w:bCs/>
          <w:sz w:val="20"/>
          <w:szCs w:val="20"/>
        </w:rPr>
      </w:pPr>
      <w:r w:rsidRPr="004E32FE">
        <w:rPr>
          <w:rFonts w:asciiTheme="minorHAnsi" w:hAnsiTheme="minorHAnsi"/>
          <w:bCs/>
          <w:sz w:val="20"/>
          <w:szCs w:val="20"/>
        </w:rPr>
        <w:t>This</w:t>
      </w:r>
      <w:r w:rsidR="008E44AC" w:rsidRPr="004E32FE">
        <w:rPr>
          <w:rFonts w:asciiTheme="minorHAnsi" w:hAnsiTheme="minorHAnsi"/>
          <w:bCs/>
          <w:sz w:val="20"/>
          <w:szCs w:val="20"/>
        </w:rPr>
        <w:t xml:space="preserve"> </w:t>
      </w:r>
      <w:r>
        <w:rPr>
          <w:rFonts w:asciiTheme="minorHAnsi" w:hAnsiTheme="minorHAnsi"/>
          <w:bCs/>
          <w:sz w:val="20"/>
          <w:szCs w:val="20"/>
        </w:rPr>
        <w:t>should include flagged characteristics of our archetypes (</w:t>
      </w:r>
      <w:proofErr w:type="gramStart"/>
      <w:r>
        <w:rPr>
          <w:rFonts w:asciiTheme="minorHAnsi" w:hAnsiTheme="minorHAnsi"/>
          <w:bCs/>
          <w:sz w:val="20"/>
          <w:szCs w:val="20"/>
        </w:rPr>
        <w:t>e.g.</w:t>
      </w:r>
      <w:proofErr w:type="gramEnd"/>
      <w:r w:rsidR="008E44AC" w:rsidRPr="004E32FE">
        <w:rPr>
          <w:rFonts w:asciiTheme="minorHAnsi" w:hAnsiTheme="minorHAnsi"/>
          <w:bCs/>
          <w:sz w:val="20"/>
          <w:szCs w:val="20"/>
        </w:rPr>
        <w:t xml:space="preserve"> whether they live in rural/urban area</w:t>
      </w:r>
      <w:r>
        <w:rPr>
          <w:rFonts w:asciiTheme="minorHAnsi" w:hAnsiTheme="minorHAnsi"/>
          <w:bCs/>
          <w:sz w:val="20"/>
          <w:szCs w:val="20"/>
        </w:rPr>
        <w:t>s</w:t>
      </w:r>
      <w:r w:rsidR="008E44AC" w:rsidRPr="004E32FE">
        <w:rPr>
          <w:rFonts w:asciiTheme="minorHAnsi" w:hAnsiTheme="minorHAnsi"/>
          <w:bCs/>
          <w:sz w:val="20"/>
          <w:szCs w:val="20"/>
        </w:rPr>
        <w:t>, income, household size, age, car ownership</w:t>
      </w:r>
      <w:r>
        <w:rPr>
          <w:rFonts w:asciiTheme="minorHAnsi" w:hAnsiTheme="minorHAnsi"/>
          <w:bCs/>
          <w:sz w:val="20"/>
          <w:szCs w:val="20"/>
        </w:rPr>
        <w:t>)</w:t>
      </w:r>
      <w:r w:rsidR="00156A6A">
        <w:rPr>
          <w:rFonts w:asciiTheme="minorHAnsi" w:hAnsiTheme="minorHAnsi"/>
          <w:bCs/>
          <w:sz w:val="20"/>
          <w:szCs w:val="20"/>
        </w:rPr>
        <w:t xml:space="preserve"> as a minimum.</w:t>
      </w:r>
    </w:p>
    <w:p w14:paraId="5ECBFC15" w14:textId="652CEB47" w:rsidR="008E44AC" w:rsidRPr="004E32FE" w:rsidRDefault="00156A6A" w:rsidP="004E32FE">
      <w:pPr>
        <w:pStyle w:val="Norma"/>
        <w:numPr>
          <w:ilvl w:val="1"/>
          <w:numId w:val="4"/>
        </w:numPr>
        <w:spacing w:before="120"/>
        <w:rPr>
          <w:rFonts w:asciiTheme="minorHAnsi" w:hAnsiTheme="minorHAnsi"/>
          <w:bCs/>
          <w:sz w:val="20"/>
          <w:szCs w:val="20"/>
        </w:rPr>
      </w:pPr>
      <w:r>
        <w:rPr>
          <w:rFonts w:asciiTheme="minorHAnsi" w:hAnsiTheme="minorHAnsi"/>
          <w:bCs/>
          <w:sz w:val="20"/>
          <w:szCs w:val="20"/>
        </w:rPr>
        <w:t>We would like the contractor to propose additional characteristics that would determine</w:t>
      </w:r>
      <w:r w:rsidR="00BB5B03">
        <w:rPr>
          <w:rFonts w:asciiTheme="minorHAnsi" w:hAnsiTheme="minorHAnsi"/>
          <w:bCs/>
          <w:sz w:val="20"/>
          <w:szCs w:val="20"/>
        </w:rPr>
        <w:t xml:space="preserve"> health</w:t>
      </w:r>
      <w:r>
        <w:rPr>
          <w:rFonts w:asciiTheme="minorHAnsi" w:hAnsiTheme="minorHAnsi"/>
          <w:bCs/>
          <w:sz w:val="20"/>
          <w:szCs w:val="20"/>
        </w:rPr>
        <w:t xml:space="preserve"> co-benefits for particular </w:t>
      </w:r>
      <w:r w:rsidR="0061551F">
        <w:rPr>
          <w:rFonts w:asciiTheme="minorHAnsi" w:hAnsiTheme="minorHAnsi"/>
          <w:bCs/>
          <w:sz w:val="20"/>
          <w:szCs w:val="20"/>
        </w:rPr>
        <w:t xml:space="preserve">households </w:t>
      </w:r>
      <w:r>
        <w:rPr>
          <w:rFonts w:asciiTheme="minorHAnsi" w:hAnsiTheme="minorHAnsi"/>
          <w:bCs/>
          <w:sz w:val="20"/>
          <w:szCs w:val="20"/>
        </w:rPr>
        <w:t xml:space="preserve">which are not covered in our existing </w:t>
      </w:r>
      <w:r w:rsidR="0061551F">
        <w:rPr>
          <w:rFonts w:asciiTheme="minorHAnsi" w:hAnsiTheme="minorHAnsi"/>
          <w:bCs/>
          <w:sz w:val="20"/>
          <w:szCs w:val="20"/>
        </w:rPr>
        <w:t>archetypes</w:t>
      </w:r>
      <w:r w:rsidR="004D2796">
        <w:rPr>
          <w:rFonts w:asciiTheme="minorHAnsi" w:hAnsiTheme="minorHAnsi"/>
          <w:bCs/>
          <w:sz w:val="20"/>
          <w:szCs w:val="20"/>
        </w:rPr>
        <w:t xml:space="preserve"> </w:t>
      </w:r>
      <w:r w:rsidR="001803B2">
        <w:rPr>
          <w:rFonts w:asciiTheme="minorHAnsi" w:hAnsiTheme="minorHAnsi"/>
          <w:bCs/>
          <w:sz w:val="20"/>
          <w:szCs w:val="20"/>
        </w:rPr>
        <w:t>(</w:t>
      </w:r>
      <w:proofErr w:type="gramStart"/>
      <w:r w:rsidR="001803B2">
        <w:rPr>
          <w:rFonts w:asciiTheme="minorHAnsi" w:hAnsiTheme="minorHAnsi"/>
          <w:bCs/>
          <w:sz w:val="20"/>
          <w:szCs w:val="20"/>
        </w:rPr>
        <w:t>e.g.</w:t>
      </w:r>
      <w:proofErr w:type="gramEnd"/>
      <w:r w:rsidR="001803B2">
        <w:rPr>
          <w:rFonts w:asciiTheme="minorHAnsi" w:hAnsiTheme="minorHAnsi"/>
          <w:bCs/>
          <w:sz w:val="20"/>
          <w:szCs w:val="20"/>
        </w:rPr>
        <w:t xml:space="preserve"> </w:t>
      </w:r>
      <w:r w:rsidR="00D86386">
        <w:rPr>
          <w:rFonts w:asciiTheme="minorHAnsi" w:hAnsiTheme="minorHAnsi"/>
          <w:bCs/>
          <w:sz w:val="20"/>
          <w:szCs w:val="20"/>
        </w:rPr>
        <w:t xml:space="preserve">household </w:t>
      </w:r>
      <w:r w:rsidR="001803B2">
        <w:rPr>
          <w:rFonts w:asciiTheme="minorHAnsi" w:hAnsiTheme="minorHAnsi"/>
          <w:bCs/>
          <w:sz w:val="20"/>
          <w:szCs w:val="20"/>
        </w:rPr>
        <w:t>meat consumption</w:t>
      </w:r>
      <w:r w:rsidR="00D86386">
        <w:rPr>
          <w:rFonts w:asciiTheme="minorHAnsi" w:hAnsiTheme="minorHAnsi"/>
          <w:bCs/>
          <w:sz w:val="20"/>
          <w:szCs w:val="20"/>
        </w:rPr>
        <w:t>, geographic location</w:t>
      </w:r>
      <w:r w:rsidR="001803B2">
        <w:rPr>
          <w:rFonts w:asciiTheme="minorHAnsi" w:hAnsiTheme="minorHAnsi"/>
          <w:bCs/>
          <w:sz w:val="20"/>
          <w:szCs w:val="20"/>
        </w:rPr>
        <w:t xml:space="preserve">) </w:t>
      </w:r>
      <w:r w:rsidR="004D2796">
        <w:rPr>
          <w:rFonts w:asciiTheme="minorHAnsi" w:hAnsiTheme="minorHAnsi"/>
          <w:bCs/>
          <w:sz w:val="20"/>
          <w:szCs w:val="20"/>
        </w:rPr>
        <w:t xml:space="preserve">and a clear methodology </w:t>
      </w:r>
      <w:r w:rsidR="001803B2">
        <w:rPr>
          <w:rFonts w:asciiTheme="minorHAnsi" w:hAnsiTheme="minorHAnsi"/>
          <w:bCs/>
          <w:sz w:val="20"/>
          <w:szCs w:val="20"/>
        </w:rPr>
        <w:t>for</w:t>
      </w:r>
      <w:r w:rsidR="004D2796">
        <w:rPr>
          <w:rFonts w:asciiTheme="minorHAnsi" w:hAnsiTheme="minorHAnsi"/>
          <w:bCs/>
          <w:sz w:val="20"/>
          <w:szCs w:val="20"/>
        </w:rPr>
        <w:t xml:space="preserve"> tying these to our existing archetypes (e.g. through </w:t>
      </w:r>
      <w:r w:rsidR="008E44AC" w:rsidRPr="004E32FE">
        <w:rPr>
          <w:rFonts w:asciiTheme="minorHAnsi" w:hAnsiTheme="minorHAnsi"/>
          <w:bCs/>
          <w:sz w:val="20"/>
          <w:szCs w:val="20"/>
        </w:rPr>
        <w:t>data-matching or allocation rules</w:t>
      </w:r>
      <w:r w:rsidR="004D2796">
        <w:rPr>
          <w:rFonts w:asciiTheme="minorHAnsi" w:hAnsiTheme="minorHAnsi"/>
          <w:bCs/>
          <w:sz w:val="20"/>
          <w:szCs w:val="20"/>
        </w:rPr>
        <w:t>).</w:t>
      </w:r>
    </w:p>
    <w:p w14:paraId="6BEE445C" w14:textId="074AFCB5" w:rsidR="008A2F4A" w:rsidRDefault="008E44AC" w:rsidP="008E44AC">
      <w:pPr>
        <w:pStyle w:val="Norma"/>
        <w:numPr>
          <w:ilvl w:val="0"/>
          <w:numId w:val="4"/>
        </w:numPr>
        <w:spacing w:before="120"/>
        <w:rPr>
          <w:rFonts w:asciiTheme="minorHAnsi" w:hAnsiTheme="minorHAnsi"/>
          <w:bCs/>
          <w:sz w:val="20"/>
          <w:szCs w:val="20"/>
        </w:rPr>
      </w:pPr>
      <w:r w:rsidRPr="004D2796">
        <w:rPr>
          <w:rFonts w:asciiTheme="minorHAnsi" w:hAnsiTheme="minorHAnsi"/>
          <w:b/>
          <w:sz w:val="20"/>
          <w:szCs w:val="20"/>
        </w:rPr>
        <w:t xml:space="preserve">Quantifying </w:t>
      </w:r>
      <w:r w:rsidR="00A0036F">
        <w:rPr>
          <w:rFonts w:asciiTheme="minorHAnsi" w:hAnsiTheme="minorHAnsi"/>
          <w:b/>
          <w:sz w:val="20"/>
          <w:szCs w:val="20"/>
        </w:rPr>
        <w:t xml:space="preserve">health </w:t>
      </w:r>
      <w:r w:rsidRPr="004D2796">
        <w:rPr>
          <w:rFonts w:asciiTheme="minorHAnsi" w:hAnsiTheme="minorHAnsi"/>
          <w:b/>
          <w:sz w:val="20"/>
          <w:szCs w:val="20"/>
        </w:rPr>
        <w:t xml:space="preserve">co-benefits for the </w:t>
      </w:r>
      <w:r w:rsidR="004D2796" w:rsidRPr="004D2796">
        <w:rPr>
          <w:rFonts w:asciiTheme="minorHAnsi" w:hAnsiTheme="minorHAnsi"/>
          <w:b/>
          <w:sz w:val="20"/>
          <w:szCs w:val="20"/>
        </w:rPr>
        <w:t xml:space="preserve">CCC’s </w:t>
      </w:r>
      <w:r w:rsidR="001803B2">
        <w:rPr>
          <w:rFonts w:asciiTheme="minorHAnsi" w:hAnsiTheme="minorHAnsi"/>
          <w:b/>
          <w:sz w:val="20"/>
          <w:szCs w:val="20"/>
        </w:rPr>
        <w:t xml:space="preserve">Sixth Carbon Budget </w:t>
      </w:r>
      <w:r w:rsidRPr="004D2796">
        <w:rPr>
          <w:rFonts w:asciiTheme="minorHAnsi" w:hAnsiTheme="minorHAnsi"/>
          <w:b/>
          <w:sz w:val="20"/>
          <w:szCs w:val="20"/>
        </w:rPr>
        <w:t>pathways</w:t>
      </w:r>
      <w:r w:rsidR="00C161DD">
        <w:rPr>
          <w:rFonts w:asciiTheme="minorHAnsi" w:hAnsiTheme="minorHAnsi"/>
          <w:b/>
          <w:sz w:val="20"/>
          <w:szCs w:val="20"/>
        </w:rPr>
        <w:t xml:space="preserve"> and baseline</w:t>
      </w:r>
      <w:r w:rsidR="004D2796" w:rsidRPr="004D2796">
        <w:rPr>
          <w:rFonts w:asciiTheme="minorHAnsi" w:hAnsiTheme="minorHAnsi"/>
          <w:b/>
          <w:sz w:val="20"/>
          <w:szCs w:val="20"/>
        </w:rPr>
        <w:t>:</w:t>
      </w:r>
      <w:r w:rsidRPr="008E44AC">
        <w:rPr>
          <w:rFonts w:asciiTheme="minorHAnsi" w:hAnsiTheme="minorHAnsi"/>
          <w:bCs/>
          <w:sz w:val="20"/>
          <w:szCs w:val="20"/>
        </w:rPr>
        <w:t xml:space="preserve"> </w:t>
      </w:r>
    </w:p>
    <w:p w14:paraId="01E82D05" w14:textId="449F29E4" w:rsidR="008361B6" w:rsidRDefault="004A7F8E" w:rsidP="008A2F4A">
      <w:pPr>
        <w:pStyle w:val="Norma"/>
        <w:numPr>
          <w:ilvl w:val="1"/>
          <w:numId w:val="4"/>
        </w:numPr>
        <w:spacing w:before="120"/>
        <w:rPr>
          <w:rFonts w:asciiTheme="minorHAnsi" w:hAnsiTheme="minorHAnsi"/>
          <w:bCs/>
          <w:sz w:val="20"/>
          <w:szCs w:val="20"/>
        </w:rPr>
      </w:pPr>
      <w:r>
        <w:rPr>
          <w:rFonts w:asciiTheme="minorHAnsi" w:hAnsiTheme="minorHAnsi"/>
          <w:bCs/>
          <w:sz w:val="20"/>
          <w:szCs w:val="20"/>
        </w:rPr>
        <w:t>S</w:t>
      </w:r>
      <w:r w:rsidR="00093744">
        <w:rPr>
          <w:rFonts w:asciiTheme="minorHAnsi" w:hAnsiTheme="minorHAnsi"/>
          <w:bCs/>
          <w:sz w:val="20"/>
          <w:szCs w:val="20"/>
        </w:rPr>
        <w:t>et out whether it is possible to quantify each of the</w:t>
      </w:r>
      <w:r w:rsidR="00A0036F">
        <w:rPr>
          <w:rFonts w:asciiTheme="minorHAnsi" w:hAnsiTheme="minorHAnsi"/>
          <w:bCs/>
          <w:sz w:val="20"/>
          <w:szCs w:val="20"/>
        </w:rPr>
        <w:t xml:space="preserve"> health</w:t>
      </w:r>
      <w:r w:rsidR="00093744">
        <w:rPr>
          <w:rFonts w:asciiTheme="minorHAnsi" w:hAnsiTheme="minorHAnsi"/>
          <w:bCs/>
          <w:sz w:val="20"/>
          <w:szCs w:val="20"/>
        </w:rPr>
        <w:t xml:space="preserve"> co-benefits </w:t>
      </w:r>
      <w:r w:rsidR="00D6274F">
        <w:rPr>
          <w:rFonts w:asciiTheme="minorHAnsi" w:hAnsiTheme="minorHAnsi"/>
          <w:bCs/>
          <w:sz w:val="20"/>
          <w:szCs w:val="20"/>
        </w:rPr>
        <w:t xml:space="preserve">to household archetypes </w:t>
      </w:r>
      <w:r w:rsidR="00093744">
        <w:rPr>
          <w:rFonts w:asciiTheme="minorHAnsi" w:hAnsiTheme="minorHAnsi"/>
          <w:bCs/>
          <w:sz w:val="20"/>
          <w:szCs w:val="20"/>
        </w:rPr>
        <w:t>and the</w:t>
      </w:r>
      <w:r w:rsidR="003C4926" w:rsidRPr="003C4926">
        <w:rPr>
          <w:rFonts w:asciiTheme="minorHAnsi" w:hAnsiTheme="minorHAnsi"/>
          <w:bCs/>
          <w:sz w:val="20"/>
          <w:szCs w:val="20"/>
        </w:rPr>
        <w:t xml:space="preserve"> best way to </w:t>
      </w:r>
      <w:r w:rsidR="00093744">
        <w:rPr>
          <w:rFonts w:asciiTheme="minorHAnsi" w:hAnsiTheme="minorHAnsi"/>
          <w:bCs/>
          <w:sz w:val="20"/>
          <w:szCs w:val="20"/>
        </w:rPr>
        <w:t>do this</w:t>
      </w:r>
      <w:r w:rsidR="00407979">
        <w:rPr>
          <w:rFonts w:asciiTheme="minorHAnsi" w:hAnsiTheme="minorHAnsi"/>
          <w:bCs/>
          <w:sz w:val="20"/>
          <w:szCs w:val="20"/>
        </w:rPr>
        <w:t xml:space="preserve"> – whether they should be monetised </w:t>
      </w:r>
      <w:r w:rsidR="008E44AC" w:rsidRPr="003C4926">
        <w:rPr>
          <w:rFonts w:asciiTheme="minorHAnsi" w:hAnsiTheme="minorHAnsi"/>
          <w:bCs/>
          <w:sz w:val="20"/>
          <w:szCs w:val="20"/>
        </w:rPr>
        <w:t>(</w:t>
      </w:r>
      <w:proofErr w:type="gramStart"/>
      <w:r w:rsidR="00407979">
        <w:rPr>
          <w:rFonts w:asciiTheme="minorHAnsi" w:hAnsiTheme="minorHAnsi"/>
          <w:bCs/>
          <w:sz w:val="20"/>
          <w:szCs w:val="20"/>
        </w:rPr>
        <w:t>e.g.</w:t>
      </w:r>
      <w:proofErr w:type="gramEnd"/>
      <w:r w:rsidR="00407979">
        <w:rPr>
          <w:rFonts w:asciiTheme="minorHAnsi" w:hAnsiTheme="minorHAnsi"/>
          <w:bCs/>
          <w:sz w:val="20"/>
          <w:szCs w:val="20"/>
        </w:rPr>
        <w:t xml:space="preserve"> </w:t>
      </w:r>
      <w:r w:rsidR="00407979" w:rsidRPr="003C4926">
        <w:rPr>
          <w:rFonts w:asciiTheme="minorHAnsi" w:hAnsiTheme="minorHAnsi"/>
          <w:bCs/>
          <w:sz w:val="20"/>
          <w:szCs w:val="20"/>
        </w:rPr>
        <w:t xml:space="preserve">through standard techniques for valuing costs and benefits </w:t>
      </w:r>
      <w:r w:rsidR="008E44AC" w:rsidRPr="003C4926">
        <w:rPr>
          <w:rFonts w:asciiTheme="minorHAnsi" w:hAnsiTheme="minorHAnsi"/>
          <w:bCs/>
          <w:sz w:val="20"/>
          <w:szCs w:val="20"/>
        </w:rPr>
        <w:t>as set out in the Government’s Green Book guidance</w:t>
      </w:r>
      <w:r w:rsidR="00407979">
        <w:rPr>
          <w:rStyle w:val="FootnoteReference"/>
          <w:rFonts w:asciiTheme="minorHAnsi" w:hAnsiTheme="minorHAnsi"/>
          <w:bCs/>
          <w:sz w:val="20"/>
          <w:szCs w:val="20"/>
        </w:rPr>
        <w:footnoteReference w:id="5"/>
      </w:r>
      <w:r w:rsidR="008E44AC" w:rsidRPr="003C4926">
        <w:rPr>
          <w:rFonts w:asciiTheme="minorHAnsi" w:hAnsiTheme="minorHAnsi"/>
          <w:bCs/>
          <w:sz w:val="20"/>
          <w:szCs w:val="20"/>
        </w:rPr>
        <w:t xml:space="preserve">), or </w:t>
      </w:r>
      <w:r w:rsidR="00A73B4F">
        <w:rPr>
          <w:rFonts w:asciiTheme="minorHAnsi" w:hAnsiTheme="minorHAnsi"/>
          <w:bCs/>
          <w:sz w:val="20"/>
          <w:szCs w:val="20"/>
        </w:rPr>
        <w:t xml:space="preserve">alternative metrics should be used (e.g. </w:t>
      </w:r>
      <w:r w:rsidR="009A2A64">
        <w:rPr>
          <w:rFonts w:asciiTheme="minorHAnsi" w:hAnsiTheme="minorHAnsi"/>
          <w:bCs/>
          <w:sz w:val="20"/>
          <w:szCs w:val="20"/>
        </w:rPr>
        <w:t>mortality reduction</w:t>
      </w:r>
      <w:r w:rsidR="007C6B4B">
        <w:rPr>
          <w:rFonts w:asciiTheme="minorHAnsi" w:hAnsiTheme="minorHAnsi"/>
          <w:bCs/>
          <w:sz w:val="20"/>
          <w:szCs w:val="20"/>
        </w:rPr>
        <w:t xml:space="preserve"> or Well-Being-Year</w:t>
      </w:r>
      <w:r w:rsidR="007C6B4B">
        <w:rPr>
          <w:rStyle w:val="FootnoteReference"/>
          <w:rFonts w:asciiTheme="minorHAnsi" w:hAnsiTheme="minorHAnsi"/>
          <w:bCs/>
          <w:sz w:val="20"/>
          <w:szCs w:val="20"/>
        </w:rPr>
        <w:footnoteReference w:id="6"/>
      </w:r>
      <w:r w:rsidR="007C6B4B">
        <w:rPr>
          <w:rFonts w:asciiTheme="minorHAnsi" w:hAnsiTheme="minorHAnsi"/>
          <w:bCs/>
          <w:sz w:val="20"/>
          <w:szCs w:val="20"/>
        </w:rPr>
        <w:t>)</w:t>
      </w:r>
      <w:r w:rsidR="008E44AC" w:rsidRPr="003C4926">
        <w:rPr>
          <w:rFonts w:asciiTheme="minorHAnsi" w:hAnsiTheme="minorHAnsi"/>
          <w:bCs/>
          <w:sz w:val="20"/>
          <w:szCs w:val="20"/>
        </w:rPr>
        <w:t xml:space="preserve">. </w:t>
      </w:r>
      <w:r w:rsidR="00093744">
        <w:rPr>
          <w:rFonts w:asciiTheme="minorHAnsi" w:hAnsiTheme="minorHAnsi"/>
          <w:bCs/>
          <w:sz w:val="20"/>
          <w:szCs w:val="20"/>
        </w:rPr>
        <w:t xml:space="preserve">Limitations of approaches </w:t>
      </w:r>
      <w:r>
        <w:rPr>
          <w:rFonts w:asciiTheme="minorHAnsi" w:hAnsiTheme="minorHAnsi"/>
          <w:bCs/>
          <w:sz w:val="20"/>
          <w:szCs w:val="20"/>
        </w:rPr>
        <w:t>used,</w:t>
      </w:r>
      <w:r w:rsidR="00093744">
        <w:rPr>
          <w:rFonts w:asciiTheme="minorHAnsi" w:hAnsiTheme="minorHAnsi"/>
          <w:bCs/>
          <w:sz w:val="20"/>
          <w:szCs w:val="20"/>
        </w:rPr>
        <w:t xml:space="preserve"> and uncertainty</w:t>
      </w:r>
      <w:r w:rsidR="00022890">
        <w:rPr>
          <w:rFonts w:asciiTheme="minorHAnsi" w:hAnsiTheme="minorHAnsi"/>
          <w:bCs/>
          <w:sz w:val="20"/>
          <w:szCs w:val="20"/>
        </w:rPr>
        <w:t xml:space="preserve"> in assumptions,</w:t>
      </w:r>
      <w:r w:rsidR="00093744">
        <w:rPr>
          <w:rFonts w:asciiTheme="minorHAnsi" w:hAnsiTheme="minorHAnsi"/>
          <w:bCs/>
          <w:sz w:val="20"/>
          <w:szCs w:val="20"/>
        </w:rPr>
        <w:t xml:space="preserve"> should be made clear.</w:t>
      </w:r>
    </w:p>
    <w:p w14:paraId="2C7A7ADB" w14:textId="4B692911" w:rsidR="00D6274F" w:rsidRPr="00D6274F" w:rsidRDefault="0020116E" w:rsidP="00D6274F">
      <w:pPr>
        <w:pStyle w:val="Norma"/>
        <w:numPr>
          <w:ilvl w:val="1"/>
          <w:numId w:val="4"/>
        </w:numPr>
        <w:spacing w:before="120"/>
        <w:rPr>
          <w:rFonts w:asciiTheme="minorHAnsi" w:hAnsiTheme="minorHAnsi"/>
          <w:sz w:val="20"/>
          <w:szCs w:val="20"/>
        </w:rPr>
      </w:pPr>
      <w:r>
        <w:rPr>
          <w:rFonts w:asciiTheme="minorHAnsi" w:hAnsiTheme="minorHAnsi"/>
          <w:sz w:val="20"/>
          <w:szCs w:val="20"/>
        </w:rPr>
        <w:t>Link impacts to households to second order effects - t</w:t>
      </w:r>
      <w:r w:rsidR="00442173">
        <w:rPr>
          <w:rFonts w:asciiTheme="minorHAnsi" w:hAnsiTheme="minorHAnsi"/>
          <w:sz w:val="20"/>
          <w:szCs w:val="20"/>
        </w:rPr>
        <w:t>ranslat</w:t>
      </w:r>
      <w:r>
        <w:rPr>
          <w:rFonts w:asciiTheme="minorHAnsi" w:hAnsiTheme="minorHAnsi"/>
          <w:sz w:val="20"/>
          <w:szCs w:val="20"/>
        </w:rPr>
        <w:t>ing</w:t>
      </w:r>
      <w:r w:rsidR="00D6274F" w:rsidRPr="4D2AED61">
        <w:rPr>
          <w:rFonts w:asciiTheme="minorHAnsi" w:hAnsiTheme="minorHAnsi"/>
          <w:sz w:val="20"/>
          <w:szCs w:val="20"/>
        </w:rPr>
        <w:t xml:space="preserve"> </w:t>
      </w:r>
      <w:r w:rsidR="00442173">
        <w:rPr>
          <w:rFonts w:asciiTheme="minorHAnsi" w:hAnsiTheme="minorHAnsi"/>
          <w:sz w:val="20"/>
          <w:szCs w:val="20"/>
        </w:rPr>
        <w:t xml:space="preserve">household </w:t>
      </w:r>
      <w:r>
        <w:rPr>
          <w:rFonts w:asciiTheme="minorHAnsi" w:hAnsiTheme="minorHAnsi"/>
          <w:sz w:val="20"/>
          <w:szCs w:val="20"/>
        </w:rPr>
        <w:t>impacts</w:t>
      </w:r>
      <w:r w:rsidR="00D6274F" w:rsidRPr="4D2AED61">
        <w:rPr>
          <w:rFonts w:asciiTheme="minorHAnsi" w:hAnsiTheme="minorHAnsi"/>
          <w:sz w:val="20"/>
          <w:szCs w:val="20"/>
        </w:rPr>
        <w:t xml:space="preserve"> </w:t>
      </w:r>
      <w:r w:rsidR="00442173">
        <w:rPr>
          <w:rFonts w:asciiTheme="minorHAnsi" w:hAnsiTheme="minorHAnsi"/>
          <w:sz w:val="20"/>
          <w:szCs w:val="20"/>
        </w:rPr>
        <w:t>in</w:t>
      </w:r>
      <w:r w:rsidR="00D6274F" w:rsidRPr="4D2AED61">
        <w:rPr>
          <w:rFonts w:asciiTheme="minorHAnsi" w:hAnsiTheme="minorHAnsi"/>
          <w:sz w:val="20"/>
          <w:szCs w:val="20"/>
        </w:rPr>
        <w:t>to</w:t>
      </w:r>
      <w:r w:rsidR="00442173">
        <w:rPr>
          <w:rFonts w:asciiTheme="minorHAnsi" w:hAnsiTheme="minorHAnsi"/>
          <w:sz w:val="20"/>
          <w:szCs w:val="20"/>
        </w:rPr>
        <w:t xml:space="preserve"> subsequent </w:t>
      </w:r>
      <w:r>
        <w:rPr>
          <w:rFonts w:asciiTheme="minorHAnsi" w:hAnsiTheme="minorHAnsi"/>
          <w:sz w:val="20"/>
          <w:szCs w:val="20"/>
        </w:rPr>
        <w:t>effects</w:t>
      </w:r>
      <w:r w:rsidR="00442173">
        <w:rPr>
          <w:rFonts w:asciiTheme="minorHAnsi" w:hAnsiTheme="minorHAnsi"/>
          <w:sz w:val="20"/>
          <w:szCs w:val="20"/>
        </w:rPr>
        <w:t xml:space="preserve"> </w:t>
      </w:r>
      <w:r>
        <w:rPr>
          <w:rFonts w:asciiTheme="minorHAnsi" w:hAnsiTheme="minorHAnsi"/>
          <w:sz w:val="20"/>
          <w:szCs w:val="20"/>
        </w:rPr>
        <w:t>for</w:t>
      </w:r>
      <w:r w:rsidR="00442173">
        <w:rPr>
          <w:rFonts w:asciiTheme="minorHAnsi" w:hAnsiTheme="minorHAnsi"/>
          <w:sz w:val="20"/>
          <w:szCs w:val="20"/>
        </w:rPr>
        <w:t xml:space="preserve"> the</w:t>
      </w:r>
      <w:r w:rsidR="00D6274F" w:rsidRPr="4D2AED61">
        <w:rPr>
          <w:rFonts w:asciiTheme="minorHAnsi" w:hAnsiTheme="minorHAnsi"/>
          <w:sz w:val="20"/>
          <w:szCs w:val="20"/>
        </w:rPr>
        <w:t xml:space="preserve"> Exchequer (</w:t>
      </w:r>
      <w:proofErr w:type="gramStart"/>
      <w:r w:rsidR="00D6274F" w:rsidRPr="4D2AED61">
        <w:rPr>
          <w:rFonts w:asciiTheme="minorHAnsi" w:hAnsiTheme="minorHAnsi"/>
          <w:sz w:val="20"/>
          <w:szCs w:val="20"/>
        </w:rPr>
        <w:t>e.g.</w:t>
      </w:r>
      <w:proofErr w:type="gramEnd"/>
      <w:r w:rsidR="00D6274F" w:rsidRPr="4D2AED61">
        <w:rPr>
          <w:rFonts w:asciiTheme="minorHAnsi" w:hAnsiTheme="minorHAnsi"/>
          <w:sz w:val="20"/>
          <w:szCs w:val="20"/>
        </w:rPr>
        <w:t xml:space="preserve"> savings to the NHS from lower mortality, reduced tax take from lower congestion)</w:t>
      </w:r>
      <w:r w:rsidR="008263D7">
        <w:rPr>
          <w:rFonts w:asciiTheme="minorHAnsi" w:hAnsiTheme="minorHAnsi"/>
          <w:sz w:val="20"/>
          <w:szCs w:val="20"/>
        </w:rPr>
        <w:t>.</w:t>
      </w:r>
    </w:p>
    <w:p w14:paraId="0B86A374" w14:textId="1982BF96" w:rsidR="006F03AE" w:rsidRPr="003C4926" w:rsidRDefault="004A7F8E" w:rsidP="008A2F4A">
      <w:pPr>
        <w:pStyle w:val="Norma"/>
        <w:numPr>
          <w:ilvl w:val="1"/>
          <w:numId w:val="4"/>
        </w:numPr>
        <w:spacing w:before="120"/>
        <w:rPr>
          <w:rFonts w:asciiTheme="minorHAnsi" w:hAnsiTheme="minorHAnsi"/>
          <w:bCs/>
          <w:sz w:val="20"/>
          <w:szCs w:val="20"/>
        </w:rPr>
      </w:pPr>
      <w:r>
        <w:rPr>
          <w:rFonts w:asciiTheme="minorHAnsi" w:hAnsiTheme="minorHAnsi"/>
          <w:bCs/>
          <w:sz w:val="20"/>
          <w:szCs w:val="20"/>
        </w:rPr>
        <w:t>Quantify co-benefits to household archetype</w:t>
      </w:r>
      <w:r w:rsidR="00022890">
        <w:rPr>
          <w:rFonts w:asciiTheme="minorHAnsi" w:hAnsiTheme="minorHAnsi"/>
          <w:bCs/>
          <w:sz w:val="20"/>
          <w:szCs w:val="20"/>
        </w:rPr>
        <w:t>s</w:t>
      </w:r>
      <w:r>
        <w:rPr>
          <w:rFonts w:asciiTheme="minorHAnsi" w:hAnsiTheme="minorHAnsi"/>
          <w:bCs/>
          <w:sz w:val="20"/>
          <w:szCs w:val="20"/>
        </w:rPr>
        <w:t xml:space="preserve"> </w:t>
      </w:r>
      <w:r w:rsidR="0020116E">
        <w:rPr>
          <w:rFonts w:asciiTheme="minorHAnsi" w:hAnsiTheme="minorHAnsi"/>
          <w:bCs/>
          <w:sz w:val="20"/>
          <w:szCs w:val="20"/>
        </w:rPr>
        <w:t xml:space="preserve">and second order effects </w:t>
      </w:r>
      <w:bookmarkStart w:id="8" w:name="_Hlk120706372"/>
      <w:r>
        <w:rPr>
          <w:rFonts w:asciiTheme="minorHAnsi" w:hAnsiTheme="minorHAnsi"/>
          <w:bCs/>
          <w:sz w:val="20"/>
          <w:szCs w:val="20"/>
        </w:rPr>
        <w:t>w</w:t>
      </w:r>
      <w:r w:rsidR="006F03AE">
        <w:rPr>
          <w:rFonts w:asciiTheme="minorHAnsi" w:hAnsiTheme="minorHAnsi"/>
          <w:bCs/>
          <w:sz w:val="20"/>
          <w:szCs w:val="20"/>
        </w:rPr>
        <w:t>here agreement is reached between the CCC and contractors that co-benefits should be</w:t>
      </w:r>
      <w:r>
        <w:rPr>
          <w:rFonts w:asciiTheme="minorHAnsi" w:hAnsiTheme="minorHAnsi"/>
          <w:bCs/>
          <w:sz w:val="20"/>
          <w:szCs w:val="20"/>
        </w:rPr>
        <w:t xml:space="preserve"> quantified.</w:t>
      </w:r>
      <w:bookmarkEnd w:id="8"/>
    </w:p>
    <w:p w14:paraId="72DB9714" w14:textId="7098C146" w:rsidR="007373D9" w:rsidRPr="006D7AA8" w:rsidRDefault="008361B6" w:rsidP="006D7AA8">
      <w:pPr>
        <w:pStyle w:val="Norma"/>
        <w:numPr>
          <w:ilvl w:val="1"/>
          <w:numId w:val="4"/>
        </w:numPr>
        <w:spacing w:before="120"/>
        <w:rPr>
          <w:rFonts w:asciiTheme="minorHAnsi" w:hAnsiTheme="minorHAnsi"/>
          <w:bCs/>
          <w:sz w:val="20"/>
          <w:szCs w:val="20"/>
        </w:rPr>
      </w:pPr>
      <w:r>
        <w:rPr>
          <w:rFonts w:asciiTheme="minorHAnsi" w:hAnsiTheme="minorHAnsi"/>
          <w:bCs/>
          <w:sz w:val="20"/>
          <w:szCs w:val="20"/>
        </w:rPr>
        <w:t xml:space="preserve">Research undertaken </w:t>
      </w:r>
      <w:r w:rsidR="00F65134">
        <w:rPr>
          <w:rFonts w:asciiTheme="minorHAnsi" w:hAnsiTheme="minorHAnsi"/>
          <w:bCs/>
          <w:sz w:val="20"/>
          <w:szCs w:val="20"/>
        </w:rPr>
        <w:t xml:space="preserve">externally </w:t>
      </w:r>
      <w:r>
        <w:rPr>
          <w:rFonts w:asciiTheme="minorHAnsi" w:hAnsiTheme="minorHAnsi"/>
          <w:bCs/>
          <w:sz w:val="20"/>
          <w:szCs w:val="20"/>
        </w:rPr>
        <w:t xml:space="preserve">of mortality reduction from two of the CCC’s scenarios </w:t>
      </w:r>
      <w:r w:rsidR="008A2F4A">
        <w:rPr>
          <w:rFonts w:asciiTheme="minorHAnsi" w:hAnsiTheme="minorHAnsi"/>
          <w:bCs/>
          <w:sz w:val="20"/>
          <w:szCs w:val="20"/>
        </w:rPr>
        <w:t xml:space="preserve">(Balanced Pathway and </w:t>
      </w:r>
      <w:r w:rsidR="00870825">
        <w:rPr>
          <w:rFonts w:asciiTheme="minorHAnsi" w:hAnsiTheme="minorHAnsi"/>
          <w:bCs/>
          <w:sz w:val="20"/>
          <w:szCs w:val="20"/>
        </w:rPr>
        <w:t>Widespread Engagement)</w:t>
      </w:r>
      <w:r w:rsidR="00F65134">
        <w:rPr>
          <w:rFonts w:asciiTheme="minorHAnsi" w:hAnsiTheme="minorHAnsi"/>
          <w:bCs/>
          <w:sz w:val="20"/>
          <w:szCs w:val="20"/>
        </w:rPr>
        <w:t>, due to be published shortly</w:t>
      </w:r>
      <w:r w:rsidR="00E61BD8">
        <w:rPr>
          <w:rFonts w:asciiTheme="minorHAnsi" w:hAnsiTheme="minorHAnsi"/>
          <w:bCs/>
          <w:sz w:val="20"/>
          <w:szCs w:val="20"/>
        </w:rPr>
        <w:t xml:space="preserve"> in the Lancet Planetary Health</w:t>
      </w:r>
      <w:r w:rsidR="00F65134">
        <w:rPr>
          <w:rFonts w:asciiTheme="minorHAnsi" w:hAnsiTheme="minorHAnsi"/>
          <w:bCs/>
          <w:sz w:val="20"/>
          <w:szCs w:val="20"/>
        </w:rPr>
        <w:t>,</w:t>
      </w:r>
      <w:r w:rsidR="00870825">
        <w:rPr>
          <w:rFonts w:asciiTheme="minorHAnsi" w:hAnsiTheme="minorHAnsi"/>
          <w:bCs/>
          <w:sz w:val="20"/>
          <w:szCs w:val="20"/>
        </w:rPr>
        <w:t xml:space="preserve"> </w:t>
      </w:r>
      <w:r>
        <w:rPr>
          <w:rFonts w:asciiTheme="minorHAnsi" w:hAnsiTheme="minorHAnsi"/>
          <w:bCs/>
          <w:sz w:val="20"/>
          <w:szCs w:val="20"/>
        </w:rPr>
        <w:t>could be used as a starting point for analysis on health co-benefits.</w:t>
      </w:r>
      <w:r w:rsidR="00870825">
        <w:rPr>
          <w:rFonts w:asciiTheme="minorHAnsi" w:hAnsiTheme="minorHAnsi"/>
          <w:bCs/>
          <w:sz w:val="20"/>
          <w:szCs w:val="20"/>
        </w:rPr>
        <w:t xml:space="preserve"> </w:t>
      </w:r>
      <w:r w:rsidR="00022890">
        <w:rPr>
          <w:rFonts w:asciiTheme="minorHAnsi" w:hAnsiTheme="minorHAnsi"/>
          <w:bCs/>
          <w:sz w:val="20"/>
          <w:szCs w:val="20"/>
        </w:rPr>
        <w:t>Research undertaken by Ricardo for the CCC in 2013</w:t>
      </w:r>
      <w:r w:rsidR="00E9075E">
        <w:rPr>
          <w:rStyle w:val="FootnoteReference"/>
          <w:rFonts w:asciiTheme="minorHAnsi" w:hAnsiTheme="minorHAnsi"/>
          <w:bCs/>
          <w:sz w:val="20"/>
          <w:szCs w:val="20"/>
        </w:rPr>
        <w:footnoteReference w:id="7"/>
      </w:r>
      <w:r w:rsidR="00022890">
        <w:rPr>
          <w:rFonts w:asciiTheme="minorHAnsi" w:hAnsiTheme="minorHAnsi"/>
          <w:bCs/>
          <w:sz w:val="20"/>
          <w:szCs w:val="20"/>
        </w:rPr>
        <w:t xml:space="preserve"> (which </w:t>
      </w:r>
      <w:r w:rsidR="00D73787">
        <w:rPr>
          <w:rFonts w:asciiTheme="minorHAnsi" w:hAnsiTheme="minorHAnsi"/>
          <w:bCs/>
          <w:sz w:val="20"/>
          <w:szCs w:val="20"/>
        </w:rPr>
        <w:t>pre-dates our Sixth Carbon Budget pathways) can inform the approach to quantifying other co-benefits.</w:t>
      </w:r>
    </w:p>
    <w:p w14:paraId="7EB3EE02" w14:textId="2F3B8C66" w:rsidR="008263D7" w:rsidRPr="00F65134" w:rsidRDefault="008263D7" w:rsidP="00F65134">
      <w:pPr>
        <w:pStyle w:val="Norma"/>
        <w:numPr>
          <w:ilvl w:val="0"/>
          <w:numId w:val="13"/>
        </w:numPr>
        <w:spacing w:before="120"/>
        <w:rPr>
          <w:rFonts w:asciiTheme="minorHAnsi" w:hAnsiTheme="minorHAnsi"/>
          <w:b/>
          <w:color w:val="7142FF" w:themeColor="accent4"/>
          <w:sz w:val="20"/>
          <w:szCs w:val="20"/>
        </w:rPr>
      </w:pPr>
      <w:r w:rsidRPr="00F65134">
        <w:rPr>
          <w:rFonts w:asciiTheme="minorHAnsi" w:hAnsiTheme="minorHAnsi"/>
          <w:b/>
          <w:color w:val="7142FF" w:themeColor="accent4"/>
          <w:sz w:val="20"/>
          <w:szCs w:val="20"/>
        </w:rPr>
        <w:t xml:space="preserve">Desirable </w:t>
      </w:r>
      <w:r w:rsidR="00F65134">
        <w:rPr>
          <w:rFonts w:asciiTheme="minorHAnsi" w:hAnsiTheme="minorHAnsi"/>
          <w:b/>
          <w:color w:val="7142FF" w:themeColor="accent4"/>
          <w:sz w:val="20"/>
          <w:szCs w:val="20"/>
        </w:rPr>
        <w:t>elements</w:t>
      </w:r>
    </w:p>
    <w:p w14:paraId="2BA32960" w14:textId="1A85E32C" w:rsidR="008263D7" w:rsidRDefault="00DA06E2" w:rsidP="008263D7">
      <w:pPr>
        <w:pStyle w:val="Norma"/>
        <w:spacing w:before="120"/>
        <w:ind w:left="720"/>
        <w:rPr>
          <w:rFonts w:asciiTheme="minorHAnsi" w:hAnsiTheme="minorHAnsi"/>
          <w:bCs/>
          <w:sz w:val="20"/>
          <w:szCs w:val="20"/>
        </w:rPr>
      </w:pPr>
      <w:r>
        <w:rPr>
          <w:rFonts w:asciiTheme="minorHAnsi" w:hAnsiTheme="minorHAnsi"/>
          <w:bCs/>
          <w:sz w:val="20"/>
          <w:szCs w:val="20"/>
        </w:rPr>
        <w:t xml:space="preserve">Beyond health co-benefits, the project could expand to </w:t>
      </w:r>
      <w:r w:rsidR="005D0032">
        <w:rPr>
          <w:rFonts w:asciiTheme="minorHAnsi" w:hAnsiTheme="minorHAnsi"/>
          <w:bCs/>
          <w:sz w:val="20"/>
          <w:szCs w:val="20"/>
        </w:rPr>
        <w:t xml:space="preserve">quantify </w:t>
      </w:r>
      <w:r w:rsidR="004D1573">
        <w:rPr>
          <w:rFonts w:asciiTheme="minorHAnsi" w:hAnsiTheme="minorHAnsi"/>
          <w:bCs/>
          <w:sz w:val="20"/>
          <w:szCs w:val="20"/>
        </w:rPr>
        <w:t xml:space="preserve">other </w:t>
      </w:r>
      <w:r w:rsidR="005D0032">
        <w:rPr>
          <w:rFonts w:asciiTheme="minorHAnsi" w:hAnsiTheme="minorHAnsi"/>
          <w:bCs/>
          <w:sz w:val="20"/>
          <w:szCs w:val="20"/>
        </w:rPr>
        <w:t>co-benefits to household</w:t>
      </w:r>
      <w:r w:rsidR="00F65134">
        <w:rPr>
          <w:rFonts w:asciiTheme="minorHAnsi" w:hAnsiTheme="minorHAnsi"/>
          <w:bCs/>
          <w:sz w:val="20"/>
          <w:szCs w:val="20"/>
        </w:rPr>
        <w:t>s and their second-order effects</w:t>
      </w:r>
      <w:r w:rsidR="001122C4">
        <w:rPr>
          <w:rFonts w:asciiTheme="minorHAnsi" w:eastAsiaTheme="minorHAnsi" w:hAnsiTheme="minorHAnsi" w:cstheme="minorBidi"/>
          <w:bCs/>
          <w:sz w:val="20"/>
          <w:szCs w:val="20"/>
        </w:rPr>
        <w:t xml:space="preserve">. These other </w:t>
      </w:r>
      <w:r w:rsidR="001122C4">
        <w:rPr>
          <w:rFonts w:asciiTheme="minorHAnsi" w:eastAsiaTheme="minorHAnsi" w:hAnsiTheme="minorHAnsi" w:cstheme="minorBidi"/>
          <w:bCs/>
          <w:sz w:val="20"/>
          <w:szCs w:val="20"/>
        </w:rPr>
        <w:lastRenderedPageBreak/>
        <w:t xml:space="preserve">dimensions should be defined </w:t>
      </w:r>
      <w:r w:rsidR="004D1573">
        <w:rPr>
          <w:rFonts w:asciiTheme="minorHAnsi" w:eastAsiaTheme="minorHAnsi" w:hAnsiTheme="minorHAnsi" w:cstheme="minorBidi"/>
          <w:bCs/>
          <w:sz w:val="20"/>
          <w:szCs w:val="20"/>
        </w:rPr>
        <w:t>between the</w:t>
      </w:r>
      <w:r w:rsidR="00526F32" w:rsidRPr="00526F32">
        <w:rPr>
          <w:rFonts w:asciiTheme="minorHAnsi" w:hAnsiTheme="minorHAnsi"/>
          <w:bCs/>
          <w:sz w:val="20"/>
          <w:szCs w:val="20"/>
        </w:rPr>
        <w:t xml:space="preserve"> CCC and contractors</w:t>
      </w:r>
      <w:r w:rsidR="004D1573">
        <w:rPr>
          <w:rFonts w:asciiTheme="minorHAnsi" w:hAnsiTheme="minorHAnsi"/>
          <w:bCs/>
          <w:sz w:val="20"/>
          <w:szCs w:val="20"/>
        </w:rPr>
        <w:t xml:space="preserve">, but could </w:t>
      </w:r>
      <w:r w:rsidR="00526F32">
        <w:rPr>
          <w:rFonts w:asciiTheme="minorHAnsi" w:hAnsiTheme="minorHAnsi"/>
          <w:bCs/>
          <w:sz w:val="20"/>
          <w:szCs w:val="20"/>
        </w:rPr>
        <w:t>include</w:t>
      </w:r>
      <w:r>
        <w:rPr>
          <w:rFonts w:asciiTheme="minorHAnsi" w:hAnsiTheme="minorHAnsi"/>
          <w:bCs/>
          <w:sz w:val="20"/>
          <w:szCs w:val="20"/>
        </w:rPr>
        <w:t xml:space="preserve">: </w:t>
      </w:r>
    </w:p>
    <w:p w14:paraId="18D52633" w14:textId="77777777" w:rsidR="00BD237B" w:rsidRPr="006758C2" w:rsidRDefault="00BD237B" w:rsidP="00BD237B">
      <w:pPr>
        <w:pStyle w:val="Bullet"/>
      </w:pPr>
      <w:r>
        <w:t xml:space="preserve">Wider economic impacts such as gained productivity from lower congestion or improved access to public transport infrastructure that can support the levelling up agenda. </w:t>
      </w:r>
    </w:p>
    <w:p w14:paraId="38B5D937" w14:textId="2BCBCE6A" w:rsidR="00DA06E2" w:rsidRPr="005250E1" w:rsidRDefault="005250E1" w:rsidP="00BD237B">
      <w:pPr>
        <w:pStyle w:val="Bullet"/>
      </w:pPr>
      <w:r>
        <w:t>C</w:t>
      </w:r>
      <w:r w:rsidR="00D10547" w:rsidRPr="00D10547">
        <w:t xml:space="preserve">o-benefits arising from the decarbonisation of agriculture and land use, nature-based </w:t>
      </w:r>
      <w:proofErr w:type="gramStart"/>
      <w:r w:rsidR="00D10547" w:rsidRPr="00D10547">
        <w:t>solutions</w:t>
      </w:r>
      <w:proofErr w:type="gramEnd"/>
      <w:r w:rsidR="00D10547" w:rsidRPr="00D10547">
        <w:t xml:space="preserve"> and climate change adaptation more </w:t>
      </w:r>
      <w:r w:rsidR="00BD237B">
        <w:t>broadly than air quality</w:t>
      </w:r>
      <w:r w:rsidR="00D10547" w:rsidRPr="00D10547">
        <w:t xml:space="preserve">. </w:t>
      </w:r>
      <w:r>
        <w:t xml:space="preserve">This could include </w:t>
      </w:r>
      <w:r w:rsidR="00DA06E2" w:rsidRPr="005250E1">
        <w:t>improvements from greater biodiversity</w:t>
      </w:r>
      <w:r w:rsidR="00BD237B">
        <w:t xml:space="preserve"> and</w:t>
      </w:r>
      <w:r w:rsidR="00DA06E2" w:rsidRPr="005250E1">
        <w:t xml:space="preserve"> water quality</w:t>
      </w:r>
      <w:r w:rsidR="00D10547" w:rsidRPr="005D0032">
        <w:t xml:space="preserve">. </w:t>
      </w:r>
      <w:r w:rsidR="004F16E4">
        <w:t>It could also</w:t>
      </w:r>
      <w:r w:rsidR="00D10547" w:rsidRPr="005D0032">
        <w:t xml:space="preserve"> consider how these benefits m</w:t>
      </w:r>
      <w:r w:rsidR="00D10547" w:rsidRPr="001122C4">
        <w:t>ight be distributed across households</w:t>
      </w:r>
      <w:r>
        <w:t xml:space="preserve"> in different geographical locations.</w:t>
      </w:r>
      <w:r w:rsidR="00DA06E2" w:rsidRPr="005250E1">
        <w:t xml:space="preserve"> </w:t>
      </w:r>
    </w:p>
    <w:p w14:paraId="6237D087" w14:textId="3F3CC19A" w:rsidR="003A05B7" w:rsidRPr="00880287" w:rsidRDefault="003A05B7" w:rsidP="0088028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9" w:name="_Toc381969509"/>
      <w:bookmarkStart w:id="10" w:name="_Toc405888458"/>
      <w:bookmarkStart w:id="11" w:name="_Toc120104414"/>
      <w:r w:rsidRPr="006758C2">
        <w:rPr>
          <w:rFonts w:asciiTheme="minorHAnsi" w:hAnsiTheme="minorHAnsi" w:cs="Arial"/>
          <w:color w:val="auto"/>
          <w:sz w:val="20"/>
          <w:szCs w:val="20"/>
        </w:rPr>
        <w:t>Methodology</w:t>
      </w:r>
      <w:bookmarkEnd w:id="9"/>
      <w:bookmarkEnd w:id="10"/>
      <w:bookmarkEnd w:id="11"/>
    </w:p>
    <w:p w14:paraId="61615061" w14:textId="374D3E68" w:rsidR="0074300E" w:rsidRPr="0074300E" w:rsidRDefault="0074300E" w:rsidP="0028105E">
      <w:pPr>
        <w:pStyle w:val="Norma"/>
        <w:spacing w:before="120"/>
        <w:ind w:left="720"/>
        <w:rPr>
          <w:rFonts w:asciiTheme="minorHAnsi" w:hAnsiTheme="minorHAnsi"/>
          <w:bCs/>
          <w:sz w:val="20"/>
          <w:szCs w:val="20"/>
        </w:rPr>
      </w:pPr>
      <w:r w:rsidRPr="0074300E">
        <w:rPr>
          <w:rFonts w:asciiTheme="minorHAnsi" w:hAnsiTheme="minorHAnsi"/>
          <w:bCs/>
          <w:sz w:val="20"/>
          <w:szCs w:val="20"/>
        </w:rPr>
        <w:t>The main output</w:t>
      </w:r>
      <w:r w:rsidR="00663733">
        <w:rPr>
          <w:rFonts w:asciiTheme="minorHAnsi" w:hAnsiTheme="minorHAnsi"/>
          <w:bCs/>
          <w:sz w:val="20"/>
          <w:szCs w:val="20"/>
        </w:rPr>
        <w:t>s</w:t>
      </w:r>
      <w:r w:rsidR="0028105E">
        <w:rPr>
          <w:rFonts w:asciiTheme="minorHAnsi" w:hAnsiTheme="minorHAnsi"/>
          <w:bCs/>
          <w:sz w:val="20"/>
          <w:szCs w:val="20"/>
        </w:rPr>
        <w:t xml:space="preserve"> of this project </w:t>
      </w:r>
      <w:r w:rsidR="00663733">
        <w:rPr>
          <w:rFonts w:asciiTheme="minorHAnsi" w:hAnsiTheme="minorHAnsi"/>
          <w:bCs/>
          <w:sz w:val="20"/>
          <w:szCs w:val="20"/>
        </w:rPr>
        <w:t xml:space="preserve">are a </w:t>
      </w:r>
      <w:r w:rsidR="00376097">
        <w:rPr>
          <w:rFonts w:asciiTheme="minorHAnsi" w:hAnsiTheme="minorHAnsi"/>
          <w:bCs/>
          <w:sz w:val="20"/>
          <w:szCs w:val="20"/>
        </w:rPr>
        <w:t xml:space="preserve">report summarising the approach to assessing co-benefits, key conclusions and </w:t>
      </w:r>
      <w:r w:rsidR="0028105E">
        <w:rPr>
          <w:rFonts w:asciiTheme="minorHAnsi" w:hAnsiTheme="minorHAnsi"/>
          <w:bCs/>
          <w:sz w:val="20"/>
          <w:szCs w:val="20"/>
        </w:rPr>
        <w:t>a</w:t>
      </w:r>
      <w:r w:rsidRPr="0074300E">
        <w:rPr>
          <w:rFonts w:asciiTheme="minorHAnsi" w:hAnsiTheme="minorHAnsi"/>
          <w:bCs/>
          <w:sz w:val="20"/>
          <w:szCs w:val="20"/>
        </w:rPr>
        <w:t xml:space="preserve"> model </w:t>
      </w:r>
      <w:r w:rsidR="00366AE0">
        <w:rPr>
          <w:rFonts w:asciiTheme="minorHAnsi" w:hAnsiTheme="minorHAnsi"/>
          <w:bCs/>
          <w:sz w:val="20"/>
          <w:szCs w:val="20"/>
        </w:rPr>
        <w:t xml:space="preserve">including </w:t>
      </w:r>
      <w:proofErr w:type="gramStart"/>
      <w:r w:rsidR="00366AE0">
        <w:rPr>
          <w:rFonts w:asciiTheme="minorHAnsi" w:hAnsiTheme="minorHAnsi"/>
          <w:bCs/>
          <w:sz w:val="20"/>
          <w:szCs w:val="20"/>
        </w:rPr>
        <w:t>all of</w:t>
      </w:r>
      <w:proofErr w:type="gramEnd"/>
      <w:r w:rsidR="00366AE0">
        <w:rPr>
          <w:rFonts w:asciiTheme="minorHAnsi" w:hAnsiTheme="minorHAnsi"/>
          <w:bCs/>
          <w:sz w:val="20"/>
          <w:szCs w:val="20"/>
        </w:rPr>
        <w:t xml:space="preserve"> the analysis in tasks </w:t>
      </w:r>
      <w:proofErr w:type="spellStart"/>
      <w:r w:rsidR="007D16E1">
        <w:rPr>
          <w:rFonts w:asciiTheme="minorHAnsi" w:hAnsiTheme="minorHAnsi"/>
          <w:bCs/>
          <w:sz w:val="20"/>
          <w:szCs w:val="20"/>
        </w:rPr>
        <w:t>i</w:t>
      </w:r>
      <w:proofErr w:type="spellEnd"/>
      <w:r w:rsidR="00366AE0">
        <w:rPr>
          <w:rFonts w:asciiTheme="minorHAnsi" w:hAnsiTheme="minorHAnsi"/>
          <w:bCs/>
          <w:sz w:val="20"/>
          <w:szCs w:val="20"/>
        </w:rPr>
        <w:t>-</w:t>
      </w:r>
      <w:r w:rsidR="007D16E1">
        <w:rPr>
          <w:rFonts w:asciiTheme="minorHAnsi" w:hAnsiTheme="minorHAnsi"/>
          <w:bCs/>
          <w:sz w:val="20"/>
          <w:szCs w:val="20"/>
        </w:rPr>
        <w:t>i</w:t>
      </w:r>
      <w:r w:rsidR="00BD237B">
        <w:rPr>
          <w:rFonts w:asciiTheme="minorHAnsi" w:hAnsiTheme="minorHAnsi"/>
          <w:bCs/>
          <w:sz w:val="20"/>
          <w:szCs w:val="20"/>
        </w:rPr>
        <w:t>ii</w:t>
      </w:r>
      <w:r w:rsidR="00663733">
        <w:rPr>
          <w:rFonts w:asciiTheme="minorHAnsi" w:hAnsiTheme="minorHAnsi"/>
          <w:bCs/>
          <w:sz w:val="20"/>
          <w:szCs w:val="20"/>
        </w:rPr>
        <w:t>.</w:t>
      </w:r>
      <w:r w:rsidR="00366AE0">
        <w:rPr>
          <w:rFonts w:asciiTheme="minorHAnsi" w:hAnsiTheme="minorHAnsi"/>
          <w:bCs/>
          <w:sz w:val="20"/>
          <w:szCs w:val="20"/>
        </w:rPr>
        <w:t xml:space="preserve"> </w:t>
      </w:r>
    </w:p>
    <w:p w14:paraId="1988A5C7" w14:textId="1CA11A0E" w:rsidR="00663733" w:rsidRDefault="00663733" w:rsidP="0074300E">
      <w:pPr>
        <w:pStyle w:val="Norma"/>
        <w:spacing w:before="120"/>
        <w:ind w:left="720"/>
        <w:rPr>
          <w:rFonts w:asciiTheme="minorHAnsi" w:hAnsiTheme="minorHAnsi"/>
          <w:bCs/>
          <w:sz w:val="20"/>
          <w:szCs w:val="20"/>
        </w:rPr>
      </w:pPr>
      <w:r>
        <w:rPr>
          <w:rFonts w:asciiTheme="minorHAnsi" w:hAnsiTheme="minorHAnsi"/>
          <w:bCs/>
          <w:sz w:val="20"/>
          <w:szCs w:val="20"/>
        </w:rPr>
        <w:t>Analysis should be undertaken</w:t>
      </w:r>
      <w:r w:rsidR="0074300E" w:rsidRPr="0074300E">
        <w:rPr>
          <w:rFonts w:asciiTheme="minorHAnsi" w:hAnsiTheme="minorHAnsi"/>
          <w:bCs/>
          <w:sz w:val="20"/>
          <w:szCs w:val="20"/>
        </w:rPr>
        <w:t xml:space="preserve"> through a combination of segmenting household data, reviewing existing literature and research, sourcing and analysing other data relevant to addressing the questions outlined in the previous section, engaging with a range of external stakeholders (with interest/expertise on the issues at hand and/or who are undertaking related analysis). It is expected to be a collaborative process with the CCC secretariat. </w:t>
      </w:r>
    </w:p>
    <w:p w14:paraId="7603633E" w14:textId="23C5C597" w:rsidR="00376097" w:rsidRPr="0074300E" w:rsidRDefault="0074300E" w:rsidP="00376097">
      <w:pPr>
        <w:pStyle w:val="Norma"/>
        <w:spacing w:before="120"/>
        <w:ind w:left="720"/>
        <w:rPr>
          <w:rFonts w:asciiTheme="minorHAnsi" w:hAnsiTheme="minorHAnsi"/>
          <w:bCs/>
          <w:sz w:val="20"/>
          <w:szCs w:val="20"/>
        </w:rPr>
      </w:pPr>
      <w:r w:rsidRPr="0074300E">
        <w:rPr>
          <w:rFonts w:asciiTheme="minorHAnsi" w:hAnsiTheme="minorHAnsi"/>
          <w:bCs/>
          <w:sz w:val="20"/>
          <w:szCs w:val="20"/>
        </w:rPr>
        <w:t>The model should be constructed on Excel using these inputs and detailed documentation for it produced alongside it.</w:t>
      </w:r>
      <w:r w:rsidR="00376097">
        <w:rPr>
          <w:rFonts w:asciiTheme="minorHAnsi" w:hAnsiTheme="minorHAnsi"/>
          <w:bCs/>
          <w:sz w:val="20"/>
          <w:szCs w:val="20"/>
        </w:rPr>
        <w:t xml:space="preserve"> This should be constructed in a flexible way, to allow the user to replace and update key pathway assumptions and examine impacts on co-benefits of making those changes.</w:t>
      </w:r>
    </w:p>
    <w:p w14:paraId="669AC993" w14:textId="353C612C" w:rsidR="003A05B7" w:rsidRPr="0074300E" w:rsidRDefault="0074300E" w:rsidP="0074300E">
      <w:pPr>
        <w:pStyle w:val="Norma"/>
        <w:spacing w:before="120"/>
        <w:ind w:left="720"/>
        <w:rPr>
          <w:rFonts w:asciiTheme="minorHAnsi" w:hAnsiTheme="minorHAnsi"/>
          <w:bCs/>
          <w:sz w:val="20"/>
          <w:szCs w:val="20"/>
        </w:rPr>
      </w:pPr>
      <w:r w:rsidRPr="0074300E">
        <w:rPr>
          <w:rFonts w:asciiTheme="minorHAnsi" w:hAnsiTheme="minorHAnsi"/>
          <w:bCs/>
          <w:sz w:val="20"/>
          <w:szCs w:val="20"/>
        </w:rPr>
        <w:t>The CCC can provide access to its Sixth Carbon Budget scenarios</w:t>
      </w:r>
      <w:r w:rsidR="00376097">
        <w:rPr>
          <w:rFonts w:asciiTheme="minorHAnsi" w:hAnsiTheme="minorHAnsi"/>
          <w:bCs/>
          <w:sz w:val="20"/>
          <w:szCs w:val="20"/>
        </w:rPr>
        <w:t>, spreadsheets i</w:t>
      </w:r>
      <w:r w:rsidR="0014391E">
        <w:rPr>
          <w:rFonts w:asciiTheme="minorHAnsi" w:hAnsiTheme="minorHAnsi"/>
          <w:bCs/>
          <w:sz w:val="20"/>
          <w:szCs w:val="20"/>
        </w:rPr>
        <w:t>ncluding previous analysis undertaken for the CCC by Ricardo and estimates of mortality reduction</w:t>
      </w:r>
      <w:r w:rsidR="00E456E1">
        <w:rPr>
          <w:rFonts w:asciiTheme="minorHAnsi" w:hAnsiTheme="minorHAnsi"/>
          <w:bCs/>
          <w:sz w:val="20"/>
          <w:szCs w:val="20"/>
        </w:rPr>
        <w:t>s</w:t>
      </w:r>
      <w:r w:rsidR="0014391E">
        <w:rPr>
          <w:rFonts w:asciiTheme="minorHAnsi" w:hAnsiTheme="minorHAnsi"/>
          <w:bCs/>
          <w:sz w:val="20"/>
          <w:szCs w:val="20"/>
        </w:rPr>
        <w:t xml:space="preserve"> from two of our pathways</w:t>
      </w:r>
      <w:r w:rsidR="00E456E1">
        <w:rPr>
          <w:rFonts w:asciiTheme="minorHAnsi" w:hAnsiTheme="minorHAnsi"/>
          <w:bCs/>
          <w:sz w:val="20"/>
          <w:szCs w:val="20"/>
        </w:rPr>
        <w:t>.</w:t>
      </w:r>
    </w:p>
    <w:p w14:paraId="5B33FF1E" w14:textId="4BFA0CC9" w:rsidR="003A05B7" w:rsidRPr="00880287" w:rsidRDefault="003A05B7" w:rsidP="0088028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2" w:name="_Ref357541705"/>
      <w:bookmarkStart w:id="13" w:name="_Toc381969510"/>
      <w:bookmarkStart w:id="14" w:name="_Toc405888459"/>
      <w:bookmarkStart w:id="15" w:name="_Toc120104415"/>
      <w:r w:rsidRPr="00F46909">
        <w:rPr>
          <w:rFonts w:asciiTheme="minorHAnsi" w:hAnsiTheme="minorHAnsi" w:cs="Arial"/>
          <w:color w:val="auto"/>
          <w:sz w:val="20"/>
          <w:szCs w:val="20"/>
        </w:rPr>
        <w:t>Outputs Required</w:t>
      </w:r>
      <w:bookmarkEnd w:id="12"/>
      <w:bookmarkEnd w:id="13"/>
      <w:bookmarkEnd w:id="14"/>
      <w:bookmarkEnd w:id="15"/>
    </w:p>
    <w:p w14:paraId="79913B29" w14:textId="698D9D2D" w:rsidR="00F46909" w:rsidRPr="00F46909" w:rsidRDefault="002B7480" w:rsidP="00F46909">
      <w:pPr>
        <w:pStyle w:val="Norma"/>
        <w:spacing w:before="120"/>
        <w:ind w:left="720"/>
        <w:rPr>
          <w:rFonts w:asciiTheme="minorHAnsi" w:hAnsiTheme="minorHAnsi"/>
          <w:bCs/>
          <w:sz w:val="20"/>
          <w:szCs w:val="20"/>
        </w:rPr>
      </w:pPr>
      <w:r>
        <w:rPr>
          <w:rFonts w:asciiTheme="minorHAnsi" w:hAnsiTheme="minorHAnsi"/>
          <w:bCs/>
          <w:sz w:val="20"/>
          <w:szCs w:val="20"/>
        </w:rPr>
        <w:t xml:space="preserve">We expect the successful contractor to deliver both the essential and desirable elements set out in section 3. </w:t>
      </w:r>
      <w:r w:rsidR="00F46909" w:rsidRPr="00F46909">
        <w:rPr>
          <w:rFonts w:asciiTheme="minorHAnsi" w:hAnsiTheme="minorHAnsi"/>
          <w:bCs/>
          <w:sz w:val="20"/>
          <w:szCs w:val="20"/>
        </w:rPr>
        <w:t>The outputs required from the project include:</w:t>
      </w:r>
    </w:p>
    <w:p w14:paraId="6D6C227F" w14:textId="1A8331AF" w:rsidR="006C5D5F" w:rsidRDefault="007632A9" w:rsidP="006C5D5F">
      <w:pPr>
        <w:pStyle w:val="Norma"/>
        <w:numPr>
          <w:ilvl w:val="0"/>
          <w:numId w:val="7"/>
        </w:numPr>
        <w:spacing w:before="120"/>
        <w:rPr>
          <w:rFonts w:asciiTheme="minorHAnsi" w:hAnsiTheme="minorHAnsi"/>
          <w:bCs/>
          <w:sz w:val="20"/>
          <w:szCs w:val="20"/>
        </w:rPr>
      </w:pPr>
      <w:r w:rsidRPr="007632A9">
        <w:rPr>
          <w:rFonts w:asciiTheme="minorHAnsi" w:hAnsiTheme="minorHAnsi"/>
          <w:b/>
          <w:sz w:val="20"/>
          <w:szCs w:val="20"/>
        </w:rPr>
        <w:t>Report</w:t>
      </w:r>
      <w:r>
        <w:rPr>
          <w:rFonts w:asciiTheme="minorHAnsi" w:hAnsiTheme="minorHAnsi"/>
          <w:bCs/>
          <w:sz w:val="20"/>
          <w:szCs w:val="20"/>
        </w:rPr>
        <w:t xml:space="preserve">. Summarising </w:t>
      </w:r>
      <w:r w:rsidR="006C5D5F" w:rsidRPr="00F46909">
        <w:rPr>
          <w:rFonts w:asciiTheme="minorHAnsi" w:hAnsiTheme="minorHAnsi"/>
          <w:bCs/>
          <w:sz w:val="20"/>
          <w:szCs w:val="20"/>
        </w:rPr>
        <w:t>the research methodology, outputs and findings including</w:t>
      </w:r>
      <w:r>
        <w:rPr>
          <w:rFonts w:asciiTheme="minorHAnsi" w:hAnsiTheme="minorHAnsi"/>
          <w:bCs/>
          <w:sz w:val="20"/>
          <w:szCs w:val="20"/>
        </w:rPr>
        <w:t>:</w:t>
      </w:r>
    </w:p>
    <w:p w14:paraId="1A333FFA" w14:textId="77777777" w:rsidR="007632A9" w:rsidRDefault="006C5D5F" w:rsidP="006C5D5F">
      <w:pPr>
        <w:pStyle w:val="Norma"/>
        <w:numPr>
          <w:ilvl w:val="1"/>
          <w:numId w:val="7"/>
        </w:numPr>
        <w:spacing w:before="120"/>
        <w:rPr>
          <w:rFonts w:asciiTheme="minorHAnsi" w:hAnsiTheme="minorHAnsi"/>
          <w:bCs/>
          <w:sz w:val="20"/>
          <w:szCs w:val="20"/>
        </w:rPr>
      </w:pPr>
      <w:r w:rsidRPr="00F46909">
        <w:rPr>
          <w:rFonts w:asciiTheme="minorHAnsi" w:hAnsiTheme="minorHAnsi"/>
          <w:bCs/>
          <w:sz w:val="20"/>
          <w:szCs w:val="20"/>
        </w:rPr>
        <w:t xml:space="preserve">Rationale for the choice of </w:t>
      </w:r>
      <w:r w:rsidR="007632A9">
        <w:rPr>
          <w:rFonts w:asciiTheme="minorHAnsi" w:hAnsiTheme="minorHAnsi"/>
          <w:bCs/>
          <w:sz w:val="20"/>
          <w:szCs w:val="20"/>
        </w:rPr>
        <w:t>co-benefits to include in the analysis.</w:t>
      </w:r>
    </w:p>
    <w:p w14:paraId="407A5806" w14:textId="75926B7E" w:rsidR="007632A9" w:rsidRDefault="007632A9" w:rsidP="006C5D5F">
      <w:pPr>
        <w:pStyle w:val="Norma"/>
        <w:numPr>
          <w:ilvl w:val="1"/>
          <w:numId w:val="7"/>
        </w:numPr>
        <w:spacing w:before="120"/>
        <w:rPr>
          <w:rFonts w:asciiTheme="minorHAnsi" w:hAnsiTheme="minorHAnsi"/>
          <w:bCs/>
          <w:sz w:val="20"/>
          <w:szCs w:val="20"/>
        </w:rPr>
      </w:pPr>
      <w:r>
        <w:rPr>
          <w:rFonts w:asciiTheme="minorHAnsi" w:hAnsiTheme="minorHAnsi"/>
          <w:bCs/>
          <w:sz w:val="20"/>
          <w:szCs w:val="20"/>
        </w:rPr>
        <w:t>Approach to quantifying co-benefits.</w:t>
      </w:r>
    </w:p>
    <w:p w14:paraId="687458E5" w14:textId="430B2B98" w:rsidR="006C5D5F" w:rsidRDefault="007632A9" w:rsidP="006C5D5F">
      <w:pPr>
        <w:pStyle w:val="Norma"/>
        <w:numPr>
          <w:ilvl w:val="1"/>
          <w:numId w:val="7"/>
        </w:numPr>
        <w:spacing w:before="120"/>
        <w:rPr>
          <w:rFonts w:asciiTheme="minorHAnsi" w:hAnsiTheme="minorHAnsi"/>
          <w:bCs/>
          <w:sz w:val="20"/>
          <w:szCs w:val="20"/>
        </w:rPr>
      </w:pPr>
      <w:r>
        <w:rPr>
          <w:rFonts w:asciiTheme="minorHAnsi" w:hAnsiTheme="minorHAnsi"/>
          <w:bCs/>
          <w:sz w:val="20"/>
          <w:szCs w:val="20"/>
        </w:rPr>
        <w:t>Approach to linking co-benefits to archetypes.</w:t>
      </w:r>
    </w:p>
    <w:p w14:paraId="1113BFD5" w14:textId="4970D86C" w:rsidR="006C5D5F" w:rsidRPr="00F46909" w:rsidRDefault="007632A9" w:rsidP="006C5D5F">
      <w:pPr>
        <w:pStyle w:val="Norma"/>
        <w:numPr>
          <w:ilvl w:val="1"/>
          <w:numId w:val="7"/>
        </w:numPr>
        <w:spacing w:before="120"/>
        <w:rPr>
          <w:rFonts w:asciiTheme="minorHAnsi" w:hAnsiTheme="minorHAnsi"/>
          <w:bCs/>
          <w:sz w:val="20"/>
          <w:szCs w:val="20"/>
        </w:rPr>
      </w:pPr>
      <w:r>
        <w:rPr>
          <w:rFonts w:asciiTheme="minorHAnsi" w:hAnsiTheme="minorHAnsi"/>
          <w:bCs/>
          <w:sz w:val="20"/>
          <w:szCs w:val="20"/>
        </w:rPr>
        <w:t>Findings and c</w:t>
      </w:r>
      <w:r w:rsidR="006C5D5F" w:rsidRPr="00F46909">
        <w:rPr>
          <w:rFonts w:asciiTheme="minorHAnsi" w:hAnsiTheme="minorHAnsi"/>
          <w:bCs/>
          <w:sz w:val="20"/>
          <w:szCs w:val="20"/>
        </w:rPr>
        <w:t>onclusions</w:t>
      </w:r>
      <w:r>
        <w:rPr>
          <w:rFonts w:asciiTheme="minorHAnsi" w:hAnsiTheme="minorHAnsi"/>
          <w:bCs/>
          <w:sz w:val="20"/>
          <w:szCs w:val="20"/>
        </w:rPr>
        <w:t xml:space="preserve"> on the co-benefits of </w:t>
      </w:r>
      <w:r w:rsidR="008A5188">
        <w:rPr>
          <w:rFonts w:asciiTheme="minorHAnsi" w:hAnsiTheme="minorHAnsi"/>
          <w:bCs/>
          <w:sz w:val="20"/>
          <w:szCs w:val="20"/>
        </w:rPr>
        <w:t>CCC pathways.</w:t>
      </w:r>
    </w:p>
    <w:p w14:paraId="12FF764A" w14:textId="50F51AB6" w:rsidR="00F46909" w:rsidRDefault="00F46909" w:rsidP="008A5188">
      <w:pPr>
        <w:pStyle w:val="Norma"/>
        <w:numPr>
          <w:ilvl w:val="0"/>
          <w:numId w:val="7"/>
        </w:numPr>
        <w:spacing w:before="120"/>
        <w:rPr>
          <w:rFonts w:asciiTheme="minorHAnsi" w:hAnsiTheme="minorHAnsi"/>
          <w:bCs/>
          <w:sz w:val="20"/>
          <w:szCs w:val="20"/>
        </w:rPr>
      </w:pPr>
      <w:r w:rsidRPr="008A5188">
        <w:rPr>
          <w:rFonts w:asciiTheme="minorHAnsi" w:hAnsiTheme="minorHAnsi"/>
          <w:b/>
          <w:sz w:val="20"/>
          <w:szCs w:val="20"/>
        </w:rPr>
        <w:t>Model.</w:t>
      </w:r>
      <w:r w:rsidRPr="008A5188">
        <w:rPr>
          <w:rFonts w:asciiTheme="minorHAnsi" w:hAnsiTheme="minorHAnsi"/>
          <w:bCs/>
          <w:sz w:val="20"/>
          <w:szCs w:val="20"/>
        </w:rPr>
        <w:t xml:space="preserve"> Including datasets</w:t>
      </w:r>
      <w:r w:rsidR="00FA3C76">
        <w:rPr>
          <w:rFonts w:asciiTheme="minorHAnsi" w:hAnsiTheme="minorHAnsi"/>
          <w:bCs/>
          <w:sz w:val="20"/>
          <w:szCs w:val="20"/>
        </w:rPr>
        <w:t xml:space="preserve"> and references</w:t>
      </w:r>
      <w:r w:rsidRPr="008A5188">
        <w:rPr>
          <w:rFonts w:asciiTheme="minorHAnsi" w:hAnsiTheme="minorHAnsi"/>
          <w:bCs/>
          <w:sz w:val="20"/>
          <w:szCs w:val="20"/>
        </w:rPr>
        <w:t xml:space="preserve">, which could be eventually published and made available for others to use. The CCC would like a relatively flexible </w:t>
      </w:r>
      <w:r w:rsidR="008A5188" w:rsidRPr="008A5188">
        <w:rPr>
          <w:rFonts w:asciiTheme="minorHAnsi" w:hAnsiTheme="minorHAnsi"/>
          <w:bCs/>
          <w:sz w:val="20"/>
          <w:szCs w:val="20"/>
        </w:rPr>
        <w:t xml:space="preserve">spreadsheet </w:t>
      </w:r>
      <w:r w:rsidRPr="008A5188">
        <w:rPr>
          <w:rFonts w:asciiTheme="minorHAnsi" w:hAnsiTheme="minorHAnsi"/>
          <w:bCs/>
          <w:sz w:val="20"/>
          <w:szCs w:val="20"/>
        </w:rPr>
        <w:t xml:space="preserve">model which could be amended in future to test other </w:t>
      </w:r>
      <w:r w:rsidR="008A5188" w:rsidRPr="008A5188">
        <w:rPr>
          <w:rFonts w:asciiTheme="minorHAnsi" w:hAnsiTheme="minorHAnsi"/>
          <w:bCs/>
          <w:sz w:val="20"/>
          <w:szCs w:val="20"/>
        </w:rPr>
        <w:t>pathways.</w:t>
      </w:r>
      <w:r w:rsidR="00FA3C76">
        <w:rPr>
          <w:rFonts w:asciiTheme="minorHAnsi" w:hAnsiTheme="minorHAnsi"/>
          <w:bCs/>
          <w:sz w:val="20"/>
          <w:szCs w:val="20"/>
        </w:rPr>
        <w:t xml:space="preserve"> </w:t>
      </w:r>
      <w:r w:rsidR="0020116E">
        <w:rPr>
          <w:rFonts w:asciiTheme="minorHAnsi" w:hAnsiTheme="minorHAnsi"/>
          <w:bCs/>
          <w:sz w:val="20"/>
          <w:szCs w:val="20"/>
        </w:rPr>
        <w:t>This should include:</w:t>
      </w:r>
    </w:p>
    <w:p w14:paraId="09860487" w14:textId="27565D7D" w:rsidR="0020116E" w:rsidRPr="0032649D" w:rsidRDefault="0020116E" w:rsidP="0032649D">
      <w:pPr>
        <w:pStyle w:val="Norma"/>
        <w:numPr>
          <w:ilvl w:val="1"/>
          <w:numId w:val="7"/>
        </w:numPr>
        <w:spacing w:before="120"/>
        <w:rPr>
          <w:rFonts w:asciiTheme="minorHAnsi" w:hAnsiTheme="minorHAnsi"/>
          <w:bCs/>
          <w:sz w:val="20"/>
          <w:szCs w:val="20"/>
        </w:rPr>
      </w:pPr>
      <w:r w:rsidRPr="0032649D">
        <w:rPr>
          <w:rFonts w:asciiTheme="minorHAnsi" w:hAnsiTheme="minorHAnsi"/>
          <w:bCs/>
          <w:sz w:val="20"/>
          <w:szCs w:val="20"/>
        </w:rPr>
        <w:t>A spreadsheet that links archetypes to specific household characteristics.</w:t>
      </w:r>
    </w:p>
    <w:p w14:paraId="42630876" w14:textId="3651EEAB" w:rsidR="0020116E" w:rsidRPr="0032649D" w:rsidRDefault="0020116E" w:rsidP="0032649D">
      <w:pPr>
        <w:pStyle w:val="Norma"/>
        <w:numPr>
          <w:ilvl w:val="1"/>
          <w:numId w:val="7"/>
        </w:numPr>
        <w:spacing w:before="120"/>
        <w:rPr>
          <w:rFonts w:asciiTheme="minorHAnsi" w:hAnsiTheme="minorHAnsi"/>
          <w:bCs/>
          <w:sz w:val="20"/>
          <w:szCs w:val="20"/>
        </w:rPr>
      </w:pPr>
      <w:r w:rsidRPr="0032649D">
        <w:rPr>
          <w:rFonts w:asciiTheme="minorHAnsi" w:hAnsiTheme="minorHAnsi"/>
          <w:bCs/>
          <w:sz w:val="20"/>
          <w:szCs w:val="20"/>
        </w:rPr>
        <w:t>A spreadsheet that quantifies the co-benefits to household and second order effects in each scenario.</w:t>
      </w:r>
    </w:p>
    <w:p w14:paraId="4CACC61F" w14:textId="221BAF58" w:rsidR="00F46909" w:rsidRDefault="00F46909" w:rsidP="00F46909">
      <w:pPr>
        <w:pStyle w:val="Norma"/>
        <w:numPr>
          <w:ilvl w:val="0"/>
          <w:numId w:val="7"/>
        </w:numPr>
        <w:spacing w:before="120"/>
        <w:rPr>
          <w:rFonts w:asciiTheme="minorHAnsi" w:hAnsiTheme="minorHAnsi"/>
          <w:bCs/>
          <w:sz w:val="20"/>
          <w:szCs w:val="20"/>
        </w:rPr>
      </w:pPr>
      <w:r w:rsidRPr="00F46909">
        <w:rPr>
          <w:rFonts w:asciiTheme="minorHAnsi" w:hAnsiTheme="minorHAnsi"/>
          <w:bCs/>
          <w:sz w:val="20"/>
          <w:szCs w:val="20"/>
        </w:rPr>
        <w:lastRenderedPageBreak/>
        <w:t xml:space="preserve">Presentation of the interim and </w:t>
      </w:r>
      <w:proofErr w:type="gramStart"/>
      <w:r w:rsidRPr="00F46909">
        <w:rPr>
          <w:rFonts w:asciiTheme="minorHAnsi" w:hAnsiTheme="minorHAnsi"/>
          <w:bCs/>
          <w:sz w:val="20"/>
          <w:szCs w:val="20"/>
        </w:rPr>
        <w:t>final results</w:t>
      </w:r>
      <w:proofErr w:type="gramEnd"/>
      <w:r w:rsidRPr="00F46909">
        <w:rPr>
          <w:rFonts w:asciiTheme="minorHAnsi" w:hAnsiTheme="minorHAnsi"/>
          <w:bCs/>
          <w:sz w:val="20"/>
          <w:szCs w:val="20"/>
        </w:rPr>
        <w:t xml:space="preserve"> from the project to members of the CCC Secretariat, Committee members and other interested parties </w:t>
      </w:r>
      <w:r w:rsidR="00FA3C76">
        <w:rPr>
          <w:rFonts w:asciiTheme="minorHAnsi" w:hAnsiTheme="minorHAnsi"/>
          <w:bCs/>
          <w:sz w:val="20"/>
          <w:szCs w:val="20"/>
        </w:rPr>
        <w:t>for the duration of the project</w:t>
      </w:r>
      <w:r w:rsidRPr="00F46909">
        <w:rPr>
          <w:rFonts w:asciiTheme="minorHAnsi" w:hAnsiTheme="minorHAnsi"/>
          <w:bCs/>
          <w:sz w:val="20"/>
          <w:szCs w:val="20"/>
        </w:rPr>
        <w:t>.</w:t>
      </w:r>
    </w:p>
    <w:p w14:paraId="1E232E35" w14:textId="77777777" w:rsidR="003A05B7" w:rsidRPr="00880287" w:rsidRDefault="003A05B7" w:rsidP="0088028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6" w:name="_Toc381969511"/>
      <w:bookmarkStart w:id="17" w:name="_Toc405888460"/>
      <w:bookmarkStart w:id="18" w:name="_Toc120104416"/>
      <w:bookmarkStart w:id="19" w:name="_Ref373505205"/>
      <w:bookmarkStart w:id="20" w:name="_Ref357541720"/>
      <w:r w:rsidRPr="00FA3C76">
        <w:rPr>
          <w:rFonts w:asciiTheme="minorHAnsi" w:hAnsiTheme="minorHAnsi" w:cs="Arial"/>
          <w:color w:val="auto"/>
          <w:sz w:val="20"/>
          <w:szCs w:val="20"/>
        </w:rPr>
        <w:t>Ownership and Publication</w:t>
      </w:r>
      <w:bookmarkEnd w:id="16"/>
      <w:bookmarkEnd w:id="17"/>
      <w:bookmarkEnd w:id="18"/>
    </w:p>
    <w:p w14:paraId="1E332327" w14:textId="77777777" w:rsidR="00291F8C" w:rsidRPr="00291F8C" w:rsidRDefault="00291F8C" w:rsidP="00291F8C">
      <w:pPr>
        <w:pStyle w:val="Norma"/>
        <w:spacing w:before="120"/>
        <w:ind w:left="720"/>
        <w:rPr>
          <w:rFonts w:asciiTheme="minorHAnsi" w:hAnsiTheme="minorHAnsi"/>
          <w:bCs/>
          <w:sz w:val="20"/>
          <w:szCs w:val="20"/>
        </w:rPr>
      </w:pPr>
      <w:r w:rsidRPr="00291F8C">
        <w:rPr>
          <w:rFonts w:asciiTheme="minorHAnsi" w:hAnsiTheme="minorHAnsi"/>
          <w:bCs/>
          <w:sz w:val="20"/>
          <w:szCs w:val="20"/>
        </w:rPr>
        <w:t>The key deliverables will be handed over to the CCC, who may choose to publish these as supporting evidence on their website. Model and spreadsheets should be open access and unrestricted, to enable full QA of results and assumptions.</w:t>
      </w:r>
    </w:p>
    <w:p w14:paraId="676267C8" w14:textId="77777777" w:rsidR="003A05B7" w:rsidRPr="000563DF"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1" w:name="_Toc120104417"/>
      <w:r w:rsidRPr="000563DF">
        <w:rPr>
          <w:rFonts w:asciiTheme="minorHAnsi" w:hAnsiTheme="minorHAnsi" w:cs="Arial"/>
          <w:color w:val="auto"/>
          <w:sz w:val="20"/>
          <w:szCs w:val="20"/>
        </w:rPr>
        <w:t>Quality Assurance</w:t>
      </w:r>
      <w:bookmarkEnd w:id="21"/>
      <w:r w:rsidRPr="000563DF">
        <w:rPr>
          <w:rFonts w:asciiTheme="minorHAnsi" w:hAnsiTheme="minorHAnsi" w:cs="Arial"/>
          <w:color w:val="auto"/>
          <w:sz w:val="20"/>
          <w:szCs w:val="20"/>
        </w:rPr>
        <w:t xml:space="preserve"> </w:t>
      </w:r>
      <w:bookmarkEnd w:id="19"/>
    </w:p>
    <w:p w14:paraId="5920CD42" w14:textId="77777777" w:rsidR="000563DF" w:rsidRPr="00684B16" w:rsidRDefault="000563DF" w:rsidP="000563DF">
      <w:pPr>
        <w:pStyle w:val="Norma"/>
        <w:spacing w:before="120"/>
        <w:ind w:left="720"/>
        <w:rPr>
          <w:rFonts w:asciiTheme="minorHAnsi" w:hAnsiTheme="minorHAnsi"/>
          <w:bCs/>
          <w:sz w:val="20"/>
          <w:szCs w:val="20"/>
        </w:rPr>
      </w:pPr>
      <w:r w:rsidRPr="00684B16">
        <w:rPr>
          <w:rFonts w:asciiTheme="minorHAnsi" w:hAnsiTheme="minorHAnsi"/>
          <w:bCs/>
          <w:sz w:val="20"/>
          <w:szCs w:val="20"/>
        </w:rPr>
        <w:t>All research tasks and modelling must be quality assured and documented. Contractors should:</w:t>
      </w:r>
    </w:p>
    <w:p w14:paraId="5A6F3C36" w14:textId="77777777" w:rsidR="000563DF" w:rsidRPr="00684B16" w:rsidRDefault="000563DF" w:rsidP="000563DF">
      <w:pPr>
        <w:pStyle w:val="Norma"/>
        <w:numPr>
          <w:ilvl w:val="0"/>
          <w:numId w:val="8"/>
        </w:numPr>
        <w:spacing w:before="120"/>
        <w:rPr>
          <w:rFonts w:asciiTheme="minorHAnsi" w:hAnsiTheme="minorHAnsi"/>
          <w:bCs/>
          <w:sz w:val="20"/>
          <w:szCs w:val="20"/>
        </w:rPr>
      </w:pPr>
      <w:r w:rsidRPr="00684B16">
        <w:rPr>
          <w:rFonts w:asciiTheme="minorHAnsi" w:hAnsiTheme="minorHAnsi"/>
          <w:bCs/>
          <w:sz w:val="20"/>
          <w:szCs w:val="20"/>
        </w:rPr>
        <w:t>Include a quality assurance (QA) plan that they will apply to the modelling.</w:t>
      </w:r>
    </w:p>
    <w:p w14:paraId="19E66495" w14:textId="77777777" w:rsidR="00321D3F" w:rsidRPr="00684B16" w:rsidRDefault="000563DF" w:rsidP="00321D3F">
      <w:pPr>
        <w:pStyle w:val="Norma"/>
        <w:numPr>
          <w:ilvl w:val="0"/>
          <w:numId w:val="8"/>
        </w:numPr>
        <w:spacing w:before="120"/>
        <w:rPr>
          <w:rFonts w:asciiTheme="minorHAnsi" w:hAnsiTheme="minorHAnsi"/>
          <w:bCs/>
          <w:sz w:val="20"/>
          <w:szCs w:val="20"/>
        </w:rPr>
      </w:pPr>
      <w:r w:rsidRPr="00684B16">
        <w:rPr>
          <w:rFonts w:asciiTheme="minorHAnsi" w:hAnsiTheme="minorHAnsi"/>
          <w:bCs/>
          <w:sz w:val="20"/>
          <w:szCs w:val="20"/>
        </w:rPr>
        <w:t>Specify who will take lead responsibility for ensuring quality assurance. This responsibility should rest with an individual not directly involved in the research or analysis.</w:t>
      </w:r>
    </w:p>
    <w:p w14:paraId="715BAC19" w14:textId="2A9E671C" w:rsidR="000563DF" w:rsidRPr="00684B16" w:rsidRDefault="000563DF" w:rsidP="00321D3F">
      <w:pPr>
        <w:pStyle w:val="Norma"/>
        <w:numPr>
          <w:ilvl w:val="0"/>
          <w:numId w:val="8"/>
        </w:numPr>
        <w:spacing w:before="120"/>
        <w:rPr>
          <w:rFonts w:asciiTheme="minorHAnsi" w:hAnsiTheme="minorHAnsi"/>
          <w:bCs/>
          <w:sz w:val="20"/>
          <w:szCs w:val="20"/>
        </w:rPr>
      </w:pPr>
      <w:r w:rsidRPr="00684B16">
        <w:rPr>
          <w:rFonts w:asciiTheme="minorHAnsi" w:hAnsiTheme="minorHAnsi"/>
          <w:bCs/>
          <w:sz w:val="20"/>
          <w:szCs w:val="20"/>
        </w:rPr>
        <w:t xml:space="preserve">Provide a QA log to demonstrate the QA undertaken, which must identify who undertook the QA and the scope, type, and level of QA that has been undertaken. </w:t>
      </w:r>
    </w:p>
    <w:p w14:paraId="6C0D98D6" w14:textId="77777777" w:rsidR="000563DF" w:rsidRPr="00684B16" w:rsidRDefault="000563DF" w:rsidP="000563DF">
      <w:pPr>
        <w:pStyle w:val="Norma"/>
        <w:spacing w:before="120"/>
        <w:ind w:left="720"/>
        <w:rPr>
          <w:rFonts w:asciiTheme="minorHAnsi" w:hAnsiTheme="minorHAnsi"/>
          <w:bCs/>
          <w:sz w:val="20"/>
          <w:szCs w:val="20"/>
        </w:rPr>
      </w:pPr>
      <w:r w:rsidRPr="00684B16">
        <w:rPr>
          <w:rFonts w:asciiTheme="minorHAnsi" w:hAnsiTheme="minorHAnsi"/>
          <w:bCs/>
          <w:sz w:val="20"/>
          <w:szCs w:val="20"/>
        </w:rP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7336F7DE" w14:textId="77777777" w:rsidR="000563DF" w:rsidRPr="00684B16" w:rsidRDefault="000563DF" w:rsidP="000563DF">
      <w:pPr>
        <w:pStyle w:val="Norma"/>
        <w:spacing w:before="120"/>
        <w:ind w:left="720"/>
        <w:rPr>
          <w:rFonts w:asciiTheme="minorHAnsi" w:hAnsiTheme="minorHAnsi"/>
          <w:bCs/>
          <w:sz w:val="20"/>
          <w:szCs w:val="20"/>
        </w:rPr>
      </w:pPr>
      <w:r w:rsidRPr="00684B16">
        <w:rPr>
          <w:rFonts w:asciiTheme="minorHAnsi" w:hAnsiTheme="minorHAnsi"/>
          <w:bCs/>
          <w:sz w:val="20"/>
          <w:szCs w:val="20"/>
        </w:rP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2B0D51BC" w14:textId="77777777" w:rsidR="000563DF" w:rsidRPr="00684B16" w:rsidRDefault="000563DF" w:rsidP="000563DF">
      <w:pPr>
        <w:pStyle w:val="Norma"/>
        <w:spacing w:before="120"/>
        <w:ind w:left="720"/>
        <w:rPr>
          <w:rFonts w:asciiTheme="minorHAnsi" w:hAnsiTheme="minorHAnsi"/>
          <w:bCs/>
          <w:sz w:val="20"/>
          <w:szCs w:val="20"/>
        </w:rPr>
      </w:pPr>
      <w:r w:rsidRPr="00684B16">
        <w:rPr>
          <w:rFonts w:asciiTheme="minorHAnsi" w:hAnsiTheme="minorHAnsi"/>
          <w:bCs/>
          <w:sz w:val="20"/>
          <w:szCs w:val="20"/>
        </w:rPr>
        <w:t>The CCC expects that:</w:t>
      </w:r>
    </w:p>
    <w:p w14:paraId="390575C2" w14:textId="77777777" w:rsidR="000563DF" w:rsidRPr="00684B16" w:rsidRDefault="000563DF" w:rsidP="00321D3F">
      <w:pPr>
        <w:pStyle w:val="Norma"/>
        <w:numPr>
          <w:ilvl w:val="0"/>
          <w:numId w:val="9"/>
        </w:numPr>
        <w:spacing w:before="120"/>
        <w:rPr>
          <w:rFonts w:asciiTheme="minorHAnsi" w:hAnsiTheme="minorHAnsi"/>
          <w:bCs/>
          <w:sz w:val="20"/>
          <w:szCs w:val="20"/>
        </w:rPr>
      </w:pPr>
      <w:r w:rsidRPr="00684B16">
        <w:rPr>
          <w:rFonts w:asciiTheme="minorHAnsi" w:hAnsiTheme="minorHAnsi"/>
          <w:bCs/>
          <w:sz w:val="20"/>
          <w:szCs w:val="20"/>
        </w:rPr>
        <w:t xml:space="preserve">Analysis must be delivered in a simple, transparent Excel spreadsheet or set of spreadsheets, where key assumptions (agreed with the CCC) are clearly stated. All assumptions and figures should be adequately </w:t>
      </w:r>
      <w:proofErr w:type="gramStart"/>
      <w:r w:rsidRPr="00684B16">
        <w:rPr>
          <w:rFonts w:asciiTheme="minorHAnsi" w:hAnsiTheme="minorHAnsi"/>
          <w:bCs/>
          <w:sz w:val="20"/>
          <w:szCs w:val="20"/>
        </w:rPr>
        <w:t>referenced, and</w:t>
      </w:r>
      <w:proofErr w:type="gramEnd"/>
      <w:r w:rsidRPr="00684B16">
        <w:rPr>
          <w:rFonts w:asciiTheme="minorHAnsi" w:hAnsiTheme="minorHAnsi"/>
          <w:bCs/>
          <w:sz w:val="20"/>
          <w:szCs w:val="20"/>
        </w:rPr>
        <w:t xml:space="preserve"> include any supporting workings. Any such spreadsheets will be the property of the CCC.</w:t>
      </w:r>
    </w:p>
    <w:p w14:paraId="218372DD" w14:textId="77777777" w:rsidR="000563DF" w:rsidRPr="00684B16" w:rsidRDefault="000563DF" w:rsidP="00321D3F">
      <w:pPr>
        <w:pStyle w:val="Norma"/>
        <w:numPr>
          <w:ilvl w:val="0"/>
          <w:numId w:val="9"/>
        </w:numPr>
        <w:spacing w:before="120"/>
        <w:rPr>
          <w:rFonts w:asciiTheme="minorHAnsi" w:hAnsiTheme="minorHAnsi"/>
          <w:bCs/>
          <w:sz w:val="20"/>
          <w:szCs w:val="20"/>
        </w:rPr>
      </w:pPr>
      <w:r w:rsidRPr="00684B16">
        <w:rPr>
          <w:rFonts w:asciiTheme="minorHAnsi" w:hAnsiTheme="minorHAnsi"/>
          <w:bCs/>
          <w:sz w:val="20"/>
          <w:szCs w:val="20"/>
        </w:rPr>
        <w:t>Existing analysis and published research should be reviewed and considered in developing the scenarios and approaches to be analysed within this assignment.</w:t>
      </w:r>
    </w:p>
    <w:p w14:paraId="410352B9" w14:textId="701C8BBE" w:rsidR="003A05B7" w:rsidRPr="00321D3F"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2" w:name="_Ref373505215"/>
      <w:bookmarkStart w:id="23" w:name="_Toc381969513"/>
      <w:bookmarkStart w:id="24" w:name="_Toc405888462"/>
      <w:bookmarkStart w:id="25" w:name="_Toc120104418"/>
      <w:r w:rsidRPr="00321D3F">
        <w:rPr>
          <w:rFonts w:asciiTheme="minorHAnsi" w:hAnsiTheme="minorHAnsi" w:cs="Arial"/>
          <w:color w:val="auto"/>
          <w:sz w:val="20"/>
          <w:szCs w:val="20"/>
        </w:rPr>
        <w:t>Timetable</w:t>
      </w:r>
      <w:bookmarkEnd w:id="20"/>
      <w:bookmarkEnd w:id="22"/>
      <w:bookmarkEnd w:id="23"/>
      <w:bookmarkEnd w:id="24"/>
      <w:bookmarkEnd w:id="25"/>
    </w:p>
    <w:p w14:paraId="0331C9E4" w14:textId="4B5DB6A9" w:rsidR="002479A5" w:rsidRPr="002479A5" w:rsidRDefault="002479A5" w:rsidP="002479A5">
      <w:pPr>
        <w:pStyle w:val="Norma"/>
        <w:spacing w:before="120"/>
        <w:ind w:left="720"/>
        <w:rPr>
          <w:rFonts w:asciiTheme="minorHAnsi" w:hAnsiTheme="minorHAnsi"/>
          <w:bCs/>
          <w:sz w:val="20"/>
          <w:szCs w:val="20"/>
        </w:rPr>
      </w:pPr>
      <w:r w:rsidRPr="002479A5">
        <w:rPr>
          <w:rFonts w:asciiTheme="minorHAnsi" w:hAnsiTheme="minorHAnsi"/>
          <w:bCs/>
          <w:sz w:val="20"/>
          <w:szCs w:val="20"/>
        </w:rPr>
        <w:t xml:space="preserve">The proposed timetable for </w:t>
      </w:r>
      <w:r w:rsidR="002B7480">
        <w:rPr>
          <w:rFonts w:asciiTheme="minorHAnsi" w:hAnsiTheme="minorHAnsi"/>
          <w:bCs/>
          <w:sz w:val="20"/>
          <w:szCs w:val="20"/>
        </w:rPr>
        <w:t xml:space="preserve">developing the </w:t>
      </w:r>
      <w:r w:rsidR="002B7480" w:rsidRPr="00DE6B6C">
        <w:rPr>
          <w:rFonts w:asciiTheme="minorHAnsi" w:hAnsiTheme="minorHAnsi"/>
          <w:b/>
          <w:sz w:val="20"/>
          <w:szCs w:val="20"/>
        </w:rPr>
        <w:t>essential elements</w:t>
      </w:r>
      <w:r w:rsidR="002B7480">
        <w:rPr>
          <w:rFonts w:asciiTheme="minorHAnsi" w:hAnsiTheme="minorHAnsi"/>
          <w:bCs/>
          <w:sz w:val="20"/>
          <w:szCs w:val="20"/>
        </w:rPr>
        <w:t xml:space="preserve"> of </w:t>
      </w:r>
      <w:r w:rsidRPr="002479A5">
        <w:rPr>
          <w:rFonts w:asciiTheme="minorHAnsi" w:hAnsiTheme="minorHAnsi"/>
          <w:bCs/>
          <w:sz w:val="20"/>
          <w:szCs w:val="20"/>
        </w:rPr>
        <w:t>the project is set out in the following table:</w:t>
      </w:r>
    </w:p>
    <w:p w14:paraId="281AE986" w14:textId="77777777" w:rsidR="002479A5" w:rsidRDefault="002479A5" w:rsidP="002479A5">
      <w:pPr>
        <w:pStyle w:val="Norma"/>
        <w:ind w:left="720"/>
      </w:pPr>
    </w:p>
    <w:tbl>
      <w:tblPr>
        <w:tblStyle w:val="CCCTable"/>
        <w:tblW w:w="7497" w:type="dxa"/>
        <w:tblInd w:w="720" w:type="dxa"/>
        <w:tblLook w:val="04A0" w:firstRow="1" w:lastRow="0" w:firstColumn="1" w:lastColumn="0" w:noHBand="0" w:noVBand="1"/>
      </w:tblPr>
      <w:tblGrid>
        <w:gridCol w:w="2110"/>
        <w:gridCol w:w="5387"/>
      </w:tblGrid>
      <w:tr w:rsidR="002479A5" w:rsidRPr="00742474" w14:paraId="36C31540" w14:textId="77777777" w:rsidTr="002E3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2B7D8E47" w14:textId="77777777" w:rsidR="002479A5" w:rsidRPr="00742474" w:rsidRDefault="002479A5" w:rsidP="00F61790">
            <w:pPr>
              <w:pStyle w:val="BodyText"/>
              <w:rPr>
                <w:color w:val="FFFFFF" w:themeColor="background1"/>
              </w:rPr>
            </w:pPr>
            <w:r w:rsidRPr="00742474">
              <w:rPr>
                <w:color w:val="FFFFFF" w:themeColor="background1"/>
              </w:rPr>
              <w:t>Date</w:t>
            </w:r>
          </w:p>
        </w:tc>
        <w:tc>
          <w:tcPr>
            <w:tcW w:w="5387" w:type="dxa"/>
          </w:tcPr>
          <w:p w14:paraId="0AC8070C" w14:textId="77777777" w:rsidR="002479A5" w:rsidRPr="00742474" w:rsidRDefault="002479A5" w:rsidP="00F61790">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742474">
              <w:rPr>
                <w:b/>
                <w:color w:val="FFFFFF" w:themeColor="background1"/>
              </w:rPr>
              <w:t>Action/deliverable</w:t>
            </w:r>
          </w:p>
        </w:tc>
      </w:tr>
      <w:tr w:rsidR="002479A5" w:rsidRPr="00742474" w14:paraId="09452DF8" w14:textId="77777777" w:rsidTr="002E3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7513136F" w14:textId="192A9470" w:rsidR="002479A5" w:rsidRPr="00742474" w:rsidRDefault="002479A5" w:rsidP="00F61790">
            <w:pPr>
              <w:pStyle w:val="BodyText"/>
              <w:rPr>
                <w:color w:val="FFFFFF" w:themeColor="background1"/>
              </w:rPr>
            </w:pPr>
            <w:r w:rsidRPr="00742474">
              <w:rPr>
                <w:color w:val="FFFFFF" w:themeColor="background1"/>
              </w:rPr>
              <w:t xml:space="preserve">w/c </w:t>
            </w:r>
            <w:r w:rsidR="00D37C1F">
              <w:rPr>
                <w:color w:val="FFFFFF" w:themeColor="background1"/>
              </w:rPr>
              <w:t>16</w:t>
            </w:r>
            <w:r w:rsidR="00DA6BF6" w:rsidRPr="00742474">
              <w:rPr>
                <w:color w:val="FFFFFF" w:themeColor="background1"/>
              </w:rPr>
              <w:t xml:space="preserve"> January</w:t>
            </w:r>
          </w:p>
        </w:tc>
        <w:tc>
          <w:tcPr>
            <w:tcW w:w="5387" w:type="dxa"/>
          </w:tcPr>
          <w:p w14:paraId="77DD8BB2" w14:textId="77777777" w:rsidR="002479A5" w:rsidRPr="00742474" w:rsidRDefault="002479A5" w:rsidP="00F61790">
            <w:pPr>
              <w:pStyle w:val="BodyText"/>
              <w:cnfStyle w:val="000000100000" w:firstRow="0" w:lastRow="0" w:firstColumn="0" w:lastColumn="0" w:oddVBand="0" w:evenVBand="0" w:oddHBand="1" w:evenHBand="0" w:firstRowFirstColumn="0" w:firstRowLastColumn="0" w:lastRowFirstColumn="0" w:lastRowLastColumn="0"/>
              <w:rPr>
                <w:color w:val="280049" w:themeColor="text1"/>
              </w:rPr>
            </w:pPr>
            <w:r w:rsidRPr="00742474">
              <w:rPr>
                <w:rFonts w:ascii="Century Gothic" w:hAnsi="Century Gothic"/>
                <w:color w:val="280049" w:themeColor="text1"/>
                <w:szCs w:val="20"/>
              </w:rPr>
              <w:t>Kick off meeting</w:t>
            </w:r>
          </w:p>
        </w:tc>
      </w:tr>
      <w:tr w:rsidR="002479A5" w:rsidRPr="00742474" w14:paraId="6965B681" w14:textId="77777777" w:rsidTr="002E38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3E0131C6" w14:textId="30B2F78D" w:rsidR="002479A5" w:rsidRPr="00742474" w:rsidRDefault="002479A5" w:rsidP="00F61790">
            <w:pPr>
              <w:pStyle w:val="BodyText"/>
              <w:rPr>
                <w:color w:val="FFFFFF" w:themeColor="background1"/>
              </w:rPr>
            </w:pPr>
            <w:r w:rsidRPr="00742474">
              <w:rPr>
                <w:color w:val="FFFFFF" w:themeColor="background1"/>
              </w:rPr>
              <w:t xml:space="preserve">w/c </w:t>
            </w:r>
            <w:r w:rsidR="00E440D0">
              <w:rPr>
                <w:color w:val="FFFFFF" w:themeColor="background1"/>
              </w:rPr>
              <w:t>30 January</w:t>
            </w:r>
          </w:p>
        </w:tc>
        <w:tc>
          <w:tcPr>
            <w:tcW w:w="5387" w:type="dxa"/>
          </w:tcPr>
          <w:p w14:paraId="4EDF58FD" w14:textId="5EFC12F8" w:rsidR="002479A5" w:rsidRPr="00742474" w:rsidRDefault="002479A5" w:rsidP="00F61790">
            <w:pPr>
              <w:pStyle w:val="BodyText"/>
              <w:cnfStyle w:val="000000010000" w:firstRow="0" w:lastRow="0" w:firstColumn="0" w:lastColumn="0" w:oddVBand="0" w:evenVBand="0" w:oddHBand="0" w:evenHBand="1" w:firstRowFirstColumn="0" w:firstRowLastColumn="0" w:lastRowFirstColumn="0" w:lastRowLastColumn="0"/>
              <w:rPr>
                <w:color w:val="280049" w:themeColor="text1"/>
              </w:rPr>
            </w:pPr>
            <w:r w:rsidRPr="00742474">
              <w:rPr>
                <w:rFonts w:ascii="Century Gothic" w:hAnsi="Century Gothic"/>
                <w:color w:val="280049" w:themeColor="text1"/>
                <w:szCs w:val="20"/>
              </w:rPr>
              <w:t xml:space="preserve">Workshop 1 – </w:t>
            </w:r>
            <w:r w:rsidR="00DA6BF6" w:rsidRPr="00742474">
              <w:rPr>
                <w:rFonts w:ascii="Century Gothic" w:hAnsi="Century Gothic"/>
                <w:color w:val="280049" w:themeColor="text1"/>
                <w:szCs w:val="20"/>
              </w:rPr>
              <w:t>Co-benefits</w:t>
            </w:r>
            <w:r w:rsidR="0073637D" w:rsidRPr="00742474">
              <w:rPr>
                <w:rFonts w:ascii="Century Gothic" w:hAnsi="Century Gothic"/>
                <w:color w:val="280049" w:themeColor="text1"/>
                <w:szCs w:val="20"/>
              </w:rPr>
              <w:t xml:space="preserve"> </w:t>
            </w:r>
            <w:r w:rsidR="006A3D42" w:rsidRPr="00742474">
              <w:rPr>
                <w:rFonts w:ascii="Century Gothic" w:hAnsi="Century Gothic"/>
                <w:color w:val="280049" w:themeColor="text1"/>
                <w:szCs w:val="20"/>
              </w:rPr>
              <w:t>long list and criteria</w:t>
            </w:r>
            <w:r w:rsidRPr="00742474">
              <w:rPr>
                <w:rFonts w:ascii="Century Gothic" w:hAnsi="Century Gothic"/>
                <w:color w:val="280049" w:themeColor="text1"/>
                <w:szCs w:val="20"/>
              </w:rPr>
              <w:t xml:space="preserve"> </w:t>
            </w:r>
          </w:p>
        </w:tc>
      </w:tr>
      <w:tr w:rsidR="002479A5" w:rsidRPr="00742474" w14:paraId="2BA95FB1" w14:textId="77777777" w:rsidTr="002E3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322F453C" w14:textId="1D49BE82" w:rsidR="002479A5" w:rsidRPr="00742474" w:rsidRDefault="002479A5" w:rsidP="00F61790">
            <w:pPr>
              <w:pStyle w:val="BodyText"/>
              <w:rPr>
                <w:color w:val="FFFFFF" w:themeColor="background1"/>
              </w:rPr>
            </w:pPr>
            <w:r w:rsidRPr="00742474">
              <w:rPr>
                <w:color w:val="FFFFFF" w:themeColor="background1"/>
              </w:rPr>
              <w:t xml:space="preserve">w/c </w:t>
            </w:r>
            <w:r w:rsidR="00385A79">
              <w:rPr>
                <w:color w:val="FFFFFF" w:themeColor="background1"/>
              </w:rPr>
              <w:t xml:space="preserve">6 </w:t>
            </w:r>
            <w:r w:rsidR="00E440D0">
              <w:rPr>
                <w:color w:val="FFFFFF" w:themeColor="background1"/>
              </w:rPr>
              <w:t>February</w:t>
            </w:r>
          </w:p>
        </w:tc>
        <w:tc>
          <w:tcPr>
            <w:tcW w:w="5387" w:type="dxa"/>
          </w:tcPr>
          <w:p w14:paraId="7599E314" w14:textId="6FFD1225" w:rsidR="002479A5" w:rsidRPr="00742474" w:rsidRDefault="006A3D42" w:rsidP="00F61790">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color w:val="280049" w:themeColor="text1"/>
                <w:szCs w:val="20"/>
              </w:rPr>
            </w:pPr>
            <w:r w:rsidRPr="00742474">
              <w:rPr>
                <w:rFonts w:ascii="Century Gothic" w:hAnsi="Century Gothic"/>
                <w:color w:val="280049" w:themeColor="text1"/>
                <w:szCs w:val="20"/>
              </w:rPr>
              <w:t xml:space="preserve">Workshop 2 – </w:t>
            </w:r>
            <w:r w:rsidR="002E387C" w:rsidRPr="00742474">
              <w:rPr>
                <w:rFonts w:ascii="Century Gothic" w:hAnsi="Century Gothic"/>
                <w:color w:val="280049" w:themeColor="text1"/>
                <w:szCs w:val="20"/>
              </w:rPr>
              <w:t>Key modelling assumptions</w:t>
            </w:r>
          </w:p>
        </w:tc>
      </w:tr>
      <w:tr w:rsidR="002479A5" w:rsidRPr="00742474" w14:paraId="5D997831" w14:textId="77777777" w:rsidTr="002E38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1BC8D2A8" w14:textId="5515108C" w:rsidR="002479A5" w:rsidRPr="00742474" w:rsidDel="00D62139" w:rsidRDefault="002479A5" w:rsidP="00F61790">
            <w:pPr>
              <w:pStyle w:val="BodyText"/>
              <w:rPr>
                <w:color w:val="FFFFFF" w:themeColor="background1"/>
              </w:rPr>
            </w:pPr>
            <w:r w:rsidRPr="00742474">
              <w:rPr>
                <w:color w:val="FFFFFF" w:themeColor="background1"/>
              </w:rPr>
              <w:t xml:space="preserve">w/c </w:t>
            </w:r>
            <w:r w:rsidR="00385A79">
              <w:rPr>
                <w:color w:val="FFFFFF" w:themeColor="background1"/>
              </w:rPr>
              <w:t>27 February</w:t>
            </w:r>
          </w:p>
        </w:tc>
        <w:tc>
          <w:tcPr>
            <w:tcW w:w="5387" w:type="dxa"/>
          </w:tcPr>
          <w:p w14:paraId="02464A35" w14:textId="58B7E3C6" w:rsidR="002479A5" w:rsidRPr="00742474" w:rsidRDefault="002479A5" w:rsidP="00F61790">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color w:val="280049" w:themeColor="text1"/>
                <w:szCs w:val="20"/>
              </w:rPr>
            </w:pPr>
            <w:r w:rsidRPr="00742474">
              <w:rPr>
                <w:rFonts w:ascii="Century Gothic" w:hAnsi="Century Gothic"/>
                <w:color w:val="280049" w:themeColor="text1"/>
                <w:szCs w:val="20"/>
              </w:rPr>
              <w:t>Delivery of model – version 1</w:t>
            </w:r>
          </w:p>
        </w:tc>
      </w:tr>
      <w:tr w:rsidR="002479A5" w:rsidRPr="00742474" w14:paraId="6F2DA636" w14:textId="77777777" w:rsidTr="002E3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63A4DEB2" w14:textId="4E4FB337" w:rsidR="002479A5" w:rsidRPr="00742474" w:rsidDel="00D62139" w:rsidRDefault="002479A5" w:rsidP="00F61790">
            <w:pPr>
              <w:pStyle w:val="BodyText"/>
              <w:rPr>
                <w:color w:val="FFFFFF" w:themeColor="background1"/>
              </w:rPr>
            </w:pPr>
            <w:r w:rsidRPr="00742474">
              <w:rPr>
                <w:color w:val="FFFFFF" w:themeColor="background1"/>
              </w:rPr>
              <w:t xml:space="preserve">w/c </w:t>
            </w:r>
            <w:r w:rsidR="00385A79">
              <w:rPr>
                <w:color w:val="FFFFFF" w:themeColor="background1"/>
              </w:rPr>
              <w:t>27 February</w:t>
            </w:r>
          </w:p>
        </w:tc>
        <w:tc>
          <w:tcPr>
            <w:tcW w:w="5387" w:type="dxa"/>
          </w:tcPr>
          <w:p w14:paraId="47003CEA" w14:textId="51D9B7CC" w:rsidR="002479A5" w:rsidRPr="00742474" w:rsidRDefault="002479A5" w:rsidP="00F61790">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color w:val="280049" w:themeColor="text1"/>
                <w:szCs w:val="20"/>
              </w:rPr>
            </w:pPr>
            <w:r w:rsidRPr="00742474">
              <w:rPr>
                <w:rFonts w:ascii="Century Gothic" w:hAnsi="Century Gothic"/>
                <w:color w:val="280049" w:themeColor="text1"/>
                <w:szCs w:val="20"/>
              </w:rPr>
              <w:t>Delivery of</w:t>
            </w:r>
            <w:r w:rsidR="00DA6BF6" w:rsidRPr="00742474">
              <w:rPr>
                <w:rFonts w:ascii="Century Gothic" w:hAnsi="Century Gothic"/>
                <w:color w:val="280049" w:themeColor="text1"/>
                <w:szCs w:val="20"/>
              </w:rPr>
              <w:t xml:space="preserve"> report – version 1 </w:t>
            </w:r>
          </w:p>
        </w:tc>
      </w:tr>
      <w:tr w:rsidR="00742474" w:rsidRPr="00742474" w14:paraId="3D90FFF8" w14:textId="77777777" w:rsidTr="002E38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39E355FE" w14:textId="37B152E5" w:rsidR="00742474" w:rsidRPr="00742474" w:rsidRDefault="00742474" w:rsidP="00742474">
            <w:pPr>
              <w:pStyle w:val="BodyText"/>
              <w:rPr>
                <w:color w:val="FFFFFF" w:themeColor="background1"/>
              </w:rPr>
            </w:pPr>
            <w:r w:rsidRPr="00742474">
              <w:rPr>
                <w:color w:val="FFFFFF" w:themeColor="background1"/>
              </w:rPr>
              <w:t>w/c 17 February-24 March</w:t>
            </w:r>
          </w:p>
        </w:tc>
        <w:tc>
          <w:tcPr>
            <w:tcW w:w="5387" w:type="dxa"/>
          </w:tcPr>
          <w:p w14:paraId="6166BDEC" w14:textId="28C5E752" w:rsidR="00742474" w:rsidRPr="00742474" w:rsidRDefault="00742474" w:rsidP="00742474">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color w:val="280049" w:themeColor="text1"/>
                <w:szCs w:val="20"/>
              </w:rPr>
            </w:pPr>
            <w:r w:rsidRPr="00742474">
              <w:rPr>
                <w:rFonts w:ascii="Century Gothic" w:hAnsi="Century Gothic"/>
                <w:color w:val="280049" w:themeColor="text1"/>
                <w:szCs w:val="20"/>
              </w:rPr>
              <w:t>Present approach to CCC Committee</w:t>
            </w:r>
          </w:p>
        </w:tc>
      </w:tr>
      <w:tr w:rsidR="00742474" w:rsidRPr="00742474" w14:paraId="2A052F5B" w14:textId="77777777" w:rsidTr="002E3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0" w:type="dxa"/>
          </w:tcPr>
          <w:p w14:paraId="74C592AB" w14:textId="57200A37" w:rsidR="00742474" w:rsidRPr="00742474" w:rsidRDefault="00D37C1F" w:rsidP="00742474">
            <w:pPr>
              <w:pStyle w:val="BodyText"/>
              <w:rPr>
                <w:color w:val="FFFFFF" w:themeColor="background1"/>
              </w:rPr>
            </w:pPr>
            <w:r>
              <w:rPr>
                <w:color w:val="FFFFFF" w:themeColor="background1"/>
              </w:rPr>
              <w:t>End of April</w:t>
            </w:r>
          </w:p>
        </w:tc>
        <w:tc>
          <w:tcPr>
            <w:tcW w:w="5387" w:type="dxa"/>
          </w:tcPr>
          <w:p w14:paraId="5A989125" w14:textId="085615D9" w:rsidR="00742474" w:rsidRPr="00742474" w:rsidRDefault="00742474" w:rsidP="00742474">
            <w:pPr>
              <w:pStyle w:val="BodyText"/>
              <w:cnfStyle w:val="000000100000" w:firstRow="0" w:lastRow="0" w:firstColumn="0" w:lastColumn="0" w:oddVBand="0" w:evenVBand="0" w:oddHBand="1" w:evenHBand="0" w:firstRowFirstColumn="0" w:firstRowLastColumn="0" w:lastRowFirstColumn="0" w:lastRowLastColumn="0"/>
              <w:rPr>
                <w:color w:val="280049" w:themeColor="text1"/>
              </w:rPr>
            </w:pPr>
            <w:r w:rsidRPr="00742474">
              <w:rPr>
                <w:rFonts w:ascii="Century Gothic" w:hAnsi="Century Gothic"/>
                <w:color w:val="280049" w:themeColor="text1"/>
                <w:szCs w:val="20"/>
              </w:rPr>
              <w:t>Delivery of final model and report</w:t>
            </w:r>
            <w:r w:rsidR="00D37C1F">
              <w:rPr>
                <w:rFonts w:ascii="Century Gothic" w:hAnsi="Century Gothic"/>
                <w:color w:val="280049" w:themeColor="text1"/>
                <w:szCs w:val="20"/>
              </w:rPr>
              <w:t xml:space="preserve"> (essential elements)</w:t>
            </w:r>
          </w:p>
        </w:tc>
      </w:tr>
    </w:tbl>
    <w:p w14:paraId="23F673A7" w14:textId="77777777" w:rsidR="002479A5" w:rsidRDefault="002479A5" w:rsidP="002479A5">
      <w:pPr>
        <w:pStyle w:val="Norma"/>
        <w:ind w:left="720"/>
      </w:pPr>
    </w:p>
    <w:p w14:paraId="29BCADF8" w14:textId="77777777" w:rsidR="002B7480" w:rsidRDefault="002479A5" w:rsidP="002479A5">
      <w:pPr>
        <w:pStyle w:val="Norma"/>
        <w:spacing w:before="120"/>
        <w:ind w:left="720"/>
        <w:rPr>
          <w:rFonts w:asciiTheme="minorHAnsi" w:hAnsiTheme="minorHAnsi"/>
          <w:bCs/>
          <w:sz w:val="20"/>
          <w:szCs w:val="20"/>
        </w:rPr>
      </w:pPr>
      <w:r w:rsidRPr="002479A5">
        <w:rPr>
          <w:rFonts w:asciiTheme="minorHAnsi" w:hAnsiTheme="minorHAnsi"/>
          <w:bCs/>
          <w:sz w:val="20"/>
          <w:szCs w:val="20"/>
        </w:rPr>
        <w:t>The CCC is willing to be flexible with timelines and will consider alternative timetable proposals</w:t>
      </w:r>
      <w:r w:rsidR="0064138C">
        <w:rPr>
          <w:rFonts w:asciiTheme="minorHAnsi" w:hAnsiTheme="minorHAnsi"/>
          <w:bCs/>
          <w:sz w:val="20"/>
          <w:szCs w:val="20"/>
        </w:rPr>
        <w:t xml:space="preserve">. </w:t>
      </w:r>
    </w:p>
    <w:p w14:paraId="40BF8CFC" w14:textId="44BA8802" w:rsidR="002479A5" w:rsidRPr="002479A5" w:rsidRDefault="002B7480" w:rsidP="002479A5">
      <w:pPr>
        <w:pStyle w:val="Norma"/>
        <w:spacing w:before="120"/>
        <w:ind w:left="720"/>
        <w:rPr>
          <w:rFonts w:asciiTheme="minorHAnsi" w:hAnsiTheme="minorHAnsi"/>
          <w:bCs/>
          <w:sz w:val="20"/>
          <w:szCs w:val="20"/>
        </w:rPr>
      </w:pPr>
      <w:r>
        <w:rPr>
          <w:rFonts w:asciiTheme="minorHAnsi" w:hAnsiTheme="minorHAnsi"/>
          <w:bCs/>
          <w:sz w:val="20"/>
          <w:szCs w:val="20"/>
        </w:rPr>
        <w:lastRenderedPageBreak/>
        <w:t>B</w:t>
      </w:r>
      <w:r w:rsidR="0064138C">
        <w:rPr>
          <w:rFonts w:asciiTheme="minorHAnsi" w:hAnsiTheme="minorHAnsi"/>
          <w:bCs/>
          <w:sz w:val="20"/>
          <w:szCs w:val="20"/>
        </w:rPr>
        <w:t xml:space="preserve">ids </w:t>
      </w:r>
      <w:r>
        <w:rPr>
          <w:rFonts w:asciiTheme="minorHAnsi" w:hAnsiTheme="minorHAnsi"/>
          <w:bCs/>
          <w:sz w:val="20"/>
          <w:szCs w:val="20"/>
        </w:rPr>
        <w:t xml:space="preserve">should </w:t>
      </w:r>
      <w:r w:rsidR="0064138C">
        <w:rPr>
          <w:rFonts w:asciiTheme="minorHAnsi" w:hAnsiTheme="minorHAnsi"/>
          <w:bCs/>
          <w:sz w:val="20"/>
          <w:szCs w:val="20"/>
        </w:rPr>
        <w:t xml:space="preserve">incorporate </w:t>
      </w:r>
      <w:r w:rsidR="0064138C" w:rsidRPr="00DE6B6C">
        <w:rPr>
          <w:rFonts w:asciiTheme="minorHAnsi" w:hAnsiTheme="minorHAnsi"/>
          <w:b/>
          <w:sz w:val="20"/>
          <w:szCs w:val="20"/>
        </w:rPr>
        <w:t>desirable elements</w:t>
      </w:r>
      <w:r w:rsidR="0064138C">
        <w:rPr>
          <w:rFonts w:asciiTheme="minorHAnsi" w:hAnsiTheme="minorHAnsi"/>
          <w:bCs/>
          <w:sz w:val="20"/>
          <w:szCs w:val="20"/>
        </w:rPr>
        <w:t xml:space="preserve"> of the project </w:t>
      </w:r>
      <w:r>
        <w:rPr>
          <w:rFonts w:asciiTheme="minorHAnsi" w:hAnsiTheme="minorHAnsi"/>
          <w:bCs/>
          <w:sz w:val="20"/>
          <w:szCs w:val="20"/>
        </w:rPr>
        <w:t xml:space="preserve">and </w:t>
      </w:r>
      <w:r w:rsidR="0064138C">
        <w:rPr>
          <w:rFonts w:asciiTheme="minorHAnsi" w:hAnsiTheme="minorHAnsi"/>
          <w:bCs/>
          <w:sz w:val="20"/>
          <w:szCs w:val="20"/>
        </w:rPr>
        <w:t>set out the timings for delivering these if they differ to those for delivering essential elements</w:t>
      </w:r>
      <w:r>
        <w:rPr>
          <w:rFonts w:asciiTheme="minorHAnsi" w:hAnsiTheme="minorHAnsi"/>
          <w:bCs/>
          <w:sz w:val="20"/>
          <w:szCs w:val="20"/>
        </w:rPr>
        <w:t>.</w:t>
      </w:r>
    </w:p>
    <w:p w14:paraId="0F9065AF" w14:textId="77777777" w:rsidR="002479A5" w:rsidRPr="002479A5" w:rsidRDefault="002479A5" w:rsidP="002479A5">
      <w:pPr>
        <w:pStyle w:val="Norma"/>
        <w:spacing w:before="120"/>
        <w:ind w:left="720"/>
        <w:rPr>
          <w:rFonts w:asciiTheme="minorHAnsi" w:hAnsiTheme="minorHAnsi"/>
          <w:bCs/>
          <w:sz w:val="20"/>
          <w:szCs w:val="20"/>
        </w:rPr>
      </w:pPr>
      <w:r w:rsidRPr="002479A5">
        <w:rPr>
          <w:rFonts w:asciiTheme="minorHAnsi" w:hAnsiTheme="minorHAnsi"/>
          <w:bCs/>
          <w:sz w:val="20"/>
          <w:szCs w:val="20"/>
        </w:rPr>
        <w:t>In addition to the formal reporting points, the CCC would expect to have regular scheduled discussions (weekly meetings or calls) to ensure the work is progressing as expected.</w:t>
      </w:r>
    </w:p>
    <w:p w14:paraId="6A8AE529" w14:textId="02E98436" w:rsidR="003A05B7" w:rsidRPr="00321D3F"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6" w:name="_Ref357541731"/>
      <w:bookmarkStart w:id="27" w:name="_Toc381969514"/>
      <w:bookmarkStart w:id="28" w:name="_Toc405888463"/>
      <w:bookmarkStart w:id="29" w:name="_Toc120104419"/>
      <w:r w:rsidRPr="00321D3F">
        <w:rPr>
          <w:rFonts w:asciiTheme="minorHAnsi" w:hAnsiTheme="minorHAnsi" w:cs="Arial"/>
          <w:color w:val="auto"/>
          <w:sz w:val="20"/>
          <w:szCs w:val="20"/>
        </w:rPr>
        <w:t>Challenges</w:t>
      </w:r>
      <w:bookmarkEnd w:id="26"/>
      <w:bookmarkEnd w:id="27"/>
      <w:bookmarkEnd w:id="28"/>
      <w:bookmarkEnd w:id="29"/>
    </w:p>
    <w:p w14:paraId="4A96256E" w14:textId="77777777" w:rsidR="00E11053" w:rsidRPr="00E11053" w:rsidRDefault="00E11053" w:rsidP="00E11053">
      <w:pPr>
        <w:pStyle w:val="Norma"/>
        <w:spacing w:before="120"/>
        <w:ind w:left="720"/>
        <w:rPr>
          <w:rFonts w:asciiTheme="minorHAnsi" w:hAnsiTheme="minorHAnsi"/>
          <w:bCs/>
          <w:sz w:val="20"/>
          <w:szCs w:val="20"/>
        </w:rPr>
      </w:pPr>
      <w:r w:rsidRPr="00E11053">
        <w:rPr>
          <w:rFonts w:asciiTheme="minorHAnsi" w:hAnsiTheme="minorHAnsi"/>
          <w:bCs/>
          <w:sz w:val="20"/>
          <w:szCs w:val="20"/>
        </w:rPr>
        <w:t>Tenderers should highlight any challenges or risks that they envisage in delivering all the outputs of the project, whether in terms of scope of the work, resources, or timelines. Alternative suggestions will be considered if the risks are such that the project is unlikely to be able to be delivered in its current form.</w:t>
      </w:r>
    </w:p>
    <w:p w14:paraId="01C079ED" w14:textId="775A3DBF" w:rsidR="0038388A" w:rsidRPr="00880287" w:rsidRDefault="0038388A" w:rsidP="00880287">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0" w:name="_Ref338852517"/>
      <w:bookmarkStart w:id="31" w:name="_Toc381969516"/>
      <w:bookmarkStart w:id="32" w:name="_Toc405888465"/>
      <w:bookmarkStart w:id="33" w:name="_Toc120104420"/>
      <w:r w:rsidRPr="00880287">
        <w:rPr>
          <w:rFonts w:asciiTheme="minorHAnsi" w:hAnsiTheme="minorHAnsi" w:cs="Arial"/>
          <w:color w:val="auto"/>
          <w:sz w:val="20"/>
          <w:szCs w:val="20"/>
        </w:rPr>
        <w:t>Working Arrangements</w:t>
      </w:r>
      <w:bookmarkEnd w:id="30"/>
      <w:bookmarkEnd w:id="31"/>
      <w:bookmarkEnd w:id="32"/>
      <w:bookmarkEnd w:id="33"/>
    </w:p>
    <w:p w14:paraId="7451F670" w14:textId="77777777" w:rsidR="00925232" w:rsidRPr="00925232" w:rsidRDefault="00925232" w:rsidP="00925232">
      <w:pPr>
        <w:pStyle w:val="Norma"/>
        <w:spacing w:before="120"/>
        <w:ind w:left="720"/>
        <w:rPr>
          <w:rFonts w:asciiTheme="minorHAnsi" w:hAnsiTheme="minorHAnsi"/>
          <w:bCs/>
          <w:sz w:val="20"/>
          <w:szCs w:val="20"/>
        </w:rPr>
      </w:pPr>
      <w:r w:rsidRPr="00925232">
        <w:rPr>
          <w:rFonts w:asciiTheme="minorHAnsi" w:hAnsiTheme="minorHAnsi"/>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0859905F" w14:textId="17D37201" w:rsidR="00925232" w:rsidRDefault="00925232" w:rsidP="00925232">
      <w:pPr>
        <w:pStyle w:val="Norma"/>
        <w:spacing w:before="120"/>
        <w:ind w:left="720"/>
        <w:rPr>
          <w:rFonts w:asciiTheme="minorHAnsi" w:hAnsiTheme="minorHAnsi"/>
          <w:bCs/>
          <w:sz w:val="20"/>
          <w:szCs w:val="20"/>
        </w:rPr>
      </w:pPr>
      <w:r w:rsidRPr="00925232">
        <w:rPr>
          <w:rFonts w:asciiTheme="minorHAnsi" w:hAnsiTheme="minorHAnsi"/>
          <w:bCs/>
          <w:sz w:val="20"/>
          <w:szCs w:val="20"/>
        </w:rPr>
        <w:t xml:space="preserve">The CCC would expect the </w:t>
      </w:r>
      <w:r>
        <w:rPr>
          <w:rFonts w:asciiTheme="minorHAnsi" w:hAnsiTheme="minorHAnsi"/>
          <w:bCs/>
          <w:sz w:val="20"/>
          <w:szCs w:val="20"/>
        </w:rPr>
        <w:t xml:space="preserve">choice of </w:t>
      </w:r>
      <w:r w:rsidR="004B2A1F">
        <w:rPr>
          <w:rFonts w:asciiTheme="minorHAnsi" w:hAnsiTheme="minorHAnsi"/>
          <w:bCs/>
          <w:sz w:val="20"/>
          <w:szCs w:val="20"/>
        </w:rPr>
        <w:t xml:space="preserve">co-benefits and methodological approaches </w:t>
      </w:r>
      <w:r w:rsidRPr="00925232">
        <w:rPr>
          <w:rFonts w:asciiTheme="minorHAnsi" w:hAnsiTheme="minorHAnsi"/>
          <w:bCs/>
          <w:sz w:val="20"/>
          <w:szCs w:val="20"/>
        </w:rPr>
        <w:t>and underlying assumptions to be</w:t>
      </w:r>
      <w:r w:rsidR="004B2A1F">
        <w:rPr>
          <w:rFonts w:asciiTheme="minorHAnsi" w:hAnsiTheme="minorHAnsi"/>
          <w:bCs/>
          <w:sz w:val="20"/>
          <w:szCs w:val="20"/>
        </w:rPr>
        <w:t xml:space="preserve"> developed through</w:t>
      </w:r>
      <w:r w:rsidRPr="00925232">
        <w:rPr>
          <w:rFonts w:asciiTheme="minorHAnsi" w:hAnsiTheme="minorHAnsi"/>
          <w:bCs/>
          <w:sz w:val="20"/>
          <w:szCs w:val="20"/>
        </w:rPr>
        <w:t xml:space="preserve"> a collaborative process and as such expect regular contact and check-ins with the contractor</w:t>
      </w:r>
      <w:r w:rsidR="004B2A1F">
        <w:rPr>
          <w:rFonts w:asciiTheme="minorHAnsi" w:hAnsiTheme="minorHAnsi"/>
          <w:bCs/>
          <w:sz w:val="20"/>
          <w:szCs w:val="20"/>
        </w:rPr>
        <w:t>.</w:t>
      </w:r>
      <w:r w:rsidRPr="00925232">
        <w:rPr>
          <w:rFonts w:asciiTheme="minorHAnsi" w:hAnsiTheme="minorHAnsi"/>
          <w:bCs/>
          <w:sz w:val="20"/>
          <w:szCs w:val="20"/>
        </w:rPr>
        <w:t xml:space="preserve"> The CCC will provide data to align modelling with outputs from the Sixth Carbon Budget pathways.</w:t>
      </w:r>
    </w:p>
    <w:p w14:paraId="4A8773AC" w14:textId="1FD70013" w:rsidR="0038388A" w:rsidRPr="00925232" w:rsidRDefault="0038388A" w:rsidP="00925232">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4" w:name="_Toc120104421"/>
      <w:r w:rsidRPr="00925232">
        <w:rPr>
          <w:rFonts w:asciiTheme="minorHAnsi" w:hAnsiTheme="minorHAnsi" w:cs="Arial"/>
          <w:color w:val="auto"/>
          <w:sz w:val="20"/>
          <w:szCs w:val="20"/>
        </w:rPr>
        <w:t>Skills and experience</w:t>
      </w:r>
      <w:bookmarkEnd w:id="34"/>
    </w:p>
    <w:p w14:paraId="29DA31F2" w14:textId="77777777" w:rsidR="00E14A4A" w:rsidRPr="00E14A4A" w:rsidRDefault="00E14A4A" w:rsidP="00E14A4A">
      <w:pPr>
        <w:pStyle w:val="Norma"/>
        <w:spacing w:before="120"/>
        <w:ind w:left="720"/>
        <w:rPr>
          <w:rFonts w:asciiTheme="minorHAnsi" w:hAnsiTheme="minorHAnsi"/>
          <w:bCs/>
          <w:sz w:val="20"/>
          <w:szCs w:val="20"/>
        </w:rPr>
      </w:pPr>
      <w:bookmarkStart w:id="35" w:name="_Ref338852499"/>
      <w:r w:rsidRPr="00E14A4A">
        <w:rPr>
          <w:rFonts w:asciiTheme="minorHAnsi" w:hAnsiTheme="minorHAnsi"/>
          <w:bCs/>
          <w:sz w:val="20"/>
          <w:szCs w:val="20"/>
        </w:rPr>
        <w:t xml:space="preserve">The CCC would like you to demonstrate that you have the experience and capabilities to undertake the project. Your tender response should include a summary of each proposed team member’s experience and capabilities. </w:t>
      </w:r>
    </w:p>
    <w:p w14:paraId="436E9218" w14:textId="77777777" w:rsidR="00E14A4A" w:rsidRPr="00E14A4A" w:rsidRDefault="00E14A4A" w:rsidP="00E14A4A">
      <w:pPr>
        <w:pStyle w:val="Norma"/>
        <w:spacing w:before="120"/>
        <w:ind w:left="720"/>
        <w:rPr>
          <w:rFonts w:asciiTheme="minorHAnsi" w:hAnsiTheme="minorHAnsi"/>
          <w:bCs/>
          <w:sz w:val="20"/>
          <w:szCs w:val="20"/>
        </w:rPr>
      </w:pPr>
      <w:r w:rsidRPr="00E14A4A">
        <w:rPr>
          <w:rFonts w:asciiTheme="minorHAnsi" w:hAnsiTheme="minorHAnsi"/>
          <w:bCs/>
          <w:sz w:val="20"/>
          <w:szCs w:val="20"/>
        </w:rPr>
        <w:t xml:space="preserve">Contractors should propose named members of the project </w:t>
      </w:r>
      <w:proofErr w:type="gramStart"/>
      <w:r w:rsidRPr="00E14A4A">
        <w:rPr>
          <w:rFonts w:asciiTheme="minorHAnsi" w:hAnsiTheme="minorHAnsi"/>
          <w:bCs/>
          <w:sz w:val="20"/>
          <w:szCs w:val="20"/>
        </w:rPr>
        <w:t>team, and</w:t>
      </w:r>
      <w:proofErr w:type="gramEnd"/>
      <w:r w:rsidRPr="00E14A4A">
        <w:rPr>
          <w:rFonts w:asciiTheme="minorHAnsi" w:hAnsiTheme="minorHAnsi"/>
          <w:bCs/>
          <w:sz w:val="20"/>
          <w:szCs w:val="20"/>
        </w:rPr>
        <w:t xml:space="preserve"> include the tasks and responsibilities of each team member. This should be clearly linked to the work programme, indicating the grade/seniority of staff and number of days allocated to specific tasks.</w:t>
      </w:r>
    </w:p>
    <w:p w14:paraId="6157BA7E" w14:textId="77777777" w:rsidR="00E14A4A" w:rsidRPr="00E14A4A" w:rsidRDefault="00E14A4A" w:rsidP="00E14A4A">
      <w:pPr>
        <w:pStyle w:val="Norma"/>
        <w:spacing w:before="120"/>
        <w:ind w:left="720"/>
        <w:rPr>
          <w:rFonts w:asciiTheme="minorHAnsi" w:hAnsiTheme="minorHAnsi"/>
          <w:bCs/>
          <w:sz w:val="20"/>
          <w:szCs w:val="20"/>
        </w:rPr>
      </w:pPr>
      <w:r w:rsidRPr="00E14A4A">
        <w:rPr>
          <w:rFonts w:asciiTheme="minorHAnsi" w:hAnsiTheme="minorHAnsi"/>
          <w:bCs/>
          <w:sz w:val="20"/>
          <w:szCs w:val="20"/>
        </w:rPr>
        <w:t>Contractors should identify the individual(s) who will be responsible for managing the project.</w:t>
      </w:r>
    </w:p>
    <w:p w14:paraId="1568BF56" w14:textId="77777777" w:rsidR="0038388A" w:rsidRPr="00E14A4A" w:rsidRDefault="0038388A" w:rsidP="00880287">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6" w:name="_Ref373505239"/>
      <w:bookmarkStart w:id="37" w:name="_Toc381969518"/>
      <w:bookmarkStart w:id="38" w:name="_Toc405888467"/>
      <w:bookmarkStart w:id="39" w:name="_Toc120104422"/>
      <w:r w:rsidRPr="00E14A4A">
        <w:rPr>
          <w:rFonts w:asciiTheme="minorHAnsi" w:hAnsiTheme="minorHAnsi" w:cs="Arial"/>
          <w:color w:val="auto"/>
          <w:sz w:val="20"/>
          <w:szCs w:val="20"/>
        </w:rPr>
        <w:t>Consortium Bids</w:t>
      </w:r>
      <w:bookmarkEnd w:id="36"/>
      <w:bookmarkEnd w:id="37"/>
      <w:bookmarkEnd w:id="38"/>
      <w:bookmarkEnd w:id="39"/>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E14A4A" w:rsidRDefault="0038388A" w:rsidP="00880287">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40" w:name="_Ref357541811"/>
      <w:bookmarkStart w:id="41" w:name="_Toc381969519"/>
      <w:bookmarkStart w:id="42" w:name="_Toc405888468"/>
      <w:bookmarkStart w:id="43" w:name="_Toc120104423"/>
      <w:bookmarkStart w:id="44" w:name="_Toc246831559"/>
      <w:bookmarkStart w:id="45" w:name="_Toc271272917"/>
      <w:bookmarkStart w:id="46" w:name="_Ref338852577"/>
      <w:bookmarkEnd w:id="35"/>
      <w:r w:rsidRPr="00E14A4A">
        <w:rPr>
          <w:rFonts w:asciiTheme="minorHAnsi" w:hAnsiTheme="minorHAnsi" w:cs="Arial"/>
          <w:color w:val="auto"/>
          <w:sz w:val="20"/>
          <w:szCs w:val="20"/>
        </w:rPr>
        <w:lastRenderedPageBreak/>
        <w:t>Budget</w:t>
      </w:r>
      <w:bookmarkEnd w:id="40"/>
      <w:bookmarkEnd w:id="41"/>
      <w:bookmarkEnd w:id="42"/>
      <w:bookmarkEnd w:id="43"/>
      <w:r w:rsidRPr="00E14A4A">
        <w:rPr>
          <w:rFonts w:asciiTheme="minorHAnsi" w:hAnsiTheme="minorHAnsi" w:cs="Arial"/>
          <w:color w:val="auto"/>
          <w:sz w:val="20"/>
          <w:szCs w:val="20"/>
        </w:rPr>
        <w:t xml:space="preserve"> </w:t>
      </w:r>
    </w:p>
    <w:p w14:paraId="32334C7F" w14:textId="32D05FCB" w:rsidR="0038388A" w:rsidRPr="00E14A4A" w:rsidRDefault="0038388A" w:rsidP="00E14A4A">
      <w:pPr>
        <w:pStyle w:val="FootnoteText"/>
        <w:ind w:left="720"/>
        <w:jc w:val="both"/>
        <w:rPr>
          <w:rFonts w:asciiTheme="minorHAnsi" w:hAnsiTheme="minorHAnsi" w:cs="Arial"/>
          <w:lang w:eastAsia="en-GB"/>
        </w:rPr>
      </w:pPr>
      <w:r w:rsidRPr="00E14A4A">
        <w:rPr>
          <w:rFonts w:asciiTheme="minorHAnsi" w:hAnsiTheme="minorHAnsi" w:cs="Arial"/>
          <w:lang w:eastAsia="en-GB"/>
        </w:rPr>
        <w:t xml:space="preserve">The budget for </w:t>
      </w:r>
      <w:r w:rsidR="005250E1">
        <w:rPr>
          <w:rFonts w:asciiTheme="minorHAnsi" w:hAnsiTheme="minorHAnsi" w:cs="Arial"/>
          <w:lang w:eastAsia="en-GB"/>
        </w:rPr>
        <w:t xml:space="preserve">meeting the </w:t>
      </w:r>
      <w:r w:rsidR="005250E1" w:rsidRPr="0032649D">
        <w:rPr>
          <w:rFonts w:asciiTheme="minorHAnsi" w:hAnsiTheme="minorHAnsi" w:cs="Arial"/>
          <w:b/>
          <w:bCs/>
          <w:lang w:eastAsia="en-GB"/>
        </w:rPr>
        <w:t xml:space="preserve">essential </w:t>
      </w:r>
      <w:r w:rsidR="00677461">
        <w:rPr>
          <w:rFonts w:asciiTheme="minorHAnsi" w:hAnsiTheme="minorHAnsi" w:cs="Arial"/>
          <w:b/>
          <w:bCs/>
          <w:lang w:eastAsia="en-GB"/>
        </w:rPr>
        <w:t>elements</w:t>
      </w:r>
      <w:r w:rsidR="00677461">
        <w:rPr>
          <w:rFonts w:asciiTheme="minorHAnsi" w:hAnsiTheme="minorHAnsi" w:cs="Arial"/>
          <w:lang w:eastAsia="en-GB"/>
        </w:rPr>
        <w:t xml:space="preserve"> </w:t>
      </w:r>
      <w:r w:rsidR="005250E1">
        <w:rPr>
          <w:rFonts w:asciiTheme="minorHAnsi" w:hAnsiTheme="minorHAnsi" w:cs="Arial"/>
          <w:lang w:eastAsia="en-GB"/>
        </w:rPr>
        <w:t>of this</w:t>
      </w:r>
      <w:r w:rsidR="005250E1" w:rsidRPr="00E14A4A">
        <w:rPr>
          <w:rFonts w:asciiTheme="minorHAnsi" w:hAnsiTheme="minorHAnsi" w:cs="Arial"/>
          <w:lang w:eastAsia="en-GB"/>
        </w:rPr>
        <w:t xml:space="preserve"> </w:t>
      </w:r>
      <w:r w:rsidRPr="00E14A4A">
        <w:rPr>
          <w:rFonts w:asciiTheme="minorHAnsi" w:hAnsiTheme="minorHAnsi" w:cs="Arial"/>
          <w:lang w:eastAsia="en-GB"/>
        </w:rPr>
        <w:t xml:space="preserve">project is </w:t>
      </w:r>
      <w:r w:rsidRPr="007C6B4B">
        <w:rPr>
          <w:rFonts w:asciiTheme="minorHAnsi" w:hAnsiTheme="minorHAnsi" w:cs="Arial"/>
          <w:lang w:eastAsia="en-GB"/>
        </w:rPr>
        <w:t>£</w:t>
      </w:r>
      <w:r w:rsidR="004F16E4">
        <w:rPr>
          <w:rFonts w:asciiTheme="minorHAnsi" w:hAnsiTheme="minorHAnsi" w:cs="Arial"/>
          <w:lang w:eastAsia="en-GB"/>
        </w:rPr>
        <w:t>4</w:t>
      </w:r>
      <w:r w:rsidR="00805E4C" w:rsidRPr="007C6B4B">
        <w:rPr>
          <w:rFonts w:asciiTheme="minorHAnsi" w:hAnsiTheme="minorHAnsi" w:cs="Arial"/>
          <w:lang w:eastAsia="en-GB"/>
        </w:rPr>
        <w:t>0</w:t>
      </w:r>
      <w:r w:rsidR="00463ACC" w:rsidRPr="007C6B4B">
        <w:rPr>
          <w:rFonts w:asciiTheme="minorHAnsi" w:hAnsiTheme="minorHAnsi" w:cs="Arial"/>
          <w:lang w:eastAsia="en-GB"/>
        </w:rPr>
        <w:t>,000</w:t>
      </w:r>
      <w:r w:rsidRPr="007C6B4B">
        <w:rPr>
          <w:rFonts w:asciiTheme="minorHAnsi" w:hAnsiTheme="minorHAnsi" w:cs="Arial"/>
          <w:lang w:eastAsia="en-GB"/>
        </w:rPr>
        <w:t xml:space="preserve"> to £</w:t>
      </w:r>
      <w:r w:rsidR="004F16E4">
        <w:rPr>
          <w:rFonts w:asciiTheme="minorHAnsi" w:hAnsiTheme="minorHAnsi" w:cs="Arial"/>
          <w:lang w:eastAsia="en-GB"/>
        </w:rPr>
        <w:t>52</w:t>
      </w:r>
      <w:r w:rsidR="00463ACC" w:rsidRPr="007C6B4B">
        <w:rPr>
          <w:rFonts w:asciiTheme="minorHAnsi" w:hAnsiTheme="minorHAnsi" w:cs="Arial"/>
          <w:lang w:eastAsia="en-GB"/>
        </w:rPr>
        <w:t>,000</w:t>
      </w:r>
      <w:r w:rsidRPr="00677461">
        <w:rPr>
          <w:rFonts w:asciiTheme="minorHAnsi" w:hAnsiTheme="minorHAnsi" w:cs="Arial"/>
          <w:lang w:eastAsia="en-GB"/>
        </w:rPr>
        <w:t xml:space="preserve"> excluding</w:t>
      </w:r>
      <w:r w:rsidRPr="00E14A4A">
        <w:rPr>
          <w:rFonts w:asciiTheme="minorHAnsi" w:hAnsiTheme="minorHAnsi" w:cs="Arial"/>
          <w:lang w:eastAsia="en-GB"/>
        </w:rPr>
        <w:t xml:space="preserve"> VAT. </w:t>
      </w:r>
      <w:r w:rsidR="005250E1">
        <w:rPr>
          <w:rFonts w:asciiTheme="minorHAnsi" w:hAnsiTheme="minorHAnsi" w:cs="Arial"/>
          <w:lang w:eastAsia="en-GB"/>
        </w:rPr>
        <w:t>W</w:t>
      </w:r>
      <w:r w:rsidR="005D0032">
        <w:rPr>
          <w:rFonts w:asciiTheme="minorHAnsi" w:hAnsiTheme="minorHAnsi" w:cs="Arial"/>
          <w:lang w:eastAsia="en-GB"/>
        </w:rPr>
        <w:t xml:space="preserve">e </w:t>
      </w:r>
      <w:r w:rsidR="00410B5B">
        <w:rPr>
          <w:rFonts w:asciiTheme="minorHAnsi" w:hAnsiTheme="minorHAnsi" w:cs="Arial"/>
          <w:lang w:eastAsia="en-GB"/>
        </w:rPr>
        <w:t xml:space="preserve">ask that </w:t>
      </w:r>
      <w:r w:rsidR="005D0032">
        <w:rPr>
          <w:rFonts w:asciiTheme="minorHAnsi" w:hAnsiTheme="minorHAnsi" w:cs="Arial"/>
          <w:lang w:eastAsia="en-GB"/>
        </w:rPr>
        <w:t>bidders submit an additional budget</w:t>
      </w:r>
      <w:r w:rsidR="004D1573">
        <w:rPr>
          <w:rFonts w:asciiTheme="minorHAnsi" w:hAnsiTheme="minorHAnsi" w:cs="Arial"/>
          <w:lang w:eastAsia="en-GB"/>
        </w:rPr>
        <w:t xml:space="preserve"> estimate</w:t>
      </w:r>
      <w:r w:rsidR="00677461">
        <w:rPr>
          <w:rFonts w:asciiTheme="minorHAnsi" w:hAnsiTheme="minorHAnsi" w:cs="Arial"/>
          <w:lang w:eastAsia="en-GB"/>
        </w:rPr>
        <w:t xml:space="preserve"> </w:t>
      </w:r>
      <w:r w:rsidR="005D0032">
        <w:rPr>
          <w:rFonts w:asciiTheme="minorHAnsi" w:hAnsiTheme="minorHAnsi" w:cs="Arial"/>
          <w:lang w:eastAsia="en-GB"/>
        </w:rPr>
        <w:t xml:space="preserve">for </w:t>
      </w:r>
      <w:r w:rsidR="00677461">
        <w:rPr>
          <w:rFonts w:asciiTheme="minorHAnsi" w:hAnsiTheme="minorHAnsi" w:cs="Arial"/>
          <w:lang w:eastAsia="en-GB"/>
        </w:rPr>
        <w:t xml:space="preserve">the </w:t>
      </w:r>
      <w:r w:rsidR="005D0032" w:rsidRPr="00DE6B6C">
        <w:rPr>
          <w:rFonts w:asciiTheme="minorHAnsi" w:hAnsiTheme="minorHAnsi" w:cs="Arial"/>
          <w:b/>
          <w:bCs/>
          <w:lang w:eastAsia="en-GB"/>
        </w:rPr>
        <w:t xml:space="preserve">desirable </w:t>
      </w:r>
      <w:r w:rsidR="00677461" w:rsidRPr="00DE6B6C">
        <w:rPr>
          <w:rFonts w:asciiTheme="minorHAnsi" w:hAnsiTheme="minorHAnsi" w:cs="Arial"/>
          <w:b/>
          <w:bCs/>
          <w:lang w:eastAsia="en-GB"/>
        </w:rPr>
        <w:t>elements</w:t>
      </w:r>
      <w:r w:rsidR="00410B5B">
        <w:rPr>
          <w:rFonts w:asciiTheme="minorHAnsi" w:hAnsiTheme="minorHAnsi" w:cs="Arial"/>
          <w:lang w:eastAsia="en-GB"/>
        </w:rPr>
        <w:t>, which should be agreed with the CCC in a second stage</w:t>
      </w:r>
      <w:r w:rsidR="004F16E4">
        <w:rPr>
          <w:rFonts w:asciiTheme="minorHAnsi" w:hAnsiTheme="minorHAnsi" w:cs="Arial"/>
          <w:lang w:eastAsia="en-GB"/>
        </w:rPr>
        <w:t>.</w:t>
      </w:r>
    </w:p>
    <w:p w14:paraId="2E5BF3D2" w14:textId="719615B2" w:rsidR="0038388A" w:rsidRPr="0038388A" w:rsidRDefault="0038388A" w:rsidP="00E14A4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Contractors should provide a full and detailed breakdown of costs (including options where appropriate). This should include staff (and day rate) allocated to specific tasks. </w:t>
      </w:r>
      <w:bookmarkEnd w:id="44"/>
      <w:bookmarkEnd w:id="45"/>
      <w:bookmarkEnd w:id="46"/>
    </w:p>
    <w:p w14:paraId="237D5DD6" w14:textId="25638688" w:rsidR="0038388A" w:rsidRPr="00E14A4A" w:rsidRDefault="0038388A" w:rsidP="00E14A4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Cost will be a criterion against which bids which will be assessed. </w:t>
      </w:r>
      <w:r w:rsidR="00410B5B">
        <w:rPr>
          <w:rFonts w:asciiTheme="minorHAnsi" w:hAnsiTheme="minorHAnsi" w:cs="Arial"/>
          <w:lang w:eastAsia="en-GB"/>
        </w:rPr>
        <w:t xml:space="preserve">In doing this, we will assess the </w:t>
      </w:r>
      <w:r w:rsidR="00410B5B" w:rsidRPr="00DE6B6C">
        <w:rPr>
          <w:rFonts w:asciiTheme="minorHAnsi" w:hAnsiTheme="minorHAnsi" w:cs="Arial"/>
          <w:b/>
          <w:bCs/>
          <w:lang w:eastAsia="en-GB"/>
        </w:rPr>
        <w:t>combined budgets</w:t>
      </w:r>
      <w:r w:rsidR="00410B5B">
        <w:rPr>
          <w:rFonts w:asciiTheme="minorHAnsi" w:hAnsiTheme="minorHAnsi" w:cs="Arial"/>
          <w:lang w:eastAsia="en-GB"/>
        </w:rPr>
        <w:t xml:space="preserve"> for developing both the essential and desirable elements of the project. </w:t>
      </w:r>
    </w:p>
    <w:p w14:paraId="6F517922" w14:textId="77777777" w:rsidR="0038388A" w:rsidRPr="0038388A" w:rsidRDefault="0038388A" w:rsidP="00E14A4A">
      <w:pPr>
        <w:pStyle w:val="FootnoteText"/>
        <w:ind w:left="720"/>
        <w:jc w:val="both"/>
        <w:rPr>
          <w:rFonts w:asciiTheme="minorHAnsi" w:hAnsiTheme="minorHAnsi" w:cs="Arial"/>
          <w:lang w:eastAsia="en-GB"/>
        </w:rPr>
      </w:pPr>
      <w:r w:rsidRPr="0038388A">
        <w:rPr>
          <w:rFonts w:asciiTheme="minorHAnsi" w:hAnsiTheme="minorHAnsi" w:cs="Arial"/>
          <w:lang w:eastAsia="en-GB"/>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7092805F" w14:textId="77777777" w:rsidR="0038388A" w:rsidRPr="00E14A4A" w:rsidRDefault="0038388A" w:rsidP="00E14A4A">
      <w:pPr>
        <w:pStyle w:val="FootnoteText"/>
        <w:ind w:left="720"/>
        <w:jc w:val="both"/>
        <w:rPr>
          <w:rFonts w:asciiTheme="minorHAnsi" w:hAnsiTheme="minorHAnsi" w:cs="Arial"/>
          <w:lang w:eastAsia="en-GB"/>
        </w:rPr>
      </w:pPr>
      <w:r w:rsidRPr="00E14A4A">
        <w:rPr>
          <w:rFonts w:asciiTheme="minorHAnsi" w:hAnsiTheme="minorHAnsi" w:cs="Arial"/>
          <w:lang w:eastAsia="en-GB"/>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71A513C" w14:textId="77777777" w:rsidR="0038388A" w:rsidRPr="00E14A4A" w:rsidRDefault="0038388A" w:rsidP="00E14A4A">
      <w:pPr>
        <w:pStyle w:val="FootnoteText"/>
        <w:ind w:left="720"/>
        <w:jc w:val="both"/>
        <w:rPr>
          <w:rFonts w:asciiTheme="minorHAnsi" w:hAnsiTheme="minorHAnsi" w:cs="Arial"/>
          <w:lang w:eastAsia="en-GB"/>
        </w:rPr>
      </w:pPr>
      <w:r w:rsidRPr="00E14A4A">
        <w:rPr>
          <w:rFonts w:asciiTheme="minorHAnsi" w:hAnsiTheme="minorHAnsi" w:cs="Arial"/>
          <w:lang w:eastAsia="en-GB"/>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77777777" w:rsidR="0038388A" w:rsidRPr="00805E4C" w:rsidRDefault="0038388A" w:rsidP="00880287">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47" w:name="_Ref357541836"/>
      <w:bookmarkStart w:id="48" w:name="_Toc381969520"/>
      <w:bookmarkStart w:id="49" w:name="_Toc405888469"/>
      <w:bookmarkStart w:id="50" w:name="_Toc120104424"/>
      <w:r w:rsidRPr="00805E4C">
        <w:rPr>
          <w:rFonts w:asciiTheme="minorHAnsi" w:hAnsiTheme="minorHAnsi" w:cs="Arial"/>
          <w:color w:val="auto"/>
          <w:sz w:val="20"/>
          <w:szCs w:val="20"/>
        </w:rPr>
        <w:t>Evaluation of Tenders</w:t>
      </w:r>
      <w:bookmarkEnd w:id="47"/>
      <w:bookmarkEnd w:id="48"/>
      <w:bookmarkEnd w:id="49"/>
      <w:bookmarkEnd w:id="50"/>
    </w:p>
    <w:p w14:paraId="1CCEBD71" w14:textId="67FAD997" w:rsidR="0038388A" w:rsidRPr="0038388A" w:rsidRDefault="0038388A" w:rsidP="00E14A4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are invited to submit full tenders of no more than</w:t>
      </w:r>
      <w:r w:rsidRPr="00E14A4A">
        <w:rPr>
          <w:rFonts w:asciiTheme="minorHAnsi" w:hAnsiTheme="minorHAnsi" w:cs="Arial"/>
          <w:lang w:eastAsia="en-GB"/>
        </w:rPr>
        <w:t xml:space="preserve"> </w:t>
      </w:r>
      <w:r w:rsidR="00463ACC" w:rsidRPr="00C04FEE">
        <w:rPr>
          <w:rFonts w:asciiTheme="minorHAnsi" w:hAnsiTheme="minorHAnsi" w:cs="Arial"/>
          <w:lang w:eastAsia="en-GB"/>
        </w:rPr>
        <w:t>20</w:t>
      </w:r>
      <w:r w:rsidRPr="00C04FEE">
        <w:rPr>
          <w:rFonts w:asciiTheme="minorHAnsi" w:hAnsiTheme="minorHAnsi" w:cs="Arial"/>
          <w:lang w:eastAsia="en-GB"/>
        </w:rPr>
        <w:t xml:space="preserve"> pages</w:t>
      </w:r>
      <w:r w:rsidRPr="0064138C">
        <w:rPr>
          <w:rFonts w:asciiTheme="minorHAnsi" w:hAnsiTheme="minorHAnsi" w:cs="Arial"/>
          <w:lang w:eastAsia="en-GB"/>
        </w:rPr>
        <w:t>,</w:t>
      </w:r>
      <w:r w:rsidRPr="0038388A">
        <w:rPr>
          <w:rFonts w:asciiTheme="minorHAnsi" w:hAnsiTheme="minorHAnsi" w:cs="Arial"/>
          <w:lang w:eastAsia="en-GB"/>
        </w:rPr>
        <w:t xml:space="preserve"> excluding declarations and CV’s. Tenders will be evaluated by at least three CCC staff.</w:t>
      </w:r>
    </w:p>
    <w:p w14:paraId="1E730437" w14:textId="1EB4B758" w:rsidR="0038388A" w:rsidRDefault="0038388A" w:rsidP="00E14A4A">
      <w:pPr>
        <w:pStyle w:val="FootnoteText"/>
        <w:ind w:left="720"/>
        <w:jc w:val="both"/>
        <w:rPr>
          <w:rFonts w:asciiTheme="minorHAnsi" w:hAnsiTheme="minorHAnsi" w:cs="Arial"/>
          <w:lang w:eastAsia="en-GB"/>
        </w:rPr>
      </w:pPr>
      <w:r w:rsidRPr="0038388A">
        <w:rPr>
          <w:rFonts w:asciiTheme="minorHAnsi" w:hAnsiTheme="minorHAnsi" w:cs="Arial"/>
          <w:lang w:eastAsia="en-GB"/>
        </w:rPr>
        <w:t>CCC will select the bidder that scores highest against the criteria and weighting listed below, see the ITT for further information.</w:t>
      </w:r>
    </w:p>
    <w:p w14:paraId="15EA7AD8" w14:textId="6199E7C5" w:rsidR="00410B5B" w:rsidRPr="0038388A" w:rsidRDefault="00410B5B" w:rsidP="00E14A4A">
      <w:pPr>
        <w:pStyle w:val="FootnoteText"/>
        <w:ind w:left="720"/>
        <w:jc w:val="both"/>
        <w:rPr>
          <w:rFonts w:asciiTheme="minorHAnsi" w:hAnsiTheme="minorHAnsi" w:cs="Arial"/>
          <w:lang w:eastAsia="en-GB"/>
        </w:rPr>
      </w:pPr>
      <w:r>
        <w:rPr>
          <w:rFonts w:asciiTheme="minorHAnsi" w:hAnsiTheme="minorHAnsi" w:cs="Arial"/>
          <w:lang w:eastAsia="en-GB"/>
        </w:rPr>
        <w:t xml:space="preserve">Both the essential and desirable elements of the project will be assessed under the </w:t>
      </w:r>
      <w:r w:rsidRPr="00DE6B6C">
        <w:rPr>
          <w:rFonts w:asciiTheme="minorHAnsi" w:hAnsiTheme="minorHAnsi" w:cs="Arial"/>
          <w:i/>
          <w:iCs/>
          <w:lang w:eastAsia="en-GB"/>
        </w:rPr>
        <w:t>method, ability, and technical capacity</w:t>
      </w:r>
      <w:r>
        <w:rPr>
          <w:rFonts w:asciiTheme="minorHAnsi" w:hAnsiTheme="minorHAnsi" w:cs="Arial"/>
          <w:lang w:eastAsia="en-GB"/>
        </w:rPr>
        <w:t xml:space="preserve"> (6) criterion. </w:t>
      </w:r>
    </w:p>
    <w:p w14:paraId="3D758287" w14:textId="77777777" w:rsidR="0038388A" w:rsidRDefault="0038388A" w:rsidP="003A05B7">
      <w:pPr>
        <w:pStyle w:val="BodyText"/>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F61790">
        <w:tc>
          <w:tcPr>
            <w:tcW w:w="1914" w:type="dxa"/>
          </w:tcPr>
          <w:p w14:paraId="5F103605" w14:textId="77777777" w:rsidR="0038388A" w:rsidRPr="0038388A" w:rsidRDefault="0038388A" w:rsidP="0038388A">
            <w:pPr>
              <w:pStyle w:val="BodyText"/>
              <w:rPr>
                <w:szCs w:val="20"/>
              </w:rPr>
            </w:pPr>
            <w:bookmarkStart w:id="51" w:name="p2"/>
            <w:r w:rsidRPr="0038388A">
              <w:rPr>
                <w:rFonts w:cs="Arial"/>
                <w:szCs w:val="20"/>
              </w:rPr>
              <w:t>Criterion</w:t>
            </w:r>
            <w:bookmarkEnd w:id="51"/>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076A9144" w:rsidR="0038388A" w:rsidRPr="0038388A" w:rsidRDefault="0038388A" w:rsidP="0038388A">
            <w:pPr>
              <w:pStyle w:val="BodyText"/>
              <w:rPr>
                <w:szCs w:val="20"/>
              </w:rPr>
            </w:pPr>
            <w:r w:rsidRPr="0038388A">
              <w:rPr>
                <w:rFonts w:cs="Arial"/>
                <w:szCs w:val="20"/>
              </w:rPr>
              <w:t>Weighting</w:t>
            </w:r>
          </w:p>
        </w:tc>
      </w:tr>
      <w:tr w:rsidR="0038388A" w:rsidRPr="0038388A" w14:paraId="0FC90228" w14:textId="77777777" w:rsidTr="00F61790">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585280AC" w:rsidR="0038388A" w:rsidRPr="00C04FEE" w:rsidRDefault="00D03E3F" w:rsidP="0038388A">
            <w:pPr>
              <w:pStyle w:val="BodyText"/>
              <w:rPr>
                <w:szCs w:val="20"/>
              </w:rPr>
            </w:pPr>
            <w:r w:rsidRPr="00C04FEE">
              <w:rPr>
                <w:rFonts w:cs="Arial"/>
                <w:szCs w:val="20"/>
              </w:rPr>
              <w:t>15</w:t>
            </w:r>
            <w:r w:rsidR="0038388A" w:rsidRPr="00C04FEE">
              <w:rPr>
                <w:rFonts w:cs="Arial"/>
                <w:szCs w:val="20"/>
              </w:rPr>
              <w:t>%</w:t>
            </w:r>
          </w:p>
        </w:tc>
      </w:tr>
      <w:tr w:rsidR="0038388A" w:rsidRPr="0038388A" w14:paraId="156F3B2A" w14:textId="77777777" w:rsidTr="00F61790">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C04FEE" w:rsidRDefault="0038388A" w:rsidP="0038388A">
            <w:pPr>
              <w:pStyle w:val="BodyText"/>
              <w:rPr>
                <w:szCs w:val="20"/>
              </w:rPr>
            </w:pPr>
            <w:r w:rsidRPr="00C04FEE">
              <w:rPr>
                <w:rFonts w:cs="Arial"/>
                <w:szCs w:val="20"/>
              </w:rPr>
              <w:t>10%</w:t>
            </w:r>
          </w:p>
        </w:tc>
      </w:tr>
      <w:tr w:rsidR="0038388A" w:rsidRPr="0038388A" w14:paraId="06E596F8" w14:textId="77777777" w:rsidTr="00F61790">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C04FEE" w:rsidRDefault="0038388A" w:rsidP="0038388A">
            <w:pPr>
              <w:pStyle w:val="BodyText"/>
              <w:rPr>
                <w:szCs w:val="20"/>
              </w:rPr>
            </w:pPr>
            <w:r w:rsidRPr="00C04FEE">
              <w:rPr>
                <w:rFonts w:cs="Arial"/>
                <w:szCs w:val="20"/>
              </w:rPr>
              <w:t>10%</w:t>
            </w:r>
          </w:p>
        </w:tc>
      </w:tr>
      <w:tr w:rsidR="0038388A" w:rsidRPr="0038388A" w14:paraId="0D14FA83" w14:textId="77777777" w:rsidTr="00F61790">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3C3055DF" w:rsidR="0038388A" w:rsidRPr="00C04FEE" w:rsidRDefault="00D03E3F" w:rsidP="0038388A">
            <w:pPr>
              <w:pStyle w:val="BodyText"/>
              <w:rPr>
                <w:szCs w:val="20"/>
              </w:rPr>
            </w:pPr>
            <w:r w:rsidRPr="00C04FEE">
              <w:rPr>
                <w:rFonts w:cs="Arial"/>
                <w:szCs w:val="20"/>
              </w:rPr>
              <w:t>5</w:t>
            </w:r>
            <w:r w:rsidR="0038388A" w:rsidRPr="00C04FEE">
              <w:rPr>
                <w:rFonts w:cs="Arial"/>
                <w:szCs w:val="20"/>
              </w:rPr>
              <w:t>%</w:t>
            </w:r>
          </w:p>
        </w:tc>
      </w:tr>
      <w:tr w:rsidR="0038388A" w:rsidRPr="0038388A" w14:paraId="5F86DEAC" w14:textId="77777777" w:rsidTr="00F61790">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7249D23B" w:rsidR="0038388A" w:rsidRPr="00C04FEE" w:rsidRDefault="00D03E3F" w:rsidP="0038388A">
            <w:pPr>
              <w:pStyle w:val="BodyText"/>
              <w:rPr>
                <w:szCs w:val="20"/>
              </w:rPr>
            </w:pPr>
            <w:r w:rsidRPr="00C04FEE">
              <w:rPr>
                <w:rFonts w:cs="Arial"/>
                <w:szCs w:val="20"/>
              </w:rPr>
              <w:t>10</w:t>
            </w:r>
            <w:r w:rsidR="0038388A" w:rsidRPr="00C04FEE">
              <w:rPr>
                <w:rFonts w:cs="Arial"/>
                <w:szCs w:val="20"/>
              </w:rPr>
              <w:t>%</w:t>
            </w:r>
          </w:p>
        </w:tc>
      </w:tr>
      <w:tr w:rsidR="0038388A" w:rsidRPr="0038388A" w14:paraId="0A9581F0" w14:textId="77777777" w:rsidTr="00F61790">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6095AFDA" w:rsidR="0038388A" w:rsidRPr="00C04FEE" w:rsidRDefault="00D03E3F" w:rsidP="0038388A">
            <w:pPr>
              <w:pStyle w:val="BodyText"/>
              <w:rPr>
                <w:szCs w:val="20"/>
              </w:rPr>
            </w:pPr>
            <w:r w:rsidRPr="00C04FEE">
              <w:rPr>
                <w:rFonts w:cs="Arial"/>
                <w:szCs w:val="20"/>
              </w:rPr>
              <w:t>3</w:t>
            </w:r>
            <w:r w:rsidR="0038388A" w:rsidRPr="00C04FEE">
              <w:rPr>
                <w:rFonts w:cs="Arial"/>
                <w:szCs w:val="20"/>
              </w:rPr>
              <w:t>0%</w:t>
            </w:r>
          </w:p>
        </w:tc>
      </w:tr>
      <w:tr w:rsidR="0038388A" w:rsidRPr="0038388A" w14:paraId="77ECC2E5" w14:textId="77777777" w:rsidTr="00F61790">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C04FEE" w:rsidRDefault="0038388A" w:rsidP="0038388A">
            <w:pPr>
              <w:pStyle w:val="BodyText"/>
              <w:rPr>
                <w:szCs w:val="20"/>
              </w:rPr>
            </w:pPr>
            <w:r w:rsidRPr="00C04FEE">
              <w:rPr>
                <w:rFonts w:cs="Arial"/>
                <w:szCs w:val="20"/>
              </w:rPr>
              <w:t>10%</w:t>
            </w:r>
          </w:p>
        </w:tc>
      </w:tr>
      <w:tr w:rsidR="0038388A" w:rsidRPr="0038388A" w14:paraId="4EA53EE6" w14:textId="77777777" w:rsidTr="00F61790">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12916B9A" w:rsidR="0038388A" w:rsidRPr="00C04FEE" w:rsidRDefault="00ED3906" w:rsidP="0038388A">
            <w:pPr>
              <w:pStyle w:val="BodyText"/>
              <w:rPr>
                <w:szCs w:val="20"/>
              </w:rPr>
            </w:pPr>
            <w:r w:rsidRPr="00C04FEE">
              <w:rPr>
                <w:rFonts w:cs="Arial"/>
                <w:szCs w:val="20"/>
              </w:rPr>
              <w:t>10</w:t>
            </w:r>
            <w:r w:rsidR="0038388A" w:rsidRPr="00C04FEE">
              <w:rPr>
                <w:rFonts w:cs="Arial"/>
                <w:szCs w:val="20"/>
              </w:rPr>
              <w:t>%</w:t>
            </w:r>
          </w:p>
        </w:tc>
      </w:tr>
      <w:tr w:rsidR="0038388A" w:rsidRPr="0038388A" w14:paraId="486163E4" w14:textId="77777777" w:rsidTr="00F61790">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lastRenderedPageBreak/>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654BFC7E"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 xml:space="preserve">Price will be marked using proportionate pricing. </w:t>
      </w:r>
      <w:r w:rsidR="00410B5B">
        <w:rPr>
          <w:rFonts w:asciiTheme="minorHAnsi" w:hAnsiTheme="minorHAnsi" w:cs="Arial"/>
          <w:sz w:val="20"/>
          <w:szCs w:val="20"/>
        </w:rPr>
        <w:t xml:space="preserve">We </w:t>
      </w:r>
      <w:r w:rsidR="00410B5B" w:rsidRPr="00410B5B">
        <w:rPr>
          <w:rFonts w:asciiTheme="minorHAnsi" w:hAnsiTheme="minorHAnsi" w:cs="Arial"/>
          <w:sz w:val="20"/>
          <w:szCs w:val="20"/>
        </w:rPr>
        <w:t xml:space="preserve">will </w:t>
      </w:r>
      <w:r w:rsidR="00410B5B">
        <w:rPr>
          <w:rFonts w:asciiTheme="minorHAnsi" w:hAnsiTheme="minorHAnsi" w:cs="Arial"/>
          <w:sz w:val="20"/>
          <w:szCs w:val="20"/>
        </w:rPr>
        <w:t>consider</w:t>
      </w:r>
      <w:r w:rsidR="00410B5B" w:rsidRPr="00410B5B">
        <w:rPr>
          <w:rFonts w:asciiTheme="minorHAnsi" w:hAnsiTheme="minorHAnsi" w:cs="Arial"/>
          <w:sz w:val="20"/>
          <w:szCs w:val="20"/>
        </w:rPr>
        <w:t xml:space="preserve"> the </w:t>
      </w:r>
      <w:r w:rsidR="00410B5B" w:rsidRPr="00410B5B">
        <w:rPr>
          <w:rFonts w:asciiTheme="minorHAnsi" w:hAnsiTheme="minorHAnsi" w:cs="Arial"/>
          <w:b/>
          <w:bCs/>
          <w:sz w:val="20"/>
          <w:szCs w:val="20"/>
        </w:rPr>
        <w:t>combined budgets</w:t>
      </w:r>
      <w:r w:rsidR="00410B5B" w:rsidRPr="00410B5B">
        <w:rPr>
          <w:rFonts w:asciiTheme="minorHAnsi" w:hAnsiTheme="minorHAnsi" w:cs="Arial"/>
          <w:sz w:val="20"/>
          <w:szCs w:val="20"/>
        </w:rPr>
        <w:t xml:space="preserve"> for developing both the essential and desirable elements of the project. </w:t>
      </w:r>
      <w:r w:rsidRPr="004711FD">
        <w:rPr>
          <w:rFonts w:asciiTheme="minorHAnsi" w:hAnsiTheme="minorHAnsi" w:cs="Arial"/>
          <w:sz w:val="20"/>
          <w:szCs w:val="20"/>
        </w:rPr>
        <w:t xml:space="preserve">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52"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52"/>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092676DC" w14:textId="77777777" w:rsidR="00ED3906" w:rsidRDefault="00ED3906" w:rsidP="00410B5B">
      <w:pPr>
        <w:pStyle w:val="BodyText"/>
        <w:rPr>
          <w:szCs w:val="20"/>
        </w:rPr>
      </w:pPr>
    </w:p>
    <w:p w14:paraId="62E40304" w14:textId="77777777" w:rsidR="00ED3906" w:rsidRDefault="00ED3906"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5E1150DD"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on </w:t>
      </w:r>
      <w:r w:rsidR="00066D22" w:rsidRPr="00066D22">
        <w:rPr>
          <w:rFonts w:asciiTheme="minorHAnsi" w:hAnsiTheme="minorHAnsi" w:cs="Arial"/>
          <w:sz w:val="20"/>
          <w:szCs w:val="20"/>
        </w:rPr>
        <w:t>w/c 9 January</w:t>
      </w:r>
      <w:r w:rsidR="00BD505A">
        <w:rPr>
          <w:rFonts w:asciiTheme="minorHAnsi" w:hAnsiTheme="minorHAnsi" w:cs="Arial"/>
          <w:sz w:val="20"/>
          <w:szCs w:val="20"/>
        </w:rPr>
        <w:t>, on Thursday 12</w:t>
      </w:r>
      <w:r w:rsidR="00BD505A" w:rsidRPr="00BD505A">
        <w:rPr>
          <w:rFonts w:asciiTheme="minorHAnsi" w:hAnsiTheme="minorHAnsi" w:cs="Arial"/>
          <w:sz w:val="20"/>
          <w:szCs w:val="20"/>
          <w:vertAlign w:val="superscript"/>
        </w:rPr>
        <w:t>th</w:t>
      </w:r>
      <w:r w:rsidR="00BD505A">
        <w:rPr>
          <w:rFonts w:asciiTheme="minorHAnsi" w:hAnsiTheme="minorHAnsi" w:cs="Arial"/>
          <w:sz w:val="20"/>
          <w:szCs w:val="20"/>
        </w:rPr>
        <w:t xml:space="preserve"> and Friday 13</w:t>
      </w:r>
      <w:r w:rsidR="00BD505A" w:rsidRPr="00BD505A">
        <w:rPr>
          <w:rFonts w:asciiTheme="minorHAnsi" w:hAnsiTheme="minorHAnsi" w:cs="Arial"/>
          <w:sz w:val="20"/>
          <w:szCs w:val="20"/>
          <w:vertAlign w:val="superscript"/>
        </w:rPr>
        <w:t>th</w:t>
      </w:r>
      <w:r w:rsidRPr="00DC2B58">
        <w:rPr>
          <w:rFonts w:asciiTheme="minorHAnsi" w:hAnsiTheme="minorHAnsi" w:cs="Arial"/>
          <w:sz w:val="20"/>
          <w:szCs w:val="20"/>
        </w:rPr>
        <w:t>.</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lastRenderedPageBreak/>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2"/>
      <w:headerReference w:type="first" r:id="rId13"/>
      <w:footerReference w:type="first" r:id="rId1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4849" w14:textId="77777777" w:rsidR="00F75A07" w:rsidRDefault="00F75A07" w:rsidP="004E6806">
      <w:r>
        <w:separator/>
      </w:r>
    </w:p>
  </w:endnote>
  <w:endnote w:type="continuationSeparator" w:id="0">
    <w:p w14:paraId="4ACC3A7D" w14:textId="77777777" w:rsidR="00F75A07" w:rsidRDefault="00F75A07" w:rsidP="004E6806">
      <w:r>
        <w:continuationSeparator/>
      </w:r>
    </w:p>
  </w:endnote>
  <w:endnote w:type="continuationNotice" w:id="1">
    <w:p w14:paraId="6DE18805" w14:textId="77777777" w:rsidR="00F75A07" w:rsidRDefault="00F75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B807" w14:textId="77777777" w:rsidR="00F75A07" w:rsidRDefault="00F75A07" w:rsidP="004E6806">
      <w:r>
        <w:separator/>
      </w:r>
    </w:p>
  </w:footnote>
  <w:footnote w:type="continuationSeparator" w:id="0">
    <w:p w14:paraId="4B39768D" w14:textId="77777777" w:rsidR="00F75A07" w:rsidRDefault="00F75A07" w:rsidP="004E6806">
      <w:r>
        <w:continuationSeparator/>
      </w:r>
    </w:p>
  </w:footnote>
  <w:footnote w:type="continuationNotice" w:id="1">
    <w:p w14:paraId="06F95718" w14:textId="77777777" w:rsidR="00F75A07" w:rsidRDefault="00F75A07"/>
  </w:footnote>
  <w:footnote w:id="2">
    <w:p w14:paraId="3EDAAD42" w14:textId="51D273A2" w:rsidR="008361B6" w:rsidRPr="000451BF" w:rsidRDefault="008361B6">
      <w:pPr>
        <w:pStyle w:val="FootnoteText"/>
        <w:rPr>
          <w:rFonts w:asciiTheme="majorHAnsi" w:hAnsiTheme="majorHAnsi"/>
          <w:sz w:val="16"/>
          <w:szCs w:val="16"/>
        </w:rPr>
      </w:pPr>
      <w:r w:rsidRPr="000451BF">
        <w:rPr>
          <w:rStyle w:val="FootnoteReference"/>
          <w:rFonts w:asciiTheme="majorHAnsi" w:hAnsiTheme="majorHAnsi"/>
        </w:rPr>
        <w:footnoteRef/>
      </w:r>
      <w:r w:rsidRPr="000451BF">
        <w:rPr>
          <w:rFonts w:asciiTheme="majorHAnsi" w:hAnsiTheme="majorHAnsi"/>
        </w:rPr>
        <w:t xml:space="preserve"> </w:t>
      </w:r>
      <w:r w:rsidR="000451BF" w:rsidRPr="000451BF">
        <w:rPr>
          <w:rFonts w:asciiTheme="majorHAnsi" w:hAnsiTheme="majorHAnsi"/>
          <w:sz w:val="16"/>
          <w:szCs w:val="16"/>
        </w:rPr>
        <w:t>CCC (20</w:t>
      </w:r>
      <w:r w:rsidR="000A5444">
        <w:rPr>
          <w:rFonts w:asciiTheme="majorHAnsi" w:hAnsiTheme="majorHAnsi"/>
          <w:sz w:val="16"/>
          <w:szCs w:val="16"/>
        </w:rPr>
        <w:t>19</w:t>
      </w:r>
      <w:r w:rsidR="000451BF" w:rsidRPr="000451BF">
        <w:rPr>
          <w:rFonts w:asciiTheme="majorHAnsi" w:hAnsiTheme="majorHAnsi"/>
          <w:sz w:val="16"/>
          <w:szCs w:val="16"/>
        </w:rPr>
        <w:t>) Net Zero – The UK’s contribution to stopping global warming: https://www.theccc.org.uk/publication/net-zero-the-uks-contribution-to-stopping-global-warming/</w:t>
      </w:r>
    </w:p>
  </w:footnote>
  <w:footnote w:id="3">
    <w:p w14:paraId="0C99A172" w14:textId="0766DDDD" w:rsidR="008361B6" w:rsidRDefault="008361B6">
      <w:pPr>
        <w:pStyle w:val="FootnoteText"/>
      </w:pPr>
      <w:r w:rsidRPr="000451BF">
        <w:rPr>
          <w:rStyle w:val="FootnoteReference"/>
          <w:rFonts w:asciiTheme="majorHAnsi" w:hAnsiTheme="majorHAnsi"/>
        </w:rPr>
        <w:footnoteRef/>
      </w:r>
      <w:r>
        <w:t xml:space="preserve"> </w:t>
      </w:r>
      <w:r w:rsidR="000A5444" w:rsidRPr="000A5444">
        <w:rPr>
          <w:rFonts w:asciiTheme="majorHAnsi" w:hAnsiTheme="majorHAnsi"/>
          <w:sz w:val="16"/>
          <w:szCs w:val="16"/>
        </w:rPr>
        <w:t>CCC (2020)</w:t>
      </w:r>
      <w:r w:rsidR="000A5444">
        <w:rPr>
          <w:rFonts w:asciiTheme="majorHAnsi" w:hAnsiTheme="majorHAnsi"/>
          <w:sz w:val="16"/>
          <w:szCs w:val="16"/>
        </w:rPr>
        <w:t xml:space="preserve"> Sixth Carbon Budget: </w:t>
      </w:r>
      <w:r w:rsidR="009048AC">
        <w:rPr>
          <w:rFonts w:asciiTheme="majorHAnsi" w:hAnsiTheme="majorHAnsi"/>
          <w:sz w:val="16"/>
          <w:szCs w:val="16"/>
        </w:rPr>
        <w:t xml:space="preserve">The UK’s path to Net Zero: </w:t>
      </w:r>
      <w:r w:rsidR="00A00654" w:rsidRPr="00A00654">
        <w:rPr>
          <w:rFonts w:asciiTheme="majorHAnsi" w:hAnsiTheme="majorHAnsi"/>
          <w:sz w:val="16"/>
          <w:szCs w:val="16"/>
        </w:rPr>
        <w:t>https://www.theccc.org.uk/publication/sixth-carbon-budget/</w:t>
      </w:r>
    </w:p>
  </w:footnote>
  <w:footnote w:id="4">
    <w:p w14:paraId="767E4092" w14:textId="64F5653A" w:rsidR="008263D7" w:rsidRDefault="008263D7">
      <w:pPr>
        <w:pStyle w:val="FootnoteText"/>
      </w:pPr>
      <w:r>
        <w:rPr>
          <w:rStyle w:val="FootnoteReference"/>
        </w:rPr>
        <w:footnoteRef/>
      </w:r>
      <w:r w:rsidRPr="00F65134">
        <w:rPr>
          <w:rFonts w:ascii="Century Gothic" w:hAnsi="Century Gothic"/>
          <w:sz w:val="16"/>
          <w:szCs w:val="16"/>
        </w:rPr>
        <w:t xml:space="preserve"> Institute of Health Equity (2020) Sustainable Health Equity: Achieving a Net-Zero UK</w:t>
      </w:r>
      <w:r>
        <w:rPr>
          <w:rFonts w:ascii="Century Gothic" w:hAnsi="Century Gothic"/>
          <w:sz w:val="16"/>
          <w:szCs w:val="16"/>
        </w:rPr>
        <w:t xml:space="preserve"> </w:t>
      </w:r>
      <w:r w:rsidRPr="008263D7">
        <w:rPr>
          <w:rFonts w:ascii="Century Gothic" w:hAnsi="Century Gothic"/>
          <w:sz w:val="16"/>
          <w:szCs w:val="16"/>
        </w:rPr>
        <w:t>https://www.theccc.org.uk/publication/ucl-sustainable-health-equity-achieving-a-net-zero-uk/</w:t>
      </w:r>
    </w:p>
  </w:footnote>
  <w:footnote w:id="5">
    <w:p w14:paraId="52FB5FCD" w14:textId="1689ED3A" w:rsidR="00407979" w:rsidRPr="00E9075E" w:rsidRDefault="00407979">
      <w:pPr>
        <w:pStyle w:val="FootnoteText"/>
        <w:rPr>
          <w:rFonts w:asciiTheme="majorHAnsi" w:hAnsiTheme="majorHAnsi"/>
        </w:rPr>
      </w:pPr>
      <w:r w:rsidRPr="00E9075E">
        <w:rPr>
          <w:rStyle w:val="FootnoteReference"/>
          <w:rFonts w:asciiTheme="majorHAnsi" w:hAnsiTheme="majorHAnsi"/>
        </w:rPr>
        <w:footnoteRef/>
      </w:r>
      <w:r w:rsidRPr="00E9075E">
        <w:rPr>
          <w:rFonts w:asciiTheme="majorHAnsi" w:hAnsiTheme="majorHAnsi"/>
        </w:rPr>
        <w:t xml:space="preserve"> </w:t>
      </w:r>
      <w:r w:rsidR="00E9075E" w:rsidRPr="00E9075E">
        <w:rPr>
          <w:rFonts w:asciiTheme="majorHAnsi" w:hAnsiTheme="majorHAnsi"/>
          <w:sz w:val="16"/>
          <w:szCs w:val="16"/>
        </w:rPr>
        <w:t>HM Treasury (2022) The Green Book, https://www.gov.uk/government/publications/the-green-book-appraisal-and-evaluation-in-central-governent/the-green-book-2020#valuation-of-costs-and-benefits</w:t>
      </w:r>
    </w:p>
  </w:footnote>
  <w:footnote w:id="6">
    <w:p w14:paraId="2D95D1A1" w14:textId="184EC26E" w:rsidR="007C6B4B" w:rsidRPr="007C6B4B" w:rsidRDefault="007C6B4B">
      <w:pPr>
        <w:pStyle w:val="FootnoteText"/>
        <w:rPr>
          <w:rFonts w:asciiTheme="minorHAnsi" w:hAnsiTheme="minorHAnsi"/>
          <w:sz w:val="16"/>
          <w:szCs w:val="16"/>
        </w:rPr>
      </w:pPr>
      <w:r w:rsidRPr="007C6B4B">
        <w:rPr>
          <w:rStyle w:val="FootnoteReference"/>
          <w:rFonts w:asciiTheme="minorHAnsi" w:hAnsiTheme="minorHAnsi"/>
          <w:sz w:val="16"/>
          <w:szCs w:val="16"/>
        </w:rPr>
        <w:footnoteRef/>
      </w:r>
      <w:r w:rsidRPr="007C6B4B">
        <w:rPr>
          <w:rFonts w:asciiTheme="minorHAnsi" w:hAnsiTheme="minorHAnsi"/>
          <w:sz w:val="16"/>
          <w:szCs w:val="16"/>
        </w:rPr>
        <w:t xml:space="preserve"> World Happiness Report (2021) Living long and living well: </w:t>
      </w:r>
      <w:r>
        <w:rPr>
          <w:rFonts w:asciiTheme="minorHAnsi" w:hAnsiTheme="minorHAnsi"/>
          <w:sz w:val="16"/>
          <w:szCs w:val="16"/>
        </w:rPr>
        <w:t>T</w:t>
      </w:r>
      <w:r w:rsidRPr="007C6B4B">
        <w:rPr>
          <w:rFonts w:asciiTheme="minorHAnsi" w:hAnsiTheme="minorHAnsi"/>
          <w:sz w:val="16"/>
          <w:szCs w:val="16"/>
        </w:rPr>
        <w:t xml:space="preserve">he WELLBY approach </w:t>
      </w:r>
      <w:hyperlink r:id="rId1" w:history="1">
        <w:r w:rsidRPr="007C6B4B">
          <w:rPr>
            <w:rStyle w:val="Hyperlink"/>
            <w:rFonts w:asciiTheme="minorHAnsi" w:hAnsiTheme="minorHAnsi"/>
            <w:sz w:val="16"/>
            <w:szCs w:val="16"/>
            <w:u w:val="none"/>
          </w:rPr>
          <w:t>https://worldhappiness.report/ed/2021/living-long-and-living-well-the-wellby-approach/</w:t>
        </w:r>
      </w:hyperlink>
    </w:p>
  </w:footnote>
  <w:footnote w:id="7">
    <w:p w14:paraId="1FFC7B5C" w14:textId="7FED9493" w:rsidR="00E9075E" w:rsidRPr="008A2A82" w:rsidRDefault="00E9075E">
      <w:pPr>
        <w:pStyle w:val="FootnoteText"/>
        <w:rPr>
          <w:rFonts w:ascii="Century Gothic" w:hAnsi="Century Gothic"/>
          <w:sz w:val="16"/>
          <w:szCs w:val="16"/>
        </w:rPr>
      </w:pPr>
      <w:r w:rsidRPr="00E9075E">
        <w:rPr>
          <w:rStyle w:val="FootnoteReference"/>
          <w:rFonts w:asciiTheme="majorHAnsi" w:hAnsiTheme="majorHAnsi"/>
        </w:rPr>
        <w:footnoteRef/>
      </w:r>
      <w:r w:rsidRPr="00E9075E">
        <w:rPr>
          <w:rFonts w:asciiTheme="majorHAnsi" w:hAnsiTheme="majorHAnsi"/>
        </w:rPr>
        <w:t xml:space="preserve"> </w:t>
      </w:r>
      <w:r w:rsidR="008A2A82" w:rsidRPr="00485CF7">
        <w:rPr>
          <w:rFonts w:ascii="Century Gothic" w:hAnsi="Century Gothic"/>
          <w:sz w:val="16"/>
          <w:szCs w:val="16"/>
        </w:rPr>
        <w:t>Ricardo AEA (2013) Review of the impacts of carbon budget measures on human health and the environment, https://www.theccc.org.uk/publication/review-of-the-impacts-of-carbon-budget-measures-on-human-health-and-the-environment-by-ricardo-aea/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5E5F"/>
    <w:multiLevelType w:val="multilevel"/>
    <w:tmpl w:val="35766D4A"/>
    <w:lvl w:ilvl="0">
      <w:start w:val="1"/>
      <w:numFmt w:val="bullet"/>
      <w:pStyle w:val="Bullet"/>
      <w:lvlText w:val="•"/>
      <w:lvlJc w:val="left"/>
      <w:pPr>
        <w:ind w:left="1071" w:hanging="357"/>
      </w:pPr>
      <w:rPr>
        <w:rFonts w:ascii="Century Gothic" w:hAnsi="Century Gothic" w:hint="default"/>
        <w:sz w:val="20"/>
      </w:rPr>
    </w:lvl>
    <w:lvl w:ilvl="1">
      <w:start w:val="1"/>
      <w:numFmt w:val="bullet"/>
      <w:lvlText w:val="•"/>
      <w:lvlJc w:val="left"/>
      <w:pPr>
        <w:tabs>
          <w:tab w:val="num" w:pos="1349"/>
        </w:tabs>
        <w:ind w:left="1548" w:hanging="199"/>
      </w:pPr>
      <w:rPr>
        <w:rFonts w:ascii="Arial Nova Light" w:hAnsi="Arial Nova Light" w:hint="default"/>
        <w:sz w:val="20"/>
      </w:rPr>
    </w:lvl>
    <w:lvl w:ilvl="2">
      <w:start w:val="1"/>
      <w:numFmt w:val="bullet"/>
      <w:lvlText w:val="–"/>
      <w:lvlJc w:val="left"/>
      <w:pPr>
        <w:tabs>
          <w:tab w:val="num" w:pos="1349"/>
        </w:tabs>
        <w:ind w:left="1548" w:hanging="199"/>
      </w:pPr>
      <w:rPr>
        <w:rFonts w:ascii="Century Gothic" w:hAnsi="Century Gothic" w:hint="default"/>
        <w:sz w:val="20"/>
      </w:rPr>
    </w:lvl>
    <w:lvl w:ilvl="3">
      <w:start w:val="1"/>
      <w:numFmt w:val="bullet"/>
      <w:pStyle w:val="BulletLevel3"/>
      <w:lvlText w:val="•"/>
      <w:lvlJc w:val="left"/>
      <w:pPr>
        <w:ind w:left="1899" w:hanging="198"/>
      </w:pPr>
      <w:rPr>
        <w:rFonts w:ascii="Arial Nova Light" w:hAnsi="Arial Nova Light" w:hint="default"/>
        <w:sz w:val="20"/>
      </w:rPr>
    </w:lvl>
    <w:lvl w:ilvl="4">
      <w:start w:val="1"/>
      <w:numFmt w:val="bullet"/>
      <w:pStyle w:val="DashLevel3"/>
      <w:lvlText w:val="–"/>
      <w:lvlJc w:val="left"/>
      <w:pPr>
        <w:ind w:left="907" w:hanging="198"/>
      </w:pPr>
      <w:rPr>
        <w:rFonts w:ascii="Century Gothic" w:hAnsi="Century Gothic" w:hint="default"/>
        <w:sz w:val="20"/>
      </w:rPr>
    </w:lvl>
    <w:lvl w:ilvl="5">
      <w:start w:val="1"/>
      <w:numFmt w:val="none"/>
      <w:lvlText w:val=""/>
      <w:lvlJc w:val="left"/>
      <w:pPr>
        <w:ind w:left="4677" w:hanging="360"/>
      </w:pPr>
      <w:rPr>
        <w:rFonts w:hint="default"/>
      </w:rPr>
    </w:lvl>
    <w:lvl w:ilvl="6">
      <w:start w:val="1"/>
      <w:numFmt w:val="none"/>
      <w:lvlText w:val=""/>
      <w:lvlJc w:val="left"/>
      <w:pPr>
        <w:ind w:left="5397" w:hanging="360"/>
      </w:pPr>
      <w:rPr>
        <w:rFonts w:hint="default"/>
      </w:rPr>
    </w:lvl>
    <w:lvl w:ilvl="7">
      <w:start w:val="1"/>
      <w:numFmt w:val="none"/>
      <w:lvlText w:val=""/>
      <w:lvlJc w:val="left"/>
      <w:pPr>
        <w:ind w:left="6118" w:hanging="361"/>
      </w:pPr>
      <w:rPr>
        <w:rFonts w:hint="default"/>
      </w:rPr>
    </w:lvl>
    <w:lvl w:ilvl="8">
      <w:start w:val="1"/>
      <w:numFmt w:val="none"/>
      <w:lvlText w:val=""/>
      <w:lvlJc w:val="left"/>
      <w:pPr>
        <w:ind w:left="6837" w:hanging="360"/>
      </w:pPr>
      <w:rPr>
        <w:rFonts w:hint="default"/>
      </w:rPr>
    </w:lvl>
  </w:abstractNum>
  <w:abstractNum w:abstractNumId="2" w15:restartNumberingAfterBreak="0">
    <w:nsid w:val="201C0313"/>
    <w:multiLevelType w:val="hybridMultilevel"/>
    <w:tmpl w:val="FB50B056"/>
    <w:lvl w:ilvl="0" w:tplc="0809001B">
      <w:start w:val="1"/>
      <w:numFmt w:val="lowerRoman"/>
      <w:lvlText w:val="%1."/>
      <w:lvlJc w:val="right"/>
      <w:pPr>
        <w:ind w:left="1494" w:hanging="360"/>
      </w:pPr>
      <w:rPr>
        <w:b/>
        <w:bCs w:val="0"/>
      </w:rPr>
    </w:lvl>
    <w:lvl w:ilvl="1" w:tplc="08090001">
      <w:start w:val="1"/>
      <w:numFmt w:val="bullet"/>
      <w:lvlText w:val=""/>
      <w:lvlJc w:val="left"/>
      <w:pPr>
        <w:ind w:left="2214" w:hanging="360"/>
      </w:pPr>
      <w:rPr>
        <w:rFonts w:ascii="Symbol" w:hAnsi="Symbol"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30D63E6F"/>
    <w:multiLevelType w:val="hybridMultilevel"/>
    <w:tmpl w:val="86E46326"/>
    <w:lvl w:ilvl="0" w:tplc="51BE51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5A43D9"/>
    <w:multiLevelType w:val="hybridMultilevel"/>
    <w:tmpl w:val="36B08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2B40E4"/>
    <w:multiLevelType w:val="hybridMultilevel"/>
    <w:tmpl w:val="E9867598"/>
    <w:lvl w:ilvl="0" w:tplc="AF1668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E6E23F1"/>
    <w:multiLevelType w:val="hybridMultilevel"/>
    <w:tmpl w:val="FA24F6EA"/>
    <w:lvl w:ilvl="0" w:tplc="7AE08552">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614A2C24"/>
    <w:multiLevelType w:val="hybridMultilevel"/>
    <w:tmpl w:val="BDF059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2470378"/>
    <w:multiLevelType w:val="hybridMultilevel"/>
    <w:tmpl w:val="8C365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DE7164A"/>
    <w:multiLevelType w:val="hybridMultilevel"/>
    <w:tmpl w:val="817E3414"/>
    <w:lvl w:ilvl="0" w:tplc="0809001B">
      <w:start w:val="1"/>
      <w:numFmt w:val="lowerRoman"/>
      <w:lvlText w:val="%1."/>
      <w:lvlJc w:val="right"/>
      <w:pPr>
        <w:ind w:left="144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44E19E7"/>
    <w:multiLevelType w:val="hybridMultilevel"/>
    <w:tmpl w:val="CEBCA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DC771D"/>
    <w:multiLevelType w:val="hybridMultilevel"/>
    <w:tmpl w:val="D6F29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11"/>
  </w:num>
  <w:num w:numId="6">
    <w:abstractNumId w:val="1"/>
  </w:num>
  <w:num w:numId="7">
    <w:abstractNumId w:val="8"/>
  </w:num>
  <w:num w:numId="8">
    <w:abstractNumId w:val="12"/>
  </w:num>
  <w:num w:numId="9">
    <w:abstractNumId w:val="9"/>
  </w:num>
  <w:num w:numId="10">
    <w:abstractNumId w:val="10"/>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2890"/>
    <w:rsid w:val="000358C7"/>
    <w:rsid w:val="000411AD"/>
    <w:rsid w:val="000451BF"/>
    <w:rsid w:val="000563DF"/>
    <w:rsid w:val="00066D22"/>
    <w:rsid w:val="00066DF2"/>
    <w:rsid w:val="000703B8"/>
    <w:rsid w:val="000901A3"/>
    <w:rsid w:val="00093744"/>
    <w:rsid w:val="000A5444"/>
    <w:rsid w:val="000F678A"/>
    <w:rsid w:val="000F6ECA"/>
    <w:rsid w:val="00107981"/>
    <w:rsid w:val="001122C4"/>
    <w:rsid w:val="0014391E"/>
    <w:rsid w:val="00156A6A"/>
    <w:rsid w:val="001803B2"/>
    <w:rsid w:val="001B01CE"/>
    <w:rsid w:val="001B1D10"/>
    <w:rsid w:val="001F0AFC"/>
    <w:rsid w:val="0020116E"/>
    <w:rsid w:val="002160F3"/>
    <w:rsid w:val="002479A5"/>
    <w:rsid w:val="00250F1E"/>
    <w:rsid w:val="00261BB6"/>
    <w:rsid w:val="00267213"/>
    <w:rsid w:val="002677F1"/>
    <w:rsid w:val="0028105E"/>
    <w:rsid w:val="00291F8C"/>
    <w:rsid w:val="002B7480"/>
    <w:rsid w:val="002D1C90"/>
    <w:rsid w:val="002D6B25"/>
    <w:rsid w:val="002E387C"/>
    <w:rsid w:val="002E66BC"/>
    <w:rsid w:val="002F41A0"/>
    <w:rsid w:val="002F793F"/>
    <w:rsid w:val="00302D53"/>
    <w:rsid w:val="00316008"/>
    <w:rsid w:val="00321D3F"/>
    <w:rsid w:val="003247CB"/>
    <w:rsid w:val="0032649D"/>
    <w:rsid w:val="00347E15"/>
    <w:rsid w:val="00366AE0"/>
    <w:rsid w:val="00371817"/>
    <w:rsid w:val="003736C0"/>
    <w:rsid w:val="00376097"/>
    <w:rsid w:val="00382340"/>
    <w:rsid w:val="0038388A"/>
    <w:rsid w:val="00385A79"/>
    <w:rsid w:val="003A05B7"/>
    <w:rsid w:val="003C0907"/>
    <w:rsid w:val="003C4926"/>
    <w:rsid w:val="003F38EA"/>
    <w:rsid w:val="00407979"/>
    <w:rsid w:val="00410B5B"/>
    <w:rsid w:val="004407C5"/>
    <w:rsid w:val="00442173"/>
    <w:rsid w:val="00447802"/>
    <w:rsid w:val="00460F2E"/>
    <w:rsid w:val="00463ACC"/>
    <w:rsid w:val="00464273"/>
    <w:rsid w:val="004711FD"/>
    <w:rsid w:val="004750B3"/>
    <w:rsid w:val="004A7F8E"/>
    <w:rsid w:val="004B2A1F"/>
    <w:rsid w:val="004C7CD3"/>
    <w:rsid w:val="004D1573"/>
    <w:rsid w:val="004D2796"/>
    <w:rsid w:val="004D5310"/>
    <w:rsid w:val="004E32FE"/>
    <w:rsid w:val="004E464F"/>
    <w:rsid w:val="004E6806"/>
    <w:rsid w:val="004F16E4"/>
    <w:rsid w:val="004F61BE"/>
    <w:rsid w:val="00520FAC"/>
    <w:rsid w:val="00521506"/>
    <w:rsid w:val="005250E1"/>
    <w:rsid w:val="00526F32"/>
    <w:rsid w:val="005904D3"/>
    <w:rsid w:val="00594F81"/>
    <w:rsid w:val="005A6BF9"/>
    <w:rsid w:val="005C0D7C"/>
    <w:rsid w:val="005C4223"/>
    <w:rsid w:val="005C519D"/>
    <w:rsid w:val="005D0032"/>
    <w:rsid w:val="005D4B70"/>
    <w:rsid w:val="005F0AFD"/>
    <w:rsid w:val="005F1718"/>
    <w:rsid w:val="006067AC"/>
    <w:rsid w:val="0061551F"/>
    <w:rsid w:val="00636942"/>
    <w:rsid w:val="0064138C"/>
    <w:rsid w:val="00663733"/>
    <w:rsid w:val="006758C2"/>
    <w:rsid w:val="00677461"/>
    <w:rsid w:val="00684B16"/>
    <w:rsid w:val="00693666"/>
    <w:rsid w:val="006A1EA9"/>
    <w:rsid w:val="006A3D42"/>
    <w:rsid w:val="006C5D5F"/>
    <w:rsid w:val="006D763E"/>
    <w:rsid w:val="006D7AA8"/>
    <w:rsid w:val="006F03AE"/>
    <w:rsid w:val="006F0AEC"/>
    <w:rsid w:val="0072677E"/>
    <w:rsid w:val="007335A3"/>
    <w:rsid w:val="0073637D"/>
    <w:rsid w:val="007373D9"/>
    <w:rsid w:val="00742474"/>
    <w:rsid w:val="0074300E"/>
    <w:rsid w:val="007632A9"/>
    <w:rsid w:val="007749B2"/>
    <w:rsid w:val="007A1A80"/>
    <w:rsid w:val="007C5970"/>
    <w:rsid w:val="007C6B4B"/>
    <w:rsid w:val="007D16E1"/>
    <w:rsid w:val="007F0572"/>
    <w:rsid w:val="007F15C7"/>
    <w:rsid w:val="00804C8B"/>
    <w:rsid w:val="00805E4C"/>
    <w:rsid w:val="00814285"/>
    <w:rsid w:val="00817334"/>
    <w:rsid w:val="00820BDD"/>
    <w:rsid w:val="00822490"/>
    <w:rsid w:val="00823518"/>
    <w:rsid w:val="008263D7"/>
    <w:rsid w:val="0083151A"/>
    <w:rsid w:val="008361B6"/>
    <w:rsid w:val="00841B40"/>
    <w:rsid w:val="00850475"/>
    <w:rsid w:val="00870825"/>
    <w:rsid w:val="00880287"/>
    <w:rsid w:val="008960A9"/>
    <w:rsid w:val="008A0B3F"/>
    <w:rsid w:val="008A2514"/>
    <w:rsid w:val="008A2A82"/>
    <w:rsid w:val="008A2F4A"/>
    <w:rsid w:val="008A5188"/>
    <w:rsid w:val="008B21DA"/>
    <w:rsid w:val="008C56A1"/>
    <w:rsid w:val="008D63A9"/>
    <w:rsid w:val="008E401D"/>
    <w:rsid w:val="008E44AC"/>
    <w:rsid w:val="008F6D24"/>
    <w:rsid w:val="009048AC"/>
    <w:rsid w:val="00911F7F"/>
    <w:rsid w:val="00923719"/>
    <w:rsid w:val="00924F81"/>
    <w:rsid w:val="00925232"/>
    <w:rsid w:val="00944AFF"/>
    <w:rsid w:val="0095233B"/>
    <w:rsid w:val="0095417E"/>
    <w:rsid w:val="00954475"/>
    <w:rsid w:val="00955FD9"/>
    <w:rsid w:val="00987C55"/>
    <w:rsid w:val="00994C96"/>
    <w:rsid w:val="0099611F"/>
    <w:rsid w:val="009A2A64"/>
    <w:rsid w:val="009E3EEC"/>
    <w:rsid w:val="009F1F9A"/>
    <w:rsid w:val="00A0036F"/>
    <w:rsid w:val="00A00654"/>
    <w:rsid w:val="00A03C43"/>
    <w:rsid w:val="00A069B6"/>
    <w:rsid w:val="00A1645A"/>
    <w:rsid w:val="00A345A7"/>
    <w:rsid w:val="00A67B13"/>
    <w:rsid w:val="00A71F4C"/>
    <w:rsid w:val="00A73B4F"/>
    <w:rsid w:val="00A9730B"/>
    <w:rsid w:val="00AD68E1"/>
    <w:rsid w:val="00AE0BCA"/>
    <w:rsid w:val="00AE24EB"/>
    <w:rsid w:val="00B04F96"/>
    <w:rsid w:val="00B06634"/>
    <w:rsid w:val="00B40E17"/>
    <w:rsid w:val="00B443C2"/>
    <w:rsid w:val="00B4661C"/>
    <w:rsid w:val="00B46B57"/>
    <w:rsid w:val="00B75F51"/>
    <w:rsid w:val="00BB5B03"/>
    <w:rsid w:val="00BD0901"/>
    <w:rsid w:val="00BD237B"/>
    <w:rsid w:val="00BD386E"/>
    <w:rsid w:val="00BD505A"/>
    <w:rsid w:val="00C04FEE"/>
    <w:rsid w:val="00C122F6"/>
    <w:rsid w:val="00C14CEF"/>
    <w:rsid w:val="00C161DD"/>
    <w:rsid w:val="00C167BF"/>
    <w:rsid w:val="00C3753B"/>
    <w:rsid w:val="00C54809"/>
    <w:rsid w:val="00C939F3"/>
    <w:rsid w:val="00CB0CA8"/>
    <w:rsid w:val="00CF0037"/>
    <w:rsid w:val="00D03E3F"/>
    <w:rsid w:val="00D10547"/>
    <w:rsid w:val="00D12C9F"/>
    <w:rsid w:val="00D15F3A"/>
    <w:rsid w:val="00D2323E"/>
    <w:rsid w:val="00D259BB"/>
    <w:rsid w:val="00D36D67"/>
    <w:rsid w:val="00D37C1F"/>
    <w:rsid w:val="00D37D67"/>
    <w:rsid w:val="00D56985"/>
    <w:rsid w:val="00D6274F"/>
    <w:rsid w:val="00D63D72"/>
    <w:rsid w:val="00D65316"/>
    <w:rsid w:val="00D73787"/>
    <w:rsid w:val="00D74A5F"/>
    <w:rsid w:val="00D767ED"/>
    <w:rsid w:val="00D86386"/>
    <w:rsid w:val="00D94C83"/>
    <w:rsid w:val="00DA06E2"/>
    <w:rsid w:val="00DA2FBB"/>
    <w:rsid w:val="00DA6BF6"/>
    <w:rsid w:val="00DB3110"/>
    <w:rsid w:val="00DB5892"/>
    <w:rsid w:val="00DC2B58"/>
    <w:rsid w:val="00DE6B6C"/>
    <w:rsid w:val="00DF2F2C"/>
    <w:rsid w:val="00E0792E"/>
    <w:rsid w:val="00E11053"/>
    <w:rsid w:val="00E11AB8"/>
    <w:rsid w:val="00E14A4A"/>
    <w:rsid w:val="00E256A8"/>
    <w:rsid w:val="00E42DD1"/>
    <w:rsid w:val="00E440D0"/>
    <w:rsid w:val="00E456E1"/>
    <w:rsid w:val="00E50A4B"/>
    <w:rsid w:val="00E61BD8"/>
    <w:rsid w:val="00E9075E"/>
    <w:rsid w:val="00EB75AE"/>
    <w:rsid w:val="00EC407E"/>
    <w:rsid w:val="00EC539C"/>
    <w:rsid w:val="00ED3906"/>
    <w:rsid w:val="00F20853"/>
    <w:rsid w:val="00F3140D"/>
    <w:rsid w:val="00F33EEE"/>
    <w:rsid w:val="00F46909"/>
    <w:rsid w:val="00F61790"/>
    <w:rsid w:val="00F65134"/>
    <w:rsid w:val="00F70157"/>
    <w:rsid w:val="00F75A07"/>
    <w:rsid w:val="00F84028"/>
    <w:rsid w:val="00FA3C76"/>
    <w:rsid w:val="04A5FA03"/>
    <w:rsid w:val="0949494D"/>
    <w:rsid w:val="1EB178E7"/>
    <w:rsid w:val="2311E84F"/>
    <w:rsid w:val="4337C095"/>
    <w:rsid w:val="4D2AED61"/>
    <w:rsid w:val="5F9B2476"/>
    <w:rsid w:val="6F59E78A"/>
    <w:rsid w:val="72A0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191D549F-E77D-4B23-A6D6-BE967F74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D63D72"/>
    <w:rPr>
      <w:sz w:val="16"/>
      <w:szCs w:val="16"/>
    </w:rPr>
  </w:style>
  <w:style w:type="paragraph" w:styleId="CommentText">
    <w:name w:val="annotation text"/>
    <w:basedOn w:val="Normal"/>
    <w:link w:val="CommentTextChar"/>
    <w:uiPriority w:val="99"/>
    <w:unhideWhenUsed/>
    <w:rsid w:val="00D63D72"/>
    <w:rPr>
      <w:sz w:val="20"/>
      <w:szCs w:val="20"/>
    </w:rPr>
  </w:style>
  <w:style w:type="character" w:customStyle="1" w:styleId="CommentTextChar">
    <w:name w:val="Comment Text Char"/>
    <w:basedOn w:val="DefaultParagraphFont"/>
    <w:link w:val="CommentText"/>
    <w:uiPriority w:val="99"/>
    <w:rsid w:val="00D63D72"/>
    <w:rPr>
      <w:sz w:val="20"/>
      <w:szCs w:val="20"/>
    </w:rPr>
  </w:style>
  <w:style w:type="paragraph" w:styleId="CommentSubject">
    <w:name w:val="annotation subject"/>
    <w:basedOn w:val="CommentText"/>
    <w:next w:val="CommentText"/>
    <w:link w:val="CommentSubjectChar"/>
    <w:uiPriority w:val="99"/>
    <w:semiHidden/>
    <w:unhideWhenUsed/>
    <w:rsid w:val="00D63D72"/>
    <w:rPr>
      <w:b/>
      <w:bCs/>
    </w:rPr>
  </w:style>
  <w:style w:type="character" w:customStyle="1" w:styleId="CommentSubjectChar">
    <w:name w:val="Comment Subject Char"/>
    <w:basedOn w:val="CommentTextChar"/>
    <w:link w:val="CommentSubject"/>
    <w:uiPriority w:val="99"/>
    <w:semiHidden/>
    <w:rsid w:val="00D63D72"/>
    <w:rPr>
      <w:b/>
      <w:bCs/>
      <w:sz w:val="20"/>
      <w:szCs w:val="20"/>
    </w:rPr>
  </w:style>
  <w:style w:type="character" w:styleId="FootnoteReference">
    <w:name w:val="footnote reference"/>
    <w:basedOn w:val="DefaultParagraphFont"/>
    <w:uiPriority w:val="99"/>
    <w:semiHidden/>
    <w:unhideWhenUsed/>
    <w:rsid w:val="008361B6"/>
    <w:rPr>
      <w:vertAlign w:val="superscript"/>
    </w:rPr>
  </w:style>
  <w:style w:type="paragraph" w:styleId="EndnoteText">
    <w:name w:val="endnote text"/>
    <w:basedOn w:val="Normal"/>
    <w:link w:val="EndnoteTextChar"/>
    <w:uiPriority w:val="99"/>
    <w:semiHidden/>
    <w:unhideWhenUsed/>
    <w:rsid w:val="00E9075E"/>
    <w:rPr>
      <w:sz w:val="20"/>
      <w:szCs w:val="20"/>
    </w:rPr>
  </w:style>
  <w:style w:type="character" w:customStyle="1" w:styleId="EndnoteTextChar">
    <w:name w:val="Endnote Text Char"/>
    <w:basedOn w:val="DefaultParagraphFont"/>
    <w:link w:val="EndnoteText"/>
    <w:uiPriority w:val="99"/>
    <w:semiHidden/>
    <w:rsid w:val="00E9075E"/>
    <w:rPr>
      <w:sz w:val="20"/>
      <w:szCs w:val="20"/>
    </w:rPr>
  </w:style>
  <w:style w:type="character" w:styleId="EndnoteReference">
    <w:name w:val="endnote reference"/>
    <w:basedOn w:val="DefaultParagraphFont"/>
    <w:uiPriority w:val="99"/>
    <w:semiHidden/>
    <w:unhideWhenUsed/>
    <w:rsid w:val="00E9075E"/>
    <w:rPr>
      <w:vertAlign w:val="superscript"/>
    </w:rPr>
  </w:style>
  <w:style w:type="paragraph" w:customStyle="1" w:styleId="Bullet">
    <w:name w:val="Bullet"/>
    <w:basedOn w:val="BodyText"/>
    <w:uiPriority w:val="8"/>
    <w:qFormat/>
    <w:rsid w:val="00F46909"/>
    <w:pPr>
      <w:numPr>
        <w:numId w:val="6"/>
      </w:numPr>
      <w:spacing w:before="170" w:line="260" w:lineRule="exact"/>
    </w:pPr>
    <w:rPr>
      <w:color w:val="auto"/>
    </w:rPr>
  </w:style>
  <w:style w:type="paragraph" w:customStyle="1" w:styleId="BulletLevel3">
    <w:name w:val="Bullet Level 3"/>
    <w:basedOn w:val="Bullet"/>
    <w:uiPriority w:val="11"/>
    <w:qFormat/>
    <w:rsid w:val="00F46909"/>
    <w:pPr>
      <w:numPr>
        <w:ilvl w:val="3"/>
      </w:numPr>
    </w:pPr>
  </w:style>
  <w:style w:type="paragraph" w:customStyle="1" w:styleId="DashLevel3">
    <w:name w:val="Dash Level 3"/>
    <w:basedOn w:val="Bullet"/>
    <w:uiPriority w:val="12"/>
    <w:qFormat/>
    <w:rsid w:val="00F46909"/>
    <w:pPr>
      <w:numPr>
        <w:ilvl w:val="4"/>
      </w:numPr>
      <w:spacing w:before="50"/>
      <w:ind w:left="1899"/>
    </w:pPr>
  </w:style>
  <w:style w:type="table" w:customStyle="1" w:styleId="CCCTable">
    <w:name w:val="CCC Table"/>
    <w:basedOn w:val="TableNormal"/>
    <w:uiPriority w:val="99"/>
    <w:rsid w:val="002479A5"/>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table" w:styleId="TableGridLight">
    <w:name w:val="Grid Table Light"/>
    <w:basedOn w:val="TableNormal"/>
    <w:uiPriority w:val="40"/>
    <w:rsid w:val="004E4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D15F3A"/>
    <w:pPr>
      <w:keepLines/>
      <w:spacing w:before="240"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 w:type="character" w:styleId="Hyperlink">
    <w:name w:val="Hyperlink"/>
    <w:basedOn w:val="DefaultParagraphFont"/>
    <w:uiPriority w:val="99"/>
    <w:unhideWhenUsed/>
    <w:rsid w:val="00D15F3A"/>
    <w:rPr>
      <w:color w:val="000000" w:themeColor="hyperlink"/>
      <w:u w:val="single"/>
    </w:rPr>
  </w:style>
  <w:style w:type="character" w:styleId="UnresolvedMention">
    <w:name w:val="Unresolved Mention"/>
    <w:basedOn w:val="DefaultParagraphFont"/>
    <w:uiPriority w:val="99"/>
    <w:semiHidden/>
    <w:unhideWhenUsed/>
    <w:rsid w:val="0094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33356">
      <w:bodyDiv w:val="1"/>
      <w:marLeft w:val="0"/>
      <w:marRight w:val="0"/>
      <w:marTop w:val="0"/>
      <w:marBottom w:val="0"/>
      <w:divBdr>
        <w:top w:val="none" w:sz="0" w:space="0" w:color="auto"/>
        <w:left w:val="none" w:sz="0" w:space="0" w:color="auto"/>
        <w:bottom w:val="none" w:sz="0" w:space="0" w:color="auto"/>
        <w:right w:val="none" w:sz="0" w:space="0" w:color="auto"/>
      </w:divBdr>
      <w:divsChild>
        <w:div w:id="849563480">
          <w:marLeft w:val="0"/>
          <w:marRight w:val="0"/>
          <w:marTop w:val="0"/>
          <w:marBottom w:val="0"/>
          <w:divBdr>
            <w:top w:val="none" w:sz="0" w:space="0" w:color="auto"/>
            <w:left w:val="none" w:sz="0" w:space="0" w:color="auto"/>
            <w:bottom w:val="none" w:sz="0" w:space="0" w:color="auto"/>
            <w:right w:val="none" w:sz="0" w:space="0" w:color="auto"/>
          </w:divBdr>
        </w:div>
        <w:div w:id="138294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orldhappiness.report/ed/2021/living-long-and-living-well-the-wellby-appro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2.xml><?xml version="1.0" encoding="utf-8"?>
<ds:datastoreItem xmlns:ds="http://schemas.openxmlformats.org/officeDocument/2006/customXml" ds:itemID="{89FCEFFA-25AB-4D29-B990-B3631CBFECDD}">
  <ds:schemaRefs>
    <ds:schemaRef ds:uri="662745e8-e224-48e8-a2e3-254862b8c2f5"/>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3964904f-5f85-4184-bdfc-bbe062de5a69"/>
    <ds:schemaRef ds:uri="http://schemas.microsoft.com/office/2006/metadata/properties"/>
    <ds:schemaRef ds:uri="http://purl.org/dc/terms/"/>
    <ds:schemaRef ds:uri="7a4ed3e5-8539-4056-add8-8824f7d44d37"/>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9CF1E5C8-E673-42EB-B4EE-86898560EF4A}">
  <ds:schemaRefs>
    <ds:schemaRef ds:uri="http://schemas.openxmlformats.org/officeDocument/2006/bibliography"/>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5.xml><?xml version="1.0" encoding="utf-8"?>
<ds:datastoreItem xmlns:ds="http://schemas.openxmlformats.org/officeDocument/2006/customXml" ds:itemID="{6A5D4461-8176-4FF7-B537-B49428342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22999</CharactersWithSpaces>
  <SharedDoc>false</SharedDoc>
  <HLinks>
    <vt:vector size="84" baseType="variant">
      <vt:variant>
        <vt:i4>1179701</vt:i4>
      </vt:variant>
      <vt:variant>
        <vt:i4>80</vt:i4>
      </vt:variant>
      <vt:variant>
        <vt:i4>0</vt:i4>
      </vt:variant>
      <vt:variant>
        <vt:i4>5</vt:i4>
      </vt:variant>
      <vt:variant>
        <vt:lpwstr/>
      </vt:variant>
      <vt:variant>
        <vt:lpwstr>_Toc120104424</vt:lpwstr>
      </vt:variant>
      <vt:variant>
        <vt:i4>1179701</vt:i4>
      </vt:variant>
      <vt:variant>
        <vt:i4>74</vt:i4>
      </vt:variant>
      <vt:variant>
        <vt:i4>0</vt:i4>
      </vt:variant>
      <vt:variant>
        <vt:i4>5</vt:i4>
      </vt:variant>
      <vt:variant>
        <vt:lpwstr/>
      </vt:variant>
      <vt:variant>
        <vt:lpwstr>_Toc120104423</vt:lpwstr>
      </vt:variant>
      <vt:variant>
        <vt:i4>1179701</vt:i4>
      </vt:variant>
      <vt:variant>
        <vt:i4>68</vt:i4>
      </vt:variant>
      <vt:variant>
        <vt:i4>0</vt:i4>
      </vt:variant>
      <vt:variant>
        <vt:i4>5</vt:i4>
      </vt:variant>
      <vt:variant>
        <vt:lpwstr/>
      </vt:variant>
      <vt:variant>
        <vt:lpwstr>_Toc120104422</vt:lpwstr>
      </vt:variant>
      <vt:variant>
        <vt:i4>1179701</vt:i4>
      </vt:variant>
      <vt:variant>
        <vt:i4>62</vt:i4>
      </vt:variant>
      <vt:variant>
        <vt:i4>0</vt:i4>
      </vt:variant>
      <vt:variant>
        <vt:i4>5</vt:i4>
      </vt:variant>
      <vt:variant>
        <vt:lpwstr/>
      </vt:variant>
      <vt:variant>
        <vt:lpwstr>_Toc120104421</vt:lpwstr>
      </vt:variant>
      <vt:variant>
        <vt:i4>1179701</vt:i4>
      </vt:variant>
      <vt:variant>
        <vt:i4>56</vt:i4>
      </vt:variant>
      <vt:variant>
        <vt:i4>0</vt:i4>
      </vt:variant>
      <vt:variant>
        <vt:i4>5</vt:i4>
      </vt:variant>
      <vt:variant>
        <vt:lpwstr/>
      </vt:variant>
      <vt:variant>
        <vt:lpwstr>_Toc120104420</vt:lpwstr>
      </vt:variant>
      <vt:variant>
        <vt:i4>1114165</vt:i4>
      </vt:variant>
      <vt:variant>
        <vt:i4>50</vt:i4>
      </vt:variant>
      <vt:variant>
        <vt:i4>0</vt:i4>
      </vt:variant>
      <vt:variant>
        <vt:i4>5</vt:i4>
      </vt:variant>
      <vt:variant>
        <vt:lpwstr/>
      </vt:variant>
      <vt:variant>
        <vt:lpwstr>_Toc120104419</vt:lpwstr>
      </vt:variant>
      <vt:variant>
        <vt:i4>1114165</vt:i4>
      </vt:variant>
      <vt:variant>
        <vt:i4>44</vt:i4>
      </vt:variant>
      <vt:variant>
        <vt:i4>0</vt:i4>
      </vt:variant>
      <vt:variant>
        <vt:i4>5</vt:i4>
      </vt:variant>
      <vt:variant>
        <vt:lpwstr/>
      </vt:variant>
      <vt:variant>
        <vt:lpwstr>_Toc120104418</vt:lpwstr>
      </vt:variant>
      <vt:variant>
        <vt:i4>1114165</vt:i4>
      </vt:variant>
      <vt:variant>
        <vt:i4>38</vt:i4>
      </vt:variant>
      <vt:variant>
        <vt:i4>0</vt:i4>
      </vt:variant>
      <vt:variant>
        <vt:i4>5</vt:i4>
      </vt:variant>
      <vt:variant>
        <vt:lpwstr/>
      </vt:variant>
      <vt:variant>
        <vt:lpwstr>_Toc120104417</vt:lpwstr>
      </vt:variant>
      <vt:variant>
        <vt:i4>1114165</vt:i4>
      </vt:variant>
      <vt:variant>
        <vt:i4>32</vt:i4>
      </vt:variant>
      <vt:variant>
        <vt:i4>0</vt:i4>
      </vt:variant>
      <vt:variant>
        <vt:i4>5</vt:i4>
      </vt:variant>
      <vt:variant>
        <vt:lpwstr/>
      </vt:variant>
      <vt:variant>
        <vt:lpwstr>_Toc120104416</vt:lpwstr>
      </vt:variant>
      <vt:variant>
        <vt:i4>1114165</vt:i4>
      </vt:variant>
      <vt:variant>
        <vt:i4>26</vt:i4>
      </vt:variant>
      <vt:variant>
        <vt:i4>0</vt:i4>
      </vt:variant>
      <vt:variant>
        <vt:i4>5</vt:i4>
      </vt:variant>
      <vt:variant>
        <vt:lpwstr/>
      </vt:variant>
      <vt:variant>
        <vt:lpwstr>_Toc120104415</vt:lpwstr>
      </vt:variant>
      <vt:variant>
        <vt:i4>1114165</vt:i4>
      </vt:variant>
      <vt:variant>
        <vt:i4>20</vt:i4>
      </vt:variant>
      <vt:variant>
        <vt:i4>0</vt:i4>
      </vt:variant>
      <vt:variant>
        <vt:i4>5</vt:i4>
      </vt:variant>
      <vt:variant>
        <vt:lpwstr/>
      </vt:variant>
      <vt:variant>
        <vt:lpwstr>_Toc120104414</vt:lpwstr>
      </vt:variant>
      <vt:variant>
        <vt:i4>1114165</vt:i4>
      </vt:variant>
      <vt:variant>
        <vt:i4>14</vt:i4>
      </vt:variant>
      <vt:variant>
        <vt:i4>0</vt:i4>
      </vt:variant>
      <vt:variant>
        <vt:i4>5</vt:i4>
      </vt:variant>
      <vt:variant>
        <vt:lpwstr/>
      </vt:variant>
      <vt:variant>
        <vt:lpwstr>_Toc120104413</vt:lpwstr>
      </vt:variant>
      <vt:variant>
        <vt:i4>1114165</vt:i4>
      </vt:variant>
      <vt:variant>
        <vt:i4>8</vt:i4>
      </vt:variant>
      <vt:variant>
        <vt:i4>0</vt:i4>
      </vt:variant>
      <vt:variant>
        <vt:i4>5</vt:i4>
      </vt:variant>
      <vt:variant>
        <vt:lpwstr/>
      </vt:variant>
      <vt:variant>
        <vt:lpwstr>_Toc120104412</vt:lpwstr>
      </vt:variant>
      <vt:variant>
        <vt:i4>1114165</vt:i4>
      </vt:variant>
      <vt:variant>
        <vt:i4>2</vt:i4>
      </vt:variant>
      <vt:variant>
        <vt:i4>0</vt:i4>
      </vt:variant>
      <vt:variant>
        <vt:i4>5</vt:i4>
      </vt:variant>
      <vt:variant>
        <vt:lpwstr/>
      </vt:variant>
      <vt:variant>
        <vt:lpwstr>_Toc120104411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Nemo, Chloe</cp:lastModifiedBy>
  <cp:revision>5</cp:revision>
  <dcterms:created xsi:type="dcterms:W3CDTF">2022-12-02T10:40:00Z</dcterms:created>
  <dcterms:modified xsi:type="dcterms:W3CDTF">2022-12-02T16:04:00Z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