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EBECB" w14:textId="3C694756" w:rsidR="00A85B19" w:rsidRPr="0041419B" w:rsidRDefault="00032803" w:rsidP="007279F4">
      <w:pPr>
        <w:pStyle w:val="CoverTitle"/>
        <w:rPr>
          <w:b/>
        </w:rPr>
      </w:pPr>
      <w:r w:rsidRPr="0041419B">
        <w:rPr>
          <w:b/>
        </w:rPr>
        <w:t>Specification for research project</w:t>
      </w:r>
    </w:p>
    <w:p w14:paraId="6810FB35" w14:textId="1A55EFBE" w:rsidR="00E51130" w:rsidRDefault="004E4A2C" w:rsidP="00CD0215">
      <w:pPr>
        <w:pStyle w:val="CoverSubTitle"/>
      </w:pPr>
      <w:r>
        <w:t>ADHERE: Sander quality</w:t>
      </w:r>
      <w:r w:rsidR="00C47649">
        <w:t xml:space="preserve"> and performance</w:t>
      </w:r>
      <w:r>
        <w:t xml:space="preserve"> criteria framework</w:t>
      </w:r>
      <w:r w:rsidR="005B7B1F">
        <w:t xml:space="preserve"> </w:t>
      </w:r>
      <w:r w:rsidR="00CD0215">
        <w:t>(T1210)</w:t>
      </w:r>
    </w:p>
    <w:p w14:paraId="03DE9B9E" w14:textId="0B1406CF" w:rsidR="00CD0215" w:rsidRDefault="00CD0215" w:rsidP="00CD0215">
      <w:pPr>
        <w:pStyle w:val="Body"/>
      </w:pPr>
      <w:r>
        <w:t xml:space="preserve">The draft research specification and assessment criteria that follows is subject to change following supplier engagement. </w:t>
      </w:r>
    </w:p>
    <w:p w14:paraId="0E04B413" w14:textId="3379DE35" w:rsidR="00CD0215" w:rsidRDefault="00CD0215" w:rsidP="00CD0215">
      <w:pPr>
        <w:pStyle w:val="Body"/>
      </w:pPr>
      <w:bookmarkStart w:id="0" w:name="_GoBack"/>
      <w:r>
        <w:t>A pre-tender suppliers meeting has been arranged for 7 September 2020 at 12:00 – 13:30. The meeting will be held remotely on Microsoft Teams</w:t>
      </w:r>
      <w:r>
        <w:rPr>
          <w:rStyle w:val="FootnoteReference"/>
        </w:rPr>
        <w:footnoteReference w:id="1"/>
      </w:r>
      <w:r>
        <w:t xml:space="preserve"> (the Microsoft Teams link shall be shared ahead of the meeting to confirmed attendees). </w:t>
      </w:r>
      <w:bookmarkEnd w:id="0"/>
      <w:r>
        <w:t xml:space="preserve">The purpose of this meeting is to: </w:t>
      </w:r>
    </w:p>
    <w:p w14:paraId="657CEECD" w14:textId="77777777" w:rsidR="00CD0215" w:rsidRDefault="00CD0215" w:rsidP="00CD0215">
      <w:pPr>
        <w:pStyle w:val="Body"/>
        <w:numPr>
          <w:ilvl w:val="0"/>
          <w:numId w:val="50"/>
        </w:numPr>
      </w:pPr>
      <w:r>
        <w:t>Provide an outline of the project proposal</w:t>
      </w:r>
    </w:p>
    <w:p w14:paraId="04E22DA1" w14:textId="77777777" w:rsidR="00CD0215" w:rsidRDefault="00CD0215" w:rsidP="00CD0215">
      <w:pPr>
        <w:pStyle w:val="Body"/>
        <w:numPr>
          <w:ilvl w:val="0"/>
          <w:numId w:val="50"/>
        </w:numPr>
      </w:pPr>
      <w:r>
        <w:t>Provide interested suppliers an opportunity to discuss, understand and inform the research specification</w:t>
      </w:r>
    </w:p>
    <w:p w14:paraId="73FD3654" w14:textId="77777777" w:rsidR="00CD0215" w:rsidRDefault="00CD0215" w:rsidP="00CD0215">
      <w:pPr>
        <w:pStyle w:val="Body"/>
        <w:ind w:left="720"/>
      </w:pPr>
    </w:p>
    <w:p w14:paraId="541A213C" w14:textId="77777777" w:rsidR="00CD0215" w:rsidRDefault="00CD0215" w:rsidP="00CD0215">
      <w:pPr>
        <w:pStyle w:val="Body"/>
      </w:pPr>
      <w:r>
        <w:t>Suppliers should be prepared to discuss the following:</w:t>
      </w:r>
    </w:p>
    <w:p w14:paraId="0979EA38" w14:textId="77777777" w:rsidR="00CD0215" w:rsidRDefault="00CD0215" w:rsidP="00CD0215">
      <w:pPr>
        <w:pStyle w:val="Body"/>
        <w:numPr>
          <w:ilvl w:val="0"/>
          <w:numId w:val="51"/>
        </w:numPr>
        <w:jc w:val="both"/>
      </w:pPr>
      <w:r>
        <w:t>What resources and information would suppliers require, in order to deliver robust outcomes?</w:t>
      </w:r>
    </w:p>
    <w:p w14:paraId="251B1DA5" w14:textId="77777777" w:rsidR="00CD0215" w:rsidRDefault="00CD0215" w:rsidP="00CD0215">
      <w:pPr>
        <w:pStyle w:val="Body"/>
        <w:numPr>
          <w:ilvl w:val="0"/>
          <w:numId w:val="51"/>
        </w:numPr>
        <w:jc w:val="both"/>
      </w:pPr>
      <w:r>
        <w:t xml:space="preserve">Are the timescales </w:t>
      </w:r>
      <w:proofErr w:type="gramStart"/>
      <w:r>
        <w:t>sufficient</w:t>
      </w:r>
      <w:proofErr w:type="gramEnd"/>
      <w:r>
        <w:t xml:space="preserve"> to deliver quality outputs to time?</w:t>
      </w:r>
    </w:p>
    <w:p w14:paraId="1C4CF85E" w14:textId="77777777" w:rsidR="00CD0215" w:rsidRDefault="00CD0215" w:rsidP="00CD0215">
      <w:pPr>
        <w:pStyle w:val="Body"/>
        <w:numPr>
          <w:ilvl w:val="0"/>
          <w:numId w:val="51"/>
        </w:numPr>
        <w:jc w:val="both"/>
      </w:pPr>
      <w:r>
        <w:t xml:space="preserve">What are the challenges and barriers to delivering this work? What enablers would support successful delivery of the project? </w:t>
      </w:r>
    </w:p>
    <w:p w14:paraId="4FE0F52E" w14:textId="77777777" w:rsidR="00CD0215" w:rsidRDefault="00CD0215" w:rsidP="00CD0215">
      <w:pPr>
        <w:pStyle w:val="Body"/>
        <w:numPr>
          <w:ilvl w:val="0"/>
          <w:numId w:val="51"/>
        </w:numPr>
        <w:jc w:val="both"/>
      </w:pPr>
      <w:r>
        <w:t xml:space="preserve">What is the estimated effort to deliver this work to quality and time?  </w:t>
      </w:r>
    </w:p>
    <w:p w14:paraId="042AC70C" w14:textId="77777777" w:rsidR="00CD0215" w:rsidRDefault="00CD0215" w:rsidP="00CD0215">
      <w:pPr>
        <w:pStyle w:val="Body"/>
        <w:jc w:val="both"/>
      </w:pPr>
    </w:p>
    <w:p w14:paraId="7822C8F5" w14:textId="77777777" w:rsidR="00CD0215" w:rsidRDefault="00CD0215" w:rsidP="00CD0215">
      <w:pPr>
        <w:pStyle w:val="Body"/>
        <w:jc w:val="both"/>
      </w:pPr>
      <w:r>
        <w:t>Please note that following the suppliers meeting, RSSB may amend the document before publishing the invitation to tender.</w:t>
      </w:r>
    </w:p>
    <w:p w14:paraId="698468A5" w14:textId="31643A53" w:rsidR="00CD0215" w:rsidRPr="00816BF7" w:rsidRDefault="00CD0215" w:rsidP="00CD0215">
      <w:pPr>
        <w:pStyle w:val="Body"/>
        <w:jc w:val="both"/>
      </w:pPr>
      <w:r>
        <w:t xml:space="preserve">Suppliers wishing to attend the event should email </w:t>
      </w:r>
      <w:hyperlink r:id="rId11" w:history="1">
        <w:r w:rsidR="006E5B81" w:rsidRPr="00575F41">
          <w:rPr>
            <w:rStyle w:val="Hyperlink"/>
            <w:lang w:val="en"/>
          </w:rPr>
          <w:t>Tanja.Odinsen@rssb.co.uk</w:t>
        </w:r>
      </w:hyperlink>
      <w:r>
        <w:t xml:space="preserve"> to confirm arrangements.</w:t>
      </w:r>
    </w:p>
    <w:p w14:paraId="019E235B" w14:textId="17AF75B5" w:rsidR="00CD0215" w:rsidRDefault="00CD0215" w:rsidP="00CD0215">
      <w:pPr>
        <w:tabs>
          <w:tab w:val="left" w:pos="1070"/>
        </w:tabs>
        <w:rPr>
          <w:rFonts w:ascii="Calibri Light" w:hAnsi="Calibri Light" w:cs="Arial"/>
          <w:color w:val="005844"/>
          <w:sz w:val="40"/>
          <w:szCs w:val="22"/>
          <w:lang w:eastAsia="en-GB"/>
        </w:rPr>
      </w:pPr>
    </w:p>
    <w:p w14:paraId="6362FA98" w14:textId="2ABF0DC3" w:rsidR="00CD0215" w:rsidRPr="00CD0215" w:rsidRDefault="00CD0215" w:rsidP="00CD0215">
      <w:pPr>
        <w:tabs>
          <w:tab w:val="left" w:pos="1070"/>
        </w:tabs>
        <w:rPr>
          <w:rFonts w:ascii="Calibri" w:hAnsi="Calibri" w:cs="Arial"/>
          <w:sz w:val="36"/>
          <w:szCs w:val="22"/>
          <w:lang w:eastAsia="en-GB"/>
        </w:rPr>
        <w:sectPr w:rsidR="00CD0215" w:rsidRPr="00CD0215">
          <w:pgSz w:w="11906" w:h="16838"/>
          <w:pgMar w:top="1985" w:right="1985" w:bottom="1985" w:left="1985" w:header="567" w:footer="567" w:gutter="0"/>
          <w:cols w:space="720"/>
        </w:sectPr>
      </w:pPr>
      <w:r>
        <w:rPr>
          <w:rFonts w:ascii="Calibri" w:hAnsi="Calibri" w:cs="Arial"/>
          <w:sz w:val="36"/>
          <w:szCs w:val="22"/>
          <w:lang w:eastAsia="en-GB"/>
        </w:rPr>
        <w:tab/>
      </w:r>
    </w:p>
    <w:p w14:paraId="05547A46" w14:textId="53636C70" w:rsidR="0054035A" w:rsidRPr="002C7A2C" w:rsidRDefault="002C7A2C" w:rsidP="00DB5ED6">
      <w:pPr>
        <w:pStyle w:val="Heading10"/>
        <w:keepNext/>
        <w:numPr>
          <w:ilvl w:val="0"/>
          <w:numId w:val="26"/>
        </w:numPr>
        <w:ind w:left="426" w:hanging="426"/>
        <w:outlineLvl w:val="9"/>
        <w:rPr>
          <w:rFonts w:ascii="Calibri" w:hAnsi="Calibri"/>
        </w:rPr>
      </w:pPr>
      <w:r>
        <w:rPr>
          <w:rFonts w:ascii="Calibri" w:hAnsi="Calibri"/>
        </w:rPr>
        <w:lastRenderedPageBreak/>
        <w:t>RSSB overview</w:t>
      </w:r>
    </w:p>
    <w:p w14:paraId="14E378A5" w14:textId="77777777" w:rsidR="00577801" w:rsidRDefault="00577801" w:rsidP="00577801">
      <w:pPr>
        <w:pStyle w:val="Body"/>
        <w:spacing w:line="276" w:lineRule="auto"/>
        <w:jc w:val="both"/>
      </w:pPr>
      <w:r w:rsidRPr="00F737D3">
        <w:t>RSSB</w:t>
      </w:r>
      <w:r>
        <w:t xml:space="preserve"> is a membership organisation that supports the GB rail industry by:</w:t>
      </w:r>
    </w:p>
    <w:p w14:paraId="759801AB" w14:textId="77777777" w:rsidR="00577801" w:rsidRPr="00360B24" w:rsidRDefault="00577801" w:rsidP="00DB5ED6">
      <w:pPr>
        <w:pStyle w:val="Bullet1"/>
        <w:numPr>
          <w:ilvl w:val="0"/>
          <w:numId w:val="27"/>
        </w:numPr>
        <w:spacing w:line="276" w:lineRule="auto"/>
        <w:jc w:val="both"/>
      </w:pPr>
      <w:r w:rsidRPr="00360B24">
        <w:rPr>
          <w:b/>
        </w:rPr>
        <w:t>Understanding risk</w:t>
      </w:r>
      <w:r w:rsidRPr="00360B24">
        <w:t xml:space="preserve"> – Using safety intelligence with the latest risk modelling to inform members and support safe decision making. </w:t>
      </w:r>
    </w:p>
    <w:p w14:paraId="6384F202" w14:textId="77777777" w:rsidR="00577801" w:rsidRPr="00360B24" w:rsidRDefault="00577801" w:rsidP="00DB5ED6">
      <w:pPr>
        <w:pStyle w:val="Bullet1"/>
        <w:numPr>
          <w:ilvl w:val="0"/>
          <w:numId w:val="27"/>
        </w:numPr>
        <w:spacing w:line="276" w:lineRule="auto"/>
        <w:jc w:val="both"/>
      </w:pPr>
      <w:r w:rsidRPr="00360B24">
        <w:rPr>
          <w:b/>
        </w:rPr>
        <w:t>Guiding standards</w:t>
      </w:r>
      <w:r w:rsidRPr="00360B24">
        <w:t xml:space="preserve"> – Creating, reviewing and simplifying GB standards; managing the Rule Book and making it easier for the railway to deliver efficiently and safely. </w:t>
      </w:r>
    </w:p>
    <w:p w14:paraId="7E451E59" w14:textId="77777777" w:rsidR="00577801" w:rsidRPr="00360B24" w:rsidRDefault="00577801" w:rsidP="00DB5ED6">
      <w:pPr>
        <w:pStyle w:val="Bullet1"/>
        <w:numPr>
          <w:ilvl w:val="0"/>
          <w:numId w:val="27"/>
        </w:numPr>
        <w:spacing w:line="276" w:lineRule="auto"/>
        <w:jc w:val="both"/>
      </w:pPr>
      <w:r>
        <w:rPr>
          <w:b/>
        </w:rPr>
        <w:t>Facilitating cross-industry collaboration</w:t>
      </w:r>
      <w:r w:rsidRPr="00360B24">
        <w:t xml:space="preserve"> – As an independent cross-industry body, supporting activities which require collaboration</w:t>
      </w:r>
      <w:r>
        <w:t xml:space="preserve"> such as </w:t>
      </w:r>
      <w:r w:rsidRPr="00360B24">
        <w:t>supplier assurance schemes</w:t>
      </w:r>
      <w:r>
        <w:t xml:space="preserve">, </w:t>
      </w:r>
      <w:r w:rsidRPr="00360B24">
        <w:t xml:space="preserve">confidential reporting </w:t>
      </w:r>
      <w:r>
        <w:t>and developing industry strategies</w:t>
      </w:r>
      <w:r w:rsidRPr="00360B24">
        <w:t>.</w:t>
      </w:r>
    </w:p>
    <w:p w14:paraId="3CAA448D" w14:textId="77777777" w:rsidR="00577801" w:rsidRPr="00360B24" w:rsidRDefault="00577801" w:rsidP="00DB5ED6">
      <w:pPr>
        <w:pStyle w:val="Bullet1"/>
        <w:numPr>
          <w:ilvl w:val="0"/>
          <w:numId w:val="27"/>
        </w:numPr>
        <w:spacing w:line="276" w:lineRule="auto"/>
        <w:jc w:val="both"/>
      </w:pPr>
      <w:r w:rsidRPr="00360B24">
        <w:rPr>
          <w:b/>
        </w:rPr>
        <w:t>Managing research, development and innovation</w:t>
      </w:r>
      <w:r w:rsidRPr="00360B24">
        <w:t xml:space="preserve"> – Undertaking, commissioning and managing research and innovation prog</w:t>
      </w:r>
      <w:r>
        <w:t>rammes to address current and future needs and</w:t>
      </w:r>
      <w:r w:rsidRPr="00360B24">
        <w:t xml:space="preserve"> provid</w:t>
      </w:r>
      <w:r w:rsidR="0061191F">
        <w:t>ing</w:t>
      </w:r>
      <w:r w:rsidRPr="00360B24">
        <w:t xml:space="preserve"> knowledge for decisio</w:t>
      </w:r>
      <w:r>
        <w:t>n making;</w:t>
      </w:r>
      <w:r w:rsidRPr="00360B24">
        <w:t xml:space="preserve"> </w:t>
      </w:r>
      <w:r>
        <w:t xml:space="preserve">supporting implementation </w:t>
      </w:r>
      <w:r w:rsidRPr="00360B24">
        <w:t xml:space="preserve">and promoting step changes to deliver </w:t>
      </w:r>
      <w:r>
        <w:t>industry</w:t>
      </w:r>
      <w:r w:rsidRPr="00360B24">
        <w:t xml:space="preserve"> </w:t>
      </w:r>
      <w:r>
        <w:t>s</w:t>
      </w:r>
      <w:r w:rsidRPr="00360B24">
        <w:t>trateg</w:t>
      </w:r>
      <w:r>
        <w:t>ies</w:t>
      </w:r>
      <w:r w:rsidRPr="00360B24">
        <w:t xml:space="preserve">. </w:t>
      </w:r>
    </w:p>
    <w:p w14:paraId="6B14B7C0" w14:textId="77777777" w:rsidR="00D02A81" w:rsidRDefault="00D02A81" w:rsidP="00D02A81">
      <w:pPr>
        <w:pStyle w:val="Bullet1"/>
        <w:numPr>
          <w:ilvl w:val="0"/>
          <w:numId w:val="0"/>
        </w:numPr>
        <w:ind w:left="360" w:hanging="360"/>
      </w:pPr>
    </w:p>
    <w:p w14:paraId="14DA3B7C" w14:textId="77777777" w:rsidR="00D02A81" w:rsidRDefault="00D02A81" w:rsidP="00D02A81">
      <w:pPr>
        <w:pStyle w:val="Bullet1"/>
        <w:numPr>
          <w:ilvl w:val="0"/>
          <w:numId w:val="0"/>
        </w:numPr>
        <w:ind w:left="360" w:hanging="360"/>
      </w:pPr>
    </w:p>
    <w:p w14:paraId="1328CBE8" w14:textId="77777777" w:rsidR="00005F35" w:rsidRDefault="00005F35" w:rsidP="00DB5ED6">
      <w:pPr>
        <w:pStyle w:val="Heading10"/>
        <w:keepNext/>
        <w:numPr>
          <w:ilvl w:val="0"/>
          <w:numId w:val="26"/>
        </w:numPr>
        <w:ind w:left="426" w:hanging="426"/>
        <w:outlineLvl w:val="9"/>
        <w:rPr>
          <w:rFonts w:ascii="Calibri" w:hAnsi="Calibri"/>
        </w:rPr>
        <w:sectPr w:rsidR="00005F35" w:rsidSect="00D26B62">
          <w:headerReference w:type="default" r:id="rId12"/>
          <w:footerReference w:type="even" r:id="rId13"/>
          <w:footerReference w:type="default" r:id="rId14"/>
          <w:pgSz w:w="11906" w:h="16838"/>
          <w:pgMar w:top="1985" w:right="1985" w:bottom="1985" w:left="1985" w:header="567" w:footer="567" w:gutter="0"/>
          <w:cols w:space="708"/>
          <w:docGrid w:linePitch="360"/>
        </w:sectPr>
      </w:pPr>
    </w:p>
    <w:p w14:paraId="1C2497B0" w14:textId="1D9F63A9" w:rsidR="00243C3A" w:rsidRPr="00243C3A" w:rsidRDefault="005047AB" w:rsidP="00DB5ED6">
      <w:pPr>
        <w:pStyle w:val="Heading10"/>
        <w:keepNext/>
        <w:numPr>
          <w:ilvl w:val="0"/>
          <w:numId w:val="26"/>
        </w:numPr>
        <w:ind w:left="426" w:hanging="426"/>
        <w:outlineLvl w:val="9"/>
        <w:rPr>
          <w:rFonts w:ascii="Calibri" w:hAnsi="Calibri"/>
        </w:rPr>
      </w:pPr>
      <w:r>
        <w:rPr>
          <w:rFonts w:ascii="Calibri" w:hAnsi="Calibri"/>
        </w:rPr>
        <w:lastRenderedPageBreak/>
        <w:t>B</w:t>
      </w:r>
      <w:r w:rsidR="0054035A">
        <w:rPr>
          <w:rFonts w:ascii="Calibri" w:hAnsi="Calibri"/>
        </w:rPr>
        <w:t xml:space="preserve">ackground </w:t>
      </w:r>
    </w:p>
    <w:p w14:paraId="3921F28E" w14:textId="1071F1C0" w:rsidR="00243C3A" w:rsidRDefault="00243C3A" w:rsidP="00243C3A">
      <w:pPr>
        <w:pStyle w:val="Body"/>
      </w:pPr>
      <w:r>
        <w:t xml:space="preserve">Previous RSSB research project T796 </w:t>
      </w:r>
      <w:hyperlink r:id="rId15" w:history="1">
        <w:r>
          <w:rPr>
            <w:rStyle w:val="Hyperlink"/>
            <w:i/>
            <w:iCs/>
          </w:rPr>
          <w:t>Understanding the current use of sanders on multiple units</w:t>
        </w:r>
      </w:hyperlink>
      <w:r>
        <w:t xml:space="preserve">, completed in 2010, investigated the </w:t>
      </w:r>
      <w:r w:rsidR="000751AD">
        <w:t>sand discharge rates of different types of existing sander systems on multiple units; and recommended steps to improve performance.</w:t>
      </w:r>
    </w:p>
    <w:p w14:paraId="008CD9E0" w14:textId="540EEFB4" w:rsidR="00C323AD" w:rsidRDefault="00243C3A" w:rsidP="00243C3A">
      <w:pPr>
        <w:pStyle w:val="Body"/>
      </w:pPr>
      <w:r>
        <w:t xml:space="preserve">Since 2010, </w:t>
      </w:r>
      <w:r w:rsidR="00CC4271">
        <w:t xml:space="preserve">major </w:t>
      </w:r>
      <w:r>
        <w:t>improvements have been made</w:t>
      </w:r>
      <w:r w:rsidR="00F53AF9">
        <w:t xml:space="preserve"> to reduce the variability in performance</w:t>
      </w:r>
      <w:r w:rsidR="00C323AD">
        <w:t xml:space="preserve">. In recent years, industry has </w:t>
      </w:r>
      <w:r w:rsidR="00612A0F">
        <w:t xml:space="preserve">also undertaken several </w:t>
      </w:r>
      <w:r w:rsidR="00CE328E">
        <w:t>innovative</w:t>
      </w:r>
      <w:r w:rsidR="00612A0F">
        <w:t xml:space="preserve"> initiatives to </w:t>
      </w:r>
      <w:r w:rsidR="002350CA">
        <w:t xml:space="preserve">advance </w:t>
      </w:r>
      <w:r w:rsidR="00612A0F">
        <w:t xml:space="preserve">sander </w:t>
      </w:r>
      <w:r w:rsidR="00CE328E">
        <w:t>capabilities</w:t>
      </w:r>
      <w:r w:rsidR="0025638D">
        <w:t xml:space="preserve">, which has shown the </w:t>
      </w:r>
      <w:r w:rsidR="002350CA">
        <w:t xml:space="preserve">considerable </w:t>
      </w:r>
      <w:r w:rsidR="0025638D">
        <w:t>improvement sanders can make in low adhesion conditions.</w:t>
      </w:r>
    </w:p>
    <w:p w14:paraId="553F39D4" w14:textId="3FB175C9" w:rsidR="00514402" w:rsidRDefault="00612A0F" w:rsidP="00243C3A">
      <w:pPr>
        <w:pStyle w:val="Body"/>
      </w:pPr>
      <w:r>
        <w:t>T</w:t>
      </w:r>
      <w:r w:rsidRPr="00612A0F">
        <w:t xml:space="preserve">he contribution of sanding to good braking in </w:t>
      </w:r>
      <w:r>
        <w:t>low-adhesion conditions</w:t>
      </w:r>
      <w:r w:rsidRPr="00612A0F">
        <w:t xml:space="preserve"> can be every bit as crucial as that of compressors, brake </w:t>
      </w:r>
      <w:r w:rsidR="00121574">
        <w:t>systems</w:t>
      </w:r>
      <w:r w:rsidR="00121574" w:rsidRPr="00612A0F">
        <w:t xml:space="preserve"> </w:t>
      </w:r>
      <w:r w:rsidRPr="00612A0F">
        <w:t>or Wheel Slide Protection (WSP) control systems.</w:t>
      </w:r>
      <w:r w:rsidR="00431A61">
        <w:t xml:space="preserve"> </w:t>
      </w:r>
      <w:r w:rsidR="002350CA">
        <w:t xml:space="preserve">However, </w:t>
      </w:r>
      <w:r w:rsidR="007825CE">
        <w:t xml:space="preserve">the application of traditional assessment approaches to existing sander technology does not </w:t>
      </w:r>
      <w:r w:rsidR="00542B93">
        <w:t xml:space="preserve">always </w:t>
      </w:r>
      <w:r w:rsidR="007825CE">
        <w:t>make a case to use this performance benefit in defining train operations</w:t>
      </w:r>
      <w:r w:rsidR="00577A93">
        <w:rPr>
          <w:rStyle w:val="FootnoteReference"/>
        </w:rPr>
        <w:footnoteReference w:id="2"/>
      </w:r>
      <w:r w:rsidR="007825CE">
        <w:t xml:space="preserve">. </w:t>
      </w:r>
      <w:r w:rsidR="003E4903">
        <w:t xml:space="preserve">With a desire for sanders to have a </w:t>
      </w:r>
      <w:r w:rsidR="00230AA3">
        <w:t xml:space="preserve">similar </w:t>
      </w:r>
      <w:r w:rsidR="003E4903">
        <w:t xml:space="preserve">high system integrity as braking systems, </w:t>
      </w:r>
      <w:r w:rsidR="00431A61">
        <w:t xml:space="preserve">Adhesion Research Group has requested </w:t>
      </w:r>
      <w:r w:rsidR="003E4903">
        <w:t>research to produce a</w:t>
      </w:r>
      <w:r w:rsidR="00431A61">
        <w:t xml:space="preserve"> quality </w:t>
      </w:r>
      <w:r w:rsidR="00C47649">
        <w:t xml:space="preserve">and performance </w:t>
      </w:r>
      <w:r w:rsidR="00431A61">
        <w:t>assessment criteria framework</w:t>
      </w:r>
      <w:r w:rsidR="002D1406">
        <w:t xml:space="preserve"> </w:t>
      </w:r>
      <w:r w:rsidR="00B96369">
        <w:t>for sanding systems</w:t>
      </w:r>
      <w:r w:rsidR="002145C3">
        <w:t xml:space="preserve">. Such </w:t>
      </w:r>
      <w:r w:rsidR="003E4903">
        <w:t xml:space="preserve">a framework </w:t>
      </w:r>
      <w:r w:rsidR="00230AA3">
        <w:t xml:space="preserve">would </w:t>
      </w:r>
      <w:r w:rsidR="002145C3">
        <w:t>enable rolling stock leasing companies</w:t>
      </w:r>
      <w:r w:rsidR="00230AA3">
        <w:t>, maintainers</w:t>
      </w:r>
      <w:r w:rsidR="002145C3">
        <w:t xml:space="preserve"> and operators to assess the reliability of new sanding systems and supply chains for new or existing rolling stock.</w:t>
      </w:r>
      <w:r w:rsidR="00230AA3">
        <w:t xml:space="preserve"> Use of the framework would be expected to </w:t>
      </w:r>
      <w:r w:rsidR="00514402">
        <w:t xml:space="preserve">improve </w:t>
      </w:r>
      <w:r w:rsidR="004E37B5">
        <w:t xml:space="preserve">overall understanding and </w:t>
      </w:r>
      <w:r w:rsidR="00514402">
        <w:t xml:space="preserve">confidence </w:t>
      </w:r>
      <w:r w:rsidR="003E4903">
        <w:t xml:space="preserve">of </w:t>
      </w:r>
      <w:r w:rsidR="00514402">
        <w:t xml:space="preserve">the </w:t>
      </w:r>
      <w:r w:rsidR="003E4903">
        <w:t>on-train equipment during low-adhesion conditions</w:t>
      </w:r>
      <w:r w:rsidR="00514402">
        <w:t>.</w:t>
      </w:r>
      <w:r w:rsidR="003C111F" w:rsidRPr="003C111F">
        <w:rPr>
          <w:noProof/>
        </w:rPr>
        <w:t xml:space="preserve"> </w:t>
      </w:r>
    </w:p>
    <w:p w14:paraId="0A562A2F" w14:textId="7A7B36B8" w:rsidR="00243C3A" w:rsidRPr="00005F35" w:rsidRDefault="00243C3A" w:rsidP="00005F35">
      <w:pPr>
        <w:pStyle w:val="Body"/>
      </w:pPr>
      <w:r>
        <w:t xml:space="preserve">T1210 is part of RSSB’s </w:t>
      </w:r>
      <w:hyperlink r:id="rId16" w:history="1">
        <w:r w:rsidRPr="00080F1C">
          <w:rPr>
            <w:rStyle w:val="Hyperlink"/>
          </w:rPr>
          <w:t>ADHERE</w:t>
        </w:r>
      </w:hyperlink>
      <w:r>
        <w:t xml:space="preserve"> </w:t>
      </w:r>
      <w:r w:rsidR="00E3183D" w:rsidRPr="00E3183D">
        <w:t>(ADHEsion REsearch challenge</w:t>
      </w:r>
      <w:r w:rsidR="00E3183D">
        <w:t>) programme</w:t>
      </w:r>
      <w:r>
        <w:t>. The vision for ADHERE is to achieve “</w:t>
      </w:r>
      <w:r w:rsidRPr="005A6960">
        <w:rPr>
          <w:i/>
          <w:iCs/>
        </w:rPr>
        <w:t>adhesion conditions that are unaffected by and independent of the weather and climate”</w:t>
      </w:r>
      <w:r w:rsidR="00E4204F">
        <w:t>;</w:t>
      </w:r>
      <w:r>
        <w:t xml:space="preserve"> the </w:t>
      </w:r>
      <w:r w:rsidR="00E4204F">
        <w:t>programme</w:t>
      </w:r>
      <w:r>
        <w:t xml:space="preserve"> </w:t>
      </w:r>
      <w:r w:rsidR="00E4204F">
        <w:t>incorporates several workstreams, including the</w:t>
      </w:r>
      <w:r>
        <w:t xml:space="preserve"> ‘Changes to Train Design’ workstream. One </w:t>
      </w:r>
      <w:r w:rsidR="00825839">
        <w:t xml:space="preserve">notable </w:t>
      </w:r>
      <w:r>
        <w:t>goal of this workstream</w:t>
      </w:r>
      <w:r w:rsidR="009538C2">
        <w:t xml:space="preserve"> </w:t>
      </w:r>
      <w:r>
        <w:t xml:space="preserve">is </w:t>
      </w:r>
      <w:r w:rsidRPr="005A6960">
        <w:rPr>
          <w:i/>
          <w:iCs/>
        </w:rPr>
        <w:t>“to help drivers become confident in the low adhesion traction and braking performance of their trains”</w:t>
      </w:r>
      <w:r w:rsidR="00E4204F" w:rsidRPr="005A6960">
        <w:rPr>
          <w:i/>
          <w:iCs/>
        </w:rPr>
        <w:t>.</w:t>
      </w:r>
    </w:p>
    <w:p w14:paraId="2997F262" w14:textId="2DB123BD" w:rsidR="00C31755" w:rsidRDefault="00941584" w:rsidP="00941584">
      <w:pPr>
        <w:pStyle w:val="Heading10"/>
        <w:keepNext/>
        <w:outlineLvl w:val="9"/>
        <w:rPr>
          <w:rFonts w:ascii="Calibri" w:hAnsi="Calibri"/>
        </w:rPr>
      </w:pPr>
      <w:r w:rsidRPr="009538C2">
        <w:rPr>
          <w:noProof/>
        </w:rPr>
        <w:lastRenderedPageBreak/>
        <w:drawing>
          <wp:anchor distT="0" distB="0" distL="114300" distR="114300" simplePos="0" relativeHeight="251659264" behindDoc="0" locked="0" layoutInCell="1" allowOverlap="1" wp14:anchorId="6B1B8DDF" wp14:editId="355EA292">
            <wp:simplePos x="0" y="0"/>
            <wp:positionH relativeFrom="margin">
              <wp:align>center</wp:align>
            </wp:positionH>
            <wp:positionV relativeFrom="paragraph">
              <wp:posOffset>0</wp:posOffset>
            </wp:positionV>
            <wp:extent cx="6655435" cy="342265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l="3389" t="5208" r="2447" b="1967"/>
                    <a:stretch/>
                  </pic:blipFill>
                  <pic:spPr bwMode="auto">
                    <a:xfrm>
                      <a:off x="0" y="0"/>
                      <a:ext cx="6655435" cy="342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403E36" w14:textId="143E1B7C" w:rsidR="00941584" w:rsidRPr="00941584" w:rsidRDefault="00941584" w:rsidP="00941584">
      <w:pPr>
        <w:pStyle w:val="Body"/>
        <w:sectPr w:rsidR="00941584" w:rsidRPr="00941584" w:rsidSect="00D65B95">
          <w:pgSz w:w="11906" w:h="16838"/>
          <w:pgMar w:top="1985" w:right="1985" w:bottom="1985" w:left="1985" w:header="567" w:footer="567" w:gutter="0"/>
          <w:cols w:space="708"/>
          <w:docGrid w:linePitch="360"/>
        </w:sectPr>
      </w:pPr>
    </w:p>
    <w:p w14:paraId="750DE176" w14:textId="504A8795" w:rsidR="00032803" w:rsidRPr="00E5676E" w:rsidRDefault="0002683E" w:rsidP="00DB5ED6">
      <w:pPr>
        <w:pStyle w:val="Heading10"/>
        <w:keepNext/>
        <w:numPr>
          <w:ilvl w:val="0"/>
          <w:numId w:val="26"/>
        </w:numPr>
        <w:ind w:left="426" w:hanging="426"/>
        <w:outlineLvl w:val="9"/>
        <w:rPr>
          <w:rFonts w:ascii="Calibri" w:hAnsi="Calibri"/>
        </w:rPr>
      </w:pPr>
      <w:r>
        <w:rPr>
          <w:rFonts w:ascii="Calibri" w:hAnsi="Calibri"/>
        </w:rPr>
        <w:lastRenderedPageBreak/>
        <w:t>Project o</w:t>
      </w:r>
      <w:r w:rsidR="00032803" w:rsidRPr="00E5676E">
        <w:rPr>
          <w:rFonts w:ascii="Calibri" w:hAnsi="Calibri"/>
        </w:rPr>
        <w:t>bjectives</w:t>
      </w:r>
    </w:p>
    <w:p w14:paraId="5A894422" w14:textId="6AE9AC0C" w:rsidR="00825839" w:rsidRDefault="00C94084" w:rsidP="00BD311E">
      <w:pPr>
        <w:pStyle w:val="Body"/>
      </w:pPr>
      <w:r>
        <w:t xml:space="preserve">This </w:t>
      </w:r>
      <w:r w:rsidR="00663105">
        <w:t>project</w:t>
      </w:r>
      <w:r>
        <w:t xml:space="preserve"> </w:t>
      </w:r>
      <w:r w:rsidR="00B96369">
        <w:t>aims</w:t>
      </w:r>
      <w:r w:rsidR="00825839">
        <w:t xml:space="preserve"> to provide the GB rail industry with a </w:t>
      </w:r>
      <w:r w:rsidR="00825839" w:rsidRPr="00825839">
        <w:t>quality</w:t>
      </w:r>
      <w:r w:rsidR="00C47649">
        <w:t xml:space="preserve"> and performance</w:t>
      </w:r>
      <w:r w:rsidR="00825839" w:rsidRPr="00825839">
        <w:t xml:space="preserve"> assessment criteria framework</w:t>
      </w:r>
      <w:r w:rsidR="002D1406">
        <w:t xml:space="preserve"> </w:t>
      </w:r>
      <w:r w:rsidR="00825839">
        <w:t>for sander design, build, installation, maintenance, overhaul and supply chain.</w:t>
      </w:r>
    </w:p>
    <w:p w14:paraId="6C5BBD48" w14:textId="6BF74320" w:rsidR="00825839" w:rsidRDefault="0048659A" w:rsidP="00BD311E">
      <w:pPr>
        <w:pStyle w:val="Body"/>
      </w:pPr>
      <w:r>
        <w:t>The framework should:</w:t>
      </w:r>
    </w:p>
    <w:p w14:paraId="31941E4B" w14:textId="4827117E" w:rsidR="004E37B5" w:rsidRDefault="004E37B5" w:rsidP="00DB5ED6">
      <w:pPr>
        <w:pStyle w:val="Body"/>
        <w:numPr>
          <w:ilvl w:val="0"/>
          <w:numId w:val="42"/>
        </w:numPr>
      </w:pPr>
      <w:r>
        <w:t xml:space="preserve">Establish a benchmark for </w:t>
      </w:r>
      <w:r w:rsidR="00C47649">
        <w:t xml:space="preserve">overall </w:t>
      </w:r>
      <w:r>
        <w:t xml:space="preserve">sanding system </w:t>
      </w:r>
      <w:r w:rsidR="00DA2EDE">
        <w:t xml:space="preserve">quality and </w:t>
      </w:r>
      <w:r>
        <w:t>performance</w:t>
      </w:r>
      <w:r w:rsidR="00DA2EDE">
        <w:t>;</w:t>
      </w:r>
      <w:r>
        <w:t xml:space="preserve"> </w:t>
      </w:r>
      <w:r w:rsidR="00731B8D">
        <w:t xml:space="preserve">and </w:t>
      </w:r>
      <w:r w:rsidR="00DA2EDE">
        <w:t xml:space="preserve">quality and </w:t>
      </w:r>
      <w:r w:rsidR="00731B8D">
        <w:t>performance of key components</w:t>
      </w:r>
      <w:r w:rsidR="00431BF7">
        <w:t>,</w:t>
      </w:r>
      <w:r w:rsidR="00731B8D">
        <w:t xml:space="preserve"> for example sand hoppe</w:t>
      </w:r>
      <w:r w:rsidR="00431BF7">
        <w:t>r, valve,</w:t>
      </w:r>
      <w:r w:rsidR="00731B8D">
        <w:t xml:space="preserve"> and air supply.</w:t>
      </w:r>
    </w:p>
    <w:p w14:paraId="1C9D6751" w14:textId="075826D5" w:rsidR="0048659A" w:rsidRPr="009176A0" w:rsidRDefault="0078259B" w:rsidP="00DB5ED6">
      <w:pPr>
        <w:pStyle w:val="Body"/>
        <w:numPr>
          <w:ilvl w:val="0"/>
          <w:numId w:val="42"/>
        </w:numPr>
      </w:pPr>
      <w:r w:rsidRPr="009176A0">
        <w:t>Enable identification of</w:t>
      </w:r>
      <w:r w:rsidR="00B51E73" w:rsidRPr="009176A0">
        <w:t xml:space="preserve"> valuable areas for improvement </w:t>
      </w:r>
      <w:r w:rsidR="002F1070" w:rsidRPr="009176A0">
        <w:t xml:space="preserve">relative to </w:t>
      </w:r>
      <w:r w:rsidRPr="009176A0">
        <w:t>the</w:t>
      </w:r>
      <w:r w:rsidR="002F1070" w:rsidRPr="009176A0">
        <w:t xml:space="preserve"> </w:t>
      </w:r>
      <w:r w:rsidR="00517696">
        <w:t xml:space="preserve">determined </w:t>
      </w:r>
      <w:r w:rsidR="002F1070" w:rsidRPr="009176A0">
        <w:t>benchmark performance, enabling operators to identify which changes should be made (including changes to the supply chain)</w:t>
      </w:r>
      <w:r w:rsidR="00F53A69">
        <w:t>.</w:t>
      </w:r>
    </w:p>
    <w:p w14:paraId="1C1A4931" w14:textId="0BA5734A" w:rsidR="00BD311E" w:rsidRDefault="0048659A" w:rsidP="00DB5ED6">
      <w:pPr>
        <w:pStyle w:val="Body"/>
        <w:numPr>
          <w:ilvl w:val="0"/>
          <w:numId w:val="42"/>
        </w:numPr>
      </w:pPr>
      <w:r>
        <w:t>E</w:t>
      </w:r>
      <w:r w:rsidR="00BD311E">
        <w:t>nable rolling stock leasing companies</w:t>
      </w:r>
      <w:r>
        <w:t xml:space="preserve">, maintainers and </w:t>
      </w:r>
      <w:r w:rsidR="00BD311E">
        <w:t xml:space="preserve">operators to assess the reliability </w:t>
      </w:r>
      <w:r w:rsidR="002D3F8D">
        <w:t>of</w:t>
      </w:r>
      <w:r w:rsidR="00BD311E">
        <w:t xml:space="preserve"> new </w:t>
      </w:r>
      <w:r w:rsidR="003040D2">
        <w:t>sanding</w:t>
      </w:r>
      <w:r w:rsidR="00BD311E">
        <w:t xml:space="preserve"> system</w:t>
      </w:r>
      <w:r w:rsidR="002D3F8D">
        <w:t>s and supply chains</w:t>
      </w:r>
      <w:r w:rsidR="00F0516E">
        <w:t xml:space="preserve"> for new or existing </w:t>
      </w:r>
      <w:r w:rsidR="00BD311E">
        <w:t>rolling stock.</w:t>
      </w:r>
    </w:p>
    <w:p w14:paraId="0693FE7F" w14:textId="6929FE35" w:rsidR="00032803" w:rsidRPr="00D62DE4" w:rsidRDefault="00032803" w:rsidP="0048659A">
      <w:pPr>
        <w:pStyle w:val="Heading10"/>
        <w:keepNext/>
        <w:outlineLvl w:val="9"/>
        <w:rPr>
          <w:rFonts w:ascii="Calibri" w:hAnsi="Calibri"/>
        </w:rPr>
      </w:pPr>
      <w:r>
        <w:br w:type="page"/>
      </w:r>
      <w:r w:rsidR="0002683E" w:rsidRPr="00825839">
        <w:rPr>
          <w:rFonts w:ascii="Calibri" w:hAnsi="Calibri"/>
        </w:rPr>
        <w:lastRenderedPageBreak/>
        <w:t xml:space="preserve">Project </w:t>
      </w:r>
      <w:r w:rsidR="0002683E">
        <w:rPr>
          <w:rFonts w:ascii="Calibri" w:hAnsi="Calibri"/>
        </w:rPr>
        <w:t>s</w:t>
      </w:r>
      <w:r w:rsidR="00875261" w:rsidRPr="00D62DE4">
        <w:rPr>
          <w:rFonts w:ascii="Calibri" w:hAnsi="Calibri"/>
        </w:rPr>
        <w:t>cope</w:t>
      </w:r>
    </w:p>
    <w:p w14:paraId="76971038" w14:textId="68712C9A" w:rsidR="00D97D45" w:rsidRPr="00D97D45" w:rsidRDefault="00D97D45" w:rsidP="00AF4BF3">
      <w:pPr>
        <w:pStyle w:val="Body"/>
      </w:pPr>
      <w:r>
        <w:t xml:space="preserve">This </w:t>
      </w:r>
      <w:r w:rsidR="002026D1">
        <w:t>section defines the task</w:t>
      </w:r>
      <w:r w:rsidR="00B26DE9">
        <w:t>s</w:t>
      </w:r>
      <w:r w:rsidR="002026D1">
        <w:t xml:space="preserve"> to be </w:t>
      </w:r>
      <w:r w:rsidR="00A11FF1">
        <w:t>undertaken</w:t>
      </w:r>
      <w:r w:rsidR="00112B0D">
        <w:t>;</w:t>
      </w:r>
      <w:r w:rsidR="002026D1">
        <w:t xml:space="preserve"> and </w:t>
      </w:r>
      <w:r w:rsidR="004A4181">
        <w:t xml:space="preserve">the technical content </w:t>
      </w:r>
      <w:r w:rsidR="002026D1">
        <w:t xml:space="preserve">against which the submissions will be </w:t>
      </w:r>
      <w:r w:rsidR="004A4181">
        <w:t>assessed</w:t>
      </w:r>
      <w:r w:rsidR="002026D1">
        <w:t>.</w:t>
      </w:r>
    </w:p>
    <w:p w14:paraId="1C563C7E" w14:textId="77777777" w:rsidR="00D97D45" w:rsidRPr="00176DDD" w:rsidRDefault="00D97D45" w:rsidP="00176DDD">
      <w:pPr>
        <w:pStyle w:val="Heading30"/>
        <w:rPr>
          <w:sz w:val="28"/>
          <w:szCs w:val="28"/>
        </w:rPr>
      </w:pPr>
      <w:r w:rsidRPr="00176DDD">
        <w:rPr>
          <w:sz w:val="28"/>
          <w:szCs w:val="28"/>
        </w:rPr>
        <w:t>In scope</w:t>
      </w:r>
    </w:p>
    <w:p w14:paraId="682D41B7" w14:textId="24CF9228" w:rsidR="00D72700" w:rsidRDefault="00A32E0D" w:rsidP="00DB5ED6">
      <w:pPr>
        <w:pStyle w:val="ListParagraph"/>
        <w:numPr>
          <w:ilvl w:val="0"/>
          <w:numId w:val="24"/>
        </w:numPr>
        <w:rPr>
          <w:rFonts w:asciiTheme="minorHAnsi" w:hAnsiTheme="minorHAnsi"/>
          <w:sz w:val="22"/>
          <w:szCs w:val="22"/>
        </w:rPr>
      </w:pPr>
      <w:r>
        <w:rPr>
          <w:rFonts w:asciiTheme="minorHAnsi" w:hAnsiTheme="minorHAnsi"/>
          <w:sz w:val="22"/>
          <w:szCs w:val="22"/>
        </w:rPr>
        <w:t>Reliability assessments of the elements of typical on-train sander designs</w:t>
      </w:r>
      <w:r w:rsidR="00BE3E8E">
        <w:rPr>
          <w:rFonts w:asciiTheme="minorHAnsi" w:hAnsiTheme="minorHAnsi"/>
          <w:sz w:val="22"/>
          <w:szCs w:val="22"/>
        </w:rPr>
        <w:t xml:space="preserve"> (hardware and software)</w:t>
      </w:r>
    </w:p>
    <w:p w14:paraId="3C187192" w14:textId="78D6DB02" w:rsidR="00D20BB7" w:rsidRDefault="00D20BB7" w:rsidP="00DB5ED6">
      <w:pPr>
        <w:pStyle w:val="ListParagraph"/>
        <w:numPr>
          <w:ilvl w:val="1"/>
          <w:numId w:val="24"/>
        </w:numPr>
        <w:rPr>
          <w:rFonts w:asciiTheme="minorHAnsi" w:hAnsiTheme="minorHAnsi"/>
          <w:sz w:val="22"/>
          <w:szCs w:val="22"/>
        </w:rPr>
      </w:pPr>
      <w:r>
        <w:rPr>
          <w:rFonts w:asciiTheme="minorHAnsi" w:hAnsiTheme="minorHAnsi"/>
          <w:sz w:val="22"/>
          <w:szCs w:val="22"/>
        </w:rPr>
        <w:t>Sander components – including</w:t>
      </w:r>
      <w:r w:rsidR="00E365E7">
        <w:rPr>
          <w:rFonts w:asciiTheme="minorHAnsi" w:hAnsiTheme="minorHAnsi"/>
          <w:sz w:val="22"/>
          <w:szCs w:val="22"/>
        </w:rPr>
        <w:t>,</w:t>
      </w:r>
      <w:r>
        <w:rPr>
          <w:rFonts w:asciiTheme="minorHAnsi" w:hAnsiTheme="minorHAnsi"/>
          <w:sz w:val="22"/>
          <w:szCs w:val="22"/>
        </w:rPr>
        <w:t xml:space="preserve"> but not limited </w:t>
      </w:r>
      <w:r w:rsidR="00E365E7">
        <w:rPr>
          <w:rFonts w:asciiTheme="minorHAnsi" w:hAnsiTheme="minorHAnsi"/>
          <w:sz w:val="22"/>
          <w:szCs w:val="22"/>
        </w:rPr>
        <w:t>to</w:t>
      </w:r>
      <w:r w:rsidR="00DC3DDC">
        <w:rPr>
          <w:rFonts w:asciiTheme="minorHAnsi" w:hAnsiTheme="minorHAnsi"/>
          <w:sz w:val="22"/>
          <w:szCs w:val="22"/>
        </w:rPr>
        <w:t>,</w:t>
      </w:r>
      <w:r>
        <w:rPr>
          <w:rFonts w:asciiTheme="minorHAnsi" w:hAnsiTheme="minorHAnsi"/>
          <w:sz w:val="22"/>
          <w:szCs w:val="22"/>
        </w:rPr>
        <w:t xml:space="preserve"> sand hopper</w:t>
      </w:r>
      <w:r w:rsidR="00E365E7">
        <w:rPr>
          <w:rFonts w:asciiTheme="minorHAnsi" w:hAnsiTheme="minorHAnsi"/>
          <w:sz w:val="22"/>
          <w:szCs w:val="22"/>
        </w:rPr>
        <w:t>, sander brackets,</w:t>
      </w:r>
      <w:r w:rsidR="00685D1D">
        <w:rPr>
          <w:rFonts w:asciiTheme="minorHAnsi" w:hAnsiTheme="minorHAnsi"/>
          <w:sz w:val="22"/>
          <w:szCs w:val="22"/>
        </w:rPr>
        <w:t xml:space="preserve"> control systems,</w:t>
      </w:r>
      <w:r w:rsidR="00E365E7">
        <w:rPr>
          <w:rFonts w:asciiTheme="minorHAnsi" w:hAnsiTheme="minorHAnsi"/>
          <w:sz w:val="22"/>
          <w:szCs w:val="22"/>
        </w:rPr>
        <w:t xml:space="preserve"> valves and air supply</w:t>
      </w:r>
    </w:p>
    <w:p w14:paraId="0D717A74" w14:textId="19511AD2" w:rsidR="00E365E7" w:rsidRDefault="00E365E7" w:rsidP="00DB5ED6">
      <w:pPr>
        <w:pStyle w:val="ListParagraph"/>
        <w:numPr>
          <w:ilvl w:val="1"/>
          <w:numId w:val="24"/>
        </w:numPr>
        <w:rPr>
          <w:rFonts w:asciiTheme="minorHAnsi" w:hAnsiTheme="minorHAnsi"/>
          <w:sz w:val="22"/>
          <w:szCs w:val="22"/>
        </w:rPr>
      </w:pPr>
      <w:r>
        <w:rPr>
          <w:rFonts w:asciiTheme="minorHAnsi" w:hAnsiTheme="minorHAnsi"/>
          <w:sz w:val="22"/>
          <w:szCs w:val="22"/>
        </w:rPr>
        <w:t>Sand materials</w:t>
      </w:r>
      <w:r w:rsidR="00731B8D">
        <w:rPr>
          <w:rFonts w:asciiTheme="minorHAnsi" w:hAnsiTheme="minorHAnsi"/>
          <w:sz w:val="22"/>
          <w:szCs w:val="22"/>
        </w:rPr>
        <w:t xml:space="preserve"> – in-hopper storage and discharge </w:t>
      </w:r>
    </w:p>
    <w:p w14:paraId="2ACFEA99" w14:textId="6BD0BB0F" w:rsidR="00E365E7" w:rsidRDefault="00E365E7" w:rsidP="00DB5ED6">
      <w:pPr>
        <w:pStyle w:val="ListParagraph"/>
        <w:numPr>
          <w:ilvl w:val="1"/>
          <w:numId w:val="24"/>
        </w:numPr>
        <w:rPr>
          <w:rFonts w:asciiTheme="minorHAnsi" w:hAnsiTheme="minorHAnsi"/>
          <w:sz w:val="22"/>
          <w:szCs w:val="22"/>
        </w:rPr>
      </w:pPr>
      <w:r>
        <w:rPr>
          <w:rFonts w:asciiTheme="minorHAnsi" w:hAnsiTheme="minorHAnsi"/>
          <w:sz w:val="22"/>
          <w:szCs w:val="22"/>
        </w:rPr>
        <w:t>Operational usage of sander systems</w:t>
      </w:r>
    </w:p>
    <w:p w14:paraId="41A524D6" w14:textId="5AE1216B" w:rsidR="00E365E7" w:rsidRDefault="00E365E7" w:rsidP="00DB5ED6">
      <w:pPr>
        <w:pStyle w:val="ListParagraph"/>
        <w:numPr>
          <w:ilvl w:val="1"/>
          <w:numId w:val="24"/>
        </w:numPr>
        <w:rPr>
          <w:rFonts w:asciiTheme="minorHAnsi" w:hAnsiTheme="minorHAnsi"/>
          <w:sz w:val="22"/>
          <w:szCs w:val="22"/>
        </w:rPr>
      </w:pPr>
      <w:r>
        <w:rPr>
          <w:rFonts w:asciiTheme="minorHAnsi" w:hAnsiTheme="minorHAnsi"/>
          <w:sz w:val="22"/>
          <w:szCs w:val="22"/>
        </w:rPr>
        <w:t>Maintenance of sander systems</w:t>
      </w:r>
    </w:p>
    <w:p w14:paraId="09CBFA9D" w14:textId="54E1A925" w:rsidR="00E365E7" w:rsidRPr="00E9171D" w:rsidRDefault="00E365E7" w:rsidP="00DB5ED6">
      <w:pPr>
        <w:pStyle w:val="ListParagraph"/>
        <w:numPr>
          <w:ilvl w:val="1"/>
          <w:numId w:val="24"/>
        </w:numPr>
        <w:rPr>
          <w:rFonts w:asciiTheme="minorHAnsi" w:hAnsiTheme="minorHAnsi"/>
          <w:sz w:val="22"/>
          <w:szCs w:val="22"/>
        </w:rPr>
      </w:pPr>
      <w:r>
        <w:rPr>
          <w:rFonts w:asciiTheme="minorHAnsi" w:hAnsiTheme="minorHAnsi"/>
          <w:sz w:val="22"/>
          <w:szCs w:val="22"/>
        </w:rPr>
        <w:t>Sander system supply chain</w:t>
      </w:r>
    </w:p>
    <w:p w14:paraId="0B5FBE61" w14:textId="77291023" w:rsidR="00C47649" w:rsidRDefault="00C47649" w:rsidP="00DB5ED6">
      <w:pPr>
        <w:pStyle w:val="ListParagraph"/>
        <w:numPr>
          <w:ilvl w:val="0"/>
          <w:numId w:val="24"/>
        </w:numPr>
        <w:rPr>
          <w:rFonts w:asciiTheme="minorHAnsi" w:hAnsiTheme="minorHAnsi"/>
          <w:sz w:val="22"/>
          <w:szCs w:val="22"/>
        </w:rPr>
      </w:pPr>
      <w:r>
        <w:rPr>
          <w:rFonts w:asciiTheme="minorHAnsi" w:hAnsiTheme="minorHAnsi"/>
          <w:sz w:val="22"/>
          <w:szCs w:val="22"/>
        </w:rPr>
        <w:t>Assessment of ideal and compromised performance of sander system based on reliability assessments</w:t>
      </w:r>
    </w:p>
    <w:p w14:paraId="4E0FD2A6" w14:textId="7E86906E" w:rsidR="00E9171D" w:rsidRDefault="00E9171D" w:rsidP="00DB5ED6">
      <w:pPr>
        <w:pStyle w:val="ListParagraph"/>
        <w:numPr>
          <w:ilvl w:val="0"/>
          <w:numId w:val="24"/>
        </w:numPr>
        <w:rPr>
          <w:rFonts w:asciiTheme="minorHAnsi" w:hAnsiTheme="minorHAnsi"/>
          <w:sz w:val="22"/>
          <w:szCs w:val="22"/>
        </w:rPr>
      </w:pPr>
      <w:r>
        <w:rPr>
          <w:rFonts w:asciiTheme="minorHAnsi" w:hAnsiTheme="minorHAnsi"/>
          <w:sz w:val="22"/>
          <w:szCs w:val="22"/>
        </w:rPr>
        <w:t xml:space="preserve">Descriptions of </w:t>
      </w:r>
      <w:proofErr w:type="gramStart"/>
      <w:r>
        <w:rPr>
          <w:rFonts w:asciiTheme="minorHAnsi" w:hAnsiTheme="minorHAnsi"/>
          <w:sz w:val="22"/>
          <w:szCs w:val="22"/>
        </w:rPr>
        <w:t xml:space="preserve">particular </w:t>
      </w:r>
      <w:r w:rsidR="003040D2">
        <w:rPr>
          <w:rFonts w:asciiTheme="minorHAnsi" w:hAnsiTheme="minorHAnsi"/>
          <w:sz w:val="22"/>
          <w:szCs w:val="22"/>
        </w:rPr>
        <w:t>sanding</w:t>
      </w:r>
      <w:proofErr w:type="gramEnd"/>
      <w:r>
        <w:rPr>
          <w:rFonts w:asciiTheme="minorHAnsi" w:hAnsiTheme="minorHAnsi"/>
          <w:sz w:val="22"/>
          <w:szCs w:val="22"/>
        </w:rPr>
        <w:t xml:space="preserve"> systems</w:t>
      </w:r>
    </w:p>
    <w:p w14:paraId="37D3D2D1" w14:textId="68EBF54F" w:rsidR="00E209AB" w:rsidRDefault="000847AF" w:rsidP="00DB5ED6">
      <w:pPr>
        <w:pStyle w:val="ListParagraph"/>
        <w:numPr>
          <w:ilvl w:val="1"/>
          <w:numId w:val="24"/>
        </w:numPr>
        <w:rPr>
          <w:rFonts w:asciiTheme="minorHAnsi" w:hAnsiTheme="minorHAnsi"/>
          <w:sz w:val="22"/>
          <w:szCs w:val="22"/>
        </w:rPr>
      </w:pPr>
      <w:r>
        <w:rPr>
          <w:rFonts w:asciiTheme="minorHAnsi" w:hAnsiTheme="minorHAnsi"/>
          <w:sz w:val="22"/>
          <w:szCs w:val="22"/>
        </w:rPr>
        <w:t>Configuration of diverse sander components and sub-systems</w:t>
      </w:r>
    </w:p>
    <w:p w14:paraId="2C73AE21" w14:textId="1B9F714B" w:rsidR="00763C69" w:rsidRDefault="00374D3F" w:rsidP="00DB5ED6">
      <w:pPr>
        <w:pStyle w:val="ListParagraph"/>
        <w:numPr>
          <w:ilvl w:val="0"/>
          <w:numId w:val="24"/>
        </w:numPr>
        <w:rPr>
          <w:rFonts w:asciiTheme="minorHAnsi" w:hAnsiTheme="minorHAnsi"/>
          <w:sz w:val="22"/>
          <w:szCs w:val="22"/>
        </w:rPr>
      </w:pPr>
      <w:r>
        <w:rPr>
          <w:rFonts w:asciiTheme="minorHAnsi" w:hAnsiTheme="minorHAnsi"/>
          <w:sz w:val="22"/>
          <w:szCs w:val="22"/>
        </w:rPr>
        <w:t>Evaluation of the o</w:t>
      </w:r>
      <w:r w:rsidR="00763C69">
        <w:rPr>
          <w:rFonts w:asciiTheme="minorHAnsi" w:hAnsiTheme="minorHAnsi"/>
          <w:sz w:val="22"/>
          <w:szCs w:val="22"/>
        </w:rPr>
        <w:t>verall dependability of a sanding system</w:t>
      </w:r>
    </w:p>
    <w:p w14:paraId="19A1C7C8" w14:textId="3187AD72" w:rsidR="00763C69" w:rsidRDefault="00652751" w:rsidP="00DB5ED6">
      <w:pPr>
        <w:pStyle w:val="ListParagraph"/>
        <w:numPr>
          <w:ilvl w:val="1"/>
          <w:numId w:val="24"/>
        </w:numPr>
        <w:rPr>
          <w:rFonts w:asciiTheme="minorHAnsi" w:hAnsiTheme="minorHAnsi"/>
          <w:sz w:val="22"/>
          <w:szCs w:val="22"/>
        </w:rPr>
      </w:pPr>
      <w:r>
        <w:rPr>
          <w:rFonts w:asciiTheme="minorHAnsi" w:hAnsiTheme="minorHAnsi"/>
          <w:sz w:val="22"/>
          <w:szCs w:val="22"/>
        </w:rPr>
        <w:t>Quantifying</w:t>
      </w:r>
      <w:r w:rsidR="00374D3F">
        <w:rPr>
          <w:rFonts w:asciiTheme="minorHAnsi" w:hAnsiTheme="minorHAnsi"/>
          <w:sz w:val="22"/>
          <w:szCs w:val="22"/>
        </w:rPr>
        <w:t xml:space="preserve"> the l</w:t>
      </w:r>
      <w:r w:rsidR="00763C69">
        <w:rPr>
          <w:rFonts w:asciiTheme="minorHAnsi" w:hAnsiTheme="minorHAnsi"/>
          <w:sz w:val="22"/>
          <w:szCs w:val="22"/>
        </w:rPr>
        <w:t>ikely failure rate</w:t>
      </w:r>
      <w:r w:rsidR="00F92562">
        <w:rPr>
          <w:rStyle w:val="FootnoteReference"/>
          <w:rFonts w:asciiTheme="minorHAnsi" w:hAnsiTheme="minorHAnsi"/>
          <w:sz w:val="22"/>
          <w:szCs w:val="22"/>
        </w:rPr>
        <w:footnoteReference w:id="3"/>
      </w:r>
      <w:r w:rsidR="00F92562">
        <w:rPr>
          <w:rFonts w:asciiTheme="minorHAnsi" w:hAnsiTheme="minorHAnsi"/>
          <w:sz w:val="22"/>
          <w:szCs w:val="22"/>
        </w:rPr>
        <w:t xml:space="preserve"> </w:t>
      </w:r>
      <w:r w:rsidR="00EF5171">
        <w:rPr>
          <w:rFonts w:asciiTheme="minorHAnsi" w:hAnsiTheme="minorHAnsi"/>
          <w:sz w:val="22"/>
          <w:szCs w:val="22"/>
        </w:rPr>
        <w:t xml:space="preserve">and </w:t>
      </w:r>
      <w:r w:rsidR="00F92562">
        <w:rPr>
          <w:rFonts w:asciiTheme="minorHAnsi" w:hAnsiTheme="minorHAnsi"/>
          <w:sz w:val="22"/>
          <w:szCs w:val="22"/>
        </w:rPr>
        <w:t xml:space="preserve">subsequent </w:t>
      </w:r>
      <w:r w:rsidR="00EF5171">
        <w:rPr>
          <w:rFonts w:asciiTheme="minorHAnsi" w:hAnsiTheme="minorHAnsi"/>
          <w:sz w:val="22"/>
          <w:szCs w:val="22"/>
        </w:rPr>
        <w:t>consequences</w:t>
      </w:r>
      <w:r w:rsidR="00F92562">
        <w:rPr>
          <w:rFonts w:asciiTheme="minorHAnsi" w:hAnsiTheme="minorHAnsi"/>
          <w:sz w:val="22"/>
          <w:szCs w:val="22"/>
        </w:rPr>
        <w:t xml:space="preserve"> for the </w:t>
      </w:r>
      <w:r w:rsidR="0014030D">
        <w:rPr>
          <w:rFonts w:asciiTheme="minorHAnsi" w:hAnsiTheme="minorHAnsi"/>
          <w:sz w:val="22"/>
          <w:szCs w:val="22"/>
        </w:rPr>
        <w:t>sanding system</w:t>
      </w:r>
      <w:r w:rsidR="00F92562">
        <w:rPr>
          <w:rFonts w:asciiTheme="minorHAnsi" w:hAnsiTheme="minorHAnsi"/>
          <w:sz w:val="22"/>
          <w:szCs w:val="22"/>
        </w:rPr>
        <w:t xml:space="preserve"> (</w:t>
      </w:r>
      <w:r w:rsidR="0014030D">
        <w:rPr>
          <w:rFonts w:asciiTheme="minorHAnsi" w:hAnsiTheme="minorHAnsi"/>
          <w:sz w:val="22"/>
          <w:szCs w:val="22"/>
        </w:rPr>
        <w:t xml:space="preserve">for example, reduced </w:t>
      </w:r>
      <w:r w:rsidR="00DC3DDC">
        <w:rPr>
          <w:rFonts w:asciiTheme="minorHAnsi" w:hAnsiTheme="minorHAnsi"/>
          <w:sz w:val="22"/>
          <w:szCs w:val="22"/>
        </w:rPr>
        <w:t>sand discharge rates</w:t>
      </w:r>
      <w:r w:rsidR="00BB5D71">
        <w:rPr>
          <w:rFonts w:asciiTheme="minorHAnsi" w:hAnsiTheme="minorHAnsi"/>
          <w:sz w:val="22"/>
          <w:szCs w:val="22"/>
        </w:rPr>
        <w:t>)</w:t>
      </w:r>
      <w:r w:rsidR="00BB5D71">
        <w:rPr>
          <w:rStyle w:val="FootnoteReference"/>
          <w:rFonts w:asciiTheme="minorHAnsi" w:hAnsiTheme="minorHAnsi"/>
          <w:sz w:val="22"/>
          <w:szCs w:val="22"/>
        </w:rPr>
        <w:footnoteReference w:id="4"/>
      </w:r>
    </w:p>
    <w:p w14:paraId="031D2A15" w14:textId="3F2ED6DA" w:rsidR="009611DA" w:rsidRDefault="009611DA" w:rsidP="00DB5ED6">
      <w:pPr>
        <w:pStyle w:val="ListParagraph"/>
        <w:numPr>
          <w:ilvl w:val="0"/>
          <w:numId w:val="24"/>
        </w:numPr>
        <w:rPr>
          <w:rFonts w:asciiTheme="minorHAnsi" w:hAnsiTheme="minorHAnsi"/>
          <w:sz w:val="22"/>
          <w:szCs w:val="22"/>
        </w:rPr>
      </w:pPr>
      <w:r>
        <w:rPr>
          <w:rFonts w:asciiTheme="minorHAnsi" w:hAnsiTheme="minorHAnsi"/>
          <w:sz w:val="22"/>
          <w:szCs w:val="22"/>
        </w:rPr>
        <w:t>Information on how to reduce the likelihood of failure</w:t>
      </w:r>
    </w:p>
    <w:p w14:paraId="02F54C68" w14:textId="2EFA38E7" w:rsidR="000847AF" w:rsidRDefault="00C02E73" w:rsidP="00DB5ED6">
      <w:pPr>
        <w:pStyle w:val="ListParagraph"/>
        <w:numPr>
          <w:ilvl w:val="0"/>
          <w:numId w:val="24"/>
        </w:numPr>
        <w:rPr>
          <w:rFonts w:asciiTheme="minorHAnsi" w:hAnsiTheme="minorHAnsi"/>
          <w:sz w:val="22"/>
          <w:szCs w:val="22"/>
        </w:rPr>
      </w:pPr>
      <w:r>
        <w:rPr>
          <w:rFonts w:asciiTheme="minorHAnsi" w:hAnsiTheme="minorHAnsi"/>
          <w:sz w:val="22"/>
          <w:szCs w:val="22"/>
        </w:rPr>
        <w:t>Case studies</w:t>
      </w:r>
      <w:r w:rsidR="000424F0">
        <w:rPr>
          <w:rStyle w:val="FootnoteReference"/>
          <w:rFonts w:asciiTheme="minorHAnsi" w:hAnsiTheme="minorHAnsi"/>
          <w:sz w:val="22"/>
          <w:szCs w:val="22"/>
        </w:rPr>
        <w:footnoteReference w:id="5"/>
      </w:r>
      <w:r>
        <w:rPr>
          <w:rFonts w:asciiTheme="minorHAnsi" w:hAnsiTheme="minorHAnsi"/>
          <w:sz w:val="22"/>
          <w:szCs w:val="22"/>
        </w:rPr>
        <w:t xml:space="preserve"> of the solution as applied to contemporary sanding systems</w:t>
      </w:r>
    </w:p>
    <w:p w14:paraId="6C268DAC" w14:textId="16290FDB" w:rsidR="002F2F6E" w:rsidRDefault="002F2F6E" w:rsidP="002F2F6E">
      <w:pPr>
        <w:rPr>
          <w:rFonts w:asciiTheme="minorHAnsi" w:hAnsiTheme="minorHAnsi"/>
          <w:sz w:val="22"/>
          <w:szCs w:val="22"/>
        </w:rPr>
      </w:pPr>
    </w:p>
    <w:p w14:paraId="257CADBC" w14:textId="77777777" w:rsidR="002F2F6E" w:rsidRPr="002F2F6E" w:rsidRDefault="002F2F6E" w:rsidP="002F2F6E">
      <w:pPr>
        <w:pStyle w:val="Heading30"/>
        <w:rPr>
          <w:sz w:val="28"/>
          <w:szCs w:val="28"/>
        </w:rPr>
      </w:pPr>
      <w:r w:rsidRPr="002F2F6E">
        <w:rPr>
          <w:sz w:val="28"/>
          <w:szCs w:val="28"/>
        </w:rPr>
        <w:t>On-going requirements</w:t>
      </w:r>
    </w:p>
    <w:p w14:paraId="3B21C702" w14:textId="77777777" w:rsidR="002F2F6E" w:rsidRDefault="002F2F6E" w:rsidP="002F2F6E">
      <w:pPr>
        <w:pStyle w:val="Body"/>
      </w:pPr>
      <w:r w:rsidRPr="00700EC9">
        <w:t>In addition to the above, the supplier will be required to undertake the following tasks during delivery</w:t>
      </w:r>
      <w:r>
        <w:t>:</w:t>
      </w:r>
    </w:p>
    <w:p w14:paraId="393601BC" w14:textId="77777777" w:rsidR="00F05640" w:rsidRDefault="00F05640" w:rsidP="00DB5ED6">
      <w:pPr>
        <w:pStyle w:val="Body"/>
        <w:numPr>
          <w:ilvl w:val="0"/>
          <w:numId w:val="34"/>
        </w:numPr>
      </w:pPr>
      <w:r>
        <w:t>Attendance at project kick-off meeting (</w:t>
      </w:r>
      <w:bookmarkStart w:id="1" w:name="_Hlk45024774"/>
      <w:r>
        <w:t>to either be held remotely</w:t>
      </w:r>
      <w:r>
        <w:rPr>
          <w:rStyle w:val="FootnoteReference"/>
        </w:rPr>
        <w:footnoteReference w:id="6"/>
      </w:r>
      <w:r>
        <w:t>, or at RSSB’s offices</w:t>
      </w:r>
      <w:bookmarkEnd w:id="1"/>
      <w:r>
        <w:t xml:space="preserve"> (London))</w:t>
      </w:r>
    </w:p>
    <w:p w14:paraId="3AB56590" w14:textId="44512837" w:rsidR="002F2F6E" w:rsidRDefault="002F2F6E" w:rsidP="00DB5ED6">
      <w:pPr>
        <w:pStyle w:val="Body"/>
        <w:numPr>
          <w:ilvl w:val="0"/>
          <w:numId w:val="34"/>
        </w:numPr>
      </w:pPr>
      <w:r>
        <w:t xml:space="preserve">Attendance at </w:t>
      </w:r>
      <w:r w:rsidR="004038A3">
        <w:t>four</w:t>
      </w:r>
      <w:r>
        <w:t xml:space="preserve"> steering group meetings </w:t>
      </w:r>
      <w:r w:rsidR="00F05640">
        <w:t>(to either be held</w:t>
      </w:r>
      <w:r w:rsidR="003973AF">
        <w:t xml:space="preserve"> remotely,</w:t>
      </w:r>
      <w:r w:rsidR="00F05640">
        <w:t xml:space="preserve"> </w:t>
      </w:r>
      <w:r w:rsidR="003973AF">
        <w:t>or</w:t>
      </w:r>
      <w:r w:rsidR="00F05640">
        <w:t xml:space="preserve"> </w:t>
      </w:r>
      <w:r w:rsidR="003973AF">
        <w:t xml:space="preserve">at </w:t>
      </w:r>
      <w:r w:rsidR="00F05640">
        <w:t xml:space="preserve">RSSB’s </w:t>
      </w:r>
      <w:r w:rsidR="003973AF">
        <w:t xml:space="preserve">or </w:t>
      </w:r>
      <w:r w:rsidR="00F05640">
        <w:t>the supplier’s offices)</w:t>
      </w:r>
    </w:p>
    <w:p w14:paraId="00F4B0D8" w14:textId="36A4B906" w:rsidR="00F27060" w:rsidRDefault="00F27060" w:rsidP="00DB5ED6">
      <w:pPr>
        <w:pStyle w:val="Body"/>
        <w:numPr>
          <w:ilvl w:val="0"/>
          <w:numId w:val="34"/>
        </w:numPr>
      </w:pPr>
      <w:r>
        <w:t xml:space="preserve">Presentation </w:t>
      </w:r>
      <w:r w:rsidR="003973AF">
        <w:t xml:space="preserve">to Adhesion Research Group </w:t>
      </w:r>
      <w:r>
        <w:t>(</w:t>
      </w:r>
      <w:r w:rsidR="003973AF" w:rsidRPr="003973AF">
        <w:t>to either be held remotely, or at RSSB’s offices</w:t>
      </w:r>
      <w:r w:rsidR="003973AF">
        <w:t>)</w:t>
      </w:r>
    </w:p>
    <w:p w14:paraId="5C060DFE" w14:textId="77777777" w:rsidR="002F2F6E" w:rsidRDefault="002F2F6E" w:rsidP="00DB5ED6">
      <w:pPr>
        <w:pStyle w:val="Body"/>
        <w:numPr>
          <w:ilvl w:val="0"/>
          <w:numId w:val="34"/>
        </w:numPr>
      </w:pPr>
      <w:r>
        <w:t>Creation and maintenance of project management plan</w:t>
      </w:r>
    </w:p>
    <w:p w14:paraId="6F53AA74" w14:textId="77777777" w:rsidR="002F2F6E" w:rsidRDefault="002F2F6E" w:rsidP="00DB5ED6">
      <w:pPr>
        <w:pStyle w:val="Body"/>
        <w:numPr>
          <w:ilvl w:val="0"/>
          <w:numId w:val="34"/>
        </w:numPr>
      </w:pPr>
      <w:r>
        <w:lastRenderedPageBreak/>
        <w:t>Creation and maintenance of project risk register</w:t>
      </w:r>
    </w:p>
    <w:p w14:paraId="40520453" w14:textId="29C353DE" w:rsidR="002F2F6E" w:rsidRDefault="002F2F6E" w:rsidP="00DB5ED6">
      <w:pPr>
        <w:pStyle w:val="Body"/>
        <w:numPr>
          <w:ilvl w:val="0"/>
          <w:numId w:val="34"/>
        </w:numPr>
      </w:pPr>
      <w:r>
        <w:t>Provision of monthly progress reports</w:t>
      </w:r>
      <w:r>
        <w:br/>
      </w:r>
    </w:p>
    <w:p w14:paraId="666E406E" w14:textId="44991EA0" w:rsidR="003973AF" w:rsidRDefault="001B18E2" w:rsidP="00176DDD">
      <w:pPr>
        <w:pStyle w:val="Heading30"/>
        <w:rPr>
          <w:color w:val="auto"/>
          <w:sz w:val="22"/>
        </w:rPr>
      </w:pPr>
      <w:r>
        <w:rPr>
          <w:color w:val="auto"/>
          <w:sz w:val="22"/>
        </w:rPr>
        <w:t>S</w:t>
      </w:r>
      <w:r w:rsidRPr="003973AF">
        <w:rPr>
          <w:color w:val="auto"/>
          <w:sz w:val="22"/>
        </w:rPr>
        <w:t>ubject to no COVID-19 restrictions</w:t>
      </w:r>
      <w:r>
        <w:rPr>
          <w:color w:val="auto"/>
          <w:sz w:val="22"/>
        </w:rPr>
        <w:t xml:space="preserve"> (and </w:t>
      </w:r>
      <w:r w:rsidRPr="003973AF">
        <w:rPr>
          <w:color w:val="auto"/>
          <w:sz w:val="22"/>
        </w:rPr>
        <w:t>RSSB meeting room availability)</w:t>
      </w:r>
      <w:r>
        <w:rPr>
          <w:color w:val="auto"/>
          <w:sz w:val="22"/>
        </w:rPr>
        <w:t xml:space="preserve">, </w:t>
      </w:r>
      <w:r w:rsidR="003973AF" w:rsidRPr="003973AF">
        <w:rPr>
          <w:color w:val="auto"/>
          <w:sz w:val="22"/>
        </w:rPr>
        <w:t>RSSB’s facilities can be provided to the supplier for meetings and/or workshops without cost (</w:t>
      </w:r>
      <w:r>
        <w:rPr>
          <w:color w:val="auto"/>
          <w:sz w:val="22"/>
        </w:rPr>
        <w:t>w</w:t>
      </w:r>
      <w:r w:rsidR="003973AF" w:rsidRPr="003973AF">
        <w:rPr>
          <w:color w:val="auto"/>
          <w:sz w:val="22"/>
        </w:rPr>
        <w:t>here appropriate, meetings can be held elsewhere if RSSB considers this beneficial</w:t>
      </w:r>
      <w:r>
        <w:rPr>
          <w:color w:val="auto"/>
          <w:sz w:val="22"/>
        </w:rPr>
        <w:t>)</w:t>
      </w:r>
      <w:r w:rsidR="003973AF" w:rsidRPr="003973AF">
        <w:rPr>
          <w:color w:val="auto"/>
          <w:sz w:val="22"/>
        </w:rPr>
        <w:t>.</w:t>
      </w:r>
    </w:p>
    <w:p w14:paraId="2BE1F611" w14:textId="469893E3" w:rsidR="00D97D45" w:rsidRPr="00176DDD" w:rsidRDefault="00D97D45" w:rsidP="00176DDD">
      <w:pPr>
        <w:pStyle w:val="Heading30"/>
        <w:rPr>
          <w:sz w:val="28"/>
          <w:szCs w:val="28"/>
        </w:rPr>
      </w:pPr>
      <w:r w:rsidRPr="00176DDD">
        <w:rPr>
          <w:sz w:val="28"/>
          <w:szCs w:val="28"/>
        </w:rPr>
        <w:t>Out of scope</w:t>
      </w:r>
    </w:p>
    <w:p w14:paraId="5F7EAB64" w14:textId="77777777" w:rsidR="001B18E2" w:rsidRDefault="001B18E2" w:rsidP="00DB5ED6">
      <w:pPr>
        <w:pStyle w:val="ListParagraph"/>
        <w:numPr>
          <w:ilvl w:val="0"/>
          <w:numId w:val="25"/>
        </w:numPr>
        <w:rPr>
          <w:rFonts w:asciiTheme="minorHAnsi" w:hAnsiTheme="minorHAnsi"/>
          <w:sz w:val="22"/>
          <w:szCs w:val="22"/>
        </w:rPr>
      </w:pPr>
      <w:r>
        <w:rPr>
          <w:rFonts w:asciiTheme="minorHAnsi" w:hAnsiTheme="minorHAnsi"/>
          <w:sz w:val="22"/>
          <w:szCs w:val="22"/>
        </w:rPr>
        <w:t>Laboratory and/or track testing</w:t>
      </w:r>
    </w:p>
    <w:p w14:paraId="2BFA4986" w14:textId="77777777" w:rsidR="001B18E2" w:rsidRPr="001E6E1E" w:rsidRDefault="001B18E2" w:rsidP="00DB5ED6">
      <w:pPr>
        <w:pStyle w:val="ListParagraph"/>
        <w:numPr>
          <w:ilvl w:val="0"/>
          <w:numId w:val="25"/>
        </w:numPr>
        <w:rPr>
          <w:rFonts w:asciiTheme="minorHAnsi" w:hAnsiTheme="minorHAnsi"/>
          <w:sz w:val="22"/>
          <w:szCs w:val="22"/>
        </w:rPr>
      </w:pPr>
      <w:r>
        <w:rPr>
          <w:rFonts w:asciiTheme="minorHAnsi" w:hAnsiTheme="minorHAnsi"/>
          <w:sz w:val="22"/>
          <w:szCs w:val="22"/>
        </w:rPr>
        <w:t>Production of prototype sanding system</w:t>
      </w:r>
    </w:p>
    <w:p w14:paraId="18310CB8" w14:textId="0507A2BF" w:rsidR="005F1684" w:rsidRDefault="005B7D3F" w:rsidP="00DB5ED6">
      <w:pPr>
        <w:pStyle w:val="ListParagraph"/>
        <w:numPr>
          <w:ilvl w:val="0"/>
          <w:numId w:val="25"/>
        </w:numPr>
        <w:rPr>
          <w:rFonts w:asciiTheme="minorHAnsi" w:hAnsiTheme="minorHAnsi"/>
          <w:sz w:val="22"/>
          <w:szCs w:val="22"/>
        </w:rPr>
      </w:pPr>
      <w:r>
        <w:rPr>
          <w:rFonts w:asciiTheme="minorHAnsi" w:hAnsiTheme="minorHAnsi"/>
          <w:sz w:val="22"/>
          <w:szCs w:val="22"/>
        </w:rPr>
        <w:t>Formal p</w:t>
      </w:r>
      <w:r w:rsidRPr="001B18E2">
        <w:rPr>
          <w:rFonts w:asciiTheme="minorHAnsi" w:hAnsiTheme="minorHAnsi"/>
          <w:sz w:val="22"/>
          <w:szCs w:val="22"/>
        </w:rPr>
        <w:t xml:space="preserve">roduction </w:t>
      </w:r>
      <w:r w:rsidR="005F1684" w:rsidRPr="001B18E2">
        <w:rPr>
          <w:rFonts w:asciiTheme="minorHAnsi" w:hAnsiTheme="minorHAnsi"/>
          <w:sz w:val="22"/>
          <w:szCs w:val="22"/>
        </w:rPr>
        <w:t>of GB and/or European standard</w:t>
      </w:r>
      <w:r w:rsidR="00E15BFB">
        <w:rPr>
          <w:rStyle w:val="FootnoteReference"/>
          <w:rFonts w:asciiTheme="minorHAnsi" w:hAnsiTheme="minorHAnsi"/>
          <w:sz w:val="22"/>
          <w:szCs w:val="22"/>
        </w:rPr>
        <w:footnoteReference w:id="7"/>
      </w:r>
    </w:p>
    <w:p w14:paraId="58FB4B29" w14:textId="072CA6AD" w:rsidR="00364F56" w:rsidRPr="00964F8A" w:rsidRDefault="00B50E6C" w:rsidP="00F66409">
      <w:pPr>
        <w:pStyle w:val="ListParagraph"/>
        <w:numPr>
          <w:ilvl w:val="0"/>
          <w:numId w:val="25"/>
        </w:numPr>
        <w:rPr>
          <w:rFonts w:asciiTheme="minorHAnsi" w:hAnsiTheme="minorHAnsi"/>
          <w:sz w:val="22"/>
          <w:szCs w:val="22"/>
        </w:rPr>
        <w:sectPr w:rsidR="00364F56" w:rsidRPr="00964F8A" w:rsidSect="00D65B95">
          <w:pgSz w:w="11906" w:h="16838"/>
          <w:pgMar w:top="1985" w:right="1985" w:bottom="1985" w:left="1985" w:header="567" w:footer="567" w:gutter="0"/>
          <w:cols w:space="708"/>
          <w:docGrid w:linePitch="360"/>
        </w:sectPr>
      </w:pPr>
      <w:r>
        <w:rPr>
          <w:rFonts w:asciiTheme="minorHAnsi" w:hAnsiTheme="minorHAnsi"/>
          <w:sz w:val="22"/>
          <w:szCs w:val="22"/>
        </w:rPr>
        <w:t>Evaluating</w:t>
      </w:r>
      <w:r w:rsidR="00652751" w:rsidRPr="00964F8A">
        <w:rPr>
          <w:rFonts w:asciiTheme="minorHAnsi" w:hAnsiTheme="minorHAnsi"/>
          <w:sz w:val="22"/>
          <w:szCs w:val="22"/>
        </w:rPr>
        <w:t xml:space="preserve"> the </w:t>
      </w:r>
      <w:r w:rsidRPr="00B50E6C">
        <w:rPr>
          <w:rFonts w:asciiTheme="minorHAnsi" w:hAnsiTheme="minorHAnsi"/>
          <w:sz w:val="22"/>
          <w:szCs w:val="22"/>
        </w:rPr>
        <w:t xml:space="preserve">wider consequences of a sanding system failure, for example platform overrun, signal passed at danger, etc. </w:t>
      </w:r>
      <w:r w:rsidR="00032803" w:rsidRPr="00964F8A">
        <w:rPr>
          <w:rFonts w:asciiTheme="minorHAnsi" w:hAnsiTheme="minorHAnsi"/>
          <w:sz w:val="22"/>
          <w:szCs w:val="22"/>
        </w:rPr>
        <w:br w:type="page"/>
      </w:r>
    </w:p>
    <w:p w14:paraId="7BDE9AC7" w14:textId="371C79E9" w:rsidR="00032803" w:rsidRPr="0002231C" w:rsidRDefault="005047AB" w:rsidP="00DB5ED6">
      <w:pPr>
        <w:pStyle w:val="Heading10"/>
        <w:keepNext/>
        <w:numPr>
          <w:ilvl w:val="0"/>
          <w:numId w:val="26"/>
        </w:numPr>
        <w:ind w:left="426" w:hanging="426"/>
        <w:outlineLvl w:val="9"/>
        <w:rPr>
          <w:rFonts w:ascii="Calibri" w:hAnsi="Calibri"/>
        </w:rPr>
      </w:pPr>
      <w:r>
        <w:rPr>
          <w:rFonts w:ascii="Calibri" w:hAnsi="Calibri"/>
        </w:rPr>
        <w:lastRenderedPageBreak/>
        <w:t>D</w:t>
      </w:r>
      <w:r w:rsidR="00875261" w:rsidRPr="0002231C">
        <w:rPr>
          <w:rFonts w:ascii="Calibri" w:hAnsi="Calibri"/>
        </w:rPr>
        <w:t>eliverables</w:t>
      </w:r>
    </w:p>
    <w:p w14:paraId="52C93FAD" w14:textId="767A1A2A" w:rsidR="008A5735" w:rsidRPr="00B95ACC" w:rsidRDefault="006A15C4" w:rsidP="00B95ACC">
      <w:pPr>
        <w:rPr>
          <w:rFonts w:ascii="Calibri" w:hAnsi="Calibri" w:cs="Arial"/>
          <w:sz w:val="22"/>
          <w:szCs w:val="22"/>
          <w:lang w:eastAsia="en-GB"/>
        </w:rPr>
      </w:pPr>
      <w:r w:rsidRPr="0035434B">
        <w:rPr>
          <w:rFonts w:ascii="Calibri" w:hAnsi="Calibri" w:cs="Arial"/>
          <w:sz w:val="22"/>
          <w:szCs w:val="22"/>
          <w:lang w:eastAsia="en-GB"/>
        </w:rPr>
        <w:t xml:space="preserve">This </w:t>
      </w:r>
      <w:r w:rsidR="00663105">
        <w:rPr>
          <w:rFonts w:ascii="Calibri" w:hAnsi="Calibri" w:cs="Arial"/>
          <w:sz w:val="22"/>
          <w:szCs w:val="22"/>
          <w:lang w:eastAsia="en-GB"/>
        </w:rPr>
        <w:t>project</w:t>
      </w:r>
      <w:r w:rsidRPr="0035434B">
        <w:rPr>
          <w:rFonts w:ascii="Calibri" w:hAnsi="Calibri" w:cs="Arial"/>
          <w:sz w:val="22"/>
          <w:szCs w:val="22"/>
          <w:lang w:eastAsia="en-GB"/>
        </w:rPr>
        <w:t xml:space="preserve"> will </w:t>
      </w:r>
      <w:r w:rsidR="0035434B">
        <w:rPr>
          <w:rFonts w:ascii="Calibri" w:hAnsi="Calibri" w:cs="Arial"/>
          <w:sz w:val="22"/>
          <w:szCs w:val="22"/>
          <w:lang w:eastAsia="en-GB"/>
        </w:rPr>
        <w:t>provide</w:t>
      </w:r>
      <w:r w:rsidRPr="0035434B">
        <w:rPr>
          <w:rFonts w:ascii="Calibri" w:hAnsi="Calibri" w:cs="Arial"/>
          <w:sz w:val="22"/>
          <w:szCs w:val="22"/>
          <w:lang w:eastAsia="en-GB"/>
        </w:rPr>
        <w:t xml:space="preserve"> the following deliverables:</w:t>
      </w:r>
    </w:p>
    <w:p w14:paraId="286B39D7" w14:textId="77777777" w:rsidR="00BE3E8E" w:rsidRDefault="00BE3E8E" w:rsidP="004E08B0">
      <w:pPr>
        <w:pStyle w:val="Body"/>
      </w:pPr>
    </w:p>
    <w:tbl>
      <w:tblPr>
        <w:tblStyle w:val="TableGrid"/>
        <w:tblW w:w="8075" w:type="dxa"/>
        <w:tblLook w:val="04A0" w:firstRow="1" w:lastRow="0" w:firstColumn="1" w:lastColumn="0" w:noHBand="0" w:noVBand="1"/>
      </w:tblPr>
      <w:tblGrid>
        <w:gridCol w:w="1838"/>
        <w:gridCol w:w="6237"/>
      </w:tblGrid>
      <w:tr w:rsidR="0031690D" w14:paraId="0B0362D7" w14:textId="77777777" w:rsidTr="00C00DB2">
        <w:trPr>
          <w:trHeight w:val="434"/>
        </w:trPr>
        <w:tc>
          <w:tcPr>
            <w:tcW w:w="1838" w:type="dxa"/>
            <w:shd w:val="clear" w:color="auto" w:fill="F2F2F2" w:themeFill="background1" w:themeFillShade="F2"/>
          </w:tcPr>
          <w:p w14:paraId="644F8385" w14:textId="77777777" w:rsidR="0031690D" w:rsidRPr="003E60E0" w:rsidRDefault="0031690D" w:rsidP="00C00DB2">
            <w:pPr>
              <w:pStyle w:val="Body"/>
              <w:rPr>
                <w:b/>
              </w:rPr>
            </w:pPr>
            <w:r w:rsidRPr="003E60E0">
              <w:rPr>
                <w:b/>
              </w:rPr>
              <w:t>Deliverable Title</w:t>
            </w:r>
          </w:p>
        </w:tc>
        <w:tc>
          <w:tcPr>
            <w:tcW w:w="6237" w:type="dxa"/>
          </w:tcPr>
          <w:p w14:paraId="59757B2D" w14:textId="650DC9C3" w:rsidR="0031690D" w:rsidRDefault="0031690D" w:rsidP="00C00DB2">
            <w:pPr>
              <w:pStyle w:val="Body"/>
            </w:pPr>
            <w:r>
              <w:t xml:space="preserve">ADHERE: Sander quality </w:t>
            </w:r>
            <w:r w:rsidR="00070E06">
              <w:t xml:space="preserve">and performance </w:t>
            </w:r>
            <w:r>
              <w:t>criteria framework –</w:t>
            </w:r>
            <w:r w:rsidR="003C67CA">
              <w:t xml:space="preserve"> F</w:t>
            </w:r>
            <w:r w:rsidR="00715EDF" w:rsidRPr="00715EDF">
              <w:t>ramework</w:t>
            </w:r>
          </w:p>
        </w:tc>
      </w:tr>
      <w:tr w:rsidR="0031690D" w14:paraId="4A6ABA5C" w14:textId="77777777" w:rsidTr="00C00DB2">
        <w:trPr>
          <w:trHeight w:val="419"/>
        </w:trPr>
        <w:tc>
          <w:tcPr>
            <w:tcW w:w="1838" w:type="dxa"/>
            <w:shd w:val="clear" w:color="auto" w:fill="F2F2F2" w:themeFill="background1" w:themeFillShade="F2"/>
          </w:tcPr>
          <w:p w14:paraId="1BF37E64" w14:textId="77777777" w:rsidR="0031690D" w:rsidRPr="003E60E0" w:rsidRDefault="0031690D" w:rsidP="00C00DB2">
            <w:pPr>
              <w:pStyle w:val="Body"/>
              <w:rPr>
                <w:b/>
              </w:rPr>
            </w:pPr>
            <w:r w:rsidRPr="003E60E0">
              <w:rPr>
                <w:b/>
              </w:rPr>
              <w:t>Deliverable Type</w:t>
            </w:r>
          </w:p>
        </w:tc>
        <w:tc>
          <w:tcPr>
            <w:tcW w:w="6237" w:type="dxa"/>
          </w:tcPr>
          <w:p w14:paraId="67448337" w14:textId="71752417" w:rsidR="0031690D" w:rsidRDefault="00BE3E8E" w:rsidP="00C00DB2">
            <w:pPr>
              <w:pStyle w:val="Body"/>
            </w:pPr>
            <w:r>
              <w:t>Framework</w:t>
            </w:r>
          </w:p>
        </w:tc>
      </w:tr>
      <w:tr w:rsidR="0031690D" w14:paraId="0DD4F502" w14:textId="77777777" w:rsidTr="00C00DB2">
        <w:trPr>
          <w:trHeight w:val="434"/>
        </w:trPr>
        <w:tc>
          <w:tcPr>
            <w:tcW w:w="1838" w:type="dxa"/>
            <w:shd w:val="clear" w:color="auto" w:fill="F2F2F2" w:themeFill="background1" w:themeFillShade="F2"/>
          </w:tcPr>
          <w:p w14:paraId="7B7C2C0B" w14:textId="77777777" w:rsidR="0031690D" w:rsidRPr="003E60E0" w:rsidRDefault="0031690D" w:rsidP="00C00DB2">
            <w:pPr>
              <w:pStyle w:val="Body"/>
              <w:rPr>
                <w:b/>
              </w:rPr>
            </w:pPr>
            <w:r w:rsidRPr="003E60E0">
              <w:rPr>
                <w:b/>
              </w:rPr>
              <w:t>Description</w:t>
            </w:r>
          </w:p>
        </w:tc>
        <w:tc>
          <w:tcPr>
            <w:tcW w:w="6237" w:type="dxa"/>
          </w:tcPr>
          <w:p w14:paraId="1EF69A7D" w14:textId="08EB3216" w:rsidR="00731B8D" w:rsidRDefault="00731B8D" w:rsidP="00715EDF">
            <w:pPr>
              <w:pStyle w:val="Body"/>
            </w:pPr>
            <w:r>
              <w:t>The supplier is to:</w:t>
            </w:r>
          </w:p>
          <w:p w14:paraId="75793027" w14:textId="4B95CE02" w:rsidR="00731B8D" w:rsidRPr="00731B8D" w:rsidRDefault="00731B8D" w:rsidP="00731B8D">
            <w:pPr>
              <w:pStyle w:val="ListParagraph"/>
              <w:numPr>
                <w:ilvl w:val="0"/>
                <w:numId w:val="45"/>
              </w:numPr>
              <w:rPr>
                <w:rFonts w:ascii="Calibri" w:hAnsi="Calibri" w:cs="Arial"/>
                <w:sz w:val="22"/>
                <w:szCs w:val="22"/>
                <w:lang w:eastAsia="en-GB"/>
              </w:rPr>
            </w:pPr>
            <w:r w:rsidRPr="00731B8D">
              <w:rPr>
                <w:rFonts w:ascii="Calibri" w:hAnsi="Calibri" w:cs="Arial"/>
                <w:sz w:val="22"/>
                <w:szCs w:val="22"/>
                <w:lang w:eastAsia="en-GB"/>
              </w:rPr>
              <w:t xml:space="preserve">Establish a benchmark for </w:t>
            </w:r>
            <w:r w:rsidR="00502AC3">
              <w:rPr>
                <w:rFonts w:ascii="Calibri" w:hAnsi="Calibri" w:cs="Arial"/>
                <w:sz w:val="22"/>
                <w:szCs w:val="22"/>
                <w:lang w:eastAsia="en-GB"/>
              </w:rPr>
              <w:t xml:space="preserve">overall </w:t>
            </w:r>
            <w:r w:rsidRPr="00731B8D">
              <w:rPr>
                <w:rFonts w:ascii="Calibri" w:hAnsi="Calibri" w:cs="Arial"/>
                <w:sz w:val="22"/>
                <w:szCs w:val="22"/>
                <w:lang w:eastAsia="en-GB"/>
              </w:rPr>
              <w:t xml:space="preserve">sanding system </w:t>
            </w:r>
            <w:r w:rsidR="006B4438">
              <w:rPr>
                <w:rFonts w:ascii="Calibri" w:hAnsi="Calibri" w:cs="Arial"/>
                <w:sz w:val="22"/>
                <w:szCs w:val="22"/>
                <w:lang w:eastAsia="en-GB"/>
              </w:rPr>
              <w:t xml:space="preserve">quality and </w:t>
            </w:r>
            <w:r w:rsidRPr="00731B8D">
              <w:rPr>
                <w:rFonts w:ascii="Calibri" w:hAnsi="Calibri" w:cs="Arial"/>
                <w:sz w:val="22"/>
                <w:szCs w:val="22"/>
                <w:lang w:eastAsia="en-GB"/>
              </w:rPr>
              <w:t>performance</w:t>
            </w:r>
            <w:r w:rsidR="006B4438">
              <w:rPr>
                <w:rFonts w:ascii="Calibri" w:hAnsi="Calibri" w:cs="Arial"/>
                <w:sz w:val="22"/>
                <w:szCs w:val="22"/>
                <w:lang w:eastAsia="en-GB"/>
              </w:rPr>
              <w:t>;</w:t>
            </w:r>
            <w:r w:rsidRPr="00731B8D">
              <w:rPr>
                <w:rFonts w:ascii="Calibri" w:hAnsi="Calibri" w:cs="Arial"/>
                <w:sz w:val="22"/>
                <w:szCs w:val="22"/>
                <w:lang w:eastAsia="en-GB"/>
              </w:rPr>
              <w:t xml:space="preserve"> and </w:t>
            </w:r>
            <w:r w:rsidR="006B4438">
              <w:rPr>
                <w:rFonts w:ascii="Calibri" w:hAnsi="Calibri" w:cs="Arial"/>
                <w:sz w:val="22"/>
                <w:szCs w:val="22"/>
                <w:lang w:eastAsia="en-GB"/>
              </w:rPr>
              <w:t xml:space="preserve">quality and </w:t>
            </w:r>
            <w:r w:rsidRPr="00731B8D">
              <w:rPr>
                <w:rFonts w:ascii="Calibri" w:hAnsi="Calibri" w:cs="Arial"/>
                <w:sz w:val="22"/>
                <w:szCs w:val="22"/>
                <w:lang w:eastAsia="en-GB"/>
              </w:rPr>
              <w:t>performance of key components</w:t>
            </w:r>
            <w:r w:rsidR="00964F8A">
              <w:rPr>
                <w:rFonts w:ascii="Calibri" w:hAnsi="Calibri" w:cs="Arial"/>
                <w:sz w:val="22"/>
                <w:szCs w:val="22"/>
                <w:lang w:eastAsia="en-GB"/>
              </w:rPr>
              <w:t>,</w:t>
            </w:r>
            <w:r w:rsidRPr="00731B8D">
              <w:rPr>
                <w:rFonts w:ascii="Calibri" w:hAnsi="Calibri" w:cs="Arial"/>
                <w:sz w:val="22"/>
                <w:szCs w:val="22"/>
                <w:lang w:eastAsia="en-GB"/>
              </w:rPr>
              <w:t xml:space="preserve"> for example </w:t>
            </w:r>
            <w:r w:rsidR="00964F8A">
              <w:rPr>
                <w:rFonts w:ascii="Calibri" w:hAnsi="Calibri" w:cs="Arial"/>
                <w:sz w:val="22"/>
                <w:szCs w:val="22"/>
                <w:lang w:eastAsia="en-GB"/>
              </w:rPr>
              <w:t xml:space="preserve">sand hopper, </w:t>
            </w:r>
            <w:r w:rsidRPr="00731B8D">
              <w:rPr>
                <w:rFonts w:ascii="Calibri" w:hAnsi="Calibri" w:cs="Arial"/>
                <w:sz w:val="22"/>
                <w:szCs w:val="22"/>
                <w:lang w:eastAsia="en-GB"/>
              </w:rPr>
              <w:t>valve</w:t>
            </w:r>
            <w:r w:rsidR="00964F8A">
              <w:rPr>
                <w:rFonts w:ascii="Calibri" w:hAnsi="Calibri" w:cs="Arial"/>
                <w:sz w:val="22"/>
                <w:szCs w:val="22"/>
                <w:lang w:eastAsia="en-GB"/>
              </w:rPr>
              <w:t xml:space="preserve"> </w:t>
            </w:r>
            <w:r w:rsidRPr="00731B8D">
              <w:rPr>
                <w:rFonts w:ascii="Calibri" w:hAnsi="Calibri" w:cs="Arial"/>
                <w:sz w:val="22"/>
                <w:szCs w:val="22"/>
                <w:lang w:eastAsia="en-GB"/>
              </w:rPr>
              <w:t>and air supply.</w:t>
            </w:r>
          </w:p>
          <w:p w14:paraId="43BC99A7" w14:textId="7CA54FB5" w:rsidR="00715EDF" w:rsidRDefault="00731B8D" w:rsidP="002103AA">
            <w:pPr>
              <w:pStyle w:val="Body"/>
              <w:numPr>
                <w:ilvl w:val="0"/>
                <w:numId w:val="45"/>
              </w:numPr>
            </w:pPr>
            <w:r>
              <w:t>P</w:t>
            </w:r>
            <w:r w:rsidR="00726449">
              <w:t xml:space="preserve">roduce a </w:t>
            </w:r>
            <w:r w:rsidR="00715EDF">
              <w:t xml:space="preserve">quality </w:t>
            </w:r>
            <w:r w:rsidR="00DD05D5">
              <w:t xml:space="preserve">and performance </w:t>
            </w:r>
            <w:r w:rsidR="00715EDF">
              <w:t xml:space="preserve">assessment criteria framework </w:t>
            </w:r>
            <w:r w:rsidR="00964F8A">
              <w:t xml:space="preserve">(using an established </w:t>
            </w:r>
            <w:r w:rsidR="0056428B">
              <w:t xml:space="preserve">methodology) </w:t>
            </w:r>
            <w:r w:rsidR="00715EDF">
              <w:t>for sander design, build, installation, maintenance, overhaul and supply chain.</w:t>
            </w:r>
          </w:p>
          <w:p w14:paraId="7800665B" w14:textId="30E36D1B" w:rsidR="00F7114E" w:rsidRDefault="00715EDF" w:rsidP="00715EDF">
            <w:pPr>
              <w:pStyle w:val="Body"/>
            </w:pPr>
            <w:r>
              <w:t>The framework should</w:t>
            </w:r>
            <w:r w:rsidR="00F7114E">
              <w:t>:</w:t>
            </w:r>
          </w:p>
          <w:p w14:paraId="12E0E739" w14:textId="12D75753" w:rsidR="00965436" w:rsidRDefault="004247B0" w:rsidP="004247B0">
            <w:pPr>
              <w:pStyle w:val="Body"/>
              <w:numPr>
                <w:ilvl w:val="0"/>
                <w:numId w:val="43"/>
              </w:numPr>
            </w:pPr>
            <w:r>
              <w:t>Enable u</w:t>
            </w:r>
            <w:r w:rsidR="00726449">
              <w:t>ser-entered system parameters</w:t>
            </w:r>
            <w:r w:rsidR="00715EDF">
              <w:t>:</w:t>
            </w:r>
          </w:p>
          <w:p w14:paraId="032CCA6A" w14:textId="152B8022" w:rsidR="00726449" w:rsidRPr="00517696" w:rsidRDefault="00517696" w:rsidP="00DB5ED6">
            <w:pPr>
              <w:pStyle w:val="Body"/>
              <w:numPr>
                <w:ilvl w:val="0"/>
                <w:numId w:val="43"/>
              </w:numPr>
            </w:pPr>
            <w:r w:rsidRPr="00517696">
              <w:t xml:space="preserve">Enable identification of valuable areas for improvement relative to the determined benchmark performance, enabling operators to identify which changes are required (including changes to the supplier chain). </w:t>
            </w:r>
          </w:p>
          <w:p w14:paraId="409C693C" w14:textId="77777777" w:rsidR="0031690D" w:rsidRDefault="00715EDF" w:rsidP="00DB5ED6">
            <w:pPr>
              <w:pStyle w:val="Body"/>
              <w:numPr>
                <w:ilvl w:val="0"/>
                <w:numId w:val="43"/>
              </w:numPr>
            </w:pPr>
            <w:r w:rsidRPr="00517696">
              <w:t>Enable rolling stock leasing companies, maintainers and operators to assess the reliability of new sanding systems and supply chains for new or existing rolling stock.</w:t>
            </w:r>
          </w:p>
          <w:p w14:paraId="65B28CEB" w14:textId="1F09D9A4" w:rsidR="004247B0" w:rsidRDefault="004247B0" w:rsidP="004247B0">
            <w:pPr>
              <w:pStyle w:val="Body"/>
            </w:pPr>
            <w:r>
              <w:t>The benchmark criteria should be independent of the solution.</w:t>
            </w:r>
          </w:p>
        </w:tc>
      </w:tr>
      <w:tr w:rsidR="0031690D" w14:paraId="572AA2BE" w14:textId="77777777" w:rsidTr="00C00DB2">
        <w:trPr>
          <w:trHeight w:val="419"/>
        </w:trPr>
        <w:tc>
          <w:tcPr>
            <w:tcW w:w="1838" w:type="dxa"/>
            <w:shd w:val="clear" w:color="auto" w:fill="F2F2F2" w:themeFill="background1" w:themeFillShade="F2"/>
          </w:tcPr>
          <w:p w14:paraId="3DC7F4D7" w14:textId="77777777" w:rsidR="0031690D" w:rsidRPr="003E60E0" w:rsidRDefault="0031690D" w:rsidP="00C00DB2">
            <w:pPr>
              <w:pStyle w:val="Body"/>
              <w:rPr>
                <w:b/>
              </w:rPr>
            </w:pPr>
            <w:r w:rsidRPr="003E60E0">
              <w:rPr>
                <w:b/>
              </w:rPr>
              <w:t>Publication</w:t>
            </w:r>
          </w:p>
        </w:tc>
        <w:tc>
          <w:tcPr>
            <w:tcW w:w="6237" w:type="dxa"/>
          </w:tcPr>
          <w:p w14:paraId="3B08AEE7" w14:textId="410DB941" w:rsidR="0031690D" w:rsidRDefault="0031690D" w:rsidP="00C00DB2">
            <w:pPr>
              <w:pStyle w:val="Body"/>
            </w:pPr>
            <w:r w:rsidRPr="00201084">
              <w:t>The deliverable shall be reviewed by RSSB and the project steering group, to allow for comment. The deliverable is to be made widely available</w:t>
            </w:r>
            <w:r>
              <w:t>.</w:t>
            </w:r>
          </w:p>
        </w:tc>
      </w:tr>
    </w:tbl>
    <w:p w14:paraId="759ED255" w14:textId="3F83EE22" w:rsidR="0031690D" w:rsidRDefault="0031690D" w:rsidP="004E08B0">
      <w:pPr>
        <w:pStyle w:val="Body"/>
      </w:pPr>
    </w:p>
    <w:p w14:paraId="435363B2" w14:textId="7124793B" w:rsidR="00202F56" w:rsidRDefault="00202F56" w:rsidP="004E08B0">
      <w:pPr>
        <w:pStyle w:val="Body"/>
      </w:pPr>
    </w:p>
    <w:p w14:paraId="1F4BB6E9" w14:textId="36B4C078" w:rsidR="00202F56" w:rsidRDefault="00202F56" w:rsidP="004E08B0">
      <w:pPr>
        <w:pStyle w:val="Body"/>
      </w:pPr>
    </w:p>
    <w:p w14:paraId="60120A47" w14:textId="2F21203C" w:rsidR="00202F56" w:rsidRDefault="00202F56" w:rsidP="004E08B0">
      <w:pPr>
        <w:pStyle w:val="Body"/>
      </w:pPr>
    </w:p>
    <w:p w14:paraId="24DE5A7E" w14:textId="77777777" w:rsidR="00202F56" w:rsidRDefault="00202F56" w:rsidP="004E08B0">
      <w:pPr>
        <w:pStyle w:val="Body"/>
      </w:pPr>
    </w:p>
    <w:tbl>
      <w:tblPr>
        <w:tblStyle w:val="TableGrid"/>
        <w:tblW w:w="8075" w:type="dxa"/>
        <w:tblLook w:val="04A0" w:firstRow="1" w:lastRow="0" w:firstColumn="1" w:lastColumn="0" w:noHBand="0" w:noVBand="1"/>
      </w:tblPr>
      <w:tblGrid>
        <w:gridCol w:w="1838"/>
        <w:gridCol w:w="6237"/>
      </w:tblGrid>
      <w:tr w:rsidR="002D1406" w14:paraId="71CF4F57" w14:textId="77777777" w:rsidTr="006F0EBB">
        <w:trPr>
          <w:trHeight w:val="434"/>
        </w:trPr>
        <w:tc>
          <w:tcPr>
            <w:tcW w:w="1838" w:type="dxa"/>
            <w:shd w:val="clear" w:color="auto" w:fill="F2F2F2" w:themeFill="background1" w:themeFillShade="F2"/>
          </w:tcPr>
          <w:p w14:paraId="5FB5D671" w14:textId="77777777" w:rsidR="002D1406" w:rsidRPr="003E60E0" w:rsidRDefault="002D1406" w:rsidP="006F0EBB">
            <w:pPr>
              <w:pStyle w:val="Body"/>
              <w:rPr>
                <w:b/>
              </w:rPr>
            </w:pPr>
            <w:r w:rsidRPr="003E60E0">
              <w:rPr>
                <w:b/>
              </w:rPr>
              <w:lastRenderedPageBreak/>
              <w:t>Deliverable Title</w:t>
            </w:r>
          </w:p>
        </w:tc>
        <w:tc>
          <w:tcPr>
            <w:tcW w:w="6237" w:type="dxa"/>
          </w:tcPr>
          <w:p w14:paraId="5DF096A0" w14:textId="5DC050AA" w:rsidR="002D1406" w:rsidRDefault="002D1406" w:rsidP="006F0EBB">
            <w:pPr>
              <w:pStyle w:val="Body"/>
            </w:pPr>
            <w:r>
              <w:t xml:space="preserve">ADHERE: Sander quality </w:t>
            </w:r>
            <w:r w:rsidR="00070E06">
              <w:t xml:space="preserve">and performance </w:t>
            </w:r>
            <w:r>
              <w:t xml:space="preserve">criteria framework – </w:t>
            </w:r>
            <w:r w:rsidR="003C67CA">
              <w:t>Report</w:t>
            </w:r>
          </w:p>
        </w:tc>
      </w:tr>
      <w:tr w:rsidR="002D1406" w14:paraId="366BB633" w14:textId="77777777" w:rsidTr="006F0EBB">
        <w:trPr>
          <w:trHeight w:val="419"/>
        </w:trPr>
        <w:tc>
          <w:tcPr>
            <w:tcW w:w="1838" w:type="dxa"/>
            <w:shd w:val="clear" w:color="auto" w:fill="F2F2F2" w:themeFill="background1" w:themeFillShade="F2"/>
          </w:tcPr>
          <w:p w14:paraId="3923A6EE" w14:textId="77777777" w:rsidR="002D1406" w:rsidRPr="003E60E0" w:rsidRDefault="002D1406" w:rsidP="006F0EBB">
            <w:pPr>
              <w:pStyle w:val="Body"/>
              <w:rPr>
                <w:b/>
              </w:rPr>
            </w:pPr>
            <w:r w:rsidRPr="003E60E0">
              <w:rPr>
                <w:b/>
              </w:rPr>
              <w:t>Deliverable Type</w:t>
            </w:r>
          </w:p>
        </w:tc>
        <w:tc>
          <w:tcPr>
            <w:tcW w:w="6237" w:type="dxa"/>
          </w:tcPr>
          <w:p w14:paraId="27C7C8B6" w14:textId="06A80567" w:rsidR="002D1406" w:rsidRDefault="00720865" w:rsidP="006F0EBB">
            <w:pPr>
              <w:pStyle w:val="Body"/>
            </w:pPr>
            <w:r>
              <w:t>Report</w:t>
            </w:r>
          </w:p>
        </w:tc>
      </w:tr>
      <w:tr w:rsidR="002D1406" w14:paraId="57C84B54" w14:textId="77777777" w:rsidTr="006F0EBB">
        <w:trPr>
          <w:trHeight w:val="434"/>
        </w:trPr>
        <w:tc>
          <w:tcPr>
            <w:tcW w:w="1838" w:type="dxa"/>
            <w:shd w:val="clear" w:color="auto" w:fill="F2F2F2" w:themeFill="background1" w:themeFillShade="F2"/>
          </w:tcPr>
          <w:p w14:paraId="5D399253" w14:textId="77777777" w:rsidR="002D1406" w:rsidRPr="003E60E0" w:rsidRDefault="002D1406" w:rsidP="006F0EBB">
            <w:pPr>
              <w:pStyle w:val="Body"/>
              <w:rPr>
                <w:b/>
              </w:rPr>
            </w:pPr>
            <w:r w:rsidRPr="003E60E0">
              <w:rPr>
                <w:b/>
              </w:rPr>
              <w:t>Description</w:t>
            </w:r>
          </w:p>
        </w:tc>
        <w:tc>
          <w:tcPr>
            <w:tcW w:w="6237" w:type="dxa"/>
          </w:tcPr>
          <w:p w14:paraId="6F61DED0" w14:textId="08D9EB7C" w:rsidR="002D1406" w:rsidRDefault="002D1406" w:rsidP="006F0EBB">
            <w:pPr>
              <w:pStyle w:val="Body"/>
            </w:pPr>
            <w:r>
              <w:t xml:space="preserve">The supplier is to </w:t>
            </w:r>
            <w:r w:rsidRPr="00362345">
              <w:t xml:space="preserve">produce a </w:t>
            </w:r>
            <w:r w:rsidR="00C837A7" w:rsidRPr="00362345">
              <w:t>supporting</w:t>
            </w:r>
            <w:r w:rsidR="00C837A7" w:rsidRPr="00C837A7">
              <w:t xml:space="preserve"> </w:t>
            </w:r>
            <w:r w:rsidRPr="00C837A7">
              <w:t>document</w:t>
            </w:r>
            <w:r>
              <w:t xml:space="preserve"> </w:t>
            </w:r>
            <w:r w:rsidR="00D27339">
              <w:t>for</w:t>
            </w:r>
            <w:r>
              <w:t xml:space="preserve"> the quality </w:t>
            </w:r>
            <w:r w:rsidR="00B16347">
              <w:t xml:space="preserve">and performance </w:t>
            </w:r>
            <w:r>
              <w:t>assessment criteria framework</w:t>
            </w:r>
            <w:r w:rsidR="00362345">
              <w:t xml:space="preserve">. The deliverable should have an objective method by which sanding systems can be assessed, based on design and build. The deliverable shall </w:t>
            </w:r>
            <w:r w:rsidR="00473B74">
              <w:t xml:space="preserve">include </w:t>
            </w:r>
            <w:r w:rsidR="00720865">
              <w:t>an assessment of the</w:t>
            </w:r>
            <w:r w:rsidR="00473B74">
              <w:t xml:space="preserve"> impact of </w:t>
            </w:r>
            <w:r w:rsidR="00720865">
              <w:t>sander installation, maintenance, overhaul and supply chain.</w:t>
            </w:r>
          </w:p>
          <w:p w14:paraId="04AF6527" w14:textId="11568829" w:rsidR="003C67CA" w:rsidRDefault="003C67CA" w:rsidP="006F0EBB">
            <w:pPr>
              <w:pStyle w:val="Body"/>
            </w:pPr>
            <w:r>
              <w:t xml:space="preserve">The deliverable shall include information on how to use the sander quality </w:t>
            </w:r>
            <w:r w:rsidR="00B35501">
              <w:t xml:space="preserve">and performance </w:t>
            </w:r>
            <w:r>
              <w:t>criteria framework.</w:t>
            </w:r>
          </w:p>
        </w:tc>
      </w:tr>
      <w:tr w:rsidR="002D1406" w14:paraId="3AE3BA91" w14:textId="77777777" w:rsidTr="006F0EBB">
        <w:trPr>
          <w:trHeight w:val="419"/>
        </w:trPr>
        <w:tc>
          <w:tcPr>
            <w:tcW w:w="1838" w:type="dxa"/>
            <w:shd w:val="clear" w:color="auto" w:fill="F2F2F2" w:themeFill="background1" w:themeFillShade="F2"/>
          </w:tcPr>
          <w:p w14:paraId="39FEBE44" w14:textId="77777777" w:rsidR="002D1406" w:rsidRPr="003E60E0" w:rsidRDefault="002D1406" w:rsidP="006F0EBB">
            <w:pPr>
              <w:pStyle w:val="Body"/>
              <w:rPr>
                <w:b/>
              </w:rPr>
            </w:pPr>
            <w:r w:rsidRPr="003E60E0">
              <w:rPr>
                <w:b/>
              </w:rPr>
              <w:t>Publication</w:t>
            </w:r>
          </w:p>
        </w:tc>
        <w:tc>
          <w:tcPr>
            <w:tcW w:w="6237" w:type="dxa"/>
          </w:tcPr>
          <w:p w14:paraId="7CD60DFE" w14:textId="30A709A3" w:rsidR="002D1406" w:rsidRDefault="002D1406" w:rsidP="006F0EBB">
            <w:pPr>
              <w:pStyle w:val="Body"/>
            </w:pPr>
            <w:r w:rsidRPr="00201084">
              <w:t>The deliverable is to be produced in the standard RSSB format and</w:t>
            </w:r>
            <w:r w:rsidR="008653E3">
              <w:t xml:space="preserve"> is to incorporate appropriate infographics.</w:t>
            </w:r>
            <w:r w:rsidRPr="00201084">
              <w:t xml:space="preserve"> </w:t>
            </w:r>
            <w:r w:rsidR="008653E3">
              <w:t xml:space="preserve">The deliverable </w:t>
            </w:r>
            <w:r w:rsidRPr="00201084">
              <w:t>shall be reviewed by RSSB and the project steering group, to allow for comment. The deliverable is to be made widely available</w:t>
            </w:r>
            <w:r>
              <w:t>.</w:t>
            </w:r>
          </w:p>
        </w:tc>
      </w:tr>
    </w:tbl>
    <w:p w14:paraId="12E47D5F" w14:textId="77777777" w:rsidR="0022616B" w:rsidRDefault="0022616B" w:rsidP="004E08B0">
      <w:pPr>
        <w:pStyle w:val="Body"/>
      </w:pPr>
    </w:p>
    <w:tbl>
      <w:tblPr>
        <w:tblStyle w:val="TableGrid"/>
        <w:tblW w:w="8075" w:type="dxa"/>
        <w:tblLook w:val="04A0" w:firstRow="1" w:lastRow="0" w:firstColumn="1" w:lastColumn="0" w:noHBand="0" w:noVBand="1"/>
      </w:tblPr>
      <w:tblGrid>
        <w:gridCol w:w="1838"/>
        <w:gridCol w:w="6237"/>
      </w:tblGrid>
      <w:tr w:rsidR="00D1550E" w14:paraId="329ECCC6" w14:textId="77777777" w:rsidTr="00F569BD">
        <w:trPr>
          <w:trHeight w:val="434"/>
        </w:trPr>
        <w:tc>
          <w:tcPr>
            <w:tcW w:w="1838" w:type="dxa"/>
            <w:shd w:val="clear" w:color="auto" w:fill="F2F2F2" w:themeFill="background1" w:themeFillShade="F2"/>
          </w:tcPr>
          <w:p w14:paraId="3379005E" w14:textId="77777777" w:rsidR="00D1550E" w:rsidRPr="003E60E0" w:rsidRDefault="00D1550E" w:rsidP="00F569BD">
            <w:pPr>
              <w:pStyle w:val="Body"/>
              <w:rPr>
                <w:b/>
              </w:rPr>
            </w:pPr>
            <w:r w:rsidRPr="003E60E0">
              <w:rPr>
                <w:b/>
              </w:rPr>
              <w:t>Deliverable Title</w:t>
            </w:r>
          </w:p>
        </w:tc>
        <w:tc>
          <w:tcPr>
            <w:tcW w:w="6237" w:type="dxa"/>
          </w:tcPr>
          <w:p w14:paraId="440FF109" w14:textId="6E3DC409" w:rsidR="00D1550E" w:rsidRDefault="00D1550E" w:rsidP="00F569BD">
            <w:pPr>
              <w:pStyle w:val="Body"/>
            </w:pPr>
            <w:r>
              <w:t xml:space="preserve">ADHERE: Sander quality and performance criteria framework – Good practice guide for </w:t>
            </w:r>
            <w:r w:rsidR="005D339A">
              <w:t xml:space="preserve">sander </w:t>
            </w:r>
            <w:r>
              <w:t>design and maintenance</w:t>
            </w:r>
          </w:p>
        </w:tc>
      </w:tr>
      <w:tr w:rsidR="00D1550E" w14:paraId="2DD1CE6A" w14:textId="77777777" w:rsidTr="00F569BD">
        <w:trPr>
          <w:trHeight w:val="419"/>
        </w:trPr>
        <w:tc>
          <w:tcPr>
            <w:tcW w:w="1838" w:type="dxa"/>
            <w:shd w:val="clear" w:color="auto" w:fill="F2F2F2" w:themeFill="background1" w:themeFillShade="F2"/>
          </w:tcPr>
          <w:p w14:paraId="11228DFE" w14:textId="77777777" w:rsidR="00D1550E" w:rsidRPr="003E60E0" w:rsidRDefault="00D1550E" w:rsidP="00F569BD">
            <w:pPr>
              <w:pStyle w:val="Body"/>
              <w:rPr>
                <w:b/>
              </w:rPr>
            </w:pPr>
            <w:r w:rsidRPr="003E60E0">
              <w:rPr>
                <w:b/>
              </w:rPr>
              <w:t>Deliverable Type</w:t>
            </w:r>
          </w:p>
        </w:tc>
        <w:tc>
          <w:tcPr>
            <w:tcW w:w="6237" w:type="dxa"/>
          </w:tcPr>
          <w:p w14:paraId="75ADF661" w14:textId="5A5E3641" w:rsidR="00D1550E" w:rsidRDefault="00777FA6" w:rsidP="00F569BD">
            <w:pPr>
              <w:pStyle w:val="Body"/>
            </w:pPr>
            <w:r>
              <w:t>Good practice</w:t>
            </w:r>
            <w:r w:rsidR="000D418C">
              <w:t xml:space="preserve"> guide</w:t>
            </w:r>
          </w:p>
        </w:tc>
      </w:tr>
      <w:tr w:rsidR="00D1550E" w14:paraId="66EFCEF9" w14:textId="77777777" w:rsidTr="00F569BD">
        <w:trPr>
          <w:trHeight w:val="434"/>
        </w:trPr>
        <w:tc>
          <w:tcPr>
            <w:tcW w:w="1838" w:type="dxa"/>
            <w:shd w:val="clear" w:color="auto" w:fill="F2F2F2" w:themeFill="background1" w:themeFillShade="F2"/>
          </w:tcPr>
          <w:p w14:paraId="64E896FE" w14:textId="77777777" w:rsidR="00D1550E" w:rsidRPr="003E60E0" w:rsidRDefault="00D1550E" w:rsidP="00F569BD">
            <w:pPr>
              <w:pStyle w:val="Body"/>
              <w:rPr>
                <w:b/>
              </w:rPr>
            </w:pPr>
            <w:r w:rsidRPr="003E60E0">
              <w:rPr>
                <w:b/>
              </w:rPr>
              <w:t>Description</w:t>
            </w:r>
          </w:p>
        </w:tc>
        <w:tc>
          <w:tcPr>
            <w:tcW w:w="6237" w:type="dxa"/>
          </w:tcPr>
          <w:p w14:paraId="1F93A765" w14:textId="77777777" w:rsidR="00D1550E" w:rsidRDefault="00D1550E" w:rsidP="00F569BD">
            <w:pPr>
              <w:pStyle w:val="Body"/>
            </w:pPr>
            <w:r>
              <w:t xml:space="preserve">The supplier is to </w:t>
            </w:r>
            <w:r w:rsidR="00EE2251">
              <w:t xml:space="preserve">produce </w:t>
            </w:r>
            <w:r w:rsidR="005D339A">
              <w:t xml:space="preserve">a </w:t>
            </w:r>
            <w:r w:rsidR="00163C2B">
              <w:t>code of practice</w:t>
            </w:r>
            <w:r w:rsidR="005D339A" w:rsidRPr="005D339A">
              <w:t xml:space="preserve"> </w:t>
            </w:r>
            <w:r w:rsidR="000D418C">
              <w:t>on sander design and maintenance integrity.</w:t>
            </w:r>
          </w:p>
          <w:p w14:paraId="49F569FC" w14:textId="7A5E44C1" w:rsidR="000D418C" w:rsidRPr="00DB5ED6" w:rsidRDefault="000D418C" w:rsidP="00660984">
            <w:pPr>
              <w:pStyle w:val="Body"/>
              <w:tabs>
                <w:tab w:val="left" w:pos="338"/>
              </w:tabs>
            </w:pPr>
            <w:r>
              <w:t xml:space="preserve">It should be emphasised that T1210 is not a standards project; and as such shall not be producing a formal standards document. However, the document </w:t>
            </w:r>
            <w:r w:rsidRPr="000D418C">
              <w:rPr>
                <w:i/>
                <w:iCs/>
              </w:rPr>
              <w:t>could</w:t>
            </w:r>
            <w:r>
              <w:t xml:space="preserve"> form the basis for a potential future standard.</w:t>
            </w:r>
          </w:p>
        </w:tc>
      </w:tr>
      <w:tr w:rsidR="00D1550E" w14:paraId="2E67019A" w14:textId="77777777" w:rsidTr="00F569BD">
        <w:trPr>
          <w:trHeight w:val="419"/>
        </w:trPr>
        <w:tc>
          <w:tcPr>
            <w:tcW w:w="1838" w:type="dxa"/>
            <w:shd w:val="clear" w:color="auto" w:fill="F2F2F2" w:themeFill="background1" w:themeFillShade="F2"/>
          </w:tcPr>
          <w:p w14:paraId="18E40BEA" w14:textId="77777777" w:rsidR="00D1550E" w:rsidRPr="003E60E0" w:rsidRDefault="00D1550E" w:rsidP="00F569BD">
            <w:pPr>
              <w:pStyle w:val="Body"/>
              <w:rPr>
                <w:b/>
              </w:rPr>
            </w:pPr>
            <w:r w:rsidRPr="003E60E0">
              <w:rPr>
                <w:b/>
              </w:rPr>
              <w:t>Publication</w:t>
            </w:r>
          </w:p>
        </w:tc>
        <w:tc>
          <w:tcPr>
            <w:tcW w:w="6237" w:type="dxa"/>
          </w:tcPr>
          <w:p w14:paraId="7FA9C13B" w14:textId="77777777" w:rsidR="00D1550E" w:rsidRDefault="00D1550E" w:rsidP="00F569BD">
            <w:pPr>
              <w:pStyle w:val="Body"/>
            </w:pPr>
            <w:r w:rsidRPr="00201084">
              <w:t>The deliverable is to be produced in the standard RSSB format and</w:t>
            </w:r>
            <w:r>
              <w:t xml:space="preserve"> is to incorporate appropriate infographics.</w:t>
            </w:r>
            <w:r w:rsidRPr="00201084">
              <w:t xml:space="preserve"> </w:t>
            </w:r>
            <w:r>
              <w:t xml:space="preserve">The deliverable </w:t>
            </w:r>
            <w:r w:rsidRPr="00201084">
              <w:t>shall be reviewed by RSSB and the project steering group, to allow for comment. The deliverable is to be made widely available</w:t>
            </w:r>
            <w:r>
              <w:t>.</w:t>
            </w:r>
          </w:p>
        </w:tc>
      </w:tr>
    </w:tbl>
    <w:p w14:paraId="0D572C6A" w14:textId="00600CB5" w:rsidR="0031690D" w:rsidRDefault="0031690D" w:rsidP="004E08B0">
      <w:pPr>
        <w:pStyle w:val="Body"/>
      </w:pPr>
    </w:p>
    <w:p w14:paraId="7FD42902" w14:textId="093626D8" w:rsidR="00202F56" w:rsidRDefault="00202F56" w:rsidP="004E08B0">
      <w:pPr>
        <w:pStyle w:val="Body"/>
      </w:pPr>
    </w:p>
    <w:p w14:paraId="7D7CEABB" w14:textId="3C4605F7" w:rsidR="00202F56" w:rsidRDefault="00202F56" w:rsidP="004E08B0">
      <w:pPr>
        <w:pStyle w:val="Body"/>
      </w:pPr>
    </w:p>
    <w:p w14:paraId="655F9C49" w14:textId="1FFB8845" w:rsidR="00202F56" w:rsidRDefault="00202F56" w:rsidP="004E08B0">
      <w:pPr>
        <w:pStyle w:val="Body"/>
      </w:pPr>
    </w:p>
    <w:p w14:paraId="5CA14BDB" w14:textId="77777777" w:rsidR="00202F56" w:rsidRPr="004E08B0" w:rsidRDefault="00202F56" w:rsidP="004E08B0">
      <w:pPr>
        <w:pStyle w:val="Body"/>
      </w:pPr>
    </w:p>
    <w:tbl>
      <w:tblPr>
        <w:tblStyle w:val="TableGrid"/>
        <w:tblW w:w="8075" w:type="dxa"/>
        <w:tblLook w:val="04A0" w:firstRow="1" w:lastRow="0" w:firstColumn="1" w:lastColumn="0" w:noHBand="0" w:noVBand="1"/>
      </w:tblPr>
      <w:tblGrid>
        <w:gridCol w:w="1838"/>
        <w:gridCol w:w="6237"/>
      </w:tblGrid>
      <w:tr w:rsidR="006F0EBB" w14:paraId="6A8BFEE1" w14:textId="77777777" w:rsidTr="006F0EBB">
        <w:trPr>
          <w:trHeight w:val="434"/>
        </w:trPr>
        <w:tc>
          <w:tcPr>
            <w:tcW w:w="1838" w:type="dxa"/>
            <w:shd w:val="clear" w:color="auto" w:fill="F2F2F2" w:themeFill="background1" w:themeFillShade="F2"/>
          </w:tcPr>
          <w:p w14:paraId="6657B998" w14:textId="77777777" w:rsidR="006F0EBB" w:rsidRPr="003E60E0" w:rsidRDefault="006F0EBB" w:rsidP="006F0EBB">
            <w:pPr>
              <w:pStyle w:val="Body"/>
              <w:rPr>
                <w:b/>
              </w:rPr>
            </w:pPr>
            <w:r w:rsidRPr="003E60E0">
              <w:rPr>
                <w:b/>
              </w:rPr>
              <w:lastRenderedPageBreak/>
              <w:t>Deliverable Title</w:t>
            </w:r>
          </w:p>
        </w:tc>
        <w:tc>
          <w:tcPr>
            <w:tcW w:w="6237" w:type="dxa"/>
          </w:tcPr>
          <w:p w14:paraId="4E77F201" w14:textId="1E874EC9" w:rsidR="006F0EBB" w:rsidRDefault="006F0EBB" w:rsidP="006F0EBB">
            <w:pPr>
              <w:pStyle w:val="Body"/>
            </w:pPr>
            <w:r>
              <w:t xml:space="preserve">ADHERE: Sander quality </w:t>
            </w:r>
            <w:r w:rsidR="00B35501">
              <w:t xml:space="preserve">and performance </w:t>
            </w:r>
            <w:r>
              <w:t>criteria framework – Presentation</w:t>
            </w:r>
          </w:p>
        </w:tc>
      </w:tr>
      <w:tr w:rsidR="006F0EBB" w14:paraId="4103E694" w14:textId="77777777" w:rsidTr="006F0EBB">
        <w:trPr>
          <w:trHeight w:val="419"/>
        </w:trPr>
        <w:tc>
          <w:tcPr>
            <w:tcW w:w="1838" w:type="dxa"/>
            <w:shd w:val="clear" w:color="auto" w:fill="F2F2F2" w:themeFill="background1" w:themeFillShade="F2"/>
          </w:tcPr>
          <w:p w14:paraId="17BDFADF" w14:textId="77777777" w:rsidR="006F0EBB" w:rsidRPr="003E60E0" w:rsidRDefault="006F0EBB" w:rsidP="006F0EBB">
            <w:pPr>
              <w:pStyle w:val="Body"/>
              <w:rPr>
                <w:b/>
              </w:rPr>
            </w:pPr>
            <w:r w:rsidRPr="003E60E0">
              <w:rPr>
                <w:b/>
              </w:rPr>
              <w:t>Deliverable Type</w:t>
            </w:r>
          </w:p>
        </w:tc>
        <w:tc>
          <w:tcPr>
            <w:tcW w:w="6237" w:type="dxa"/>
          </w:tcPr>
          <w:p w14:paraId="6E4DFD86" w14:textId="26E2D1F8" w:rsidR="006F0EBB" w:rsidRDefault="006F0EBB" w:rsidP="006F0EBB">
            <w:pPr>
              <w:pStyle w:val="Body"/>
            </w:pPr>
            <w:r>
              <w:t>Presentation</w:t>
            </w:r>
          </w:p>
        </w:tc>
      </w:tr>
      <w:tr w:rsidR="006F0EBB" w14:paraId="5D91AC02" w14:textId="77777777" w:rsidTr="006F0EBB">
        <w:trPr>
          <w:trHeight w:val="434"/>
        </w:trPr>
        <w:tc>
          <w:tcPr>
            <w:tcW w:w="1838" w:type="dxa"/>
            <w:shd w:val="clear" w:color="auto" w:fill="F2F2F2" w:themeFill="background1" w:themeFillShade="F2"/>
          </w:tcPr>
          <w:p w14:paraId="4DB1A0FE" w14:textId="77777777" w:rsidR="006F0EBB" w:rsidRPr="003E60E0" w:rsidRDefault="006F0EBB" w:rsidP="006F0EBB">
            <w:pPr>
              <w:pStyle w:val="Body"/>
              <w:rPr>
                <w:b/>
              </w:rPr>
            </w:pPr>
            <w:r w:rsidRPr="003E60E0">
              <w:rPr>
                <w:b/>
              </w:rPr>
              <w:t>Description</w:t>
            </w:r>
          </w:p>
        </w:tc>
        <w:tc>
          <w:tcPr>
            <w:tcW w:w="6237" w:type="dxa"/>
          </w:tcPr>
          <w:p w14:paraId="3BB30348" w14:textId="647B05B8" w:rsidR="006F0EBB" w:rsidRPr="00DB5ED6" w:rsidRDefault="00DB2D43" w:rsidP="00816916">
            <w:pPr>
              <w:pStyle w:val="Body"/>
            </w:pPr>
            <w:r>
              <w:t xml:space="preserve">The supplier is to prepare a </w:t>
            </w:r>
            <w:r w:rsidR="008174FD">
              <w:t xml:space="preserve">summary presentation capturing project methodology and findings. </w:t>
            </w:r>
            <w:r>
              <w:t>The supplier shall d</w:t>
            </w:r>
            <w:r w:rsidR="008174FD">
              <w:t xml:space="preserve">eliver </w:t>
            </w:r>
            <w:r>
              <w:t xml:space="preserve">the </w:t>
            </w:r>
            <w:r w:rsidR="008174FD">
              <w:t>presentation to two industry group meetings.</w:t>
            </w:r>
          </w:p>
        </w:tc>
      </w:tr>
      <w:tr w:rsidR="006F0EBB" w14:paraId="04AB7208" w14:textId="77777777" w:rsidTr="006F0EBB">
        <w:trPr>
          <w:trHeight w:val="419"/>
        </w:trPr>
        <w:tc>
          <w:tcPr>
            <w:tcW w:w="1838" w:type="dxa"/>
            <w:shd w:val="clear" w:color="auto" w:fill="F2F2F2" w:themeFill="background1" w:themeFillShade="F2"/>
          </w:tcPr>
          <w:p w14:paraId="3880B42D" w14:textId="77777777" w:rsidR="006F0EBB" w:rsidRPr="003E60E0" w:rsidRDefault="006F0EBB" w:rsidP="006F0EBB">
            <w:pPr>
              <w:pStyle w:val="Body"/>
              <w:rPr>
                <w:b/>
              </w:rPr>
            </w:pPr>
            <w:r w:rsidRPr="003E60E0">
              <w:rPr>
                <w:b/>
              </w:rPr>
              <w:t>Publication</w:t>
            </w:r>
          </w:p>
        </w:tc>
        <w:tc>
          <w:tcPr>
            <w:tcW w:w="6237" w:type="dxa"/>
          </w:tcPr>
          <w:p w14:paraId="3C8CE7F5" w14:textId="77777777" w:rsidR="006F0EBB" w:rsidRDefault="006F0EBB" w:rsidP="006F0EBB">
            <w:pPr>
              <w:pStyle w:val="Body"/>
            </w:pPr>
            <w:r w:rsidRPr="00201084">
              <w:t>The deliverable is to be produced in the standard RSSB format and</w:t>
            </w:r>
            <w:r>
              <w:t xml:space="preserve"> is to incorporate appropriate infographics.</w:t>
            </w:r>
            <w:r w:rsidRPr="00201084">
              <w:t xml:space="preserve"> </w:t>
            </w:r>
            <w:r>
              <w:t xml:space="preserve">The deliverable </w:t>
            </w:r>
            <w:r w:rsidRPr="00201084">
              <w:t>shall be reviewed by RSSB and the project steering group, to allow for comment. The deliverable is to be made widely available</w:t>
            </w:r>
            <w:r>
              <w:t>.</w:t>
            </w:r>
          </w:p>
        </w:tc>
      </w:tr>
    </w:tbl>
    <w:p w14:paraId="16F88BA9" w14:textId="3D293FED" w:rsidR="009B21F8" w:rsidRDefault="00315B74" w:rsidP="00DB5ED6">
      <w:pPr>
        <w:pStyle w:val="Heading10"/>
        <w:keepNext/>
        <w:numPr>
          <w:ilvl w:val="0"/>
          <w:numId w:val="26"/>
        </w:numPr>
        <w:ind w:left="426" w:hanging="426"/>
        <w:outlineLvl w:val="9"/>
        <w:rPr>
          <w:rFonts w:ascii="Calibri" w:hAnsi="Calibri"/>
        </w:rPr>
      </w:pPr>
      <w:r>
        <w:rPr>
          <w:rFonts w:ascii="Calibri" w:hAnsi="Calibri"/>
        </w:rPr>
        <w:br w:type="page"/>
      </w:r>
    </w:p>
    <w:p w14:paraId="5812984D" w14:textId="77777777" w:rsidR="009B21F8" w:rsidRDefault="009B21F8" w:rsidP="00DB5ED6">
      <w:pPr>
        <w:pStyle w:val="Heading10"/>
        <w:keepNext/>
        <w:numPr>
          <w:ilvl w:val="0"/>
          <w:numId w:val="26"/>
        </w:numPr>
        <w:ind w:left="426" w:hanging="426"/>
        <w:outlineLvl w:val="9"/>
        <w:rPr>
          <w:rFonts w:ascii="Calibri" w:hAnsi="Calibri"/>
        </w:rPr>
        <w:sectPr w:rsidR="009B21F8" w:rsidSect="00D65B95">
          <w:pgSz w:w="11906" w:h="16838"/>
          <w:pgMar w:top="1985" w:right="1985" w:bottom="1985" w:left="1985" w:header="567" w:footer="567" w:gutter="0"/>
          <w:cols w:space="708"/>
          <w:docGrid w:linePitch="360"/>
        </w:sectPr>
      </w:pPr>
    </w:p>
    <w:p w14:paraId="5C69ADDE" w14:textId="5A7DA301" w:rsidR="00425161" w:rsidRDefault="00032803" w:rsidP="00DB5ED6">
      <w:pPr>
        <w:pStyle w:val="Heading10"/>
        <w:keepNext/>
        <w:numPr>
          <w:ilvl w:val="0"/>
          <w:numId w:val="41"/>
        </w:numPr>
        <w:outlineLvl w:val="9"/>
        <w:rPr>
          <w:rFonts w:ascii="Calibri" w:hAnsi="Calibri"/>
        </w:rPr>
      </w:pPr>
      <w:r w:rsidRPr="00C8304E">
        <w:rPr>
          <w:rFonts w:ascii="Calibri" w:hAnsi="Calibri"/>
        </w:rPr>
        <w:lastRenderedPageBreak/>
        <w:t>Stakeholder roles and responsibilities</w:t>
      </w:r>
    </w:p>
    <w:p w14:paraId="5D400D11" w14:textId="585C0C0D" w:rsidR="00585D12" w:rsidRPr="00585D12" w:rsidRDefault="00585D12" w:rsidP="00585D12">
      <w:pPr>
        <w:pStyle w:val="Body"/>
      </w:pPr>
      <w:r>
        <w:t xml:space="preserve">The key stakeholders and their responsibilities </w:t>
      </w:r>
      <w:r w:rsidR="009943F9">
        <w:t>are detailed in the table below</w:t>
      </w:r>
      <w:r w:rsidR="00EF2AD1">
        <w:t>:</w:t>
      </w:r>
    </w:p>
    <w:tbl>
      <w:tblPr>
        <w:tblStyle w:val="TableGrid"/>
        <w:tblW w:w="9923" w:type="dxa"/>
        <w:jc w:val="center"/>
        <w:tblLook w:val="04A0" w:firstRow="1" w:lastRow="0" w:firstColumn="1" w:lastColumn="0" w:noHBand="0" w:noVBand="1"/>
      </w:tblPr>
      <w:tblGrid>
        <w:gridCol w:w="1113"/>
        <w:gridCol w:w="3149"/>
        <w:gridCol w:w="5661"/>
      </w:tblGrid>
      <w:tr w:rsidR="00EF2AD1" w14:paraId="5E41947E" w14:textId="77777777" w:rsidTr="00EF2AD1">
        <w:trPr>
          <w:jc w:val="center"/>
        </w:trPr>
        <w:tc>
          <w:tcPr>
            <w:tcW w:w="1113" w:type="dxa"/>
            <w:vAlign w:val="center"/>
          </w:tcPr>
          <w:p w14:paraId="5A68A908" w14:textId="77777777" w:rsidR="00EF2AD1" w:rsidRPr="006133E3" w:rsidRDefault="00EF2AD1" w:rsidP="005D21E3">
            <w:pPr>
              <w:pStyle w:val="Body"/>
              <w:rPr>
                <w:rFonts w:asciiTheme="minorHAnsi" w:hAnsiTheme="minorHAnsi" w:cstheme="minorHAnsi"/>
                <w:sz w:val="20"/>
                <w:szCs w:val="20"/>
              </w:rPr>
            </w:pPr>
            <w:r w:rsidRPr="006133E3">
              <w:rPr>
                <w:rFonts w:asciiTheme="minorHAnsi" w:hAnsiTheme="minorHAnsi" w:cstheme="minorHAnsi"/>
                <w:b/>
                <w:sz w:val="20"/>
                <w:szCs w:val="20"/>
              </w:rPr>
              <w:t xml:space="preserve">Role </w:t>
            </w:r>
          </w:p>
        </w:tc>
        <w:tc>
          <w:tcPr>
            <w:tcW w:w="3149" w:type="dxa"/>
            <w:vAlign w:val="center"/>
          </w:tcPr>
          <w:p w14:paraId="7C2978EF" w14:textId="77777777" w:rsidR="00EF2AD1" w:rsidRPr="006133E3" w:rsidRDefault="00EF2AD1" w:rsidP="005D21E3">
            <w:pPr>
              <w:pStyle w:val="Body"/>
              <w:rPr>
                <w:rFonts w:asciiTheme="minorHAnsi" w:hAnsiTheme="minorHAnsi" w:cstheme="minorHAnsi"/>
                <w:sz w:val="20"/>
                <w:szCs w:val="20"/>
              </w:rPr>
            </w:pPr>
            <w:r w:rsidRPr="006133E3">
              <w:rPr>
                <w:rFonts w:asciiTheme="minorHAnsi" w:hAnsiTheme="minorHAnsi" w:cstheme="minorHAnsi"/>
                <w:b/>
                <w:sz w:val="20"/>
                <w:szCs w:val="20"/>
              </w:rPr>
              <w:t xml:space="preserve">High level description </w:t>
            </w:r>
          </w:p>
        </w:tc>
        <w:tc>
          <w:tcPr>
            <w:tcW w:w="5661" w:type="dxa"/>
            <w:vAlign w:val="center"/>
          </w:tcPr>
          <w:p w14:paraId="5E1171A4" w14:textId="77777777" w:rsidR="00EF2AD1" w:rsidRPr="006133E3" w:rsidRDefault="00EF2AD1" w:rsidP="005D21E3">
            <w:pPr>
              <w:pStyle w:val="Body"/>
              <w:rPr>
                <w:rFonts w:asciiTheme="minorHAnsi" w:hAnsiTheme="minorHAnsi" w:cstheme="minorHAnsi"/>
                <w:sz w:val="20"/>
                <w:szCs w:val="20"/>
              </w:rPr>
            </w:pPr>
            <w:r w:rsidRPr="006133E3">
              <w:rPr>
                <w:rFonts w:asciiTheme="minorHAnsi" w:hAnsiTheme="minorHAnsi" w:cstheme="minorHAnsi"/>
                <w:b/>
                <w:sz w:val="20"/>
                <w:szCs w:val="20"/>
              </w:rPr>
              <w:t>Specific responsibilities are to:</w:t>
            </w:r>
          </w:p>
        </w:tc>
      </w:tr>
      <w:tr w:rsidR="00EF2AD1" w14:paraId="645F6CDA" w14:textId="77777777" w:rsidTr="00EF2AD1">
        <w:trPr>
          <w:jc w:val="center"/>
        </w:trPr>
        <w:tc>
          <w:tcPr>
            <w:tcW w:w="1113" w:type="dxa"/>
          </w:tcPr>
          <w:p w14:paraId="14EA7F8A" w14:textId="77777777" w:rsidR="00EF2AD1" w:rsidRPr="006133E3" w:rsidRDefault="00EF2AD1" w:rsidP="005D21E3">
            <w:pPr>
              <w:pStyle w:val="Body"/>
              <w:rPr>
                <w:rFonts w:asciiTheme="minorHAnsi" w:hAnsiTheme="minorHAnsi" w:cstheme="minorHAnsi"/>
                <w:bCs/>
                <w:sz w:val="20"/>
                <w:szCs w:val="20"/>
              </w:rPr>
            </w:pPr>
            <w:r w:rsidRPr="006133E3">
              <w:rPr>
                <w:rFonts w:asciiTheme="minorHAnsi" w:hAnsiTheme="minorHAnsi" w:cstheme="minorHAnsi"/>
                <w:bCs/>
                <w:sz w:val="20"/>
                <w:szCs w:val="20"/>
              </w:rPr>
              <w:t>RSSB Project Manager</w:t>
            </w:r>
          </w:p>
        </w:tc>
        <w:tc>
          <w:tcPr>
            <w:tcW w:w="3149" w:type="dxa"/>
          </w:tcPr>
          <w:p w14:paraId="032B9BD7" w14:textId="77777777" w:rsidR="00EF2AD1"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Pr>
                <w:rFonts w:asciiTheme="minorHAnsi" w:hAnsiTheme="minorHAnsi" w:cstheme="minorHAnsi"/>
                <w:color w:val="000000"/>
                <w:kern w:val="28"/>
                <w:sz w:val="20"/>
                <w:szCs w:val="20"/>
              </w:rPr>
              <w:t xml:space="preserve">The RSSB Project Manager is the </w:t>
            </w:r>
            <w:r w:rsidRPr="002D270C">
              <w:rPr>
                <w:rFonts w:asciiTheme="minorHAnsi" w:hAnsiTheme="minorHAnsi" w:cstheme="minorHAnsi"/>
                <w:color w:val="000000"/>
                <w:kern w:val="28"/>
                <w:sz w:val="20"/>
                <w:szCs w:val="20"/>
              </w:rPr>
              <w:t>first point of contact</w:t>
            </w:r>
            <w:r>
              <w:rPr>
                <w:rFonts w:asciiTheme="minorHAnsi" w:hAnsiTheme="minorHAnsi" w:cstheme="minorHAnsi"/>
                <w:color w:val="000000"/>
                <w:kern w:val="28"/>
                <w:sz w:val="20"/>
                <w:szCs w:val="20"/>
              </w:rPr>
              <w:t xml:space="preserve"> for the suppliers</w:t>
            </w:r>
            <w:r w:rsidRPr="002D270C">
              <w:rPr>
                <w:rFonts w:asciiTheme="minorHAnsi" w:hAnsiTheme="minorHAnsi" w:cstheme="minorHAnsi"/>
                <w:color w:val="000000"/>
                <w:kern w:val="28"/>
                <w:sz w:val="20"/>
                <w:szCs w:val="20"/>
              </w:rPr>
              <w:t xml:space="preserve"> once the contract has been put into place.</w:t>
            </w:r>
          </w:p>
          <w:p w14:paraId="3B063E41" w14:textId="77777777" w:rsidR="00EF2AD1"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p>
          <w:p w14:paraId="798F1177" w14:textId="77777777" w:rsidR="00EF2AD1" w:rsidRPr="002D270C" w:rsidRDefault="00EF2AD1" w:rsidP="005D21E3">
            <w:pPr>
              <w:pStyle w:val="NormalWeb"/>
              <w:spacing w:before="40" w:beforeAutospacing="0" w:after="40" w:afterAutospacing="0" w:line="260" w:lineRule="exact"/>
              <w:rPr>
                <w:rFonts w:asciiTheme="minorHAnsi" w:hAnsiTheme="minorHAnsi" w:cstheme="minorHAnsi"/>
                <w:bCs/>
                <w:sz w:val="20"/>
                <w:szCs w:val="20"/>
              </w:rPr>
            </w:pPr>
            <w:r w:rsidRPr="002D270C">
              <w:rPr>
                <w:rFonts w:asciiTheme="minorHAnsi" w:hAnsiTheme="minorHAnsi" w:cstheme="minorHAnsi"/>
                <w:color w:val="000000"/>
                <w:kern w:val="28"/>
                <w:sz w:val="20"/>
                <w:szCs w:val="20"/>
              </w:rPr>
              <w:t xml:space="preserve">The RSSB </w:t>
            </w:r>
            <w:r>
              <w:rPr>
                <w:rFonts w:asciiTheme="minorHAnsi" w:hAnsiTheme="minorHAnsi" w:cstheme="minorHAnsi"/>
                <w:color w:val="000000"/>
                <w:kern w:val="28"/>
                <w:sz w:val="20"/>
                <w:szCs w:val="20"/>
              </w:rPr>
              <w:t>P</w:t>
            </w:r>
            <w:r w:rsidRPr="002D270C">
              <w:rPr>
                <w:rFonts w:asciiTheme="minorHAnsi" w:hAnsiTheme="minorHAnsi" w:cstheme="minorHAnsi"/>
                <w:color w:val="000000"/>
                <w:kern w:val="28"/>
                <w:sz w:val="20"/>
                <w:szCs w:val="20"/>
              </w:rPr>
              <w:t xml:space="preserve">roject </w:t>
            </w:r>
            <w:r>
              <w:rPr>
                <w:rFonts w:asciiTheme="minorHAnsi" w:hAnsiTheme="minorHAnsi" w:cstheme="minorHAnsi"/>
                <w:color w:val="000000"/>
                <w:kern w:val="28"/>
                <w:sz w:val="20"/>
                <w:szCs w:val="20"/>
              </w:rPr>
              <w:t>M</w:t>
            </w:r>
            <w:r w:rsidRPr="002D270C">
              <w:rPr>
                <w:rFonts w:asciiTheme="minorHAnsi" w:hAnsiTheme="minorHAnsi" w:cstheme="minorHAnsi"/>
                <w:color w:val="000000"/>
                <w:kern w:val="28"/>
                <w:sz w:val="20"/>
                <w:szCs w:val="20"/>
              </w:rPr>
              <w:t xml:space="preserve">anager is </w:t>
            </w:r>
            <w:r>
              <w:rPr>
                <w:rFonts w:asciiTheme="minorHAnsi" w:hAnsiTheme="minorHAnsi" w:cstheme="minorHAnsi"/>
                <w:color w:val="000000"/>
                <w:kern w:val="28"/>
                <w:sz w:val="20"/>
                <w:szCs w:val="20"/>
              </w:rPr>
              <w:t>responsible for ensuring that the supplier delivers the project as agreed in their proposal.</w:t>
            </w:r>
          </w:p>
        </w:tc>
        <w:tc>
          <w:tcPr>
            <w:tcW w:w="5661" w:type="dxa"/>
          </w:tcPr>
          <w:p w14:paraId="009DE883" w14:textId="77777777" w:rsidR="00EF2AD1" w:rsidRDefault="00EF2AD1" w:rsidP="00DB5ED6">
            <w:pPr>
              <w:numPr>
                <w:ilvl w:val="0"/>
                <w:numId w:val="32"/>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Organisation, co-ordination and chair of project meetings.</w:t>
            </w:r>
          </w:p>
          <w:p w14:paraId="44ED9AD1" w14:textId="77777777" w:rsidR="00EF2AD1" w:rsidRDefault="00EF2AD1" w:rsidP="00DB5ED6">
            <w:pPr>
              <w:numPr>
                <w:ilvl w:val="0"/>
                <w:numId w:val="32"/>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Monitoring and tracking of project progress and spend</w:t>
            </w:r>
          </w:p>
          <w:p w14:paraId="6A592ABA" w14:textId="77777777" w:rsidR="00EF2AD1" w:rsidRDefault="00EF2AD1" w:rsidP="00DB5ED6">
            <w:pPr>
              <w:numPr>
                <w:ilvl w:val="0"/>
                <w:numId w:val="32"/>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Point of contact for escalation for enquiries from supplier, steering group, or project sponsor.</w:t>
            </w:r>
          </w:p>
          <w:p w14:paraId="79C90EF6" w14:textId="77777777" w:rsidR="00EF2AD1" w:rsidRDefault="00EF2AD1" w:rsidP="00DB5ED6">
            <w:pPr>
              <w:numPr>
                <w:ilvl w:val="0"/>
                <w:numId w:val="32"/>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Dissemination of deliverables to project steering group and client group.</w:t>
            </w:r>
          </w:p>
          <w:p w14:paraId="314FFB10" w14:textId="77777777" w:rsidR="00EF2AD1" w:rsidRPr="006133E3" w:rsidRDefault="00EF2AD1" w:rsidP="00DB5ED6">
            <w:pPr>
              <w:numPr>
                <w:ilvl w:val="0"/>
                <w:numId w:val="32"/>
              </w:numPr>
              <w:spacing w:line="276" w:lineRule="auto"/>
              <w:rPr>
                <w:rFonts w:asciiTheme="minorHAnsi" w:hAnsiTheme="minorHAnsi" w:cstheme="minorHAnsi"/>
                <w:sz w:val="20"/>
                <w:szCs w:val="20"/>
                <w:lang w:eastAsia="en-GB"/>
              </w:rPr>
            </w:pPr>
            <w:r>
              <w:rPr>
                <w:rFonts w:asciiTheme="minorHAnsi" w:hAnsiTheme="minorHAnsi" w:cstheme="minorHAnsi"/>
                <w:sz w:val="20"/>
                <w:szCs w:val="20"/>
                <w:lang w:eastAsia="en-GB"/>
              </w:rPr>
              <w:t>Authorisation of payment within agreed project spend.</w:t>
            </w:r>
          </w:p>
        </w:tc>
      </w:tr>
      <w:tr w:rsidR="00EF2AD1" w:rsidRPr="006133E3" w14:paraId="11F193F4" w14:textId="77777777" w:rsidTr="00EF2AD1">
        <w:trPr>
          <w:jc w:val="center"/>
        </w:trPr>
        <w:tc>
          <w:tcPr>
            <w:tcW w:w="1113" w:type="dxa"/>
          </w:tcPr>
          <w:p w14:paraId="3BDFD172" w14:textId="77777777" w:rsidR="00EF2AD1" w:rsidRPr="006133E3" w:rsidRDefault="00EF2AD1" w:rsidP="005D21E3">
            <w:pPr>
              <w:pStyle w:val="Body"/>
              <w:rPr>
                <w:rFonts w:asciiTheme="minorHAnsi" w:hAnsiTheme="minorHAnsi" w:cstheme="minorHAnsi"/>
                <w:color w:val="000000"/>
                <w:kern w:val="28"/>
                <w:sz w:val="20"/>
                <w:szCs w:val="20"/>
              </w:rPr>
            </w:pPr>
            <w:r>
              <w:rPr>
                <w:rFonts w:asciiTheme="minorHAnsi" w:hAnsiTheme="minorHAnsi" w:cstheme="minorHAnsi"/>
                <w:color w:val="000000"/>
                <w:kern w:val="28"/>
                <w:sz w:val="20"/>
                <w:szCs w:val="20"/>
              </w:rPr>
              <w:t xml:space="preserve">RSSB </w:t>
            </w:r>
            <w:r w:rsidRPr="006133E3">
              <w:rPr>
                <w:rFonts w:asciiTheme="minorHAnsi" w:hAnsiTheme="minorHAnsi" w:cstheme="minorHAnsi"/>
                <w:color w:val="000000"/>
                <w:kern w:val="28"/>
                <w:sz w:val="20"/>
                <w:szCs w:val="20"/>
              </w:rPr>
              <w:t>Technical Lead</w:t>
            </w:r>
          </w:p>
        </w:tc>
        <w:tc>
          <w:tcPr>
            <w:tcW w:w="3149" w:type="dxa"/>
          </w:tcPr>
          <w:p w14:paraId="1472CB9F" w14:textId="77777777"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 xml:space="preserve">Throughout the project, the </w:t>
            </w:r>
            <w:r>
              <w:rPr>
                <w:rFonts w:asciiTheme="minorHAnsi" w:hAnsiTheme="minorHAnsi" w:cstheme="minorHAnsi"/>
                <w:color w:val="000000"/>
                <w:kern w:val="28"/>
                <w:sz w:val="20"/>
                <w:szCs w:val="20"/>
              </w:rPr>
              <w:t>Technical Lead</w:t>
            </w:r>
            <w:r w:rsidRPr="006133E3">
              <w:rPr>
                <w:rFonts w:asciiTheme="minorHAnsi" w:hAnsiTheme="minorHAnsi" w:cstheme="minorHAnsi"/>
                <w:color w:val="000000"/>
                <w:kern w:val="28"/>
                <w:sz w:val="20"/>
                <w:szCs w:val="20"/>
              </w:rPr>
              <w:t xml:space="preserve">, generally a RSSB employee, ensures that technical aspects are considered and reflected accurately. </w:t>
            </w:r>
          </w:p>
        </w:tc>
        <w:tc>
          <w:tcPr>
            <w:tcW w:w="5661" w:type="dxa"/>
          </w:tcPr>
          <w:p w14:paraId="12FA5800" w14:textId="77777777" w:rsidR="00EF2AD1" w:rsidRPr="006133E3" w:rsidRDefault="00EF2AD1" w:rsidP="00DB5ED6">
            <w:pPr>
              <w:numPr>
                <w:ilvl w:val="0"/>
                <w:numId w:val="3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Provide input to the specification, either by writing it or reviewing its content, and assure it is technically sound and appropriately scoped</w:t>
            </w:r>
          </w:p>
          <w:p w14:paraId="290EA52F" w14:textId="77777777" w:rsidR="00EF2AD1" w:rsidRPr="006133E3" w:rsidRDefault="00EF2AD1" w:rsidP="00DB5ED6">
            <w:pPr>
              <w:numPr>
                <w:ilvl w:val="0"/>
                <w:numId w:val="3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Assess tenders</w:t>
            </w:r>
          </w:p>
          <w:p w14:paraId="31E3C3DB" w14:textId="77777777" w:rsidR="00EF2AD1" w:rsidRPr="006133E3" w:rsidRDefault="00EF2AD1" w:rsidP="00DB5ED6">
            <w:pPr>
              <w:numPr>
                <w:ilvl w:val="0"/>
                <w:numId w:val="3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Review and provide input to draft deliverables</w:t>
            </w:r>
          </w:p>
          <w:p w14:paraId="09DD82DA" w14:textId="77777777" w:rsidR="00EF2AD1" w:rsidRPr="006133E3" w:rsidRDefault="00EF2AD1" w:rsidP="00DB5ED6">
            <w:pPr>
              <w:numPr>
                <w:ilvl w:val="0"/>
                <w:numId w:val="3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Review final deliverables to ensure that they are technically sound and the conclusions defensible</w:t>
            </w:r>
          </w:p>
        </w:tc>
      </w:tr>
      <w:tr w:rsidR="00EF2AD1" w14:paraId="1029B885" w14:textId="77777777" w:rsidTr="00EF2AD1">
        <w:trPr>
          <w:jc w:val="center"/>
        </w:trPr>
        <w:tc>
          <w:tcPr>
            <w:tcW w:w="1113" w:type="dxa"/>
          </w:tcPr>
          <w:p w14:paraId="7BC5B84D" w14:textId="77777777" w:rsidR="00EF2AD1" w:rsidRPr="006133E3" w:rsidRDefault="00EF2AD1" w:rsidP="005D21E3">
            <w:pPr>
              <w:pStyle w:val="Body"/>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 xml:space="preserve">RSSB </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 xml:space="preserve">ponsor </w:t>
            </w:r>
          </w:p>
        </w:tc>
        <w:tc>
          <w:tcPr>
            <w:tcW w:w="3149" w:type="dxa"/>
          </w:tcPr>
          <w:p w14:paraId="6B3C58CE" w14:textId="77777777"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The RSSB Sponsor is a senior RSSB employee that is best placed to actively monitor the project through development and delivery, keeping the project aligned with and informed by industry's expectations and initiatives</w:t>
            </w:r>
            <w:r>
              <w:rPr>
                <w:rFonts w:asciiTheme="minorHAnsi" w:hAnsiTheme="minorHAnsi" w:cstheme="minorHAnsi"/>
                <w:color w:val="000000"/>
                <w:kern w:val="28"/>
                <w:sz w:val="20"/>
                <w:szCs w:val="20"/>
              </w:rPr>
              <w:t>;</w:t>
            </w:r>
            <w:r w:rsidRPr="006133E3">
              <w:rPr>
                <w:rFonts w:asciiTheme="minorHAnsi" w:hAnsiTheme="minorHAnsi" w:cstheme="minorHAnsi"/>
                <w:color w:val="000000"/>
                <w:kern w:val="28"/>
                <w:sz w:val="20"/>
                <w:szCs w:val="20"/>
              </w:rPr>
              <w:t xml:space="preserve"> and steer</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 xml:space="preserve"> implementation facilitation activities.</w:t>
            </w:r>
          </w:p>
        </w:tc>
        <w:tc>
          <w:tcPr>
            <w:tcW w:w="5661" w:type="dxa"/>
          </w:tcPr>
          <w:p w14:paraId="0527DA57" w14:textId="77777777" w:rsidR="00EF2AD1" w:rsidRPr="006133E3" w:rsidRDefault="00EF2AD1" w:rsidP="00DB5ED6">
            <w:pPr>
              <w:numPr>
                <w:ilvl w:val="0"/>
                <w:numId w:val="3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Sponsor</w:t>
            </w:r>
            <w:r>
              <w:rPr>
                <w:rFonts w:asciiTheme="minorHAnsi" w:hAnsiTheme="minorHAnsi" w:cstheme="minorHAnsi"/>
                <w:sz w:val="20"/>
                <w:szCs w:val="20"/>
                <w:lang w:eastAsia="en-GB"/>
              </w:rPr>
              <w:t xml:space="preserve">s </w:t>
            </w:r>
            <w:r w:rsidRPr="006133E3">
              <w:rPr>
                <w:rFonts w:asciiTheme="minorHAnsi" w:hAnsiTheme="minorHAnsi" w:cstheme="minorHAnsi"/>
                <w:sz w:val="20"/>
                <w:szCs w:val="20"/>
                <w:lang w:eastAsia="en-GB"/>
              </w:rPr>
              <w:t xml:space="preserve">the </w:t>
            </w:r>
            <w:r>
              <w:rPr>
                <w:rFonts w:asciiTheme="minorHAnsi" w:hAnsiTheme="minorHAnsi" w:cstheme="minorHAnsi"/>
                <w:sz w:val="20"/>
                <w:szCs w:val="20"/>
                <w:lang w:eastAsia="en-GB"/>
              </w:rPr>
              <w:t xml:space="preserve">RSSB </w:t>
            </w:r>
            <w:r w:rsidRPr="006133E3">
              <w:rPr>
                <w:rFonts w:asciiTheme="minorHAnsi" w:hAnsiTheme="minorHAnsi" w:cstheme="minorHAnsi"/>
                <w:sz w:val="20"/>
                <w:szCs w:val="20"/>
                <w:lang w:eastAsia="en-GB"/>
              </w:rPr>
              <w:t>business case and implementation plan, focusing on how RSSB can support industry benefiting from the findings</w:t>
            </w:r>
          </w:p>
          <w:p w14:paraId="64EFE6B0" w14:textId="77777777" w:rsidR="00EF2AD1" w:rsidRPr="006133E3" w:rsidRDefault="00EF2AD1" w:rsidP="00DB5ED6">
            <w:pPr>
              <w:numPr>
                <w:ilvl w:val="0"/>
                <w:numId w:val="3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Advise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Project Steering Group on shaping the project and its deliverables to most effectively support industry take up and </w:t>
            </w:r>
            <w:r>
              <w:rPr>
                <w:rFonts w:asciiTheme="minorHAnsi" w:hAnsiTheme="minorHAnsi" w:cstheme="minorHAnsi"/>
                <w:sz w:val="20"/>
                <w:szCs w:val="20"/>
                <w:lang w:eastAsia="en-GB"/>
              </w:rPr>
              <w:t xml:space="preserve">to </w:t>
            </w:r>
            <w:r w:rsidRPr="006133E3">
              <w:rPr>
                <w:rFonts w:asciiTheme="minorHAnsi" w:hAnsiTheme="minorHAnsi" w:cstheme="minorHAnsi"/>
                <w:sz w:val="20"/>
                <w:szCs w:val="20"/>
                <w:lang w:eastAsia="en-GB"/>
              </w:rPr>
              <w:t>get most value out of it</w:t>
            </w:r>
          </w:p>
          <w:p w14:paraId="6271D8C9" w14:textId="77777777" w:rsidR="00EF2AD1" w:rsidRPr="006133E3" w:rsidRDefault="00EF2AD1" w:rsidP="00DB5ED6">
            <w:pPr>
              <w:numPr>
                <w:ilvl w:val="0"/>
                <w:numId w:val="3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 xml:space="preserve">Actively monitor the project through delivery working with the Industry Sponsor to successfully navigate the project through any points of conflict between stakeholders, and decision points relating to emerging findings  </w:t>
            </w:r>
          </w:p>
          <w:p w14:paraId="4496719C" w14:textId="77777777" w:rsidR="00EF2AD1" w:rsidRPr="006133E3" w:rsidRDefault="00EF2AD1" w:rsidP="00DB5ED6">
            <w:pPr>
              <w:numPr>
                <w:ilvl w:val="0"/>
                <w:numId w:val="3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 xml:space="preserve">Keep active awareness of the emerging findings and, as appropriate, bring them (and any related decision points) to the attention of the Industry Sponsor to jointly provide advice to the steering group </w:t>
            </w:r>
          </w:p>
          <w:p w14:paraId="5A91384D" w14:textId="77777777" w:rsidR="00EF2AD1" w:rsidRPr="006133E3" w:rsidRDefault="00EF2AD1" w:rsidP="00DB5ED6">
            <w:pPr>
              <w:numPr>
                <w:ilvl w:val="0"/>
                <w:numId w:val="3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Provide advice and steer on activities required to facilitate implementation</w:t>
            </w:r>
          </w:p>
        </w:tc>
      </w:tr>
      <w:tr w:rsidR="00EF2AD1" w14:paraId="5C71CE36" w14:textId="77777777" w:rsidTr="00EF2AD1">
        <w:trPr>
          <w:jc w:val="center"/>
        </w:trPr>
        <w:tc>
          <w:tcPr>
            <w:tcW w:w="1113" w:type="dxa"/>
          </w:tcPr>
          <w:p w14:paraId="2B9871ED" w14:textId="77777777" w:rsidR="00EF2AD1" w:rsidRPr="006133E3" w:rsidRDefault="00EF2AD1" w:rsidP="005D21E3">
            <w:pPr>
              <w:pStyle w:val="Body"/>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Industry Sponsor</w:t>
            </w:r>
          </w:p>
        </w:tc>
        <w:tc>
          <w:tcPr>
            <w:tcW w:w="3149" w:type="dxa"/>
          </w:tcPr>
          <w:p w14:paraId="5B651158" w14:textId="77777777" w:rsidR="004525DB" w:rsidRPr="004525DB" w:rsidRDefault="004525DB" w:rsidP="004525DB">
            <w:pPr>
              <w:pStyle w:val="NormalWeb"/>
              <w:spacing w:before="40" w:after="40" w:line="260" w:lineRule="exact"/>
              <w:rPr>
                <w:rFonts w:asciiTheme="minorHAnsi" w:hAnsiTheme="minorHAnsi" w:cstheme="minorHAnsi"/>
                <w:color w:val="000000"/>
                <w:kern w:val="28"/>
                <w:sz w:val="20"/>
                <w:szCs w:val="20"/>
              </w:rPr>
            </w:pPr>
            <w:r w:rsidRPr="004525DB">
              <w:rPr>
                <w:rFonts w:asciiTheme="minorHAnsi" w:hAnsiTheme="minorHAnsi" w:cstheme="minorHAnsi"/>
                <w:color w:val="000000"/>
                <w:kern w:val="28"/>
                <w:sz w:val="20"/>
                <w:szCs w:val="20"/>
              </w:rPr>
              <w:t xml:space="preserve">The industry sponsor acts as figurehead for the research, championing its importance and its outputs. </w:t>
            </w:r>
          </w:p>
          <w:p w14:paraId="3D0A9DBE" w14:textId="0E20B086" w:rsidR="00EF2AD1" w:rsidRPr="006133E3" w:rsidRDefault="004525DB"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4525DB">
              <w:rPr>
                <w:rFonts w:asciiTheme="minorHAnsi" w:hAnsiTheme="minorHAnsi" w:cstheme="minorHAnsi"/>
                <w:color w:val="000000"/>
                <w:kern w:val="28"/>
                <w:sz w:val="20"/>
                <w:szCs w:val="20"/>
              </w:rPr>
              <w:t xml:space="preserve">The industry sponsor forms part of the project steering group, however, their key role as sponsor </w:t>
            </w:r>
            <w:r w:rsidRPr="004525DB">
              <w:rPr>
                <w:rFonts w:asciiTheme="minorHAnsi" w:hAnsiTheme="minorHAnsi" w:cstheme="minorHAnsi"/>
                <w:color w:val="000000"/>
                <w:kern w:val="28"/>
                <w:sz w:val="20"/>
                <w:szCs w:val="20"/>
              </w:rPr>
              <w:lastRenderedPageBreak/>
              <w:t>is to provide steer to the research as it progresses and to influence industry to make use of its findings.</w:t>
            </w:r>
          </w:p>
        </w:tc>
        <w:tc>
          <w:tcPr>
            <w:tcW w:w="5661" w:type="dxa"/>
          </w:tcPr>
          <w:p w14:paraId="5B524F46" w14:textId="77777777" w:rsidR="00EF2AD1" w:rsidRPr="006133E3" w:rsidRDefault="00EF2AD1" w:rsidP="00DB5ED6">
            <w:pPr>
              <w:numPr>
                <w:ilvl w:val="0"/>
                <w:numId w:val="3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lastRenderedPageBreak/>
              <w:t>Advise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w:t>
            </w:r>
            <w:r>
              <w:rPr>
                <w:rFonts w:asciiTheme="minorHAnsi" w:hAnsiTheme="minorHAnsi" w:cstheme="minorHAnsi"/>
                <w:sz w:val="20"/>
                <w:szCs w:val="20"/>
                <w:lang w:eastAsia="en-GB"/>
              </w:rPr>
              <w:t xml:space="preserve">Project </w:t>
            </w:r>
            <w:r w:rsidRPr="006133E3">
              <w:rPr>
                <w:rFonts w:asciiTheme="minorHAnsi" w:hAnsiTheme="minorHAnsi" w:cstheme="minorHAnsi"/>
                <w:sz w:val="20"/>
                <w:szCs w:val="20"/>
                <w:lang w:eastAsia="en-GB"/>
              </w:rPr>
              <w:t xml:space="preserve">Steering Group on shaping the project and its deliverables to most effectively support industry take up </w:t>
            </w:r>
          </w:p>
          <w:p w14:paraId="7FB814AE" w14:textId="77777777" w:rsidR="00EF2AD1" w:rsidRPr="006133E3" w:rsidRDefault="00EF2AD1" w:rsidP="00DB5ED6">
            <w:pPr>
              <w:numPr>
                <w:ilvl w:val="0"/>
                <w:numId w:val="3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If required, facilitate access to industry data, people and equipment needed to deliver the project</w:t>
            </w:r>
          </w:p>
          <w:p w14:paraId="53FE58C3" w14:textId="77777777" w:rsidR="00EF2AD1" w:rsidRPr="006133E3" w:rsidRDefault="00EF2AD1" w:rsidP="00DB5ED6">
            <w:pPr>
              <w:numPr>
                <w:ilvl w:val="0"/>
                <w:numId w:val="3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Oversee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project through delivery working with the RSSB sponsor to successfully navigate the project through any </w:t>
            </w:r>
            <w:r w:rsidRPr="006133E3">
              <w:rPr>
                <w:rFonts w:asciiTheme="minorHAnsi" w:hAnsiTheme="minorHAnsi" w:cstheme="minorHAnsi"/>
                <w:sz w:val="20"/>
                <w:szCs w:val="20"/>
                <w:lang w:eastAsia="en-GB"/>
              </w:rPr>
              <w:lastRenderedPageBreak/>
              <w:t xml:space="preserve">points of conflict between stakeholders, and decision points relating to emerging findings  </w:t>
            </w:r>
          </w:p>
          <w:p w14:paraId="5FA00CED" w14:textId="77777777" w:rsidR="00EF2AD1" w:rsidRDefault="00EF2AD1" w:rsidP="00DB5ED6">
            <w:pPr>
              <w:numPr>
                <w:ilvl w:val="0"/>
                <w:numId w:val="3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Promote industry take up and implementation of the research beyond completion of the R&amp;D project</w:t>
            </w:r>
          </w:p>
          <w:p w14:paraId="1A1CC301" w14:textId="77777777" w:rsidR="00EF2AD1" w:rsidRPr="006133E3" w:rsidRDefault="00EF2AD1" w:rsidP="00DB5ED6">
            <w:pPr>
              <w:numPr>
                <w:ilvl w:val="0"/>
                <w:numId w:val="32"/>
              </w:numPr>
              <w:spacing w:line="276" w:lineRule="auto"/>
              <w:rPr>
                <w:rFonts w:asciiTheme="minorHAnsi" w:hAnsiTheme="minorHAnsi" w:cstheme="minorHAnsi"/>
                <w:color w:val="000000"/>
                <w:kern w:val="28"/>
                <w:sz w:val="20"/>
                <w:szCs w:val="20"/>
              </w:rPr>
            </w:pPr>
            <w:r w:rsidRPr="006133E3">
              <w:rPr>
                <w:rFonts w:asciiTheme="minorHAnsi" w:hAnsiTheme="minorHAnsi" w:cstheme="minorHAnsi"/>
                <w:sz w:val="20"/>
                <w:szCs w:val="20"/>
              </w:rPr>
              <w:t xml:space="preserve">Provide feedback to RSSB during project delivery and after completion  </w:t>
            </w:r>
          </w:p>
        </w:tc>
      </w:tr>
      <w:tr w:rsidR="00EF2AD1" w14:paraId="3E1539CA" w14:textId="77777777" w:rsidTr="00EF2AD1">
        <w:trPr>
          <w:jc w:val="center"/>
        </w:trPr>
        <w:tc>
          <w:tcPr>
            <w:tcW w:w="1113" w:type="dxa"/>
          </w:tcPr>
          <w:p w14:paraId="1500C716" w14:textId="77777777" w:rsidR="00EF2AD1" w:rsidRPr="006133E3" w:rsidRDefault="00EF2AD1" w:rsidP="005D21E3">
            <w:pPr>
              <w:pStyle w:val="Body"/>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lastRenderedPageBreak/>
              <w:t xml:space="preserve">Industry </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upporters</w:t>
            </w:r>
          </w:p>
        </w:tc>
        <w:tc>
          <w:tcPr>
            <w:tcW w:w="3149" w:type="dxa"/>
          </w:tcPr>
          <w:p w14:paraId="59E245D2" w14:textId="77777777"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The two project supporters represent parts of industry complementary to the Industry Sponsor’s organisation.</w:t>
            </w:r>
          </w:p>
        </w:tc>
        <w:tc>
          <w:tcPr>
            <w:tcW w:w="5661" w:type="dxa"/>
          </w:tcPr>
          <w:p w14:paraId="589D7748" w14:textId="77777777" w:rsidR="00EF2AD1" w:rsidRPr="006133E3" w:rsidRDefault="00EF2AD1" w:rsidP="00DB5ED6">
            <w:pPr>
              <w:numPr>
                <w:ilvl w:val="0"/>
                <w:numId w:val="32"/>
              </w:numPr>
              <w:spacing w:line="276" w:lineRule="auto"/>
              <w:rPr>
                <w:rFonts w:asciiTheme="minorHAnsi" w:hAnsiTheme="minorHAnsi" w:cstheme="minorHAnsi"/>
                <w:sz w:val="20"/>
                <w:szCs w:val="20"/>
                <w:lang w:eastAsia="en-GB"/>
              </w:rPr>
            </w:pPr>
            <w:r w:rsidRPr="006133E3">
              <w:rPr>
                <w:rFonts w:asciiTheme="minorHAnsi" w:hAnsiTheme="minorHAnsi" w:cstheme="minorHAnsi"/>
                <w:color w:val="000000"/>
                <w:kern w:val="28"/>
                <w:sz w:val="20"/>
                <w:szCs w:val="20"/>
              </w:rPr>
              <w:t>Offer expertise during project development and delivery</w:t>
            </w:r>
          </w:p>
          <w:p w14:paraId="2BF5F7DF" w14:textId="77777777" w:rsidR="00EF2AD1" w:rsidRPr="006133E3" w:rsidRDefault="00EF2AD1" w:rsidP="00DB5ED6">
            <w:pPr>
              <w:numPr>
                <w:ilvl w:val="0"/>
                <w:numId w:val="3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If required, facilitate access to industry data, people and equipment needed to deliver the project</w:t>
            </w:r>
          </w:p>
          <w:p w14:paraId="16330360" w14:textId="77777777" w:rsidR="00EF2AD1" w:rsidRPr="006133E3" w:rsidRDefault="00EF2AD1" w:rsidP="00DB5ED6">
            <w:pPr>
              <w:numPr>
                <w:ilvl w:val="0"/>
                <w:numId w:val="32"/>
              </w:numPr>
              <w:spacing w:line="276" w:lineRule="auto"/>
              <w:rPr>
                <w:rFonts w:asciiTheme="minorHAnsi" w:hAnsiTheme="minorHAnsi" w:cstheme="minorHAnsi"/>
                <w:sz w:val="20"/>
                <w:szCs w:val="20"/>
                <w:lang w:eastAsia="en-GB"/>
              </w:rPr>
            </w:pPr>
            <w:r w:rsidRPr="006133E3">
              <w:rPr>
                <w:rFonts w:asciiTheme="minorHAnsi" w:hAnsiTheme="minorHAnsi" w:cstheme="minorHAnsi"/>
                <w:color w:val="000000"/>
                <w:kern w:val="28"/>
                <w:sz w:val="20"/>
                <w:szCs w:val="20"/>
              </w:rPr>
              <w:t>Support the implementation of findings</w:t>
            </w:r>
          </w:p>
        </w:tc>
      </w:tr>
      <w:tr w:rsidR="00EF2AD1" w14:paraId="4E273C77" w14:textId="77777777" w:rsidTr="00EF2AD1">
        <w:trPr>
          <w:jc w:val="center"/>
        </w:trPr>
        <w:tc>
          <w:tcPr>
            <w:tcW w:w="1113" w:type="dxa"/>
          </w:tcPr>
          <w:p w14:paraId="4F56D1E6" w14:textId="77777777" w:rsidR="00EF2AD1" w:rsidRPr="006133E3" w:rsidRDefault="00EF2AD1" w:rsidP="005D21E3">
            <w:pPr>
              <w:pStyle w:val="Body"/>
              <w:rPr>
                <w:rFonts w:asciiTheme="minorHAnsi" w:hAnsiTheme="minorHAnsi" w:cstheme="minorHAnsi"/>
                <w:color w:val="000000"/>
                <w:kern w:val="28"/>
                <w:sz w:val="20"/>
                <w:szCs w:val="20"/>
              </w:rPr>
            </w:pPr>
            <w:r>
              <w:rPr>
                <w:rFonts w:asciiTheme="minorHAnsi" w:hAnsiTheme="minorHAnsi" w:cstheme="minorHAnsi"/>
                <w:color w:val="000000"/>
                <w:kern w:val="28"/>
                <w:sz w:val="20"/>
                <w:szCs w:val="20"/>
              </w:rPr>
              <w:t xml:space="preserve">Project </w:t>
            </w:r>
            <w:r w:rsidRPr="006133E3">
              <w:rPr>
                <w:rFonts w:asciiTheme="minorHAnsi" w:hAnsiTheme="minorHAnsi" w:cstheme="minorHAnsi"/>
                <w:color w:val="000000"/>
                <w:kern w:val="28"/>
                <w:sz w:val="20"/>
                <w:szCs w:val="20"/>
              </w:rPr>
              <w:t xml:space="preserve">Steering </w:t>
            </w:r>
            <w:r>
              <w:rPr>
                <w:rFonts w:asciiTheme="minorHAnsi" w:hAnsiTheme="minorHAnsi" w:cstheme="minorHAnsi"/>
                <w:color w:val="000000"/>
                <w:kern w:val="28"/>
                <w:sz w:val="20"/>
                <w:szCs w:val="20"/>
              </w:rPr>
              <w:t>G</w:t>
            </w:r>
            <w:r w:rsidRPr="006133E3">
              <w:rPr>
                <w:rFonts w:asciiTheme="minorHAnsi" w:hAnsiTheme="minorHAnsi" w:cstheme="minorHAnsi"/>
                <w:color w:val="000000"/>
                <w:kern w:val="28"/>
                <w:sz w:val="20"/>
                <w:szCs w:val="20"/>
              </w:rPr>
              <w:t>roup</w:t>
            </w:r>
          </w:p>
        </w:tc>
        <w:tc>
          <w:tcPr>
            <w:tcW w:w="3149" w:type="dxa"/>
          </w:tcPr>
          <w:p w14:paraId="50BF4463" w14:textId="77777777"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 xml:space="preserve">The </w:t>
            </w:r>
            <w:r>
              <w:rPr>
                <w:rFonts w:asciiTheme="minorHAnsi" w:hAnsiTheme="minorHAnsi" w:cstheme="minorHAnsi"/>
                <w:color w:val="000000"/>
                <w:kern w:val="28"/>
                <w:sz w:val="20"/>
                <w:szCs w:val="20"/>
              </w:rPr>
              <w:t>P</w:t>
            </w:r>
            <w:r w:rsidRPr="006133E3">
              <w:rPr>
                <w:rFonts w:asciiTheme="minorHAnsi" w:hAnsiTheme="minorHAnsi" w:cstheme="minorHAnsi"/>
                <w:color w:val="000000"/>
                <w:kern w:val="28"/>
                <w:sz w:val="20"/>
                <w:szCs w:val="20"/>
              </w:rPr>
              <w:t xml:space="preserve">roject </w:t>
            </w:r>
            <w:r>
              <w:rPr>
                <w:rFonts w:asciiTheme="minorHAnsi" w:hAnsiTheme="minorHAnsi" w:cstheme="minorHAnsi"/>
                <w:color w:val="000000"/>
                <w:kern w:val="28"/>
                <w:sz w:val="20"/>
                <w:szCs w:val="20"/>
              </w:rPr>
              <w:t>S</w:t>
            </w:r>
            <w:r w:rsidRPr="006133E3">
              <w:rPr>
                <w:rFonts w:asciiTheme="minorHAnsi" w:hAnsiTheme="minorHAnsi" w:cstheme="minorHAnsi"/>
                <w:color w:val="000000"/>
                <w:kern w:val="28"/>
                <w:sz w:val="20"/>
                <w:szCs w:val="20"/>
              </w:rPr>
              <w:t xml:space="preserve">teering </w:t>
            </w:r>
            <w:r>
              <w:rPr>
                <w:rFonts w:asciiTheme="minorHAnsi" w:hAnsiTheme="minorHAnsi" w:cstheme="minorHAnsi"/>
                <w:color w:val="000000"/>
                <w:kern w:val="28"/>
                <w:sz w:val="20"/>
                <w:szCs w:val="20"/>
              </w:rPr>
              <w:t>G</w:t>
            </w:r>
            <w:r w:rsidRPr="006133E3">
              <w:rPr>
                <w:rFonts w:asciiTheme="minorHAnsi" w:hAnsiTheme="minorHAnsi" w:cstheme="minorHAnsi"/>
                <w:color w:val="000000"/>
                <w:kern w:val="28"/>
                <w:sz w:val="20"/>
                <w:szCs w:val="20"/>
              </w:rPr>
              <w:t xml:space="preserve">roup ensures the project is specified and delivered to </w:t>
            </w:r>
            <w:proofErr w:type="gramStart"/>
            <w:r w:rsidRPr="006133E3">
              <w:rPr>
                <w:rFonts w:asciiTheme="minorHAnsi" w:hAnsiTheme="minorHAnsi" w:cstheme="minorHAnsi"/>
                <w:color w:val="000000"/>
                <w:kern w:val="28"/>
                <w:sz w:val="20"/>
                <w:szCs w:val="20"/>
              </w:rPr>
              <w:t>take into account</w:t>
            </w:r>
            <w:proofErr w:type="gramEnd"/>
            <w:r w:rsidRPr="006133E3">
              <w:rPr>
                <w:rFonts w:asciiTheme="minorHAnsi" w:hAnsiTheme="minorHAnsi" w:cstheme="minorHAnsi"/>
                <w:color w:val="000000"/>
                <w:kern w:val="28"/>
                <w:sz w:val="20"/>
                <w:szCs w:val="20"/>
              </w:rPr>
              <w:t xml:space="preserve"> different stakeholders’ needs. The group is made up of representatives from within the rail industry and other industries where appropriate.</w:t>
            </w:r>
            <w:r w:rsidRPr="006133E3">
              <w:rPr>
                <w:rFonts w:asciiTheme="minorHAnsi" w:hAnsiTheme="minorHAnsi" w:cstheme="minorHAnsi"/>
                <w:sz w:val="20"/>
                <w:szCs w:val="20"/>
              </w:rPr>
              <w:t xml:space="preserve"> </w:t>
            </w:r>
          </w:p>
        </w:tc>
        <w:tc>
          <w:tcPr>
            <w:tcW w:w="5661" w:type="dxa"/>
          </w:tcPr>
          <w:p w14:paraId="54AF7004" w14:textId="77777777" w:rsidR="00EF2AD1" w:rsidRPr="006133E3" w:rsidRDefault="00EF2AD1" w:rsidP="00DB5ED6">
            <w:pPr>
              <w:numPr>
                <w:ilvl w:val="0"/>
                <w:numId w:val="3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Provide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input to and review</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the </w:t>
            </w:r>
            <w:r>
              <w:rPr>
                <w:rFonts w:asciiTheme="minorHAnsi" w:hAnsiTheme="minorHAnsi" w:cstheme="minorHAnsi"/>
                <w:sz w:val="20"/>
                <w:szCs w:val="20"/>
                <w:lang w:eastAsia="en-GB"/>
              </w:rPr>
              <w:t>‘</w:t>
            </w:r>
            <w:r w:rsidRPr="006133E3">
              <w:rPr>
                <w:rFonts w:asciiTheme="minorHAnsi" w:hAnsiTheme="minorHAnsi" w:cstheme="minorHAnsi"/>
                <w:sz w:val="20"/>
                <w:szCs w:val="20"/>
                <w:lang w:eastAsia="en-GB"/>
              </w:rPr>
              <w:t>case for research</w:t>
            </w:r>
            <w:r>
              <w:rPr>
                <w:rFonts w:asciiTheme="minorHAnsi" w:hAnsiTheme="minorHAnsi" w:cstheme="minorHAnsi"/>
                <w:sz w:val="20"/>
                <w:szCs w:val="20"/>
                <w:lang w:eastAsia="en-GB"/>
              </w:rPr>
              <w:t>’</w:t>
            </w:r>
            <w:r w:rsidRPr="006133E3">
              <w:rPr>
                <w:rFonts w:asciiTheme="minorHAnsi" w:hAnsiTheme="minorHAnsi" w:cstheme="minorHAnsi"/>
                <w:sz w:val="20"/>
                <w:szCs w:val="20"/>
                <w:lang w:eastAsia="en-GB"/>
              </w:rPr>
              <w:t xml:space="preserve"> (i.e. the business case, specification and implementation plan)</w:t>
            </w:r>
          </w:p>
          <w:p w14:paraId="6969326D" w14:textId="77777777" w:rsidR="00EF2AD1" w:rsidRPr="006133E3" w:rsidRDefault="00EF2AD1" w:rsidP="00DB5ED6">
            <w:pPr>
              <w:numPr>
                <w:ilvl w:val="0"/>
                <w:numId w:val="3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Monitor</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and steer</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w:t>
            </w:r>
            <w:r>
              <w:rPr>
                <w:rFonts w:asciiTheme="minorHAnsi" w:hAnsiTheme="minorHAnsi" w:cstheme="minorHAnsi"/>
                <w:sz w:val="20"/>
                <w:szCs w:val="20"/>
                <w:lang w:eastAsia="en-GB"/>
              </w:rPr>
              <w:t xml:space="preserve">the </w:t>
            </w:r>
            <w:r w:rsidRPr="006133E3">
              <w:rPr>
                <w:rFonts w:asciiTheme="minorHAnsi" w:hAnsiTheme="minorHAnsi" w:cstheme="minorHAnsi"/>
                <w:sz w:val="20"/>
                <w:szCs w:val="20"/>
                <w:lang w:eastAsia="en-GB"/>
              </w:rPr>
              <w:t>project through delivery</w:t>
            </w:r>
          </w:p>
          <w:p w14:paraId="03C06BCC" w14:textId="77777777" w:rsidR="00EF2AD1" w:rsidRPr="006133E3" w:rsidRDefault="00EF2AD1" w:rsidP="00DB5ED6">
            <w:pPr>
              <w:numPr>
                <w:ilvl w:val="0"/>
                <w:numId w:val="3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If required, facilitate</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access to industry data, people and equipment needed to deliver the project</w:t>
            </w:r>
          </w:p>
          <w:p w14:paraId="07F42FAE" w14:textId="77777777" w:rsidR="00EF2AD1" w:rsidRPr="006133E3" w:rsidRDefault="00EF2AD1" w:rsidP="00DB5ED6">
            <w:pPr>
              <w:numPr>
                <w:ilvl w:val="0"/>
                <w:numId w:val="3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Attend</w:t>
            </w:r>
            <w:r>
              <w:rPr>
                <w:rFonts w:asciiTheme="minorHAnsi" w:hAnsiTheme="minorHAnsi" w:cstheme="minorHAnsi"/>
                <w:sz w:val="20"/>
                <w:szCs w:val="20"/>
                <w:lang w:eastAsia="en-GB"/>
              </w:rPr>
              <w:t>s</w:t>
            </w:r>
            <w:r w:rsidRPr="006133E3">
              <w:rPr>
                <w:rFonts w:asciiTheme="minorHAnsi" w:hAnsiTheme="minorHAnsi" w:cstheme="minorHAnsi"/>
                <w:sz w:val="20"/>
                <w:szCs w:val="20"/>
                <w:lang w:eastAsia="en-GB"/>
              </w:rPr>
              <w:t xml:space="preserve"> meetings with Project Team and suppliers</w:t>
            </w:r>
          </w:p>
          <w:p w14:paraId="3DD5CD06" w14:textId="77777777" w:rsidR="00EF2AD1" w:rsidRPr="006133E3" w:rsidRDefault="00EF2AD1" w:rsidP="00DB5ED6">
            <w:pPr>
              <w:numPr>
                <w:ilvl w:val="0"/>
                <w:numId w:val="3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Reviews draft and final output(s)</w:t>
            </w:r>
          </w:p>
        </w:tc>
      </w:tr>
      <w:tr w:rsidR="00EF2AD1" w14:paraId="654F30D7" w14:textId="77777777" w:rsidTr="00EF2AD1">
        <w:trPr>
          <w:jc w:val="center"/>
        </w:trPr>
        <w:tc>
          <w:tcPr>
            <w:tcW w:w="1113" w:type="dxa"/>
          </w:tcPr>
          <w:p w14:paraId="5247808A" w14:textId="77777777" w:rsidR="00EF2AD1" w:rsidRPr="006133E3" w:rsidRDefault="00EF2AD1" w:rsidP="005D21E3">
            <w:pPr>
              <w:pStyle w:val="Body"/>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Primary Client Group</w:t>
            </w:r>
          </w:p>
        </w:tc>
        <w:tc>
          <w:tcPr>
            <w:tcW w:w="3149" w:type="dxa"/>
          </w:tcPr>
          <w:p w14:paraId="1C1B09C6" w14:textId="179AA4AC" w:rsidR="00EF2AD1" w:rsidRPr="006133E3" w:rsidRDefault="00EF2AD1" w:rsidP="005D21E3">
            <w:pPr>
              <w:pStyle w:val="NormalWeb"/>
              <w:spacing w:before="40" w:beforeAutospacing="0" w:after="40" w:afterAutospacing="0" w:line="260" w:lineRule="exact"/>
              <w:rPr>
                <w:rFonts w:asciiTheme="minorHAnsi" w:hAnsiTheme="minorHAnsi" w:cstheme="minorHAnsi"/>
                <w:color w:val="000000"/>
                <w:kern w:val="28"/>
                <w:sz w:val="20"/>
                <w:szCs w:val="20"/>
              </w:rPr>
            </w:pPr>
            <w:r w:rsidRPr="006133E3">
              <w:rPr>
                <w:rFonts w:asciiTheme="minorHAnsi" w:hAnsiTheme="minorHAnsi" w:cstheme="minorHAnsi"/>
                <w:color w:val="000000"/>
                <w:kern w:val="28"/>
                <w:sz w:val="20"/>
                <w:szCs w:val="20"/>
              </w:rPr>
              <w:t>The primary client group is an established industry group that has responsibility to steer and oversee activities in a specific topic area.</w:t>
            </w:r>
          </w:p>
        </w:tc>
        <w:tc>
          <w:tcPr>
            <w:tcW w:w="5661" w:type="dxa"/>
          </w:tcPr>
          <w:p w14:paraId="5452AA06" w14:textId="77777777" w:rsidR="00EF2AD1" w:rsidRPr="006133E3" w:rsidRDefault="00EF2AD1" w:rsidP="00DB5ED6">
            <w:pPr>
              <w:numPr>
                <w:ilvl w:val="0"/>
                <w:numId w:val="3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Comment on research ideas and consider outcomes from idea review activities that RSSB undertakes</w:t>
            </w:r>
          </w:p>
          <w:p w14:paraId="025191C2" w14:textId="77777777" w:rsidR="00EF2AD1" w:rsidRPr="006133E3" w:rsidRDefault="00EF2AD1" w:rsidP="00DB5ED6">
            <w:pPr>
              <w:numPr>
                <w:ilvl w:val="0"/>
                <w:numId w:val="32"/>
              </w:numPr>
              <w:spacing w:line="276" w:lineRule="auto"/>
              <w:rPr>
                <w:rFonts w:asciiTheme="minorHAnsi" w:hAnsiTheme="minorHAnsi" w:cstheme="minorHAnsi"/>
                <w:sz w:val="20"/>
                <w:szCs w:val="20"/>
                <w:lang w:eastAsia="en-GB"/>
              </w:rPr>
            </w:pPr>
            <w:r w:rsidRPr="006133E3">
              <w:rPr>
                <w:rFonts w:asciiTheme="minorHAnsi" w:hAnsiTheme="minorHAnsi" w:cstheme="minorHAnsi"/>
                <w:sz w:val="20"/>
                <w:szCs w:val="20"/>
                <w:lang w:eastAsia="en-GB"/>
              </w:rPr>
              <w:t xml:space="preserve">Review and endorses the </w:t>
            </w:r>
            <w:r>
              <w:rPr>
                <w:rFonts w:asciiTheme="minorHAnsi" w:hAnsiTheme="minorHAnsi" w:cstheme="minorHAnsi"/>
                <w:sz w:val="20"/>
                <w:szCs w:val="20"/>
                <w:lang w:eastAsia="en-GB"/>
              </w:rPr>
              <w:t>‘</w:t>
            </w:r>
            <w:r w:rsidRPr="006133E3">
              <w:rPr>
                <w:rFonts w:asciiTheme="minorHAnsi" w:hAnsiTheme="minorHAnsi" w:cstheme="minorHAnsi"/>
                <w:sz w:val="20"/>
                <w:szCs w:val="20"/>
                <w:lang w:eastAsia="en-GB"/>
              </w:rPr>
              <w:t>case for research</w:t>
            </w:r>
            <w:r>
              <w:rPr>
                <w:rFonts w:asciiTheme="minorHAnsi" w:hAnsiTheme="minorHAnsi" w:cstheme="minorHAnsi"/>
                <w:sz w:val="20"/>
                <w:szCs w:val="20"/>
                <w:lang w:eastAsia="en-GB"/>
              </w:rPr>
              <w:t>’</w:t>
            </w:r>
            <w:r w:rsidRPr="006133E3">
              <w:rPr>
                <w:rFonts w:asciiTheme="minorHAnsi" w:hAnsiTheme="minorHAnsi" w:cstheme="minorHAnsi"/>
                <w:sz w:val="20"/>
                <w:szCs w:val="20"/>
                <w:lang w:eastAsia="en-GB"/>
              </w:rPr>
              <w:t xml:space="preserve"> before it goes for budget authority</w:t>
            </w:r>
          </w:p>
          <w:p w14:paraId="0E517055" w14:textId="77777777" w:rsidR="00EF2AD1" w:rsidRPr="006133E3" w:rsidRDefault="00EF2AD1" w:rsidP="00DB5ED6">
            <w:pPr>
              <w:numPr>
                <w:ilvl w:val="0"/>
                <w:numId w:val="32"/>
              </w:numPr>
              <w:spacing w:line="276" w:lineRule="auto"/>
              <w:rPr>
                <w:rFonts w:asciiTheme="minorHAnsi" w:hAnsiTheme="minorHAnsi" w:cstheme="minorHAnsi"/>
                <w:color w:val="000000"/>
                <w:kern w:val="28"/>
                <w:sz w:val="20"/>
                <w:szCs w:val="20"/>
              </w:rPr>
            </w:pPr>
            <w:r w:rsidRPr="006133E3">
              <w:rPr>
                <w:rFonts w:asciiTheme="minorHAnsi" w:hAnsiTheme="minorHAnsi" w:cstheme="minorHAnsi"/>
                <w:sz w:val="20"/>
                <w:szCs w:val="20"/>
                <w:lang w:eastAsia="en-GB"/>
              </w:rPr>
              <w:t>Endorse the findings and support their implementation</w:t>
            </w:r>
          </w:p>
        </w:tc>
      </w:tr>
    </w:tbl>
    <w:p w14:paraId="7C7034B2" w14:textId="493B1D04" w:rsidR="00EF2AD1" w:rsidRPr="00EF2AD1" w:rsidRDefault="00EF2AD1" w:rsidP="00EF2AD1">
      <w:pPr>
        <w:pStyle w:val="Body"/>
        <w:sectPr w:rsidR="00EF2AD1" w:rsidRPr="00EF2AD1" w:rsidSect="00D26B62">
          <w:pgSz w:w="11906" w:h="16838"/>
          <w:pgMar w:top="1985" w:right="1985" w:bottom="1985" w:left="1985" w:header="567" w:footer="567" w:gutter="0"/>
          <w:cols w:space="708"/>
          <w:docGrid w:linePitch="360"/>
        </w:sectPr>
      </w:pPr>
    </w:p>
    <w:p w14:paraId="77A29A01" w14:textId="20E34285" w:rsidR="00694131" w:rsidRPr="00191D59" w:rsidRDefault="00032803" w:rsidP="00DB5ED6">
      <w:pPr>
        <w:pStyle w:val="Heading10"/>
        <w:keepNext/>
        <w:numPr>
          <w:ilvl w:val="0"/>
          <w:numId w:val="41"/>
        </w:numPr>
        <w:outlineLvl w:val="9"/>
        <w:rPr>
          <w:rFonts w:ascii="Calibri" w:hAnsi="Calibri"/>
        </w:rPr>
      </w:pPr>
      <w:r w:rsidRPr="004161CA">
        <w:rPr>
          <w:rFonts w:ascii="Calibri" w:hAnsi="Calibri"/>
        </w:rPr>
        <w:lastRenderedPageBreak/>
        <w:t>Budget, timescales and responsibilities</w:t>
      </w:r>
    </w:p>
    <w:p w14:paraId="7F68ED39" w14:textId="47FF0F8D" w:rsidR="00DC5230" w:rsidRPr="00053C28" w:rsidRDefault="00E3480B" w:rsidP="00694131">
      <w:pPr>
        <w:rPr>
          <w:rFonts w:ascii="Calibri" w:hAnsi="Calibri" w:cs="Arial"/>
          <w:sz w:val="22"/>
          <w:szCs w:val="22"/>
          <w:lang w:eastAsia="en-GB"/>
        </w:rPr>
      </w:pPr>
      <w:r w:rsidRPr="00053C28">
        <w:rPr>
          <w:rFonts w:ascii="Calibri" w:hAnsi="Calibri" w:cs="Arial"/>
          <w:sz w:val="22"/>
          <w:szCs w:val="22"/>
          <w:lang w:eastAsia="en-GB"/>
        </w:rPr>
        <w:t>The budget for this work is up to</w:t>
      </w:r>
      <w:r w:rsidR="00853AFA" w:rsidRPr="00053C28">
        <w:rPr>
          <w:rFonts w:ascii="Calibri" w:hAnsi="Calibri" w:cs="Arial"/>
          <w:sz w:val="22"/>
          <w:szCs w:val="22"/>
          <w:lang w:eastAsia="en-GB"/>
        </w:rPr>
        <w:t xml:space="preserve"> </w:t>
      </w:r>
      <w:r w:rsidR="00637E2D">
        <w:rPr>
          <w:rFonts w:ascii="Calibri" w:hAnsi="Calibri" w:cs="Arial"/>
          <w:sz w:val="22"/>
          <w:szCs w:val="22"/>
          <w:lang w:eastAsia="en-GB"/>
        </w:rPr>
        <w:t>£90,000</w:t>
      </w:r>
      <w:r w:rsidR="003973AF">
        <w:rPr>
          <w:rFonts w:ascii="Calibri" w:hAnsi="Calibri" w:cs="Arial"/>
          <w:sz w:val="22"/>
          <w:szCs w:val="22"/>
          <w:lang w:eastAsia="en-GB"/>
        </w:rPr>
        <w:t xml:space="preserve">. </w:t>
      </w:r>
      <w:r w:rsidR="00DC5230" w:rsidRPr="00053C28">
        <w:rPr>
          <w:rFonts w:ascii="Calibri" w:hAnsi="Calibri" w:cs="Arial"/>
          <w:sz w:val="22"/>
          <w:szCs w:val="22"/>
          <w:lang w:eastAsia="en-GB"/>
        </w:rPr>
        <w:t>If, whilst compiling a response, tenderers determine that it is not feasible to submit a quote to this budget but still wish to provide a response, they shall:</w:t>
      </w:r>
    </w:p>
    <w:p w14:paraId="1323821B" w14:textId="42C25E5E" w:rsidR="00DC5230" w:rsidRPr="00053C28" w:rsidRDefault="007F30D2" w:rsidP="00DB5ED6">
      <w:pPr>
        <w:pStyle w:val="ListParagraph"/>
        <w:numPr>
          <w:ilvl w:val="0"/>
          <w:numId w:val="30"/>
        </w:numPr>
        <w:rPr>
          <w:rFonts w:ascii="Calibri" w:hAnsi="Calibri" w:cs="Arial"/>
          <w:sz w:val="22"/>
          <w:szCs w:val="22"/>
          <w:lang w:eastAsia="en-GB"/>
        </w:rPr>
      </w:pPr>
      <w:r w:rsidRPr="00053C28">
        <w:rPr>
          <w:rFonts w:ascii="Calibri" w:hAnsi="Calibri" w:cs="Arial"/>
          <w:sz w:val="22"/>
          <w:szCs w:val="22"/>
          <w:lang w:eastAsia="en-GB"/>
        </w:rPr>
        <w:t>Provide a quote for all work as requested, even if this exceeds the budget. This allows RSSB to conduct a like-for-like comparison as required by the evaluation criteria. Those who price within RSSB’s budget will score more highly in line with the pricing calculation, however, higher bids will not be automatically disqualified.</w:t>
      </w:r>
    </w:p>
    <w:p w14:paraId="35AB0A4D" w14:textId="18A02CFD" w:rsidR="00EF7F13" w:rsidRPr="00053C28" w:rsidRDefault="00EF7F13" w:rsidP="00DB5ED6">
      <w:pPr>
        <w:pStyle w:val="ListParagraph"/>
        <w:numPr>
          <w:ilvl w:val="0"/>
          <w:numId w:val="30"/>
        </w:numPr>
        <w:rPr>
          <w:rFonts w:ascii="Calibri" w:hAnsi="Calibri" w:cs="Arial"/>
          <w:sz w:val="22"/>
          <w:szCs w:val="22"/>
          <w:lang w:eastAsia="en-GB"/>
        </w:rPr>
      </w:pPr>
      <w:r w:rsidRPr="00053C28">
        <w:rPr>
          <w:rFonts w:ascii="Calibri" w:hAnsi="Calibri" w:cs="Arial"/>
          <w:sz w:val="22"/>
          <w:szCs w:val="22"/>
          <w:lang w:eastAsia="en-GB"/>
        </w:rPr>
        <w:t xml:space="preserve">Provide a supporting explanation as to why an increase in budget is required to deliver the work to a good standard. </w:t>
      </w:r>
    </w:p>
    <w:p w14:paraId="429F87C9" w14:textId="30D328CF" w:rsidR="00694131" w:rsidRPr="00694131" w:rsidRDefault="00694131" w:rsidP="00694131">
      <w:pPr>
        <w:rPr>
          <w:rFonts w:ascii="Calibri" w:hAnsi="Calibri" w:cs="Arial"/>
          <w:sz w:val="22"/>
          <w:szCs w:val="22"/>
          <w:lang w:eastAsia="en-GB"/>
        </w:rPr>
      </w:pPr>
    </w:p>
    <w:p w14:paraId="7D29026E" w14:textId="60779B34" w:rsidR="00032803" w:rsidRDefault="0055621F" w:rsidP="00694131">
      <w:pPr>
        <w:rPr>
          <w:rFonts w:ascii="Calibri" w:hAnsi="Calibri" w:cs="Arial"/>
          <w:sz w:val="22"/>
          <w:szCs w:val="22"/>
          <w:lang w:eastAsia="en-GB"/>
        </w:rPr>
      </w:pPr>
      <w:r w:rsidRPr="0055621F">
        <w:rPr>
          <w:rFonts w:ascii="Calibri" w:hAnsi="Calibri" w:cs="Arial"/>
          <w:sz w:val="22"/>
          <w:szCs w:val="22"/>
          <w:lang w:eastAsia="en-GB"/>
        </w:rPr>
        <w:t xml:space="preserve">RSSB expects the work to start in </w:t>
      </w:r>
      <w:r w:rsidR="00FC183F">
        <w:rPr>
          <w:rFonts w:ascii="Calibri" w:hAnsi="Calibri" w:cs="Arial"/>
          <w:sz w:val="22"/>
          <w:szCs w:val="22"/>
          <w:lang w:eastAsia="en-GB"/>
        </w:rPr>
        <w:t>November</w:t>
      </w:r>
      <w:r w:rsidR="00474BC4">
        <w:rPr>
          <w:rFonts w:ascii="Calibri" w:hAnsi="Calibri" w:cs="Arial"/>
          <w:sz w:val="22"/>
          <w:szCs w:val="22"/>
          <w:lang w:eastAsia="en-GB"/>
        </w:rPr>
        <w:t xml:space="preserve"> 2020</w:t>
      </w:r>
      <w:r w:rsidRPr="0055621F">
        <w:rPr>
          <w:rFonts w:ascii="Calibri" w:hAnsi="Calibri" w:cs="Arial"/>
          <w:sz w:val="22"/>
          <w:szCs w:val="22"/>
          <w:lang w:eastAsia="en-GB"/>
        </w:rPr>
        <w:t xml:space="preserve"> and be delivered at pace. We envisage this research to take less than </w:t>
      </w:r>
      <w:r w:rsidR="003C38C2">
        <w:rPr>
          <w:rFonts w:ascii="Calibri" w:hAnsi="Calibri" w:cs="Arial"/>
          <w:sz w:val="22"/>
          <w:szCs w:val="22"/>
          <w:lang w:eastAsia="en-GB"/>
        </w:rPr>
        <w:t>10</w:t>
      </w:r>
      <w:r w:rsidRPr="0055621F">
        <w:rPr>
          <w:rFonts w:ascii="Calibri" w:hAnsi="Calibri" w:cs="Arial"/>
          <w:sz w:val="22"/>
          <w:szCs w:val="22"/>
          <w:lang w:eastAsia="en-GB"/>
        </w:rPr>
        <w:t xml:space="preserve"> months to complete. However, these are indicative dates and RSSB will consider bids that cannot meet these expectations if the supplier includes a robust project plan and an explanation as to why they cannot meet the preferred start and end dates, while still meeting the project objectives.</w:t>
      </w:r>
    </w:p>
    <w:p w14:paraId="43552F27" w14:textId="77777777" w:rsidR="00B75AB2" w:rsidRPr="00694131" w:rsidRDefault="00B75AB2" w:rsidP="00694131">
      <w:pPr>
        <w:rPr>
          <w:rFonts w:ascii="Calibri" w:hAnsi="Calibri" w:cs="Arial"/>
          <w:sz w:val="22"/>
          <w:szCs w:val="22"/>
          <w:lang w:eastAsia="en-GB"/>
        </w:rPr>
      </w:pPr>
    </w:p>
    <w:p w14:paraId="60CC24C2" w14:textId="497BA409" w:rsidR="00032803" w:rsidRPr="004161CA" w:rsidRDefault="00CA7DFA" w:rsidP="00DB5ED6">
      <w:pPr>
        <w:pStyle w:val="Heading10"/>
        <w:keepNext/>
        <w:numPr>
          <w:ilvl w:val="0"/>
          <w:numId w:val="41"/>
        </w:numPr>
        <w:outlineLvl w:val="9"/>
        <w:rPr>
          <w:rFonts w:ascii="Calibri" w:hAnsi="Calibri"/>
        </w:rPr>
      </w:pPr>
      <w:r w:rsidRPr="001264DF">
        <w:rPr>
          <w:rFonts w:ascii="Calibri" w:hAnsi="Calibri"/>
        </w:rPr>
        <w:t xml:space="preserve"> </w:t>
      </w:r>
      <w:bookmarkStart w:id="2" w:name="_Hlk45200762"/>
      <w:r w:rsidR="00032803" w:rsidRPr="004161CA">
        <w:rPr>
          <w:rFonts w:ascii="Calibri" w:hAnsi="Calibri"/>
        </w:rPr>
        <w:t xml:space="preserve">Critical success </w:t>
      </w:r>
      <w:r w:rsidR="00E3480B">
        <w:rPr>
          <w:rFonts w:ascii="Calibri" w:hAnsi="Calibri"/>
        </w:rPr>
        <w:t>criteria</w:t>
      </w:r>
      <w:r w:rsidR="00032803" w:rsidRPr="004161CA">
        <w:rPr>
          <w:rFonts w:ascii="Calibri" w:hAnsi="Calibri"/>
        </w:rPr>
        <w:t xml:space="preserve"> and risk management</w:t>
      </w:r>
    </w:p>
    <w:bookmarkEnd w:id="2"/>
    <w:p w14:paraId="12AB1AEB" w14:textId="77777777" w:rsidR="00610B0B" w:rsidRPr="00610B0B" w:rsidRDefault="00610B0B" w:rsidP="00610B0B">
      <w:pPr>
        <w:rPr>
          <w:rFonts w:ascii="Calibri" w:hAnsi="Calibri" w:cs="Arial"/>
          <w:sz w:val="22"/>
          <w:szCs w:val="22"/>
          <w:lang w:eastAsia="en-GB"/>
        </w:rPr>
      </w:pPr>
      <w:r w:rsidRPr="00610B0B">
        <w:rPr>
          <w:rFonts w:ascii="Calibri" w:hAnsi="Calibri" w:cs="Arial"/>
          <w:sz w:val="22"/>
          <w:szCs w:val="22"/>
          <w:lang w:eastAsia="en-GB"/>
        </w:rPr>
        <w:t>The followin</w:t>
      </w:r>
      <w:r w:rsidR="000545C4">
        <w:rPr>
          <w:rFonts w:ascii="Calibri" w:hAnsi="Calibri" w:cs="Arial"/>
          <w:sz w:val="22"/>
          <w:szCs w:val="22"/>
          <w:lang w:eastAsia="en-GB"/>
        </w:rPr>
        <w:t xml:space="preserve">g critical success </w:t>
      </w:r>
      <w:r w:rsidR="00BF600D">
        <w:rPr>
          <w:rFonts w:ascii="Calibri" w:hAnsi="Calibri" w:cs="Arial"/>
          <w:sz w:val="22"/>
          <w:szCs w:val="22"/>
          <w:lang w:eastAsia="en-GB"/>
        </w:rPr>
        <w:t>criteria</w:t>
      </w:r>
      <w:r w:rsidRPr="00610B0B">
        <w:rPr>
          <w:rFonts w:ascii="Calibri" w:hAnsi="Calibri" w:cs="Arial"/>
          <w:sz w:val="22"/>
          <w:szCs w:val="22"/>
          <w:lang w:eastAsia="en-GB"/>
        </w:rPr>
        <w:t xml:space="preserve"> have been identified to help ensure successful delivery and </w:t>
      </w:r>
      <w:r w:rsidR="009D19CA">
        <w:rPr>
          <w:rFonts w:ascii="Calibri" w:hAnsi="Calibri" w:cs="Arial"/>
          <w:sz w:val="22"/>
          <w:szCs w:val="22"/>
          <w:lang w:eastAsia="en-GB"/>
        </w:rPr>
        <w:t>to increase</w:t>
      </w:r>
      <w:r w:rsidRPr="00610B0B">
        <w:rPr>
          <w:rFonts w:ascii="Calibri" w:hAnsi="Calibri" w:cs="Arial"/>
          <w:sz w:val="22"/>
          <w:szCs w:val="22"/>
          <w:lang w:eastAsia="en-GB"/>
        </w:rPr>
        <w:t xml:space="preserve"> likelihood of ind</w:t>
      </w:r>
      <w:r>
        <w:rPr>
          <w:rFonts w:ascii="Calibri" w:hAnsi="Calibri" w:cs="Arial"/>
          <w:sz w:val="22"/>
          <w:szCs w:val="22"/>
          <w:lang w:eastAsia="en-GB"/>
        </w:rPr>
        <w:t xml:space="preserve">ustry </w:t>
      </w:r>
      <w:r w:rsidRPr="00610B0B">
        <w:rPr>
          <w:rFonts w:ascii="Calibri" w:hAnsi="Calibri" w:cs="Arial"/>
          <w:sz w:val="22"/>
          <w:szCs w:val="22"/>
          <w:lang w:eastAsia="en-GB"/>
        </w:rPr>
        <w:t>acceptance/implementation</w:t>
      </w:r>
      <w:r w:rsidR="00823507">
        <w:rPr>
          <w:rFonts w:ascii="Calibri" w:hAnsi="Calibri" w:cs="Arial"/>
          <w:sz w:val="22"/>
          <w:szCs w:val="22"/>
          <w:lang w:eastAsia="en-GB"/>
        </w:rPr>
        <w:t>:</w:t>
      </w:r>
    </w:p>
    <w:p w14:paraId="0FBF4C0D" w14:textId="1115669C" w:rsidR="00BE0091" w:rsidRPr="00BE0091" w:rsidRDefault="00BE0091" w:rsidP="00BE0091">
      <w:pPr>
        <w:pStyle w:val="ListParagraph"/>
        <w:numPr>
          <w:ilvl w:val="0"/>
          <w:numId w:val="24"/>
        </w:numPr>
        <w:rPr>
          <w:rFonts w:asciiTheme="minorHAnsi" w:hAnsiTheme="minorHAnsi"/>
          <w:sz w:val="22"/>
          <w:szCs w:val="22"/>
        </w:rPr>
      </w:pPr>
      <w:r>
        <w:rPr>
          <w:rFonts w:asciiTheme="minorHAnsi" w:hAnsiTheme="minorHAnsi"/>
          <w:sz w:val="22"/>
          <w:szCs w:val="22"/>
        </w:rPr>
        <w:t>Ability to engage with industry stakeholders to secure data and case studies</w:t>
      </w:r>
    </w:p>
    <w:p w14:paraId="26BACFE6" w14:textId="77777777" w:rsidR="00610B0B" w:rsidRDefault="00610B0B" w:rsidP="00610B0B">
      <w:pPr>
        <w:rPr>
          <w:rFonts w:cs="Arial"/>
          <w:lang w:eastAsia="en-GB"/>
        </w:rPr>
      </w:pPr>
    </w:p>
    <w:p w14:paraId="67C663B9" w14:textId="5AE3D944" w:rsidR="000545C4" w:rsidRPr="000545C4" w:rsidRDefault="000545C4" w:rsidP="00610B0B">
      <w:pPr>
        <w:rPr>
          <w:rFonts w:ascii="Calibri" w:hAnsi="Calibri" w:cs="Arial"/>
          <w:sz w:val="22"/>
          <w:szCs w:val="22"/>
          <w:lang w:eastAsia="en-GB"/>
        </w:rPr>
      </w:pPr>
      <w:r w:rsidRPr="000545C4">
        <w:rPr>
          <w:rFonts w:ascii="Calibri" w:hAnsi="Calibri" w:cs="Arial"/>
          <w:sz w:val="22"/>
          <w:szCs w:val="22"/>
          <w:lang w:eastAsia="en-GB"/>
        </w:rPr>
        <w:t xml:space="preserve">The </w:t>
      </w:r>
      <w:r>
        <w:rPr>
          <w:rFonts w:ascii="Calibri" w:hAnsi="Calibri" w:cs="Arial"/>
          <w:sz w:val="22"/>
          <w:szCs w:val="22"/>
          <w:lang w:eastAsia="en-GB"/>
        </w:rPr>
        <w:t xml:space="preserve">following </w:t>
      </w:r>
      <w:r w:rsidR="00155CBF">
        <w:rPr>
          <w:rFonts w:ascii="Calibri" w:hAnsi="Calibri" w:cs="Arial"/>
          <w:sz w:val="22"/>
          <w:szCs w:val="22"/>
          <w:lang w:eastAsia="en-GB"/>
        </w:rPr>
        <w:t xml:space="preserve">initial </w:t>
      </w:r>
      <w:r>
        <w:rPr>
          <w:rFonts w:ascii="Calibri" w:hAnsi="Calibri" w:cs="Arial"/>
          <w:sz w:val="22"/>
          <w:szCs w:val="22"/>
          <w:lang w:eastAsia="en-GB"/>
        </w:rPr>
        <w:t>risks have been identified</w:t>
      </w:r>
      <w:r w:rsidR="00BA6FB0">
        <w:rPr>
          <w:rFonts w:ascii="Calibri" w:hAnsi="Calibri" w:cs="Arial"/>
          <w:sz w:val="22"/>
          <w:szCs w:val="22"/>
          <w:lang w:eastAsia="en-GB"/>
        </w:rPr>
        <w:t xml:space="preserve"> to highlight where the </w:t>
      </w:r>
      <w:r w:rsidR="00663105">
        <w:rPr>
          <w:rFonts w:ascii="Calibri" w:hAnsi="Calibri" w:cs="Arial"/>
          <w:sz w:val="22"/>
          <w:szCs w:val="22"/>
          <w:lang w:eastAsia="en-GB"/>
        </w:rPr>
        <w:t>project</w:t>
      </w:r>
      <w:r w:rsidR="00BA6FB0">
        <w:rPr>
          <w:rFonts w:ascii="Calibri" w:hAnsi="Calibri" w:cs="Arial"/>
          <w:sz w:val="22"/>
          <w:szCs w:val="22"/>
          <w:lang w:eastAsia="en-GB"/>
        </w:rPr>
        <w:t xml:space="preserve"> may encounter issues</w:t>
      </w:r>
      <w:r w:rsidR="006C1BA3">
        <w:rPr>
          <w:rFonts w:ascii="Calibri" w:hAnsi="Calibri" w:cs="Arial"/>
          <w:sz w:val="22"/>
          <w:szCs w:val="22"/>
          <w:lang w:eastAsia="en-GB"/>
        </w:rPr>
        <w:t xml:space="preserve"> during delivery</w:t>
      </w:r>
      <w:r w:rsidR="00155CBF">
        <w:rPr>
          <w:rFonts w:ascii="Calibri" w:hAnsi="Calibri" w:cs="Arial"/>
          <w:sz w:val="22"/>
          <w:szCs w:val="22"/>
          <w:lang w:eastAsia="en-GB"/>
        </w:rPr>
        <w:t>, the supplier will be expected to propose approaches to mitigate these risks and any others they perceive</w:t>
      </w:r>
      <w:r>
        <w:rPr>
          <w:rFonts w:ascii="Calibri" w:hAnsi="Calibri" w:cs="Arial"/>
          <w:sz w:val="22"/>
          <w:szCs w:val="22"/>
          <w:lang w:eastAsia="en-GB"/>
        </w:rPr>
        <w:t>:</w:t>
      </w:r>
    </w:p>
    <w:p w14:paraId="40ECA0C0" w14:textId="75B6F3CC" w:rsidR="000545C4" w:rsidRDefault="00C955E4" w:rsidP="00DB5ED6">
      <w:pPr>
        <w:pStyle w:val="ListParagraph"/>
        <w:numPr>
          <w:ilvl w:val="0"/>
          <w:numId w:val="24"/>
        </w:numPr>
        <w:rPr>
          <w:rFonts w:asciiTheme="minorHAnsi" w:hAnsiTheme="minorHAnsi"/>
          <w:sz w:val="22"/>
          <w:szCs w:val="22"/>
        </w:rPr>
      </w:pPr>
      <w:r>
        <w:rPr>
          <w:rFonts w:asciiTheme="minorHAnsi" w:hAnsiTheme="minorHAnsi"/>
          <w:sz w:val="22"/>
          <w:szCs w:val="22"/>
        </w:rPr>
        <w:t>Issue gaining access to robust data for sander components and sub-systems</w:t>
      </w:r>
    </w:p>
    <w:p w14:paraId="06B3E18F" w14:textId="0300559D" w:rsidR="00502AC3" w:rsidRDefault="00502AC3" w:rsidP="00DB5ED6">
      <w:pPr>
        <w:pStyle w:val="ListParagraph"/>
        <w:numPr>
          <w:ilvl w:val="0"/>
          <w:numId w:val="24"/>
        </w:numPr>
        <w:rPr>
          <w:rFonts w:asciiTheme="minorHAnsi" w:hAnsiTheme="minorHAnsi"/>
          <w:sz w:val="22"/>
          <w:szCs w:val="22"/>
        </w:rPr>
      </w:pPr>
      <w:r>
        <w:rPr>
          <w:rFonts w:asciiTheme="minorHAnsi" w:hAnsiTheme="minorHAnsi"/>
          <w:sz w:val="22"/>
          <w:szCs w:val="22"/>
        </w:rPr>
        <w:t>Access to depots and depot staff</w:t>
      </w:r>
    </w:p>
    <w:p w14:paraId="25DC3B46" w14:textId="740BF6F6" w:rsidR="00BF1853" w:rsidRPr="00A161AA" w:rsidRDefault="00A161AA" w:rsidP="00DB5ED6">
      <w:pPr>
        <w:pStyle w:val="ListParagraph"/>
        <w:numPr>
          <w:ilvl w:val="0"/>
          <w:numId w:val="24"/>
        </w:numPr>
        <w:rPr>
          <w:rFonts w:asciiTheme="minorHAnsi" w:hAnsiTheme="minorHAnsi"/>
          <w:sz w:val="22"/>
          <w:szCs w:val="22"/>
        </w:rPr>
        <w:sectPr w:rsidR="00BF1853" w:rsidRPr="00A161AA" w:rsidSect="00D65B95">
          <w:pgSz w:w="11906" w:h="16838"/>
          <w:pgMar w:top="1985" w:right="1985" w:bottom="1985" w:left="1985" w:header="567" w:footer="567" w:gutter="0"/>
          <w:cols w:space="708"/>
          <w:docGrid w:linePitch="360"/>
        </w:sectPr>
      </w:pPr>
      <w:r>
        <w:rPr>
          <w:rFonts w:asciiTheme="minorHAnsi" w:hAnsiTheme="minorHAnsi"/>
          <w:sz w:val="22"/>
          <w:szCs w:val="22"/>
        </w:rPr>
        <w:t>Scope creep</w:t>
      </w:r>
    </w:p>
    <w:p w14:paraId="59FCA981" w14:textId="2750BE32" w:rsidR="007808E9" w:rsidRPr="00152BBC" w:rsidRDefault="00032803" w:rsidP="00DB5ED6">
      <w:pPr>
        <w:pStyle w:val="Heading10"/>
        <w:keepNext/>
        <w:numPr>
          <w:ilvl w:val="0"/>
          <w:numId w:val="41"/>
        </w:numPr>
        <w:spacing w:afterLines="60" w:after="144" w:line="240" w:lineRule="auto"/>
        <w:outlineLvl w:val="9"/>
        <w:rPr>
          <w:rFonts w:ascii="Calibri" w:hAnsi="Calibri"/>
        </w:rPr>
      </w:pPr>
      <w:r w:rsidRPr="002A7F4D">
        <w:rPr>
          <w:rFonts w:ascii="Calibri" w:hAnsi="Calibri"/>
        </w:rPr>
        <w:lastRenderedPageBreak/>
        <w:t>Selection and award criteria</w:t>
      </w:r>
    </w:p>
    <w:p w14:paraId="50E1C2BA" w14:textId="116D6EBB" w:rsidR="00610DB9" w:rsidRDefault="00AC6DE9" w:rsidP="00D754F7">
      <w:pPr>
        <w:pStyle w:val="Body"/>
        <w:spacing w:afterLines="60" w:after="144" w:line="240" w:lineRule="auto"/>
        <w:rPr>
          <w:b/>
        </w:rPr>
      </w:pPr>
      <w:r>
        <w:rPr>
          <w:b/>
        </w:rPr>
        <w:t xml:space="preserve">Tenderers must carefully read the selection criteria </w:t>
      </w:r>
      <w:r w:rsidR="0085734D">
        <w:rPr>
          <w:b/>
        </w:rPr>
        <w:t xml:space="preserve">in order to address </w:t>
      </w:r>
      <w:r w:rsidR="00A24757">
        <w:rPr>
          <w:b/>
        </w:rPr>
        <w:t>EACH</w:t>
      </w:r>
      <w:r w:rsidR="0085734D">
        <w:rPr>
          <w:b/>
        </w:rPr>
        <w:t xml:space="preserve"> requirement</w:t>
      </w:r>
      <w:r w:rsidR="00DC7B97">
        <w:rPr>
          <w:b/>
        </w:rPr>
        <w:t>.</w:t>
      </w:r>
      <w:r w:rsidR="0085734D">
        <w:rPr>
          <w:b/>
        </w:rPr>
        <w:t xml:space="preserve"> </w:t>
      </w:r>
      <w:r w:rsidR="00DC7B97">
        <w:rPr>
          <w:b/>
        </w:rPr>
        <w:t>T</w:t>
      </w:r>
      <w:r w:rsidR="0085734D">
        <w:rPr>
          <w:b/>
        </w:rPr>
        <w:t xml:space="preserve">enderers </w:t>
      </w:r>
      <w:r w:rsidR="00610DB9">
        <w:rPr>
          <w:b/>
        </w:rPr>
        <w:t xml:space="preserve">shall fail the selection criteria unless they address </w:t>
      </w:r>
      <w:r w:rsidR="00DC7B97">
        <w:rPr>
          <w:b/>
        </w:rPr>
        <w:t>EACH</w:t>
      </w:r>
      <w:r w:rsidR="00610DB9">
        <w:rPr>
          <w:b/>
        </w:rPr>
        <w:t xml:space="preserve"> requirement</w:t>
      </w:r>
      <w:r w:rsidR="00DC7B97">
        <w:rPr>
          <w:b/>
        </w:rPr>
        <w:t>,</w:t>
      </w:r>
      <w:r w:rsidR="00610DB9">
        <w:rPr>
          <w:b/>
        </w:rPr>
        <w:t xml:space="preserve"> </w:t>
      </w:r>
      <w:r w:rsidR="00DC7B97">
        <w:rPr>
          <w:b/>
        </w:rPr>
        <w:t>t</w:t>
      </w:r>
      <w:r w:rsidR="00610DB9">
        <w:rPr>
          <w:b/>
        </w:rPr>
        <w:t xml:space="preserve">enderers </w:t>
      </w:r>
      <w:r w:rsidR="0085734D">
        <w:rPr>
          <w:b/>
        </w:rPr>
        <w:t xml:space="preserve">that fail the selection criteria will not have their award criteria evaluated. </w:t>
      </w:r>
    </w:p>
    <w:p w14:paraId="757EE016" w14:textId="68F66DDE" w:rsidR="00D10AAF" w:rsidRDefault="002401A8" w:rsidP="00D754F7">
      <w:pPr>
        <w:pStyle w:val="Body"/>
        <w:spacing w:afterLines="60" w:after="144" w:line="240" w:lineRule="auto"/>
        <w:rPr>
          <w:b/>
        </w:rPr>
      </w:pPr>
      <w:r w:rsidRPr="002401A8">
        <w:rPr>
          <w:b/>
        </w:rPr>
        <w:t>The stated limit on the length of each response must be adhered to. Responses will only be evaluated within the stated length limit, any response exceeding the stated limit will be disregarded beyond that limit.</w:t>
      </w:r>
    </w:p>
    <w:p w14:paraId="326CBE00" w14:textId="77777777" w:rsidR="00EC673A" w:rsidRPr="00EC673A" w:rsidRDefault="00EC673A" w:rsidP="00EC673A">
      <w:pPr>
        <w:pStyle w:val="Heading30"/>
        <w:rPr>
          <w:sz w:val="28"/>
          <w:szCs w:val="28"/>
        </w:rPr>
      </w:pPr>
      <w:r>
        <w:rPr>
          <w:sz w:val="28"/>
          <w:szCs w:val="28"/>
        </w:rPr>
        <w:t>Selection criteria</w:t>
      </w:r>
    </w:p>
    <w:tbl>
      <w:tblPr>
        <w:tblStyle w:val="TableGrid"/>
        <w:tblW w:w="5331"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70"/>
        <w:gridCol w:w="12473"/>
      </w:tblGrid>
      <w:tr w:rsidR="00202FFE" w:rsidRPr="00C323AD" w14:paraId="025E5068" w14:textId="77777777" w:rsidTr="00C323AD">
        <w:trPr>
          <w:trHeight w:val="274"/>
          <w:tblHeader/>
        </w:trPr>
        <w:tc>
          <w:tcPr>
            <w:tcW w:w="770" w:type="pct"/>
            <w:tcBorders>
              <w:top w:val="single" w:sz="4" w:space="0" w:color="auto"/>
              <w:left w:val="single" w:sz="4" w:space="0" w:color="auto"/>
              <w:bottom w:val="single" w:sz="4" w:space="0" w:color="auto"/>
              <w:right w:val="single" w:sz="4" w:space="0" w:color="auto"/>
            </w:tcBorders>
          </w:tcPr>
          <w:p w14:paraId="10C1D31B" w14:textId="77777777" w:rsidR="00202FFE" w:rsidRPr="00C323AD" w:rsidRDefault="00202FFE" w:rsidP="00C323AD">
            <w:pPr>
              <w:spacing w:after="60"/>
              <w:jc w:val="both"/>
              <w:rPr>
                <w:rFonts w:asciiTheme="minorHAnsi" w:hAnsiTheme="minorHAnsi" w:cstheme="minorHAnsi"/>
                <w:b/>
                <w:sz w:val="17"/>
                <w:szCs w:val="17"/>
              </w:rPr>
            </w:pPr>
            <w:r w:rsidRPr="00C323AD">
              <w:rPr>
                <w:rFonts w:asciiTheme="minorHAnsi" w:hAnsiTheme="minorHAnsi" w:cstheme="minorHAnsi"/>
                <w:b/>
                <w:sz w:val="17"/>
                <w:szCs w:val="17"/>
              </w:rPr>
              <w:t>Selection criteria</w:t>
            </w:r>
          </w:p>
        </w:tc>
        <w:tc>
          <w:tcPr>
            <w:tcW w:w="4230" w:type="pct"/>
            <w:tcBorders>
              <w:top w:val="single" w:sz="4" w:space="0" w:color="auto"/>
              <w:left w:val="single" w:sz="4" w:space="0" w:color="auto"/>
              <w:bottom w:val="single" w:sz="4" w:space="0" w:color="auto"/>
              <w:right w:val="single" w:sz="4" w:space="0" w:color="auto"/>
            </w:tcBorders>
          </w:tcPr>
          <w:p w14:paraId="76CC62C2" w14:textId="442C6C73" w:rsidR="00202FFE" w:rsidRPr="00C323AD" w:rsidRDefault="00202FFE" w:rsidP="00C323AD">
            <w:pPr>
              <w:spacing w:after="60"/>
              <w:rPr>
                <w:rFonts w:asciiTheme="minorHAnsi" w:hAnsiTheme="minorHAnsi" w:cstheme="minorHAnsi"/>
                <w:b/>
                <w:sz w:val="17"/>
                <w:szCs w:val="17"/>
              </w:rPr>
            </w:pPr>
            <w:r w:rsidRPr="00C323AD">
              <w:rPr>
                <w:rFonts w:asciiTheme="minorHAnsi" w:hAnsiTheme="minorHAnsi" w:cstheme="minorHAnsi"/>
                <w:b/>
                <w:sz w:val="17"/>
                <w:szCs w:val="17"/>
              </w:rPr>
              <w:t>Detail and Evaluation Criteria</w:t>
            </w:r>
          </w:p>
        </w:tc>
      </w:tr>
      <w:tr w:rsidR="003F30FD" w:rsidRPr="00C323AD" w14:paraId="2F24AF90" w14:textId="77777777" w:rsidTr="00C323AD">
        <w:trPr>
          <w:trHeight w:val="876"/>
          <w:tblHeader/>
        </w:trPr>
        <w:tc>
          <w:tcPr>
            <w:tcW w:w="770" w:type="pct"/>
            <w:tcBorders>
              <w:top w:val="single" w:sz="4" w:space="0" w:color="auto"/>
              <w:left w:val="single" w:sz="4" w:space="0" w:color="auto"/>
              <w:bottom w:val="single" w:sz="4" w:space="0" w:color="auto"/>
              <w:right w:val="single" w:sz="4" w:space="0" w:color="auto"/>
            </w:tcBorders>
          </w:tcPr>
          <w:p w14:paraId="56B5E020" w14:textId="11FE272B" w:rsidR="003F30FD" w:rsidRPr="00C323AD" w:rsidRDefault="003F30FD" w:rsidP="00C323AD">
            <w:pPr>
              <w:spacing w:after="60"/>
              <w:rPr>
                <w:rFonts w:asciiTheme="minorHAnsi" w:hAnsiTheme="minorHAnsi" w:cstheme="minorHAnsi"/>
                <w:sz w:val="17"/>
                <w:szCs w:val="17"/>
              </w:rPr>
            </w:pPr>
            <w:r w:rsidRPr="00C323AD">
              <w:rPr>
                <w:rFonts w:asciiTheme="minorHAnsi" w:hAnsiTheme="minorHAnsi" w:cstheme="minorHAnsi"/>
                <w:b/>
                <w:sz w:val="17"/>
                <w:szCs w:val="17"/>
              </w:rPr>
              <w:t>S1</w:t>
            </w:r>
            <w:r w:rsidRPr="00C323AD">
              <w:rPr>
                <w:rFonts w:asciiTheme="minorHAnsi" w:hAnsiTheme="minorHAnsi" w:cstheme="minorHAnsi"/>
                <w:sz w:val="17"/>
                <w:szCs w:val="17"/>
              </w:rPr>
              <w:t xml:space="preserve"> Tenderer’s organisational expertise in sanding systems and sand materials</w:t>
            </w:r>
          </w:p>
          <w:p w14:paraId="1A63FCC6" w14:textId="77777777" w:rsidR="003F30FD" w:rsidRPr="00C323AD" w:rsidRDefault="003F30FD" w:rsidP="00C323AD">
            <w:pPr>
              <w:spacing w:after="60"/>
              <w:rPr>
                <w:rFonts w:asciiTheme="minorHAnsi" w:hAnsiTheme="minorHAnsi" w:cstheme="minorHAnsi"/>
                <w:b/>
                <w:sz w:val="17"/>
                <w:szCs w:val="17"/>
              </w:rPr>
            </w:pPr>
            <w:r w:rsidRPr="00C323AD">
              <w:rPr>
                <w:rFonts w:asciiTheme="minorHAnsi" w:hAnsiTheme="minorHAnsi" w:cstheme="minorHAnsi"/>
                <w:sz w:val="17"/>
                <w:szCs w:val="17"/>
              </w:rPr>
              <w:t>[Total 1 page for all examples]</w:t>
            </w:r>
          </w:p>
        </w:tc>
        <w:tc>
          <w:tcPr>
            <w:tcW w:w="4230" w:type="pct"/>
            <w:tcBorders>
              <w:top w:val="single" w:sz="4" w:space="0" w:color="auto"/>
              <w:left w:val="single" w:sz="4" w:space="0" w:color="auto"/>
              <w:bottom w:val="single" w:sz="4" w:space="0" w:color="auto"/>
              <w:right w:val="single" w:sz="4" w:space="0" w:color="auto"/>
            </w:tcBorders>
          </w:tcPr>
          <w:p w14:paraId="08E506E8" w14:textId="60D5AAC2" w:rsidR="003F30FD" w:rsidRPr="00C323AD" w:rsidRDefault="003F30FD" w:rsidP="00C323AD">
            <w:pPr>
              <w:spacing w:after="60"/>
              <w:rPr>
                <w:rFonts w:asciiTheme="minorHAnsi" w:hAnsiTheme="minorHAnsi" w:cstheme="minorHAnsi"/>
                <w:sz w:val="17"/>
                <w:szCs w:val="17"/>
              </w:rPr>
            </w:pPr>
            <w:r w:rsidRPr="00C323AD">
              <w:rPr>
                <w:rFonts w:asciiTheme="minorHAnsi" w:hAnsiTheme="minorHAnsi" w:cstheme="minorHAnsi"/>
                <w:sz w:val="17"/>
                <w:szCs w:val="17"/>
              </w:rPr>
              <w:t xml:space="preserve">The tenderer shall provide a short description of at least two completed examples within the past five years that </w:t>
            </w:r>
            <w:r w:rsidR="00D51991" w:rsidRPr="00C323AD">
              <w:rPr>
                <w:rFonts w:asciiTheme="minorHAnsi" w:hAnsiTheme="minorHAnsi" w:cstheme="minorHAnsi"/>
                <w:sz w:val="17"/>
                <w:szCs w:val="17"/>
              </w:rPr>
              <w:t>focused</w:t>
            </w:r>
            <w:r w:rsidR="007418BE" w:rsidRPr="00C323AD">
              <w:rPr>
                <w:rFonts w:asciiTheme="minorHAnsi" w:hAnsiTheme="minorHAnsi" w:cstheme="minorHAnsi"/>
                <w:sz w:val="17"/>
                <w:szCs w:val="17"/>
              </w:rPr>
              <w:t xml:space="preserve"> on</w:t>
            </w:r>
            <w:r w:rsidRPr="00C323AD">
              <w:rPr>
                <w:rFonts w:asciiTheme="minorHAnsi" w:hAnsiTheme="minorHAnsi" w:cstheme="minorHAnsi"/>
                <w:sz w:val="17"/>
                <w:szCs w:val="17"/>
              </w:rPr>
              <w:t xml:space="preserve"> contemporary GB rail sanding systems.</w:t>
            </w:r>
          </w:p>
          <w:p w14:paraId="14E6F768" w14:textId="3BC7E86C" w:rsidR="003F30FD" w:rsidRPr="00C323AD" w:rsidRDefault="003F30FD" w:rsidP="00C323AD">
            <w:pPr>
              <w:spacing w:after="60"/>
              <w:rPr>
                <w:rFonts w:asciiTheme="minorHAnsi" w:hAnsiTheme="minorHAnsi" w:cstheme="minorHAnsi"/>
                <w:sz w:val="17"/>
                <w:szCs w:val="17"/>
              </w:rPr>
            </w:pPr>
            <w:r w:rsidRPr="00C323AD">
              <w:rPr>
                <w:rFonts w:asciiTheme="minorHAnsi" w:hAnsiTheme="minorHAnsi" w:cstheme="minorHAnsi"/>
                <w:sz w:val="17"/>
                <w:szCs w:val="17"/>
              </w:rPr>
              <w:t xml:space="preserve">For clarification, a ‘completed example’ refers to work specifically completed by the tenderer. If the completed work forms part of a larger activity (involving other organisations), the overall activity does not need to have been completed. In order to </w:t>
            </w:r>
            <w:r w:rsidRPr="00C323AD">
              <w:rPr>
                <w:rFonts w:asciiTheme="minorHAnsi" w:hAnsiTheme="minorHAnsi" w:cstheme="minorHAnsi"/>
                <w:color w:val="00B050"/>
                <w:sz w:val="17"/>
                <w:szCs w:val="17"/>
              </w:rPr>
              <w:t>pass</w:t>
            </w:r>
            <w:r w:rsidRPr="00C323AD">
              <w:rPr>
                <w:rFonts w:asciiTheme="minorHAnsi" w:hAnsiTheme="minorHAnsi" w:cstheme="minorHAnsi"/>
                <w:sz w:val="17"/>
                <w:szCs w:val="17"/>
              </w:rPr>
              <w:t xml:space="preserve"> the selection criteria, the tenderer’s response must address the above and:</w:t>
            </w:r>
          </w:p>
          <w:p w14:paraId="7BAE0F0B" w14:textId="171B1DF8" w:rsidR="003F30FD" w:rsidRPr="00C323AD" w:rsidRDefault="003F30FD" w:rsidP="00DB5ED6">
            <w:pPr>
              <w:pStyle w:val="ListParagraph"/>
              <w:numPr>
                <w:ilvl w:val="0"/>
                <w:numId w:val="38"/>
              </w:numPr>
              <w:spacing w:after="60"/>
              <w:rPr>
                <w:rFonts w:asciiTheme="minorHAnsi" w:hAnsiTheme="minorHAnsi" w:cstheme="minorHAnsi"/>
                <w:sz w:val="17"/>
                <w:szCs w:val="17"/>
              </w:rPr>
            </w:pPr>
            <w:r w:rsidRPr="00C323AD">
              <w:rPr>
                <w:rFonts w:asciiTheme="minorHAnsi" w:hAnsiTheme="minorHAnsi" w:cstheme="minorHAnsi"/>
                <w:sz w:val="17"/>
                <w:szCs w:val="17"/>
              </w:rPr>
              <w:t>Demonstrate a track record of successfully delivering work</w:t>
            </w:r>
            <w:r w:rsidR="00E73D5A">
              <w:rPr>
                <w:rFonts w:asciiTheme="minorHAnsi" w:hAnsiTheme="minorHAnsi" w:cstheme="minorHAnsi"/>
                <w:sz w:val="17"/>
                <w:szCs w:val="17"/>
              </w:rPr>
              <w:t xml:space="preserve"> with</w:t>
            </w:r>
            <w:r w:rsidR="007418BE" w:rsidRPr="00C323AD">
              <w:rPr>
                <w:rFonts w:asciiTheme="minorHAnsi" w:hAnsiTheme="minorHAnsi" w:cstheme="minorHAnsi"/>
                <w:sz w:val="17"/>
                <w:szCs w:val="17"/>
              </w:rPr>
              <w:t xml:space="preserve"> contemporary GB rail sanding systems. This shall involve at minimum one of the following </w:t>
            </w:r>
            <w:r w:rsidR="00D51991" w:rsidRPr="00C323AD">
              <w:rPr>
                <w:rFonts w:asciiTheme="minorHAnsi" w:hAnsiTheme="minorHAnsi" w:cstheme="minorHAnsi"/>
                <w:sz w:val="17"/>
                <w:szCs w:val="17"/>
              </w:rPr>
              <w:t xml:space="preserve">activities </w:t>
            </w:r>
            <w:r w:rsidR="007418BE" w:rsidRPr="00C323AD">
              <w:rPr>
                <w:rFonts w:asciiTheme="minorHAnsi" w:hAnsiTheme="minorHAnsi" w:cstheme="minorHAnsi"/>
                <w:sz w:val="17"/>
                <w:szCs w:val="17"/>
              </w:rPr>
              <w:t>– design; build; installation;</w:t>
            </w:r>
            <w:r w:rsidR="00E73D5A">
              <w:rPr>
                <w:rFonts w:asciiTheme="minorHAnsi" w:hAnsiTheme="minorHAnsi" w:cstheme="minorHAnsi"/>
                <w:sz w:val="17"/>
                <w:szCs w:val="17"/>
              </w:rPr>
              <w:t xml:space="preserve"> use</w:t>
            </w:r>
            <w:r w:rsidR="00086711">
              <w:rPr>
                <w:rFonts w:asciiTheme="minorHAnsi" w:hAnsiTheme="minorHAnsi" w:cstheme="minorHAnsi"/>
                <w:sz w:val="17"/>
                <w:szCs w:val="17"/>
              </w:rPr>
              <w:t>;</w:t>
            </w:r>
            <w:r w:rsidR="007418BE" w:rsidRPr="00C323AD">
              <w:rPr>
                <w:rFonts w:asciiTheme="minorHAnsi" w:hAnsiTheme="minorHAnsi" w:cstheme="minorHAnsi"/>
                <w:sz w:val="17"/>
                <w:szCs w:val="17"/>
              </w:rPr>
              <w:t xml:space="preserve"> maintenance; overhaul; supply</w:t>
            </w:r>
            <w:r w:rsidR="00F854C3">
              <w:rPr>
                <w:rFonts w:asciiTheme="minorHAnsi" w:hAnsiTheme="minorHAnsi" w:cstheme="minorHAnsi"/>
                <w:sz w:val="17"/>
                <w:szCs w:val="17"/>
              </w:rPr>
              <w:t>. RSSB shall also accept any activities on low adhesion testing</w:t>
            </w:r>
          </w:p>
          <w:p w14:paraId="5F841706" w14:textId="5DD63EEF" w:rsidR="003F30FD" w:rsidRPr="00C323AD" w:rsidRDefault="003F30FD" w:rsidP="00DB5ED6">
            <w:pPr>
              <w:pStyle w:val="ListParagraph"/>
              <w:numPr>
                <w:ilvl w:val="0"/>
                <w:numId w:val="38"/>
              </w:numPr>
              <w:spacing w:after="60"/>
              <w:rPr>
                <w:rFonts w:asciiTheme="minorHAnsi" w:hAnsiTheme="minorHAnsi" w:cstheme="minorHAnsi"/>
                <w:sz w:val="17"/>
                <w:szCs w:val="17"/>
              </w:rPr>
            </w:pPr>
            <w:r w:rsidRPr="00C323AD">
              <w:rPr>
                <w:rFonts w:asciiTheme="minorHAnsi" w:hAnsiTheme="minorHAnsi" w:cstheme="minorHAnsi"/>
                <w:sz w:val="17"/>
                <w:szCs w:val="17"/>
              </w:rPr>
              <w:t xml:space="preserve">Give RSSB full confidence in the tenderer’s ability to </w:t>
            </w:r>
            <w:r w:rsidR="00D51991" w:rsidRPr="00C323AD">
              <w:rPr>
                <w:rFonts w:asciiTheme="minorHAnsi" w:hAnsiTheme="minorHAnsi" w:cstheme="minorHAnsi"/>
                <w:sz w:val="17"/>
                <w:szCs w:val="17"/>
              </w:rPr>
              <w:t xml:space="preserve">deliver work </w:t>
            </w:r>
            <w:r w:rsidR="000C1CCC">
              <w:rPr>
                <w:rFonts w:asciiTheme="minorHAnsi" w:hAnsiTheme="minorHAnsi" w:cstheme="minorHAnsi"/>
                <w:sz w:val="17"/>
                <w:szCs w:val="17"/>
              </w:rPr>
              <w:t>with</w:t>
            </w:r>
            <w:r w:rsidRPr="00C323AD">
              <w:rPr>
                <w:rFonts w:asciiTheme="minorHAnsi" w:hAnsiTheme="minorHAnsi" w:cstheme="minorHAnsi"/>
                <w:sz w:val="17"/>
                <w:szCs w:val="17"/>
              </w:rPr>
              <w:t xml:space="preserve"> contemporary GB rail sanding systems</w:t>
            </w:r>
            <w:r w:rsidR="00D51991" w:rsidRPr="00C323AD">
              <w:rPr>
                <w:rFonts w:asciiTheme="minorHAnsi" w:hAnsiTheme="minorHAnsi" w:cstheme="minorHAnsi"/>
                <w:sz w:val="17"/>
                <w:szCs w:val="17"/>
              </w:rPr>
              <w:t xml:space="preserve">. This shall involve at minimum one of the following activities – design; build; installation; </w:t>
            </w:r>
            <w:r w:rsidR="00086711">
              <w:rPr>
                <w:rFonts w:asciiTheme="minorHAnsi" w:hAnsiTheme="minorHAnsi" w:cstheme="minorHAnsi"/>
                <w:sz w:val="17"/>
                <w:szCs w:val="17"/>
              </w:rPr>
              <w:t xml:space="preserve">use; </w:t>
            </w:r>
            <w:r w:rsidR="00D51991" w:rsidRPr="00C323AD">
              <w:rPr>
                <w:rFonts w:asciiTheme="minorHAnsi" w:hAnsiTheme="minorHAnsi" w:cstheme="minorHAnsi"/>
                <w:sz w:val="17"/>
                <w:szCs w:val="17"/>
              </w:rPr>
              <w:t>maintenance; overhaul; supply</w:t>
            </w:r>
            <w:r w:rsidR="00F854C3">
              <w:rPr>
                <w:rFonts w:asciiTheme="minorHAnsi" w:hAnsiTheme="minorHAnsi" w:cstheme="minorHAnsi"/>
                <w:sz w:val="17"/>
                <w:szCs w:val="17"/>
              </w:rPr>
              <w:t>.</w:t>
            </w:r>
            <w:r w:rsidR="00086711">
              <w:rPr>
                <w:rFonts w:asciiTheme="minorHAnsi" w:hAnsiTheme="minorHAnsi" w:cstheme="minorHAnsi"/>
                <w:sz w:val="17"/>
                <w:szCs w:val="17"/>
              </w:rPr>
              <w:t xml:space="preserve"> </w:t>
            </w:r>
            <w:r w:rsidR="00F854C3">
              <w:rPr>
                <w:rFonts w:asciiTheme="minorHAnsi" w:hAnsiTheme="minorHAnsi" w:cstheme="minorHAnsi"/>
                <w:sz w:val="17"/>
                <w:szCs w:val="17"/>
              </w:rPr>
              <w:t xml:space="preserve">RSSB shall also accept any activities on low adhesion </w:t>
            </w:r>
            <w:r w:rsidR="00086711">
              <w:rPr>
                <w:rFonts w:asciiTheme="minorHAnsi" w:hAnsiTheme="minorHAnsi" w:cstheme="minorHAnsi"/>
                <w:sz w:val="17"/>
                <w:szCs w:val="17"/>
              </w:rPr>
              <w:t>testing</w:t>
            </w:r>
            <w:r w:rsidR="00D51991" w:rsidRPr="00C323AD">
              <w:rPr>
                <w:rFonts w:asciiTheme="minorHAnsi" w:hAnsiTheme="minorHAnsi" w:cstheme="minorHAnsi"/>
                <w:sz w:val="17"/>
                <w:szCs w:val="17"/>
              </w:rPr>
              <w:t>.</w:t>
            </w:r>
          </w:p>
          <w:p w14:paraId="293FBDD5" w14:textId="650A6A8F" w:rsidR="003F30FD" w:rsidRPr="00C323AD" w:rsidRDefault="003F30FD" w:rsidP="00C323AD">
            <w:pPr>
              <w:spacing w:after="60"/>
              <w:rPr>
                <w:rFonts w:asciiTheme="minorHAnsi" w:hAnsiTheme="minorHAnsi" w:cstheme="minorHAnsi"/>
                <w:sz w:val="17"/>
                <w:szCs w:val="17"/>
              </w:rPr>
            </w:pPr>
            <w:r w:rsidRPr="00C323AD">
              <w:rPr>
                <w:rFonts w:asciiTheme="minorHAnsi" w:hAnsiTheme="minorHAnsi" w:cstheme="minorHAnsi"/>
                <w:sz w:val="17"/>
                <w:szCs w:val="17"/>
              </w:rPr>
              <w:t xml:space="preserve">The tenderer shall </w:t>
            </w:r>
            <w:r w:rsidRPr="00C323AD">
              <w:rPr>
                <w:rFonts w:asciiTheme="minorHAnsi" w:hAnsiTheme="minorHAnsi" w:cstheme="minorHAnsi"/>
                <w:color w:val="FF0000"/>
                <w:sz w:val="17"/>
                <w:szCs w:val="17"/>
              </w:rPr>
              <w:t>fail</w:t>
            </w:r>
            <w:r w:rsidRPr="00C323AD">
              <w:rPr>
                <w:rFonts w:asciiTheme="minorHAnsi" w:hAnsiTheme="minorHAnsi" w:cstheme="minorHAnsi"/>
                <w:sz w:val="17"/>
                <w:szCs w:val="17"/>
              </w:rPr>
              <w:t xml:space="preserve"> the selection criteria if it either fails to provide a short description of at </w:t>
            </w:r>
            <w:r w:rsidR="00D51991" w:rsidRPr="00C323AD">
              <w:rPr>
                <w:rFonts w:asciiTheme="minorHAnsi" w:hAnsiTheme="minorHAnsi" w:cstheme="minorHAnsi"/>
                <w:sz w:val="17"/>
                <w:szCs w:val="17"/>
              </w:rPr>
              <w:t>least two completed examples within the past five years that focused on contemporary GB rail sanding systems</w:t>
            </w:r>
            <w:r w:rsidRPr="00C323AD">
              <w:rPr>
                <w:rFonts w:asciiTheme="minorHAnsi" w:hAnsiTheme="minorHAnsi" w:cstheme="minorHAnsi"/>
                <w:sz w:val="17"/>
                <w:szCs w:val="17"/>
              </w:rPr>
              <w:t>; or the provided example fails to achieve ANY of the following:</w:t>
            </w:r>
          </w:p>
          <w:p w14:paraId="46179D68" w14:textId="10732528" w:rsidR="00CB0A50" w:rsidRPr="00C323AD" w:rsidRDefault="00CB0A50" w:rsidP="00DB5ED6">
            <w:pPr>
              <w:pStyle w:val="ListParagraph"/>
              <w:numPr>
                <w:ilvl w:val="0"/>
                <w:numId w:val="38"/>
              </w:numPr>
              <w:spacing w:after="60"/>
              <w:rPr>
                <w:rFonts w:asciiTheme="minorHAnsi" w:hAnsiTheme="minorHAnsi" w:cstheme="minorHAnsi"/>
                <w:sz w:val="17"/>
                <w:szCs w:val="17"/>
              </w:rPr>
            </w:pPr>
            <w:r w:rsidRPr="00C323AD">
              <w:rPr>
                <w:rFonts w:asciiTheme="minorHAnsi" w:hAnsiTheme="minorHAnsi" w:cstheme="minorHAnsi"/>
                <w:sz w:val="17"/>
                <w:szCs w:val="17"/>
              </w:rPr>
              <w:t xml:space="preserve">Demonstrate a track record of successfully delivering work </w:t>
            </w:r>
            <w:r w:rsidR="000C1CCC">
              <w:rPr>
                <w:rFonts w:asciiTheme="minorHAnsi" w:hAnsiTheme="minorHAnsi" w:cstheme="minorHAnsi"/>
                <w:sz w:val="17"/>
                <w:szCs w:val="17"/>
              </w:rPr>
              <w:t>with</w:t>
            </w:r>
            <w:r w:rsidRPr="00C323AD">
              <w:rPr>
                <w:rFonts w:asciiTheme="minorHAnsi" w:hAnsiTheme="minorHAnsi" w:cstheme="minorHAnsi"/>
                <w:sz w:val="17"/>
                <w:szCs w:val="17"/>
              </w:rPr>
              <w:t xml:space="preserve"> contemporary GB rail sanding systems. This shall involve at minimum one of the following activities – design; build; installation; </w:t>
            </w:r>
            <w:r w:rsidR="00086711">
              <w:rPr>
                <w:rFonts w:asciiTheme="minorHAnsi" w:hAnsiTheme="minorHAnsi" w:cstheme="minorHAnsi"/>
                <w:sz w:val="17"/>
                <w:szCs w:val="17"/>
              </w:rPr>
              <w:t xml:space="preserve">use; </w:t>
            </w:r>
            <w:r w:rsidRPr="00C323AD">
              <w:rPr>
                <w:rFonts w:asciiTheme="minorHAnsi" w:hAnsiTheme="minorHAnsi" w:cstheme="minorHAnsi"/>
                <w:sz w:val="17"/>
                <w:szCs w:val="17"/>
              </w:rPr>
              <w:t>maintenance; overhaul; supply</w:t>
            </w:r>
            <w:r w:rsidR="00F854C3">
              <w:rPr>
                <w:rFonts w:asciiTheme="minorHAnsi" w:hAnsiTheme="minorHAnsi" w:cstheme="minorHAnsi"/>
                <w:sz w:val="17"/>
                <w:szCs w:val="17"/>
              </w:rPr>
              <w:t>. RSSB shall also accept any activities on low adhesion testing</w:t>
            </w:r>
          </w:p>
          <w:p w14:paraId="3A7ED7AC" w14:textId="7C800A16" w:rsidR="003F30FD" w:rsidRPr="00846E9D" w:rsidRDefault="00CB0A50" w:rsidP="00846E9D">
            <w:pPr>
              <w:pStyle w:val="ListParagraph"/>
              <w:numPr>
                <w:ilvl w:val="0"/>
                <w:numId w:val="38"/>
              </w:numPr>
              <w:spacing w:after="60"/>
              <w:rPr>
                <w:rFonts w:asciiTheme="minorHAnsi" w:hAnsiTheme="minorHAnsi" w:cstheme="minorHAnsi"/>
                <w:sz w:val="17"/>
                <w:szCs w:val="17"/>
              </w:rPr>
            </w:pPr>
            <w:r w:rsidRPr="00C323AD">
              <w:rPr>
                <w:rFonts w:asciiTheme="minorHAnsi" w:hAnsiTheme="minorHAnsi" w:cstheme="minorHAnsi"/>
                <w:sz w:val="17"/>
                <w:szCs w:val="17"/>
              </w:rPr>
              <w:t xml:space="preserve">Give RSSB full confidence in the tenderer’s ability to deliver work </w:t>
            </w:r>
            <w:r w:rsidR="000C1CCC">
              <w:rPr>
                <w:rFonts w:asciiTheme="minorHAnsi" w:hAnsiTheme="minorHAnsi" w:cstheme="minorHAnsi"/>
                <w:sz w:val="17"/>
                <w:szCs w:val="17"/>
              </w:rPr>
              <w:t>with</w:t>
            </w:r>
            <w:r w:rsidRPr="00C323AD">
              <w:rPr>
                <w:rFonts w:asciiTheme="minorHAnsi" w:hAnsiTheme="minorHAnsi" w:cstheme="minorHAnsi"/>
                <w:sz w:val="17"/>
                <w:szCs w:val="17"/>
              </w:rPr>
              <w:t xml:space="preserve"> contemporary GB rail sanding systems. This shall involve at minimum one of the following activities – design; build; installation; </w:t>
            </w:r>
            <w:r w:rsidR="00086711">
              <w:rPr>
                <w:rFonts w:asciiTheme="minorHAnsi" w:hAnsiTheme="minorHAnsi" w:cstheme="minorHAnsi"/>
                <w:sz w:val="17"/>
                <w:szCs w:val="17"/>
              </w:rPr>
              <w:t xml:space="preserve">use; </w:t>
            </w:r>
            <w:r w:rsidRPr="00C323AD">
              <w:rPr>
                <w:rFonts w:asciiTheme="minorHAnsi" w:hAnsiTheme="minorHAnsi" w:cstheme="minorHAnsi"/>
                <w:sz w:val="17"/>
                <w:szCs w:val="17"/>
              </w:rPr>
              <w:t>maintenance; overhaul; supply</w:t>
            </w:r>
            <w:r w:rsidR="00F854C3">
              <w:rPr>
                <w:rFonts w:asciiTheme="minorHAnsi" w:hAnsiTheme="minorHAnsi" w:cstheme="minorHAnsi"/>
                <w:sz w:val="17"/>
                <w:szCs w:val="17"/>
              </w:rPr>
              <w:t>. RSSB shall also accept any activities on low adhesion testing</w:t>
            </w:r>
          </w:p>
        </w:tc>
      </w:tr>
      <w:tr w:rsidR="008C5A70" w:rsidRPr="00C323AD" w14:paraId="1B620C9D" w14:textId="77777777" w:rsidTr="00C323AD">
        <w:trPr>
          <w:trHeight w:val="876"/>
          <w:tblHeader/>
        </w:trPr>
        <w:tc>
          <w:tcPr>
            <w:tcW w:w="770" w:type="pct"/>
            <w:tcBorders>
              <w:top w:val="single" w:sz="4" w:space="0" w:color="auto"/>
              <w:left w:val="single" w:sz="4" w:space="0" w:color="auto"/>
              <w:bottom w:val="single" w:sz="4" w:space="0" w:color="auto"/>
              <w:right w:val="single" w:sz="4" w:space="0" w:color="auto"/>
            </w:tcBorders>
          </w:tcPr>
          <w:p w14:paraId="7AD12D3B" w14:textId="38B5F735" w:rsidR="008C5A70" w:rsidRPr="00C323AD" w:rsidRDefault="008C5A70" w:rsidP="00C323AD">
            <w:pPr>
              <w:spacing w:after="60"/>
              <w:rPr>
                <w:rFonts w:asciiTheme="minorHAnsi" w:hAnsiTheme="minorHAnsi" w:cstheme="minorHAnsi"/>
                <w:sz w:val="17"/>
                <w:szCs w:val="17"/>
              </w:rPr>
            </w:pPr>
            <w:r w:rsidRPr="00C323AD">
              <w:rPr>
                <w:rFonts w:asciiTheme="minorHAnsi" w:hAnsiTheme="minorHAnsi" w:cstheme="minorHAnsi"/>
                <w:b/>
                <w:sz w:val="17"/>
                <w:szCs w:val="17"/>
              </w:rPr>
              <w:t>S</w:t>
            </w:r>
            <w:r w:rsidR="003F30FD" w:rsidRPr="00C323AD">
              <w:rPr>
                <w:rFonts w:asciiTheme="minorHAnsi" w:hAnsiTheme="minorHAnsi" w:cstheme="minorHAnsi"/>
                <w:b/>
                <w:sz w:val="17"/>
                <w:szCs w:val="17"/>
              </w:rPr>
              <w:t>2</w:t>
            </w:r>
            <w:r w:rsidRPr="00C323AD">
              <w:rPr>
                <w:rFonts w:asciiTheme="minorHAnsi" w:hAnsiTheme="minorHAnsi" w:cstheme="minorHAnsi"/>
                <w:sz w:val="17"/>
                <w:szCs w:val="17"/>
              </w:rPr>
              <w:t xml:space="preserve"> </w:t>
            </w:r>
            <w:bookmarkStart w:id="3" w:name="_Hlk45181109"/>
            <w:r w:rsidRPr="00C323AD">
              <w:rPr>
                <w:rFonts w:asciiTheme="minorHAnsi" w:hAnsiTheme="minorHAnsi" w:cstheme="minorHAnsi"/>
                <w:sz w:val="17"/>
                <w:szCs w:val="17"/>
              </w:rPr>
              <w:t>Tenderer’s organisational expertise in system risk analysis</w:t>
            </w:r>
            <w:bookmarkEnd w:id="3"/>
          </w:p>
          <w:p w14:paraId="36003708" w14:textId="45C11A4F" w:rsidR="008C5A70" w:rsidRPr="00C323AD" w:rsidRDefault="008C5A70" w:rsidP="00C323AD">
            <w:pPr>
              <w:spacing w:after="60"/>
              <w:rPr>
                <w:rFonts w:asciiTheme="minorHAnsi" w:hAnsiTheme="minorHAnsi" w:cstheme="minorHAnsi"/>
                <w:b/>
                <w:sz w:val="17"/>
                <w:szCs w:val="17"/>
              </w:rPr>
            </w:pPr>
            <w:r w:rsidRPr="00C323AD">
              <w:rPr>
                <w:rFonts w:asciiTheme="minorHAnsi" w:hAnsiTheme="minorHAnsi" w:cstheme="minorHAnsi"/>
                <w:sz w:val="17"/>
                <w:szCs w:val="17"/>
              </w:rPr>
              <w:t>[Total 1 page for all examples]</w:t>
            </w:r>
          </w:p>
        </w:tc>
        <w:tc>
          <w:tcPr>
            <w:tcW w:w="4230" w:type="pct"/>
            <w:tcBorders>
              <w:top w:val="single" w:sz="4" w:space="0" w:color="auto"/>
              <w:left w:val="single" w:sz="4" w:space="0" w:color="auto"/>
              <w:bottom w:val="single" w:sz="4" w:space="0" w:color="auto"/>
              <w:right w:val="single" w:sz="4" w:space="0" w:color="auto"/>
            </w:tcBorders>
          </w:tcPr>
          <w:p w14:paraId="1C1B1581" w14:textId="59817403" w:rsidR="008C5A70" w:rsidRPr="00C323AD" w:rsidRDefault="008C5A70" w:rsidP="00C323AD">
            <w:pPr>
              <w:spacing w:after="60"/>
              <w:rPr>
                <w:rFonts w:asciiTheme="minorHAnsi" w:hAnsiTheme="minorHAnsi" w:cstheme="minorHAnsi"/>
                <w:sz w:val="17"/>
                <w:szCs w:val="17"/>
              </w:rPr>
            </w:pPr>
            <w:r w:rsidRPr="00C323AD">
              <w:rPr>
                <w:rFonts w:asciiTheme="minorHAnsi" w:hAnsiTheme="minorHAnsi" w:cstheme="minorHAnsi"/>
                <w:sz w:val="17"/>
                <w:szCs w:val="17"/>
              </w:rPr>
              <w:t xml:space="preserve">The tenderer shall provide a short description of at least </w:t>
            </w:r>
            <w:r w:rsidR="00D754F7" w:rsidRPr="00C323AD">
              <w:rPr>
                <w:rFonts w:asciiTheme="minorHAnsi" w:hAnsiTheme="minorHAnsi" w:cstheme="minorHAnsi"/>
                <w:sz w:val="17"/>
                <w:szCs w:val="17"/>
              </w:rPr>
              <w:t>one</w:t>
            </w:r>
            <w:r w:rsidRPr="00C323AD">
              <w:rPr>
                <w:rFonts w:asciiTheme="minorHAnsi" w:hAnsiTheme="minorHAnsi" w:cstheme="minorHAnsi"/>
                <w:sz w:val="17"/>
                <w:szCs w:val="17"/>
              </w:rPr>
              <w:t xml:space="preserve"> completed example</w:t>
            </w:r>
            <w:r w:rsidR="00F9686B" w:rsidRPr="00C323AD">
              <w:rPr>
                <w:rFonts w:asciiTheme="minorHAnsi" w:hAnsiTheme="minorHAnsi" w:cstheme="minorHAnsi"/>
                <w:sz w:val="17"/>
                <w:szCs w:val="17"/>
              </w:rPr>
              <w:t xml:space="preserve"> of work</w:t>
            </w:r>
            <w:r w:rsidRPr="00C323AD">
              <w:rPr>
                <w:rFonts w:asciiTheme="minorHAnsi" w:hAnsiTheme="minorHAnsi" w:cstheme="minorHAnsi"/>
                <w:sz w:val="17"/>
                <w:szCs w:val="17"/>
              </w:rPr>
              <w:t xml:space="preserve"> within the past </w:t>
            </w:r>
            <w:r w:rsidR="00BE04A4" w:rsidRPr="00C323AD">
              <w:rPr>
                <w:rFonts w:asciiTheme="minorHAnsi" w:hAnsiTheme="minorHAnsi" w:cstheme="minorHAnsi"/>
                <w:sz w:val="17"/>
                <w:szCs w:val="17"/>
              </w:rPr>
              <w:t>five</w:t>
            </w:r>
            <w:r w:rsidRPr="00C323AD">
              <w:rPr>
                <w:rFonts w:asciiTheme="minorHAnsi" w:hAnsiTheme="minorHAnsi" w:cstheme="minorHAnsi"/>
                <w:sz w:val="17"/>
                <w:szCs w:val="17"/>
              </w:rPr>
              <w:t xml:space="preserve"> years that</w:t>
            </w:r>
            <w:r w:rsidR="00F9686B" w:rsidRPr="00C323AD">
              <w:rPr>
                <w:rFonts w:asciiTheme="minorHAnsi" w:hAnsiTheme="minorHAnsi" w:cstheme="minorHAnsi"/>
                <w:sz w:val="17"/>
                <w:szCs w:val="17"/>
              </w:rPr>
              <w:t xml:space="preserve"> analysed system risk</w:t>
            </w:r>
            <w:r w:rsidRPr="00C323AD">
              <w:rPr>
                <w:rFonts w:asciiTheme="minorHAnsi" w:hAnsiTheme="minorHAnsi" w:cstheme="minorHAnsi"/>
                <w:sz w:val="17"/>
                <w:szCs w:val="17"/>
              </w:rPr>
              <w:t>.</w:t>
            </w:r>
          </w:p>
          <w:p w14:paraId="72BC943F" w14:textId="74ADB148" w:rsidR="008C5A70" w:rsidRPr="00C323AD" w:rsidRDefault="008C5A70" w:rsidP="00C323AD">
            <w:pPr>
              <w:spacing w:after="60"/>
              <w:rPr>
                <w:rFonts w:asciiTheme="minorHAnsi" w:hAnsiTheme="minorHAnsi" w:cstheme="minorHAnsi"/>
                <w:sz w:val="17"/>
                <w:szCs w:val="17"/>
              </w:rPr>
            </w:pPr>
            <w:r w:rsidRPr="00C323AD">
              <w:rPr>
                <w:rFonts w:asciiTheme="minorHAnsi" w:hAnsiTheme="minorHAnsi" w:cstheme="minorHAnsi"/>
                <w:sz w:val="17"/>
                <w:szCs w:val="17"/>
              </w:rPr>
              <w:t xml:space="preserve">In order to </w:t>
            </w:r>
            <w:r w:rsidRPr="00C323AD">
              <w:rPr>
                <w:rFonts w:asciiTheme="minorHAnsi" w:hAnsiTheme="minorHAnsi" w:cstheme="minorHAnsi"/>
                <w:color w:val="00B050"/>
                <w:sz w:val="17"/>
                <w:szCs w:val="17"/>
              </w:rPr>
              <w:t>pass</w:t>
            </w:r>
            <w:r w:rsidRPr="00C323AD">
              <w:rPr>
                <w:rFonts w:asciiTheme="minorHAnsi" w:hAnsiTheme="minorHAnsi" w:cstheme="minorHAnsi"/>
                <w:sz w:val="17"/>
                <w:szCs w:val="17"/>
              </w:rPr>
              <w:t xml:space="preserve"> the selection criteria, the tenderer’s response must address the above and:</w:t>
            </w:r>
          </w:p>
          <w:p w14:paraId="47903504" w14:textId="46FC7D51" w:rsidR="008C5A70" w:rsidRPr="00C323AD" w:rsidRDefault="008C5A70" w:rsidP="00DB5ED6">
            <w:pPr>
              <w:pStyle w:val="ListParagraph"/>
              <w:numPr>
                <w:ilvl w:val="0"/>
                <w:numId w:val="38"/>
              </w:numPr>
              <w:spacing w:after="60"/>
              <w:rPr>
                <w:rFonts w:asciiTheme="minorHAnsi" w:hAnsiTheme="minorHAnsi" w:cstheme="minorHAnsi"/>
                <w:sz w:val="17"/>
                <w:szCs w:val="17"/>
              </w:rPr>
            </w:pPr>
            <w:r w:rsidRPr="00C323AD">
              <w:rPr>
                <w:rFonts w:asciiTheme="minorHAnsi" w:hAnsiTheme="minorHAnsi" w:cstheme="minorHAnsi"/>
                <w:sz w:val="17"/>
                <w:szCs w:val="17"/>
              </w:rPr>
              <w:t xml:space="preserve">Demonstrate a track record of successfully </w:t>
            </w:r>
            <w:r w:rsidR="00402EE2" w:rsidRPr="00C323AD">
              <w:rPr>
                <w:rFonts w:asciiTheme="minorHAnsi" w:hAnsiTheme="minorHAnsi" w:cstheme="minorHAnsi"/>
                <w:sz w:val="17"/>
                <w:szCs w:val="17"/>
              </w:rPr>
              <w:t>delivering</w:t>
            </w:r>
            <w:r w:rsidRPr="00C323AD">
              <w:rPr>
                <w:rFonts w:asciiTheme="minorHAnsi" w:hAnsiTheme="minorHAnsi" w:cstheme="minorHAnsi"/>
                <w:sz w:val="17"/>
                <w:szCs w:val="17"/>
              </w:rPr>
              <w:t xml:space="preserve"> </w:t>
            </w:r>
            <w:r w:rsidR="00037C41" w:rsidRPr="00C323AD">
              <w:rPr>
                <w:rFonts w:asciiTheme="minorHAnsi" w:hAnsiTheme="minorHAnsi" w:cstheme="minorHAnsi"/>
                <w:sz w:val="17"/>
                <w:szCs w:val="17"/>
              </w:rPr>
              <w:t>system risk</w:t>
            </w:r>
            <w:r w:rsidR="00402EE2" w:rsidRPr="00C323AD">
              <w:rPr>
                <w:rFonts w:asciiTheme="minorHAnsi" w:hAnsiTheme="minorHAnsi" w:cstheme="minorHAnsi"/>
                <w:sz w:val="17"/>
                <w:szCs w:val="17"/>
              </w:rPr>
              <w:t xml:space="preserve"> analyses</w:t>
            </w:r>
          </w:p>
          <w:p w14:paraId="024EA550" w14:textId="23F6F327" w:rsidR="008C5A70" w:rsidRPr="00C323AD" w:rsidRDefault="008C5A70" w:rsidP="00DB5ED6">
            <w:pPr>
              <w:pStyle w:val="ListParagraph"/>
              <w:numPr>
                <w:ilvl w:val="0"/>
                <w:numId w:val="38"/>
              </w:numPr>
              <w:spacing w:after="60"/>
              <w:rPr>
                <w:rFonts w:asciiTheme="minorHAnsi" w:hAnsiTheme="minorHAnsi" w:cstheme="minorHAnsi"/>
                <w:sz w:val="17"/>
                <w:szCs w:val="17"/>
              </w:rPr>
            </w:pPr>
            <w:r w:rsidRPr="00C323AD">
              <w:rPr>
                <w:rFonts w:asciiTheme="minorHAnsi" w:hAnsiTheme="minorHAnsi" w:cstheme="minorHAnsi"/>
                <w:sz w:val="17"/>
                <w:szCs w:val="17"/>
              </w:rPr>
              <w:t xml:space="preserve">Give RSSB full confidence in the tenderer’s ability to </w:t>
            </w:r>
            <w:r w:rsidR="00402EE2" w:rsidRPr="00C323AD">
              <w:rPr>
                <w:rFonts w:asciiTheme="minorHAnsi" w:hAnsiTheme="minorHAnsi" w:cstheme="minorHAnsi"/>
                <w:sz w:val="17"/>
                <w:szCs w:val="17"/>
              </w:rPr>
              <w:t>analyse system risk</w:t>
            </w:r>
          </w:p>
          <w:p w14:paraId="14ADC0A2" w14:textId="6BBD1356" w:rsidR="008C5A70" w:rsidRPr="00C323AD" w:rsidRDefault="008C5A70" w:rsidP="00C323AD">
            <w:pPr>
              <w:spacing w:after="60"/>
              <w:rPr>
                <w:rFonts w:asciiTheme="minorHAnsi" w:hAnsiTheme="minorHAnsi" w:cstheme="minorHAnsi"/>
                <w:sz w:val="17"/>
                <w:szCs w:val="17"/>
              </w:rPr>
            </w:pPr>
            <w:r w:rsidRPr="00C323AD">
              <w:rPr>
                <w:rFonts w:asciiTheme="minorHAnsi" w:hAnsiTheme="minorHAnsi" w:cstheme="minorHAnsi"/>
                <w:sz w:val="17"/>
                <w:szCs w:val="17"/>
              </w:rPr>
              <w:t xml:space="preserve">The tenderer shall </w:t>
            </w:r>
            <w:r w:rsidRPr="00C323AD">
              <w:rPr>
                <w:rFonts w:asciiTheme="minorHAnsi" w:hAnsiTheme="minorHAnsi" w:cstheme="minorHAnsi"/>
                <w:color w:val="FF0000"/>
                <w:sz w:val="17"/>
                <w:szCs w:val="17"/>
              </w:rPr>
              <w:t>fail</w:t>
            </w:r>
            <w:r w:rsidRPr="00C323AD">
              <w:rPr>
                <w:rFonts w:asciiTheme="minorHAnsi" w:hAnsiTheme="minorHAnsi" w:cstheme="minorHAnsi"/>
                <w:sz w:val="17"/>
                <w:szCs w:val="17"/>
              </w:rPr>
              <w:t xml:space="preserve"> the selection criteria if it either fails to provide a short description of at least </w:t>
            </w:r>
            <w:r w:rsidR="00D754F7" w:rsidRPr="00C323AD">
              <w:rPr>
                <w:rFonts w:asciiTheme="minorHAnsi" w:hAnsiTheme="minorHAnsi" w:cstheme="minorHAnsi"/>
                <w:sz w:val="17"/>
                <w:szCs w:val="17"/>
              </w:rPr>
              <w:t>one</w:t>
            </w:r>
            <w:r w:rsidR="00BE04A4" w:rsidRPr="00C323AD">
              <w:rPr>
                <w:rFonts w:asciiTheme="minorHAnsi" w:hAnsiTheme="minorHAnsi" w:cstheme="minorHAnsi"/>
                <w:sz w:val="17"/>
                <w:szCs w:val="17"/>
              </w:rPr>
              <w:t xml:space="preserve"> completed example of work within the past five years that analysed system risk</w:t>
            </w:r>
            <w:r w:rsidRPr="00C323AD">
              <w:rPr>
                <w:rFonts w:asciiTheme="minorHAnsi" w:hAnsiTheme="minorHAnsi" w:cstheme="minorHAnsi"/>
                <w:sz w:val="17"/>
                <w:szCs w:val="17"/>
              </w:rPr>
              <w:t>; or the provided example fails to achieve ANY of the following:</w:t>
            </w:r>
          </w:p>
          <w:p w14:paraId="68C3C783" w14:textId="5D4086CB" w:rsidR="008C5A70" w:rsidRPr="00C323AD" w:rsidRDefault="008C5A70" w:rsidP="00DB5ED6">
            <w:pPr>
              <w:pStyle w:val="ListParagraph"/>
              <w:numPr>
                <w:ilvl w:val="0"/>
                <w:numId w:val="38"/>
              </w:numPr>
              <w:spacing w:after="60"/>
              <w:rPr>
                <w:rFonts w:asciiTheme="minorHAnsi" w:hAnsiTheme="minorHAnsi" w:cstheme="minorHAnsi"/>
                <w:sz w:val="17"/>
                <w:szCs w:val="17"/>
              </w:rPr>
            </w:pPr>
            <w:r w:rsidRPr="00C323AD">
              <w:rPr>
                <w:rFonts w:asciiTheme="minorHAnsi" w:hAnsiTheme="minorHAnsi" w:cstheme="minorHAnsi"/>
                <w:sz w:val="17"/>
                <w:szCs w:val="17"/>
              </w:rPr>
              <w:t>Demonstrate a track record of successfully deliverin</w:t>
            </w:r>
            <w:r w:rsidR="00402EE2" w:rsidRPr="00C323AD">
              <w:rPr>
                <w:rFonts w:asciiTheme="minorHAnsi" w:hAnsiTheme="minorHAnsi" w:cstheme="minorHAnsi"/>
                <w:sz w:val="17"/>
                <w:szCs w:val="17"/>
              </w:rPr>
              <w:t>g system risk analyses</w:t>
            </w:r>
          </w:p>
          <w:p w14:paraId="414BFE28" w14:textId="426AA6F1" w:rsidR="008C5A70" w:rsidRPr="00C323AD" w:rsidRDefault="008C5A70" w:rsidP="00DB5ED6">
            <w:pPr>
              <w:pStyle w:val="ListParagraph"/>
              <w:numPr>
                <w:ilvl w:val="0"/>
                <w:numId w:val="38"/>
              </w:numPr>
              <w:spacing w:after="60"/>
              <w:rPr>
                <w:rFonts w:asciiTheme="minorHAnsi" w:hAnsiTheme="minorHAnsi" w:cstheme="minorHAnsi"/>
                <w:sz w:val="17"/>
                <w:szCs w:val="17"/>
              </w:rPr>
            </w:pPr>
            <w:r w:rsidRPr="00C323AD">
              <w:rPr>
                <w:rFonts w:asciiTheme="minorHAnsi" w:hAnsiTheme="minorHAnsi" w:cstheme="minorHAnsi"/>
                <w:sz w:val="17"/>
                <w:szCs w:val="17"/>
              </w:rPr>
              <w:t>Give RSSB full confidence in the tenderer’s ability to</w:t>
            </w:r>
            <w:r w:rsidR="00402EE2" w:rsidRPr="00C323AD">
              <w:rPr>
                <w:rFonts w:asciiTheme="minorHAnsi" w:hAnsiTheme="minorHAnsi" w:cstheme="minorHAnsi"/>
                <w:sz w:val="17"/>
                <w:szCs w:val="17"/>
              </w:rPr>
              <w:t xml:space="preserve"> analyse system risk</w:t>
            </w:r>
          </w:p>
        </w:tc>
      </w:tr>
    </w:tbl>
    <w:p w14:paraId="172D6B25" w14:textId="77777777" w:rsidR="00382426" w:rsidRDefault="00382426" w:rsidP="00D65903">
      <w:pPr>
        <w:rPr>
          <w:rStyle w:val="CommentReference"/>
          <w:rFonts w:eastAsia="Arial"/>
          <w:lang w:val="x-none"/>
        </w:rPr>
        <w:sectPr w:rsidR="00382426" w:rsidSect="00FB4F82">
          <w:pgSz w:w="16838" w:h="11906" w:orient="landscape"/>
          <w:pgMar w:top="1800" w:right="1440" w:bottom="1800" w:left="1560" w:header="708" w:footer="708" w:gutter="0"/>
          <w:cols w:space="720"/>
          <w:docGrid w:linePitch="326"/>
        </w:sectPr>
      </w:pPr>
    </w:p>
    <w:p w14:paraId="2620D2C1" w14:textId="77777777" w:rsidR="00E772E5" w:rsidRPr="00E772E5" w:rsidRDefault="00E772E5" w:rsidP="00E772E5">
      <w:pPr>
        <w:pStyle w:val="Heading30"/>
        <w:rPr>
          <w:sz w:val="28"/>
          <w:szCs w:val="28"/>
        </w:rPr>
      </w:pPr>
      <w:r w:rsidRPr="00E772E5">
        <w:rPr>
          <w:sz w:val="28"/>
          <w:szCs w:val="28"/>
        </w:rPr>
        <w:lastRenderedPageBreak/>
        <w:t>Award criteria scoring</w:t>
      </w:r>
    </w:p>
    <w:p w14:paraId="54420A42" w14:textId="77777777" w:rsidR="00E772E5" w:rsidRPr="00354CC4" w:rsidRDefault="00E772E5" w:rsidP="00E772E5">
      <w:pPr>
        <w:pStyle w:val="Body"/>
        <w:rPr>
          <w:rFonts w:eastAsiaTheme="minorHAnsi"/>
        </w:rPr>
      </w:pPr>
      <w:r w:rsidRPr="00E478F2">
        <w:rPr>
          <w:rFonts w:eastAsiaTheme="minorHAnsi"/>
        </w:rPr>
        <w:t xml:space="preserve">Each of the criteria set out in the weighted award criteria are scored 0-5. The below </w:t>
      </w:r>
      <w:proofErr w:type="gramStart"/>
      <w:r w:rsidRPr="00E478F2">
        <w:rPr>
          <w:rFonts w:eastAsiaTheme="minorHAnsi"/>
        </w:rPr>
        <w:t>gives an explanation of</w:t>
      </w:r>
      <w:proofErr w:type="gramEnd"/>
      <w:r w:rsidRPr="00E478F2">
        <w:rPr>
          <w:rFonts w:eastAsiaTheme="minorHAnsi"/>
        </w:rPr>
        <w:t xml:space="preserve"> the scoring system used</w:t>
      </w:r>
      <w:r>
        <w:rPr>
          <w:rFonts w:eastAsiaTheme="minorHAnsi"/>
        </w:rPr>
        <w:t>:</w:t>
      </w:r>
    </w:p>
    <w:tbl>
      <w:tblPr>
        <w:tblW w:w="5513" w:type="pct"/>
        <w:jc w:val="center"/>
        <w:tblCellMar>
          <w:left w:w="0" w:type="dxa"/>
          <w:right w:w="0" w:type="dxa"/>
        </w:tblCellMar>
        <w:tblLook w:val="04A0" w:firstRow="1" w:lastRow="0" w:firstColumn="1" w:lastColumn="0" w:noHBand="0" w:noVBand="1"/>
      </w:tblPr>
      <w:tblGrid>
        <w:gridCol w:w="1457"/>
        <w:gridCol w:w="13779"/>
      </w:tblGrid>
      <w:tr w:rsidR="00E772E5" w:rsidRPr="00354CC4" w14:paraId="33625BF5" w14:textId="77777777" w:rsidTr="005D21E3">
        <w:trPr>
          <w:trHeight w:val="70"/>
          <w:jc w:val="center"/>
        </w:trPr>
        <w:tc>
          <w:tcPr>
            <w:tcW w:w="478"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04905F25" w14:textId="77777777" w:rsidR="00E772E5" w:rsidRPr="00354CC4" w:rsidRDefault="00E772E5" w:rsidP="005D21E3">
            <w:pPr>
              <w:spacing w:before="60" w:after="60"/>
              <w:ind w:left="709" w:hanging="709"/>
              <w:jc w:val="both"/>
              <w:rPr>
                <w:rFonts w:asciiTheme="minorHAnsi" w:hAnsiTheme="minorHAnsi"/>
                <w:b/>
                <w:bCs/>
                <w:sz w:val="22"/>
                <w:szCs w:val="22"/>
                <w:lang w:eastAsia="en-GB"/>
              </w:rPr>
            </w:pPr>
            <w:r w:rsidRPr="00354CC4">
              <w:rPr>
                <w:rFonts w:asciiTheme="minorHAnsi" w:hAnsiTheme="minorHAnsi"/>
                <w:b/>
                <w:bCs/>
                <w:sz w:val="22"/>
                <w:szCs w:val="22"/>
                <w:lang w:eastAsia="en-GB"/>
              </w:rPr>
              <w:t>Grade</w:t>
            </w:r>
          </w:p>
        </w:tc>
        <w:tc>
          <w:tcPr>
            <w:tcW w:w="4522"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19EC7C3" w14:textId="77777777" w:rsidR="00E772E5" w:rsidRPr="00354CC4" w:rsidRDefault="00E772E5" w:rsidP="005D21E3">
            <w:pPr>
              <w:spacing w:before="60" w:after="60"/>
              <w:ind w:left="709" w:hanging="709"/>
              <w:jc w:val="both"/>
              <w:rPr>
                <w:rFonts w:asciiTheme="minorHAnsi" w:hAnsiTheme="minorHAnsi"/>
                <w:b/>
                <w:bCs/>
                <w:sz w:val="22"/>
                <w:szCs w:val="22"/>
                <w:lang w:eastAsia="en-GB"/>
              </w:rPr>
            </w:pPr>
            <w:r w:rsidRPr="00354CC4">
              <w:rPr>
                <w:rFonts w:asciiTheme="minorHAnsi" w:hAnsiTheme="minorHAnsi"/>
                <w:b/>
                <w:bCs/>
                <w:sz w:val="22"/>
                <w:szCs w:val="22"/>
                <w:lang w:eastAsia="en-GB"/>
              </w:rPr>
              <w:t>Definition of grade</w:t>
            </w:r>
          </w:p>
        </w:tc>
      </w:tr>
      <w:tr w:rsidR="00E772E5" w:rsidRPr="00354CC4" w14:paraId="7E4C53E7" w14:textId="77777777" w:rsidTr="005D21E3">
        <w:trPr>
          <w:trHeight w:val="862"/>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F6E90DB" w14:textId="77777777" w:rsidR="00E772E5" w:rsidRPr="00354CC4" w:rsidRDefault="00E772E5" w:rsidP="005D21E3">
            <w:pPr>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t>5</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2FB80D02" w14:textId="77777777" w:rsidR="00E772E5" w:rsidRPr="00354CC4" w:rsidRDefault="00E772E5" w:rsidP="005D21E3">
            <w:pPr>
              <w:ind w:left="709" w:hanging="709"/>
              <w:jc w:val="both"/>
              <w:rPr>
                <w:rFonts w:asciiTheme="minorHAnsi" w:hAnsiTheme="minorHAnsi"/>
                <w:sz w:val="22"/>
                <w:szCs w:val="22"/>
                <w:lang w:eastAsia="en-GB"/>
              </w:rPr>
            </w:pPr>
            <w:r w:rsidRPr="00354CC4">
              <w:rPr>
                <w:rFonts w:asciiTheme="minorHAnsi" w:hAnsiTheme="minorHAnsi"/>
                <w:sz w:val="22"/>
                <w:szCs w:val="22"/>
                <w:lang w:eastAsia="en-GB"/>
              </w:rPr>
              <w:t>An Excellent Tender Response that (where applicable):</w:t>
            </w:r>
          </w:p>
          <w:p w14:paraId="42D7CB56" w14:textId="77777777" w:rsidR="00E772E5" w:rsidRPr="00354CC4" w:rsidRDefault="00E772E5" w:rsidP="00DB5ED6">
            <w:pPr>
              <w:numPr>
                <w:ilvl w:val="0"/>
                <w:numId w:val="33"/>
              </w:numPr>
              <w:jc w:val="both"/>
              <w:rPr>
                <w:rFonts w:asciiTheme="minorHAnsi" w:hAnsiTheme="minorHAnsi"/>
                <w:sz w:val="22"/>
                <w:szCs w:val="22"/>
                <w:lang w:eastAsia="en-GB"/>
              </w:rPr>
            </w:pPr>
            <w:r w:rsidRPr="00354CC4">
              <w:rPr>
                <w:rFonts w:asciiTheme="minorHAnsi" w:hAnsiTheme="minorHAnsi"/>
                <w:sz w:val="22"/>
                <w:szCs w:val="22"/>
                <w:lang w:eastAsia="en-GB"/>
              </w:rPr>
              <w:t xml:space="preserve">Addresses all aspects of the question in an informed and comprehensive manner; </w:t>
            </w:r>
          </w:p>
          <w:p w14:paraId="6BA07243" w14:textId="77777777" w:rsidR="00E772E5" w:rsidRPr="00354CC4" w:rsidRDefault="00E772E5" w:rsidP="00DB5ED6">
            <w:pPr>
              <w:numPr>
                <w:ilvl w:val="0"/>
                <w:numId w:val="33"/>
              </w:numPr>
              <w:jc w:val="both"/>
              <w:rPr>
                <w:rFonts w:asciiTheme="minorHAnsi" w:hAnsiTheme="minorHAnsi"/>
                <w:sz w:val="22"/>
                <w:szCs w:val="22"/>
                <w:lang w:eastAsia="en-GB"/>
              </w:rPr>
            </w:pPr>
            <w:r w:rsidRPr="00354CC4">
              <w:rPr>
                <w:rFonts w:asciiTheme="minorHAnsi" w:hAnsiTheme="minorHAnsi"/>
                <w:sz w:val="22"/>
                <w:szCs w:val="22"/>
                <w:lang w:eastAsia="en-GB"/>
              </w:rPr>
              <w:t>Demonstrates a thorough understanding of what is being asked for;</w:t>
            </w:r>
          </w:p>
          <w:p w14:paraId="054C743F" w14:textId="77777777" w:rsidR="00E772E5" w:rsidRPr="00354CC4" w:rsidRDefault="00E772E5" w:rsidP="00DB5ED6">
            <w:pPr>
              <w:numPr>
                <w:ilvl w:val="0"/>
                <w:numId w:val="33"/>
              </w:numPr>
              <w:jc w:val="both"/>
              <w:rPr>
                <w:rFonts w:asciiTheme="minorHAnsi" w:hAnsiTheme="minorHAnsi"/>
                <w:sz w:val="22"/>
                <w:szCs w:val="22"/>
                <w:lang w:eastAsia="en-GB"/>
              </w:rPr>
            </w:pPr>
            <w:r w:rsidRPr="00354CC4">
              <w:rPr>
                <w:rFonts w:asciiTheme="minorHAnsi" w:hAnsiTheme="minorHAnsi"/>
                <w:sz w:val="22"/>
                <w:szCs w:val="22"/>
                <w:lang w:eastAsia="en-GB"/>
              </w:rPr>
              <w:t>Provides evidence of how that understanding can be applied in practice;</w:t>
            </w:r>
          </w:p>
          <w:p w14:paraId="61144AC2" w14:textId="77777777" w:rsidR="00E772E5" w:rsidRPr="00354CC4" w:rsidRDefault="00E772E5" w:rsidP="00DB5ED6">
            <w:pPr>
              <w:numPr>
                <w:ilvl w:val="0"/>
                <w:numId w:val="33"/>
              </w:numPr>
              <w:jc w:val="both"/>
              <w:rPr>
                <w:rFonts w:asciiTheme="minorHAnsi" w:hAnsiTheme="minorHAnsi"/>
                <w:sz w:val="22"/>
                <w:szCs w:val="22"/>
                <w:lang w:eastAsia="en-GB"/>
              </w:rPr>
            </w:pPr>
            <w:r w:rsidRPr="00354CC4">
              <w:rPr>
                <w:rFonts w:asciiTheme="minorHAnsi" w:hAnsiTheme="minorHAnsi"/>
                <w:sz w:val="22"/>
                <w:szCs w:val="22"/>
                <w:lang w:eastAsia="en-GB"/>
              </w:rPr>
              <w:t>Offers full confidence that the Tenderer will deliver the service in full;</w:t>
            </w:r>
          </w:p>
          <w:p w14:paraId="6284E551" w14:textId="77777777" w:rsidR="00E772E5" w:rsidRPr="00354CC4" w:rsidRDefault="00E772E5" w:rsidP="00DB5ED6">
            <w:pPr>
              <w:numPr>
                <w:ilvl w:val="0"/>
                <w:numId w:val="33"/>
              </w:numPr>
              <w:jc w:val="both"/>
              <w:rPr>
                <w:rFonts w:asciiTheme="minorHAnsi" w:hAnsiTheme="minorHAnsi"/>
                <w:sz w:val="22"/>
                <w:szCs w:val="22"/>
                <w:lang w:eastAsia="en-GB"/>
              </w:rPr>
            </w:pPr>
            <w:r w:rsidRPr="00354CC4">
              <w:rPr>
                <w:rFonts w:asciiTheme="minorHAnsi" w:hAnsiTheme="minorHAnsi"/>
                <w:sz w:val="22"/>
                <w:szCs w:val="22"/>
                <w:lang w:eastAsia="en-GB"/>
              </w:rPr>
              <w:t xml:space="preserve">Addresses </w:t>
            </w:r>
            <w:proofErr w:type="gramStart"/>
            <w:r w:rsidRPr="00354CC4">
              <w:rPr>
                <w:rFonts w:asciiTheme="minorHAnsi" w:hAnsiTheme="minorHAnsi"/>
                <w:sz w:val="22"/>
                <w:szCs w:val="22"/>
                <w:lang w:eastAsia="en-GB"/>
              </w:rPr>
              <w:t>the majority of</w:t>
            </w:r>
            <w:proofErr w:type="gramEnd"/>
            <w:r w:rsidRPr="00354CC4">
              <w:rPr>
                <w:rFonts w:asciiTheme="minorHAnsi" w:hAnsiTheme="minorHAnsi"/>
                <w:sz w:val="22"/>
                <w:szCs w:val="22"/>
                <w:lang w:eastAsia="en-GB"/>
              </w:rPr>
              <w:t xml:space="preserve"> areas of doubt and uncertainty; and </w:t>
            </w:r>
          </w:p>
          <w:p w14:paraId="1F5E4366" w14:textId="77777777" w:rsidR="00E772E5" w:rsidRPr="00354CC4" w:rsidRDefault="00E772E5" w:rsidP="00DB5ED6">
            <w:pPr>
              <w:numPr>
                <w:ilvl w:val="0"/>
                <w:numId w:val="33"/>
              </w:numPr>
              <w:jc w:val="both"/>
              <w:rPr>
                <w:rFonts w:asciiTheme="minorHAnsi" w:hAnsiTheme="minorHAnsi"/>
                <w:sz w:val="22"/>
                <w:szCs w:val="22"/>
                <w:lang w:eastAsia="en-GB"/>
              </w:rPr>
            </w:pPr>
            <w:r w:rsidRPr="00354CC4">
              <w:rPr>
                <w:rFonts w:asciiTheme="minorHAnsi" w:hAnsiTheme="minorHAnsi"/>
                <w:sz w:val="22"/>
                <w:szCs w:val="22"/>
                <w:lang w:eastAsia="en-GB"/>
              </w:rPr>
              <w:t xml:space="preserve">Provides certain, unambiguous commitments or statements of intent that permit reliance through translation into contractual terms </w:t>
            </w:r>
          </w:p>
        </w:tc>
      </w:tr>
      <w:tr w:rsidR="00E772E5" w:rsidRPr="00354CC4" w14:paraId="4593AF9A" w14:textId="77777777" w:rsidTr="005D21E3">
        <w:trPr>
          <w:trHeight w:val="861"/>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13BB96E" w14:textId="77777777" w:rsidR="00E772E5" w:rsidRPr="00354CC4" w:rsidRDefault="00E772E5" w:rsidP="005D21E3">
            <w:pPr>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t>4</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7B459C2E" w14:textId="77777777" w:rsidR="00E772E5" w:rsidRPr="00354CC4" w:rsidRDefault="00E772E5" w:rsidP="005D21E3">
            <w:pPr>
              <w:jc w:val="both"/>
              <w:rPr>
                <w:rFonts w:asciiTheme="minorHAnsi" w:hAnsiTheme="minorHAnsi"/>
                <w:sz w:val="22"/>
                <w:szCs w:val="22"/>
                <w:lang w:eastAsia="en-GB"/>
              </w:rPr>
            </w:pPr>
            <w:r w:rsidRPr="00354CC4">
              <w:rPr>
                <w:rFonts w:asciiTheme="minorHAnsi" w:hAnsiTheme="minorHAnsi"/>
                <w:sz w:val="22"/>
                <w:szCs w:val="22"/>
                <w:lang w:eastAsia="en-GB"/>
              </w:rPr>
              <w:t>A Good Tender Response that (where applicable):</w:t>
            </w:r>
          </w:p>
          <w:p w14:paraId="38858E24" w14:textId="77777777" w:rsidR="00E772E5" w:rsidRPr="00354CC4" w:rsidRDefault="00E772E5" w:rsidP="00DB5ED6">
            <w:pPr>
              <w:numPr>
                <w:ilvl w:val="0"/>
                <w:numId w:val="33"/>
              </w:numPr>
              <w:jc w:val="both"/>
              <w:rPr>
                <w:rFonts w:asciiTheme="minorHAnsi" w:hAnsiTheme="minorHAnsi"/>
                <w:sz w:val="22"/>
                <w:szCs w:val="22"/>
                <w:lang w:eastAsia="en-GB"/>
              </w:rPr>
            </w:pPr>
            <w:r w:rsidRPr="00354CC4">
              <w:rPr>
                <w:rFonts w:asciiTheme="minorHAnsi" w:hAnsiTheme="minorHAnsi"/>
                <w:sz w:val="22"/>
                <w:szCs w:val="22"/>
                <w:lang w:eastAsia="en-GB"/>
              </w:rPr>
              <w:t>Addresses all aspects of the question and is generally of a good standard;</w:t>
            </w:r>
          </w:p>
          <w:p w14:paraId="76AAD79D" w14:textId="77777777" w:rsidR="00E772E5" w:rsidRPr="00354CC4" w:rsidRDefault="00E772E5" w:rsidP="00DB5ED6">
            <w:pPr>
              <w:numPr>
                <w:ilvl w:val="0"/>
                <w:numId w:val="33"/>
              </w:numPr>
              <w:jc w:val="both"/>
              <w:rPr>
                <w:rFonts w:asciiTheme="minorHAnsi" w:hAnsiTheme="minorHAnsi"/>
                <w:sz w:val="22"/>
                <w:szCs w:val="22"/>
                <w:lang w:eastAsia="en-GB"/>
              </w:rPr>
            </w:pPr>
            <w:r w:rsidRPr="00354CC4">
              <w:rPr>
                <w:rFonts w:asciiTheme="minorHAnsi" w:hAnsiTheme="minorHAnsi"/>
                <w:sz w:val="22"/>
                <w:szCs w:val="22"/>
                <w:lang w:eastAsia="en-GB"/>
              </w:rPr>
              <w:t>Demonstrates a good understanding of what is being asked for;</w:t>
            </w:r>
          </w:p>
          <w:p w14:paraId="131E8864" w14:textId="77777777" w:rsidR="00E772E5" w:rsidRPr="00354CC4" w:rsidRDefault="00E772E5" w:rsidP="00DB5ED6">
            <w:pPr>
              <w:numPr>
                <w:ilvl w:val="0"/>
                <w:numId w:val="33"/>
              </w:numPr>
              <w:jc w:val="both"/>
              <w:rPr>
                <w:rFonts w:asciiTheme="minorHAnsi" w:hAnsiTheme="minorHAnsi"/>
                <w:sz w:val="22"/>
                <w:szCs w:val="22"/>
                <w:lang w:eastAsia="en-GB"/>
              </w:rPr>
            </w:pPr>
            <w:r w:rsidRPr="00354CC4">
              <w:rPr>
                <w:rFonts w:asciiTheme="minorHAnsi" w:hAnsiTheme="minorHAnsi"/>
                <w:sz w:val="22"/>
                <w:szCs w:val="22"/>
                <w:lang w:eastAsia="en-GB"/>
              </w:rPr>
              <w:t>Provides a worked-up methodical approach;</w:t>
            </w:r>
          </w:p>
          <w:p w14:paraId="15631C9A" w14:textId="77777777" w:rsidR="00E772E5" w:rsidRPr="00354CC4" w:rsidRDefault="00E772E5" w:rsidP="00DB5ED6">
            <w:pPr>
              <w:numPr>
                <w:ilvl w:val="0"/>
                <w:numId w:val="33"/>
              </w:numPr>
              <w:jc w:val="both"/>
              <w:rPr>
                <w:rFonts w:asciiTheme="minorHAnsi" w:hAnsiTheme="minorHAnsi"/>
                <w:sz w:val="22"/>
                <w:szCs w:val="22"/>
                <w:lang w:eastAsia="en-GB"/>
              </w:rPr>
            </w:pPr>
            <w:r w:rsidRPr="00354CC4">
              <w:rPr>
                <w:rFonts w:asciiTheme="minorHAnsi" w:hAnsiTheme="minorHAnsi"/>
                <w:sz w:val="22"/>
                <w:szCs w:val="22"/>
                <w:lang w:eastAsia="en-GB"/>
              </w:rPr>
              <w:t>Offers confidence that the Tenderer will deliver the service in full, with limited areas of doubt or uncertainty;</w:t>
            </w:r>
          </w:p>
          <w:p w14:paraId="164D033C" w14:textId="77777777" w:rsidR="00E772E5" w:rsidRPr="00354CC4" w:rsidRDefault="00E772E5" w:rsidP="00DB5ED6">
            <w:pPr>
              <w:numPr>
                <w:ilvl w:val="0"/>
                <w:numId w:val="33"/>
              </w:numPr>
              <w:jc w:val="both"/>
              <w:rPr>
                <w:rFonts w:asciiTheme="minorHAnsi" w:hAnsiTheme="minorHAnsi"/>
                <w:sz w:val="22"/>
                <w:szCs w:val="22"/>
                <w:lang w:eastAsia="en-GB"/>
              </w:rPr>
            </w:pPr>
            <w:r w:rsidRPr="00354CC4">
              <w:rPr>
                <w:rFonts w:asciiTheme="minorHAnsi" w:hAnsiTheme="minorHAnsi"/>
                <w:sz w:val="22"/>
                <w:szCs w:val="22"/>
                <w:lang w:eastAsia="en-GB"/>
              </w:rPr>
              <w:t xml:space="preserve">Addresses key areas of doubt and uncertainty; and </w:t>
            </w:r>
          </w:p>
          <w:p w14:paraId="2381CC9F" w14:textId="77777777" w:rsidR="00E772E5" w:rsidRPr="00354CC4" w:rsidRDefault="00E772E5" w:rsidP="00DB5ED6">
            <w:pPr>
              <w:numPr>
                <w:ilvl w:val="0"/>
                <w:numId w:val="33"/>
              </w:numPr>
              <w:jc w:val="both"/>
              <w:rPr>
                <w:rFonts w:asciiTheme="minorHAnsi" w:hAnsiTheme="minorHAnsi"/>
                <w:sz w:val="22"/>
                <w:szCs w:val="22"/>
                <w:lang w:eastAsia="en-GB"/>
              </w:rPr>
            </w:pPr>
            <w:r w:rsidRPr="00354CC4">
              <w:rPr>
                <w:rFonts w:asciiTheme="minorHAnsi" w:hAnsiTheme="minorHAnsi"/>
                <w:sz w:val="22"/>
                <w:szCs w:val="22"/>
                <w:lang w:eastAsia="en-GB"/>
              </w:rPr>
              <w:t>Provides commitments that can be translated well into contractual terms</w:t>
            </w:r>
          </w:p>
        </w:tc>
      </w:tr>
      <w:tr w:rsidR="00E772E5" w:rsidRPr="00354CC4" w14:paraId="732B0BE7" w14:textId="77777777" w:rsidTr="005D21E3">
        <w:trPr>
          <w:trHeight w:val="862"/>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DC4777E" w14:textId="77777777" w:rsidR="00E772E5" w:rsidRPr="00354CC4" w:rsidRDefault="00E772E5" w:rsidP="005D21E3">
            <w:pPr>
              <w:spacing w:before="60" w:after="60"/>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t>3</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052900BB" w14:textId="77777777" w:rsidR="00E772E5" w:rsidRPr="00354CC4" w:rsidRDefault="00E772E5" w:rsidP="005D21E3">
            <w:pPr>
              <w:ind w:left="709" w:hanging="709"/>
              <w:jc w:val="both"/>
              <w:rPr>
                <w:rFonts w:asciiTheme="minorHAnsi" w:hAnsiTheme="minorHAnsi"/>
                <w:sz w:val="22"/>
                <w:szCs w:val="22"/>
                <w:lang w:eastAsia="en-GB"/>
              </w:rPr>
            </w:pPr>
            <w:r w:rsidRPr="00354CC4">
              <w:rPr>
                <w:rFonts w:asciiTheme="minorHAnsi" w:hAnsiTheme="minorHAnsi"/>
                <w:sz w:val="22"/>
                <w:szCs w:val="22"/>
                <w:lang w:eastAsia="en-GB"/>
              </w:rPr>
              <w:t>A Satisfactory Tender Response that (where applicable):</w:t>
            </w:r>
          </w:p>
          <w:p w14:paraId="110DC540" w14:textId="77777777" w:rsidR="00E772E5" w:rsidRPr="00354CC4" w:rsidRDefault="00E772E5" w:rsidP="00DB5ED6">
            <w:pPr>
              <w:numPr>
                <w:ilvl w:val="0"/>
                <w:numId w:val="33"/>
              </w:numPr>
              <w:jc w:val="both"/>
              <w:rPr>
                <w:rFonts w:asciiTheme="minorHAnsi" w:hAnsiTheme="minorHAnsi"/>
                <w:sz w:val="22"/>
                <w:szCs w:val="22"/>
                <w:lang w:eastAsia="en-GB"/>
              </w:rPr>
            </w:pPr>
            <w:r w:rsidRPr="00354CC4">
              <w:rPr>
                <w:rFonts w:asciiTheme="minorHAnsi" w:hAnsiTheme="minorHAnsi"/>
                <w:sz w:val="22"/>
                <w:szCs w:val="22"/>
                <w:lang w:eastAsia="en-GB"/>
              </w:rPr>
              <w:t xml:space="preserve">Addresses </w:t>
            </w:r>
            <w:proofErr w:type="gramStart"/>
            <w:r w:rsidRPr="00354CC4">
              <w:rPr>
                <w:rFonts w:asciiTheme="minorHAnsi" w:hAnsiTheme="minorHAnsi"/>
                <w:sz w:val="22"/>
                <w:szCs w:val="22"/>
                <w:lang w:eastAsia="en-GB"/>
              </w:rPr>
              <w:t>the majority of</w:t>
            </w:r>
            <w:proofErr w:type="gramEnd"/>
            <w:r w:rsidRPr="00354CC4">
              <w:rPr>
                <w:rFonts w:asciiTheme="minorHAnsi" w:hAnsiTheme="minorHAnsi"/>
                <w:sz w:val="22"/>
                <w:szCs w:val="22"/>
                <w:lang w:eastAsia="en-GB"/>
              </w:rPr>
              <w:t xml:space="preserve"> the question and is generally of a good standard but lacks substance or detail in some areas;</w:t>
            </w:r>
          </w:p>
          <w:p w14:paraId="5854EE62" w14:textId="77777777" w:rsidR="00E772E5" w:rsidRPr="00354CC4" w:rsidRDefault="00E772E5" w:rsidP="00DB5ED6">
            <w:pPr>
              <w:numPr>
                <w:ilvl w:val="0"/>
                <w:numId w:val="33"/>
              </w:numPr>
              <w:jc w:val="both"/>
              <w:rPr>
                <w:rFonts w:asciiTheme="minorHAnsi" w:hAnsiTheme="minorHAnsi"/>
                <w:sz w:val="22"/>
                <w:szCs w:val="22"/>
                <w:lang w:eastAsia="en-GB"/>
              </w:rPr>
            </w:pPr>
            <w:r w:rsidRPr="00354CC4">
              <w:rPr>
                <w:rFonts w:asciiTheme="minorHAnsi" w:hAnsiTheme="minorHAnsi"/>
                <w:sz w:val="22"/>
                <w:szCs w:val="22"/>
                <w:lang w:eastAsia="en-GB"/>
              </w:rPr>
              <w:t>Demonstrates an understanding of what is being asked for;</w:t>
            </w:r>
          </w:p>
          <w:p w14:paraId="4D4A000A" w14:textId="77777777" w:rsidR="00E772E5" w:rsidRPr="00354CC4" w:rsidRDefault="00E772E5" w:rsidP="00DB5ED6">
            <w:pPr>
              <w:numPr>
                <w:ilvl w:val="0"/>
                <w:numId w:val="33"/>
              </w:numPr>
              <w:jc w:val="both"/>
              <w:rPr>
                <w:rFonts w:asciiTheme="minorHAnsi" w:hAnsiTheme="minorHAnsi"/>
                <w:sz w:val="22"/>
                <w:szCs w:val="22"/>
                <w:lang w:eastAsia="en-GB"/>
              </w:rPr>
            </w:pPr>
            <w:r w:rsidRPr="00354CC4">
              <w:rPr>
                <w:rFonts w:asciiTheme="minorHAnsi" w:hAnsiTheme="minorHAnsi"/>
                <w:sz w:val="22"/>
                <w:szCs w:val="22"/>
                <w:lang w:eastAsia="en-GB"/>
              </w:rPr>
              <w:t>Provides a satisfactory approach;</w:t>
            </w:r>
          </w:p>
          <w:p w14:paraId="2AF062B1" w14:textId="77777777" w:rsidR="00E772E5" w:rsidRPr="00354CC4" w:rsidRDefault="00E772E5" w:rsidP="00DB5ED6">
            <w:pPr>
              <w:numPr>
                <w:ilvl w:val="0"/>
                <w:numId w:val="33"/>
              </w:numPr>
              <w:jc w:val="both"/>
              <w:rPr>
                <w:rFonts w:asciiTheme="minorHAnsi" w:hAnsiTheme="minorHAnsi"/>
                <w:sz w:val="22"/>
                <w:szCs w:val="22"/>
                <w:lang w:eastAsia="en-GB"/>
              </w:rPr>
            </w:pPr>
            <w:r w:rsidRPr="00354CC4">
              <w:rPr>
                <w:rFonts w:asciiTheme="minorHAnsi" w:hAnsiTheme="minorHAnsi"/>
                <w:sz w:val="22"/>
                <w:szCs w:val="22"/>
                <w:lang w:eastAsia="en-GB"/>
              </w:rPr>
              <w:t>Offers a general level of confidence that the Tenderer will deliver the service (but with room for doubt in some areas);</w:t>
            </w:r>
          </w:p>
          <w:p w14:paraId="6306D8B8" w14:textId="77777777" w:rsidR="00E772E5" w:rsidRPr="00354CC4" w:rsidRDefault="00E772E5" w:rsidP="00DB5ED6">
            <w:pPr>
              <w:numPr>
                <w:ilvl w:val="0"/>
                <w:numId w:val="33"/>
              </w:numPr>
              <w:jc w:val="both"/>
              <w:rPr>
                <w:rFonts w:asciiTheme="minorHAnsi" w:hAnsiTheme="minorHAnsi"/>
                <w:sz w:val="22"/>
                <w:szCs w:val="22"/>
                <w:lang w:eastAsia="en-GB"/>
              </w:rPr>
            </w:pPr>
            <w:r w:rsidRPr="00354CC4">
              <w:rPr>
                <w:rFonts w:asciiTheme="minorHAnsi" w:hAnsiTheme="minorHAnsi"/>
                <w:sz w:val="22"/>
                <w:szCs w:val="22"/>
                <w:lang w:eastAsia="en-GB"/>
              </w:rPr>
              <w:t>Address some areas of doubt and uncertainty; and</w:t>
            </w:r>
          </w:p>
          <w:p w14:paraId="18B5026F" w14:textId="77777777" w:rsidR="00E772E5" w:rsidRPr="00354CC4" w:rsidRDefault="00E772E5" w:rsidP="00DB5ED6">
            <w:pPr>
              <w:numPr>
                <w:ilvl w:val="0"/>
                <w:numId w:val="33"/>
              </w:numPr>
              <w:jc w:val="both"/>
              <w:rPr>
                <w:rFonts w:asciiTheme="minorHAnsi" w:hAnsiTheme="minorHAnsi"/>
                <w:sz w:val="22"/>
                <w:szCs w:val="22"/>
                <w:lang w:eastAsia="en-GB"/>
              </w:rPr>
            </w:pPr>
            <w:r w:rsidRPr="00354CC4">
              <w:rPr>
                <w:rFonts w:asciiTheme="minorHAnsi" w:hAnsiTheme="minorHAnsi"/>
                <w:sz w:val="22"/>
                <w:szCs w:val="22"/>
                <w:lang w:eastAsia="en-GB"/>
              </w:rPr>
              <w:t>Provides some commitments that can be translated well into contractual terms.</w:t>
            </w:r>
          </w:p>
        </w:tc>
      </w:tr>
      <w:tr w:rsidR="00E772E5" w:rsidRPr="00354CC4" w14:paraId="065C1AB7" w14:textId="77777777" w:rsidTr="005D21E3">
        <w:trPr>
          <w:trHeight w:val="862"/>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57483DE" w14:textId="77777777" w:rsidR="00E772E5" w:rsidRPr="00354CC4" w:rsidRDefault="00E772E5" w:rsidP="005D21E3">
            <w:pPr>
              <w:spacing w:before="60" w:after="60"/>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lastRenderedPageBreak/>
              <w:t>2</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71F3CBAA" w14:textId="77777777" w:rsidR="00E772E5" w:rsidRPr="00354CC4" w:rsidRDefault="00E772E5" w:rsidP="005D21E3">
            <w:pPr>
              <w:ind w:left="709" w:hanging="709"/>
              <w:jc w:val="both"/>
              <w:rPr>
                <w:rFonts w:asciiTheme="minorHAnsi" w:hAnsiTheme="minorHAnsi"/>
                <w:sz w:val="22"/>
                <w:szCs w:val="22"/>
                <w:lang w:eastAsia="en-GB"/>
              </w:rPr>
            </w:pPr>
            <w:r w:rsidRPr="00354CC4">
              <w:rPr>
                <w:rFonts w:asciiTheme="minorHAnsi" w:hAnsiTheme="minorHAnsi"/>
                <w:sz w:val="22"/>
                <w:szCs w:val="22"/>
                <w:lang w:eastAsia="en-GB"/>
              </w:rPr>
              <w:t>A Poor Tender Response that (where applicable):</w:t>
            </w:r>
          </w:p>
          <w:p w14:paraId="30D927CE" w14:textId="77777777" w:rsidR="00E772E5" w:rsidRPr="00354CC4" w:rsidRDefault="00E772E5" w:rsidP="00DB5ED6">
            <w:pPr>
              <w:numPr>
                <w:ilvl w:val="0"/>
                <w:numId w:val="33"/>
              </w:numPr>
              <w:jc w:val="both"/>
              <w:rPr>
                <w:rFonts w:asciiTheme="minorHAnsi" w:hAnsiTheme="minorHAnsi"/>
                <w:sz w:val="22"/>
                <w:szCs w:val="22"/>
                <w:lang w:eastAsia="en-GB"/>
              </w:rPr>
            </w:pPr>
            <w:r w:rsidRPr="00354CC4">
              <w:rPr>
                <w:rFonts w:asciiTheme="minorHAnsi" w:hAnsiTheme="minorHAnsi"/>
                <w:sz w:val="22"/>
                <w:szCs w:val="22"/>
                <w:lang w:eastAsia="en-GB"/>
              </w:rPr>
              <w:t>Addresses some of the question but either lacks relevant information and detail or lacks substance in a manner that would suggest the response is a “model answer”;</w:t>
            </w:r>
          </w:p>
          <w:p w14:paraId="15D8C4CF" w14:textId="77777777" w:rsidR="00E772E5" w:rsidRPr="00354CC4" w:rsidRDefault="00E772E5" w:rsidP="00DB5ED6">
            <w:pPr>
              <w:numPr>
                <w:ilvl w:val="0"/>
                <w:numId w:val="33"/>
              </w:numPr>
              <w:jc w:val="both"/>
              <w:rPr>
                <w:rFonts w:asciiTheme="minorHAnsi" w:hAnsiTheme="minorHAnsi"/>
                <w:sz w:val="22"/>
                <w:szCs w:val="22"/>
                <w:lang w:eastAsia="en-GB"/>
              </w:rPr>
            </w:pPr>
            <w:r w:rsidRPr="00354CC4">
              <w:rPr>
                <w:rFonts w:asciiTheme="minorHAnsi" w:hAnsiTheme="minorHAnsi"/>
                <w:sz w:val="22"/>
                <w:szCs w:val="22"/>
                <w:lang w:eastAsia="en-GB"/>
              </w:rPr>
              <w:t>Demonstrates some understanding but with a lack of clarity in key areas;</w:t>
            </w:r>
          </w:p>
          <w:p w14:paraId="3802EACD" w14:textId="77777777" w:rsidR="00E772E5" w:rsidRPr="00354CC4" w:rsidRDefault="00E772E5" w:rsidP="00DB5ED6">
            <w:pPr>
              <w:numPr>
                <w:ilvl w:val="0"/>
                <w:numId w:val="33"/>
              </w:numPr>
              <w:jc w:val="both"/>
              <w:rPr>
                <w:rFonts w:asciiTheme="minorHAnsi" w:hAnsiTheme="minorHAnsi"/>
                <w:sz w:val="22"/>
                <w:szCs w:val="22"/>
                <w:lang w:eastAsia="en-GB"/>
              </w:rPr>
            </w:pPr>
            <w:r w:rsidRPr="00354CC4">
              <w:rPr>
                <w:rFonts w:asciiTheme="minorHAnsi" w:hAnsiTheme="minorHAnsi"/>
                <w:sz w:val="22"/>
                <w:szCs w:val="22"/>
                <w:lang w:eastAsia="en-GB"/>
              </w:rPr>
              <w:t>Provides an approach which is not wholly appropriate or viable or lacks evidence;</w:t>
            </w:r>
          </w:p>
          <w:p w14:paraId="62F69DC0" w14:textId="77777777" w:rsidR="00E772E5" w:rsidRPr="00354CC4" w:rsidRDefault="00E772E5" w:rsidP="00DB5ED6">
            <w:pPr>
              <w:numPr>
                <w:ilvl w:val="0"/>
                <w:numId w:val="33"/>
              </w:numPr>
              <w:jc w:val="both"/>
              <w:rPr>
                <w:rFonts w:asciiTheme="minorHAnsi" w:hAnsiTheme="minorHAnsi"/>
                <w:sz w:val="22"/>
                <w:szCs w:val="22"/>
                <w:lang w:eastAsia="en-GB"/>
              </w:rPr>
            </w:pPr>
            <w:r w:rsidRPr="00354CC4">
              <w:rPr>
                <w:rFonts w:asciiTheme="minorHAnsi" w:hAnsiTheme="minorHAnsi"/>
                <w:sz w:val="22"/>
                <w:szCs w:val="22"/>
                <w:lang w:eastAsia="en-GB"/>
              </w:rPr>
              <w:t>Shows that the level of confidence that the supplier can deliver does not outweigh the doubt;</w:t>
            </w:r>
          </w:p>
          <w:p w14:paraId="2A0EC271" w14:textId="77777777" w:rsidR="00E772E5" w:rsidRPr="00354CC4" w:rsidRDefault="00E772E5" w:rsidP="00DB5ED6">
            <w:pPr>
              <w:numPr>
                <w:ilvl w:val="0"/>
                <w:numId w:val="33"/>
              </w:numPr>
              <w:jc w:val="both"/>
              <w:rPr>
                <w:rFonts w:asciiTheme="minorHAnsi" w:hAnsiTheme="minorHAnsi"/>
                <w:sz w:val="22"/>
                <w:szCs w:val="22"/>
                <w:lang w:eastAsia="en-GB"/>
              </w:rPr>
            </w:pPr>
            <w:r w:rsidRPr="00354CC4">
              <w:rPr>
                <w:rFonts w:asciiTheme="minorHAnsi" w:hAnsiTheme="minorHAnsi"/>
                <w:sz w:val="22"/>
                <w:szCs w:val="22"/>
                <w:lang w:eastAsia="en-GB"/>
              </w:rPr>
              <w:t>Does not address many areas of doubt and uncertainty; and</w:t>
            </w:r>
          </w:p>
          <w:p w14:paraId="13462DEA" w14:textId="77777777" w:rsidR="00E772E5" w:rsidRPr="00354CC4" w:rsidRDefault="00E772E5" w:rsidP="00DB5ED6">
            <w:pPr>
              <w:numPr>
                <w:ilvl w:val="0"/>
                <w:numId w:val="33"/>
              </w:numPr>
              <w:jc w:val="both"/>
              <w:rPr>
                <w:rFonts w:asciiTheme="minorHAnsi" w:hAnsiTheme="minorHAnsi"/>
                <w:sz w:val="22"/>
                <w:szCs w:val="22"/>
                <w:lang w:eastAsia="en-GB"/>
              </w:rPr>
            </w:pPr>
            <w:r w:rsidRPr="00354CC4">
              <w:rPr>
                <w:rFonts w:asciiTheme="minorHAnsi" w:hAnsiTheme="minorHAnsi"/>
                <w:sz w:val="22"/>
                <w:szCs w:val="22"/>
                <w:lang w:eastAsia="en-GB"/>
              </w:rPr>
              <w:t xml:space="preserve">Does not offer </w:t>
            </w:r>
            <w:proofErr w:type="gramStart"/>
            <w:r w:rsidRPr="00354CC4">
              <w:rPr>
                <w:rFonts w:asciiTheme="minorHAnsi" w:hAnsiTheme="minorHAnsi"/>
                <w:sz w:val="22"/>
                <w:szCs w:val="22"/>
                <w:lang w:eastAsia="en-GB"/>
              </w:rPr>
              <w:t>sufficient</w:t>
            </w:r>
            <w:proofErr w:type="gramEnd"/>
            <w:r w:rsidRPr="00354CC4">
              <w:rPr>
                <w:rFonts w:asciiTheme="minorHAnsi" w:hAnsiTheme="minorHAnsi"/>
                <w:sz w:val="22"/>
                <w:szCs w:val="22"/>
                <w:lang w:eastAsia="en-GB"/>
              </w:rPr>
              <w:t xml:space="preserve"> commitment (with doubt as to the extent to which would translate into contractual terms).</w:t>
            </w:r>
          </w:p>
        </w:tc>
      </w:tr>
      <w:tr w:rsidR="00E772E5" w:rsidRPr="00354CC4" w14:paraId="3ABF6699" w14:textId="77777777" w:rsidTr="005D21E3">
        <w:trPr>
          <w:trHeight w:val="862"/>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6799482" w14:textId="77777777" w:rsidR="00E772E5" w:rsidRPr="00354CC4" w:rsidRDefault="00E772E5" w:rsidP="005D21E3">
            <w:pPr>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t>1</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5142F147" w14:textId="77777777" w:rsidR="00E772E5" w:rsidRPr="00354CC4" w:rsidRDefault="00E772E5" w:rsidP="005D21E3">
            <w:pPr>
              <w:ind w:left="709" w:hanging="709"/>
              <w:jc w:val="both"/>
              <w:rPr>
                <w:rFonts w:asciiTheme="minorHAnsi" w:hAnsiTheme="minorHAnsi"/>
                <w:sz w:val="22"/>
                <w:szCs w:val="22"/>
                <w:lang w:eastAsia="en-GB"/>
              </w:rPr>
            </w:pPr>
            <w:r w:rsidRPr="00354CC4">
              <w:rPr>
                <w:rFonts w:asciiTheme="minorHAnsi" w:hAnsiTheme="minorHAnsi"/>
                <w:sz w:val="22"/>
                <w:szCs w:val="22"/>
                <w:lang w:eastAsia="en-GB"/>
              </w:rPr>
              <w:t>An Unsatisfactory Tenderer response that (where applicable):</w:t>
            </w:r>
          </w:p>
          <w:p w14:paraId="102F1786" w14:textId="77777777" w:rsidR="00E772E5" w:rsidRPr="00354CC4" w:rsidRDefault="00E772E5" w:rsidP="00DB5ED6">
            <w:pPr>
              <w:numPr>
                <w:ilvl w:val="0"/>
                <w:numId w:val="33"/>
              </w:numPr>
              <w:jc w:val="both"/>
              <w:rPr>
                <w:rFonts w:asciiTheme="minorHAnsi" w:hAnsiTheme="minorHAnsi"/>
                <w:sz w:val="22"/>
                <w:szCs w:val="22"/>
                <w:lang w:eastAsia="en-GB"/>
              </w:rPr>
            </w:pPr>
            <w:r w:rsidRPr="00354CC4">
              <w:rPr>
                <w:rFonts w:asciiTheme="minorHAnsi" w:hAnsiTheme="minorHAnsi"/>
                <w:sz w:val="22"/>
                <w:szCs w:val="22"/>
                <w:lang w:eastAsia="en-GB"/>
              </w:rPr>
              <w:t>Does not address the question or has omissions;</w:t>
            </w:r>
          </w:p>
          <w:p w14:paraId="79A62447" w14:textId="77777777" w:rsidR="00E772E5" w:rsidRPr="00354CC4" w:rsidRDefault="00E772E5" w:rsidP="00DB5ED6">
            <w:pPr>
              <w:numPr>
                <w:ilvl w:val="0"/>
                <w:numId w:val="33"/>
              </w:numPr>
              <w:jc w:val="both"/>
              <w:rPr>
                <w:rFonts w:asciiTheme="minorHAnsi" w:hAnsiTheme="minorHAnsi"/>
                <w:sz w:val="22"/>
                <w:szCs w:val="22"/>
                <w:lang w:eastAsia="en-GB"/>
              </w:rPr>
            </w:pPr>
            <w:r w:rsidRPr="00354CC4">
              <w:rPr>
                <w:rFonts w:asciiTheme="minorHAnsi" w:hAnsiTheme="minorHAnsi"/>
                <w:sz w:val="22"/>
                <w:szCs w:val="22"/>
                <w:lang w:eastAsia="en-GB"/>
              </w:rPr>
              <w:t>Lacks understanding in significant areas:</w:t>
            </w:r>
          </w:p>
          <w:p w14:paraId="75CAA543" w14:textId="77777777" w:rsidR="00E772E5" w:rsidRPr="00354CC4" w:rsidRDefault="00E772E5" w:rsidP="00DB5ED6">
            <w:pPr>
              <w:numPr>
                <w:ilvl w:val="0"/>
                <w:numId w:val="33"/>
              </w:numPr>
              <w:jc w:val="both"/>
              <w:rPr>
                <w:rFonts w:asciiTheme="minorHAnsi" w:hAnsiTheme="minorHAnsi"/>
                <w:sz w:val="22"/>
                <w:szCs w:val="22"/>
                <w:lang w:eastAsia="en-GB"/>
              </w:rPr>
            </w:pPr>
            <w:r w:rsidRPr="00354CC4">
              <w:rPr>
                <w:rFonts w:asciiTheme="minorHAnsi" w:hAnsiTheme="minorHAnsi"/>
                <w:sz w:val="22"/>
                <w:szCs w:val="22"/>
                <w:lang w:eastAsia="en-GB"/>
              </w:rPr>
              <w:t>Provides an approach which has gaps or creates concerns;</w:t>
            </w:r>
          </w:p>
          <w:p w14:paraId="7A32E3B6" w14:textId="77777777" w:rsidR="00E772E5" w:rsidRPr="00354CC4" w:rsidRDefault="00E772E5" w:rsidP="00DB5ED6">
            <w:pPr>
              <w:numPr>
                <w:ilvl w:val="0"/>
                <w:numId w:val="33"/>
              </w:numPr>
              <w:jc w:val="both"/>
              <w:rPr>
                <w:rFonts w:asciiTheme="minorHAnsi" w:hAnsiTheme="minorHAnsi"/>
                <w:sz w:val="22"/>
                <w:szCs w:val="22"/>
                <w:lang w:eastAsia="en-GB"/>
              </w:rPr>
            </w:pPr>
            <w:r w:rsidRPr="00354CC4">
              <w:rPr>
                <w:rFonts w:asciiTheme="minorHAnsi" w:hAnsiTheme="minorHAnsi"/>
                <w:sz w:val="22"/>
                <w:szCs w:val="22"/>
                <w:lang w:eastAsia="en-GB"/>
              </w:rPr>
              <w:t>Shows that the level of confidence that the supplier can deliver is low;</w:t>
            </w:r>
          </w:p>
          <w:p w14:paraId="0D56BE5F" w14:textId="77777777" w:rsidR="00E772E5" w:rsidRPr="00354CC4" w:rsidRDefault="00E772E5" w:rsidP="00DB5ED6">
            <w:pPr>
              <w:numPr>
                <w:ilvl w:val="0"/>
                <w:numId w:val="33"/>
              </w:numPr>
              <w:jc w:val="both"/>
              <w:rPr>
                <w:rFonts w:asciiTheme="minorHAnsi" w:hAnsiTheme="minorHAnsi"/>
                <w:sz w:val="22"/>
                <w:szCs w:val="22"/>
                <w:lang w:eastAsia="en-GB"/>
              </w:rPr>
            </w:pPr>
            <w:r w:rsidRPr="00354CC4">
              <w:rPr>
                <w:rFonts w:asciiTheme="minorHAnsi" w:hAnsiTheme="minorHAnsi"/>
                <w:sz w:val="22"/>
                <w:szCs w:val="22"/>
                <w:lang w:eastAsia="en-GB"/>
              </w:rPr>
              <w:t>Creates uncertainty; and</w:t>
            </w:r>
          </w:p>
          <w:p w14:paraId="53D202B9" w14:textId="77777777" w:rsidR="00E772E5" w:rsidRPr="00354CC4" w:rsidRDefault="00E772E5" w:rsidP="00DB5ED6">
            <w:pPr>
              <w:numPr>
                <w:ilvl w:val="0"/>
                <w:numId w:val="33"/>
              </w:numPr>
              <w:jc w:val="both"/>
              <w:rPr>
                <w:rFonts w:asciiTheme="minorHAnsi" w:hAnsiTheme="minorHAnsi"/>
                <w:sz w:val="22"/>
                <w:szCs w:val="22"/>
                <w:lang w:eastAsia="en-GB"/>
              </w:rPr>
            </w:pPr>
            <w:r w:rsidRPr="00354CC4">
              <w:rPr>
                <w:rFonts w:asciiTheme="minorHAnsi" w:hAnsiTheme="minorHAnsi"/>
                <w:sz w:val="22"/>
                <w:szCs w:val="22"/>
                <w:lang w:eastAsia="en-GB"/>
              </w:rPr>
              <w:t> Displays significant lack of commitment (with doubt as to the extent to which would translate into contractual terms)</w:t>
            </w:r>
          </w:p>
        </w:tc>
      </w:tr>
      <w:tr w:rsidR="00E772E5" w:rsidRPr="00354CC4" w14:paraId="60FB4316" w14:textId="77777777" w:rsidTr="005D21E3">
        <w:trPr>
          <w:trHeight w:val="862"/>
          <w:jc w:val="center"/>
        </w:trPr>
        <w:tc>
          <w:tcPr>
            <w:tcW w:w="478"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5BCFCAEE" w14:textId="77777777" w:rsidR="00E772E5" w:rsidRPr="00354CC4" w:rsidRDefault="00E772E5" w:rsidP="005D21E3">
            <w:pPr>
              <w:ind w:left="709" w:hanging="709"/>
              <w:jc w:val="center"/>
              <w:rPr>
                <w:rFonts w:asciiTheme="minorHAnsi" w:hAnsiTheme="minorHAnsi"/>
                <w:sz w:val="22"/>
                <w:szCs w:val="22"/>
                <w:lang w:eastAsia="en-GB"/>
              </w:rPr>
            </w:pPr>
            <w:r w:rsidRPr="00354CC4">
              <w:rPr>
                <w:rFonts w:asciiTheme="minorHAnsi" w:hAnsiTheme="minorHAnsi"/>
                <w:sz w:val="22"/>
                <w:szCs w:val="22"/>
                <w:lang w:eastAsia="en-GB"/>
              </w:rPr>
              <w:t>0</w:t>
            </w:r>
          </w:p>
        </w:tc>
        <w:tc>
          <w:tcPr>
            <w:tcW w:w="4522" w:type="pct"/>
            <w:tcBorders>
              <w:top w:val="nil"/>
              <w:left w:val="nil"/>
              <w:bottom w:val="single" w:sz="8" w:space="0" w:color="808080"/>
              <w:right w:val="single" w:sz="8" w:space="0" w:color="808080"/>
            </w:tcBorders>
            <w:tcMar>
              <w:top w:w="0" w:type="dxa"/>
              <w:left w:w="108" w:type="dxa"/>
              <w:bottom w:w="0" w:type="dxa"/>
              <w:right w:w="108" w:type="dxa"/>
            </w:tcMar>
          </w:tcPr>
          <w:p w14:paraId="4DA8F403" w14:textId="77777777" w:rsidR="00E772E5" w:rsidRPr="00354CC4" w:rsidRDefault="00E772E5" w:rsidP="005D21E3">
            <w:pPr>
              <w:ind w:left="709" w:hanging="709"/>
              <w:jc w:val="both"/>
              <w:rPr>
                <w:rFonts w:asciiTheme="minorHAnsi" w:hAnsiTheme="minorHAnsi"/>
                <w:sz w:val="22"/>
                <w:szCs w:val="22"/>
                <w:lang w:eastAsia="en-GB"/>
              </w:rPr>
            </w:pPr>
            <w:r w:rsidRPr="00354CC4">
              <w:rPr>
                <w:rFonts w:asciiTheme="minorHAnsi" w:hAnsiTheme="minorHAnsi"/>
                <w:sz w:val="22"/>
                <w:szCs w:val="22"/>
                <w:lang w:eastAsia="en-GB"/>
              </w:rPr>
              <w:t>An Unacceptable Tenderer response that (where applicable):</w:t>
            </w:r>
          </w:p>
          <w:p w14:paraId="65A5F1FA" w14:textId="77777777" w:rsidR="00E772E5" w:rsidRPr="00354CC4" w:rsidRDefault="00E772E5" w:rsidP="00DB5ED6">
            <w:pPr>
              <w:numPr>
                <w:ilvl w:val="0"/>
                <w:numId w:val="33"/>
              </w:numPr>
              <w:jc w:val="both"/>
              <w:rPr>
                <w:rFonts w:asciiTheme="minorHAnsi" w:hAnsiTheme="minorHAnsi"/>
                <w:sz w:val="22"/>
                <w:szCs w:val="22"/>
                <w:lang w:eastAsia="en-GB"/>
              </w:rPr>
            </w:pPr>
            <w:r w:rsidRPr="00354CC4">
              <w:rPr>
                <w:rFonts w:asciiTheme="minorHAnsi" w:hAnsiTheme="minorHAnsi"/>
                <w:sz w:val="22"/>
                <w:szCs w:val="22"/>
                <w:lang w:eastAsia="en-GB"/>
              </w:rPr>
              <w:t>Provides no response or omissions/oversights that prevent scoring;</w:t>
            </w:r>
          </w:p>
          <w:p w14:paraId="2A40EA53" w14:textId="77777777" w:rsidR="00E772E5" w:rsidRPr="00354CC4" w:rsidRDefault="00E772E5" w:rsidP="00DB5ED6">
            <w:pPr>
              <w:numPr>
                <w:ilvl w:val="0"/>
                <w:numId w:val="33"/>
              </w:numPr>
              <w:jc w:val="both"/>
              <w:rPr>
                <w:rFonts w:asciiTheme="minorHAnsi" w:hAnsiTheme="minorHAnsi"/>
                <w:sz w:val="22"/>
                <w:szCs w:val="22"/>
                <w:lang w:eastAsia="en-GB"/>
              </w:rPr>
            </w:pPr>
            <w:r w:rsidRPr="00354CC4">
              <w:rPr>
                <w:rFonts w:asciiTheme="minorHAnsi" w:hAnsiTheme="minorHAnsi"/>
                <w:sz w:val="22"/>
                <w:szCs w:val="22"/>
                <w:lang w:eastAsia="en-GB"/>
              </w:rPr>
              <w:t>Refuses to deliver the requirement; and</w:t>
            </w:r>
          </w:p>
          <w:p w14:paraId="176A3837" w14:textId="77777777" w:rsidR="00E772E5" w:rsidRPr="00354CC4" w:rsidRDefault="00E772E5" w:rsidP="00DB5ED6">
            <w:pPr>
              <w:numPr>
                <w:ilvl w:val="0"/>
                <w:numId w:val="33"/>
              </w:numPr>
              <w:jc w:val="both"/>
              <w:rPr>
                <w:rFonts w:asciiTheme="minorHAnsi" w:hAnsiTheme="minorHAnsi"/>
                <w:sz w:val="22"/>
                <w:szCs w:val="22"/>
                <w:lang w:eastAsia="en-GB"/>
              </w:rPr>
            </w:pPr>
            <w:r w:rsidRPr="00354CC4">
              <w:rPr>
                <w:rFonts w:asciiTheme="minorHAnsi" w:hAnsiTheme="minorHAnsi"/>
                <w:sz w:val="22"/>
                <w:szCs w:val="22"/>
                <w:lang w:eastAsia="en-GB"/>
              </w:rPr>
              <w:t xml:space="preserve">Creates concerns so significant that the response would be detrimental to the interests of RSSB  </w:t>
            </w:r>
          </w:p>
        </w:tc>
      </w:tr>
    </w:tbl>
    <w:p w14:paraId="7DDB88F5" w14:textId="12648547" w:rsidR="00E772E5" w:rsidRDefault="00E772E5" w:rsidP="00D65903">
      <w:pPr>
        <w:rPr>
          <w:lang w:eastAsia="en-GB"/>
        </w:rPr>
        <w:sectPr w:rsidR="00E772E5" w:rsidSect="00FB4F82">
          <w:pgSz w:w="16838" w:h="11906" w:orient="landscape"/>
          <w:pgMar w:top="1800" w:right="1440" w:bottom="1800" w:left="1560" w:header="708" w:footer="708" w:gutter="0"/>
          <w:cols w:space="720"/>
          <w:docGrid w:linePitch="326"/>
        </w:sectPr>
      </w:pPr>
    </w:p>
    <w:tbl>
      <w:tblPr>
        <w:tblStyle w:val="TableGrid"/>
        <w:tblW w:w="54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05"/>
        <w:gridCol w:w="9213"/>
        <w:gridCol w:w="2269"/>
      </w:tblGrid>
      <w:tr w:rsidR="003B7775" w:rsidRPr="00D65903" w14:paraId="41C60764" w14:textId="77777777" w:rsidTr="003D0B9C">
        <w:trPr>
          <w:trHeight w:val="724"/>
          <w:jc w:val="center"/>
        </w:trPr>
        <w:tc>
          <w:tcPr>
            <w:tcW w:w="86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DD45D1" w14:textId="77777777" w:rsidR="003B7775" w:rsidRPr="00D65903" w:rsidRDefault="003B7775" w:rsidP="00875261">
            <w:pPr>
              <w:spacing w:after="120" w:line="300" w:lineRule="exact"/>
              <w:rPr>
                <w:rFonts w:asciiTheme="minorHAnsi" w:hAnsiTheme="minorHAnsi" w:cstheme="minorHAnsi"/>
                <w:b/>
                <w:sz w:val="22"/>
                <w:szCs w:val="22"/>
              </w:rPr>
            </w:pPr>
            <w:r w:rsidRPr="00D65903">
              <w:rPr>
                <w:rFonts w:asciiTheme="minorHAnsi" w:hAnsiTheme="minorHAnsi" w:cstheme="minorHAnsi"/>
                <w:b/>
                <w:sz w:val="22"/>
                <w:szCs w:val="22"/>
              </w:rPr>
              <w:lastRenderedPageBreak/>
              <w:t>Award criteria</w:t>
            </w:r>
          </w:p>
        </w:tc>
        <w:tc>
          <w:tcPr>
            <w:tcW w:w="33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CC4130" w14:textId="754B0212" w:rsidR="003B7775" w:rsidRPr="00D65903" w:rsidRDefault="003B7775" w:rsidP="00875261">
            <w:pPr>
              <w:spacing w:after="120" w:line="300" w:lineRule="exact"/>
              <w:rPr>
                <w:rFonts w:asciiTheme="minorHAnsi" w:hAnsiTheme="minorHAnsi" w:cstheme="minorHAnsi"/>
                <w:b/>
                <w:sz w:val="22"/>
                <w:szCs w:val="22"/>
              </w:rPr>
            </w:pPr>
            <w:r w:rsidRPr="00D65903">
              <w:rPr>
                <w:rFonts w:asciiTheme="minorHAnsi" w:hAnsiTheme="minorHAnsi" w:cstheme="minorHAnsi"/>
                <w:b/>
                <w:sz w:val="22"/>
                <w:szCs w:val="22"/>
              </w:rPr>
              <w:t>Detail</w:t>
            </w:r>
            <w:r>
              <w:rPr>
                <w:rFonts w:asciiTheme="minorHAnsi" w:hAnsiTheme="minorHAnsi" w:cstheme="minorHAnsi"/>
                <w:b/>
                <w:sz w:val="22"/>
                <w:szCs w:val="22"/>
              </w:rPr>
              <w:t xml:space="preserve"> and Evaluation Criteria</w:t>
            </w:r>
          </w:p>
        </w:tc>
        <w:tc>
          <w:tcPr>
            <w:tcW w:w="8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835E50" w14:textId="77777777" w:rsidR="003B7775" w:rsidRPr="00D65903" w:rsidRDefault="003B7775" w:rsidP="00875261">
            <w:pPr>
              <w:spacing w:after="120" w:line="300" w:lineRule="exact"/>
              <w:rPr>
                <w:rFonts w:asciiTheme="minorHAnsi" w:hAnsiTheme="minorHAnsi" w:cstheme="minorHAnsi"/>
                <w:b/>
                <w:sz w:val="22"/>
                <w:szCs w:val="22"/>
              </w:rPr>
            </w:pPr>
            <w:r w:rsidRPr="00D65903">
              <w:rPr>
                <w:rFonts w:asciiTheme="minorHAnsi" w:hAnsiTheme="minorHAnsi" w:cstheme="minorHAnsi"/>
                <w:b/>
                <w:sz w:val="22"/>
                <w:szCs w:val="22"/>
              </w:rPr>
              <w:t xml:space="preserve">Weighting </w:t>
            </w:r>
          </w:p>
        </w:tc>
      </w:tr>
      <w:tr w:rsidR="003B7775" w:rsidRPr="00D65903" w14:paraId="4AA2B568" w14:textId="77777777" w:rsidTr="003D0B9C">
        <w:trPr>
          <w:trHeight w:val="724"/>
          <w:jc w:val="center"/>
        </w:trPr>
        <w:tc>
          <w:tcPr>
            <w:tcW w:w="86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C653B8" w14:textId="0C667C3C" w:rsidR="003B7775" w:rsidRPr="00070925" w:rsidRDefault="003B7775" w:rsidP="00875261">
            <w:pPr>
              <w:spacing w:after="120" w:line="300" w:lineRule="exact"/>
              <w:rPr>
                <w:rFonts w:asciiTheme="minorHAnsi" w:hAnsiTheme="minorHAnsi" w:cstheme="minorHAnsi"/>
                <w:sz w:val="22"/>
                <w:szCs w:val="22"/>
              </w:rPr>
            </w:pPr>
            <w:r w:rsidRPr="00070925">
              <w:rPr>
                <w:rFonts w:asciiTheme="minorHAnsi" w:hAnsiTheme="minorHAnsi" w:cstheme="minorHAnsi"/>
                <w:b/>
                <w:sz w:val="22"/>
                <w:szCs w:val="22"/>
              </w:rPr>
              <w:t xml:space="preserve">W1 </w:t>
            </w:r>
            <w:r w:rsidRPr="00070925">
              <w:rPr>
                <w:rFonts w:asciiTheme="minorHAnsi" w:hAnsiTheme="minorHAnsi" w:cstheme="minorHAnsi"/>
                <w:sz w:val="22"/>
                <w:szCs w:val="22"/>
              </w:rPr>
              <w:t>Summary of proposal</w:t>
            </w:r>
          </w:p>
          <w:p w14:paraId="0F910321" w14:textId="4955CBE5" w:rsidR="003B7775" w:rsidRPr="00395624" w:rsidRDefault="003B7775" w:rsidP="00875261">
            <w:pPr>
              <w:spacing w:after="120" w:line="300" w:lineRule="exact"/>
              <w:rPr>
                <w:rFonts w:asciiTheme="minorHAnsi" w:hAnsiTheme="minorHAnsi" w:cstheme="minorHAnsi"/>
                <w:sz w:val="22"/>
                <w:szCs w:val="22"/>
                <w:highlight w:val="green"/>
              </w:rPr>
            </w:pPr>
            <w:r w:rsidRPr="00070925">
              <w:rPr>
                <w:rFonts w:asciiTheme="minorHAnsi" w:hAnsiTheme="minorHAnsi" w:cstheme="minorHAnsi"/>
                <w:sz w:val="22"/>
                <w:szCs w:val="22"/>
              </w:rPr>
              <w:t>[Max 1 page]</w:t>
            </w:r>
          </w:p>
        </w:tc>
        <w:tc>
          <w:tcPr>
            <w:tcW w:w="33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87EA61" w14:textId="56FCB918" w:rsidR="003B7775" w:rsidRDefault="003B7775" w:rsidP="00875261">
            <w:pPr>
              <w:spacing w:after="120" w:line="300" w:lineRule="exact"/>
              <w:rPr>
                <w:rFonts w:asciiTheme="minorHAnsi" w:hAnsiTheme="minorHAnsi" w:cstheme="minorHAnsi"/>
                <w:sz w:val="22"/>
                <w:szCs w:val="22"/>
              </w:rPr>
            </w:pPr>
            <w:r>
              <w:rPr>
                <w:rFonts w:asciiTheme="minorHAnsi" w:hAnsiTheme="minorHAnsi" w:cstheme="minorHAnsi"/>
                <w:sz w:val="22"/>
                <w:szCs w:val="22"/>
              </w:rPr>
              <w:t>T</w:t>
            </w:r>
            <w:r w:rsidRPr="00070925">
              <w:rPr>
                <w:rFonts w:asciiTheme="minorHAnsi" w:hAnsiTheme="minorHAnsi" w:cstheme="minorHAnsi"/>
                <w:sz w:val="22"/>
                <w:szCs w:val="22"/>
              </w:rPr>
              <w:t>enderer</w:t>
            </w:r>
            <w:r>
              <w:rPr>
                <w:rFonts w:asciiTheme="minorHAnsi" w:hAnsiTheme="minorHAnsi" w:cstheme="minorHAnsi"/>
                <w:sz w:val="22"/>
                <w:szCs w:val="22"/>
              </w:rPr>
              <w:t xml:space="preserve">s should outline their ability to concisely summarise key aspects of their proposal. The information will be used by RSSB to contextualise the tenderer’s response. </w:t>
            </w:r>
            <w:r>
              <w:rPr>
                <w:rFonts w:asciiTheme="minorHAnsi" w:hAnsiTheme="minorHAnsi" w:cstheme="minorHAnsi"/>
                <w:sz w:val="22"/>
                <w:szCs w:val="22"/>
              </w:rPr>
              <w:br/>
            </w:r>
          </w:p>
          <w:p w14:paraId="3D6B7208" w14:textId="638AF456" w:rsidR="003B7775" w:rsidRDefault="003B7775" w:rsidP="00875261">
            <w:pPr>
              <w:spacing w:after="120" w:line="300" w:lineRule="exact"/>
              <w:rPr>
                <w:rFonts w:asciiTheme="minorHAnsi" w:hAnsiTheme="minorHAnsi" w:cstheme="minorHAnsi"/>
                <w:sz w:val="22"/>
                <w:szCs w:val="22"/>
              </w:rPr>
            </w:pPr>
            <w:r>
              <w:rPr>
                <w:rFonts w:asciiTheme="minorHAnsi" w:hAnsiTheme="minorHAnsi" w:cstheme="minorHAnsi"/>
                <w:sz w:val="22"/>
                <w:szCs w:val="22"/>
              </w:rPr>
              <w:t>The tenderer’s response shall be evaluated on the following criteria within the maximum stated page limit:</w:t>
            </w:r>
          </w:p>
          <w:p w14:paraId="088347D4" w14:textId="0EA0D493" w:rsidR="003B7775" w:rsidRDefault="003B7775" w:rsidP="00DB5ED6">
            <w:pPr>
              <w:pStyle w:val="ListParagraph"/>
              <w:numPr>
                <w:ilvl w:val="0"/>
                <w:numId w:val="35"/>
              </w:numPr>
              <w:spacing w:after="120" w:line="300" w:lineRule="exact"/>
              <w:rPr>
                <w:rFonts w:asciiTheme="minorHAnsi" w:hAnsiTheme="minorHAnsi" w:cstheme="minorHAnsi"/>
                <w:sz w:val="22"/>
                <w:szCs w:val="22"/>
              </w:rPr>
            </w:pPr>
            <w:r>
              <w:rPr>
                <w:rFonts w:asciiTheme="minorHAnsi" w:hAnsiTheme="minorHAnsi" w:cstheme="minorHAnsi"/>
                <w:sz w:val="22"/>
                <w:szCs w:val="22"/>
              </w:rPr>
              <w:t>The tenderer has clearly outlined their understanding of the project’s objectives and outputs;</w:t>
            </w:r>
          </w:p>
          <w:p w14:paraId="4931C994" w14:textId="3FCB689C" w:rsidR="003B7775" w:rsidRPr="002E2FA5" w:rsidRDefault="003B7775" w:rsidP="00DB5ED6">
            <w:pPr>
              <w:pStyle w:val="ListParagraph"/>
              <w:numPr>
                <w:ilvl w:val="0"/>
                <w:numId w:val="35"/>
              </w:numPr>
              <w:spacing w:after="120" w:line="300" w:lineRule="exact"/>
              <w:rPr>
                <w:rFonts w:asciiTheme="minorHAnsi" w:hAnsiTheme="minorHAnsi" w:cstheme="minorHAnsi"/>
                <w:sz w:val="22"/>
                <w:szCs w:val="22"/>
              </w:rPr>
            </w:pPr>
            <w:r>
              <w:rPr>
                <w:rFonts w:asciiTheme="minorHAnsi" w:hAnsiTheme="minorHAnsi" w:cstheme="minorHAnsi"/>
                <w:sz w:val="22"/>
                <w:szCs w:val="22"/>
              </w:rPr>
              <w:t xml:space="preserve">The tenderer has summarised their proposal (excluding any pricing information), outlining how it shall clearly address the project’s objectives and outputs. </w:t>
            </w:r>
          </w:p>
        </w:tc>
        <w:tc>
          <w:tcPr>
            <w:tcW w:w="8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F0C42C" w14:textId="57D10B0D" w:rsidR="003B7775" w:rsidRPr="00070925" w:rsidRDefault="003B7775" w:rsidP="00875261">
            <w:pPr>
              <w:spacing w:after="120" w:line="300" w:lineRule="exact"/>
              <w:rPr>
                <w:rFonts w:asciiTheme="minorHAnsi" w:hAnsiTheme="minorHAnsi" w:cstheme="minorHAnsi"/>
                <w:sz w:val="22"/>
                <w:szCs w:val="22"/>
              </w:rPr>
            </w:pPr>
            <w:r>
              <w:rPr>
                <w:rFonts w:asciiTheme="minorHAnsi" w:hAnsiTheme="minorHAnsi" w:cstheme="minorHAnsi"/>
                <w:sz w:val="22"/>
                <w:szCs w:val="22"/>
              </w:rPr>
              <w:t>N/A</w:t>
            </w:r>
            <w:r w:rsidRPr="00070925">
              <w:rPr>
                <w:rFonts w:asciiTheme="minorHAnsi" w:hAnsiTheme="minorHAnsi" w:cstheme="minorHAnsi"/>
                <w:sz w:val="22"/>
                <w:szCs w:val="22"/>
              </w:rPr>
              <w:br/>
              <w:t>(For information only)</w:t>
            </w:r>
          </w:p>
        </w:tc>
      </w:tr>
      <w:tr w:rsidR="003B7775" w:rsidRPr="00D65903" w14:paraId="0023F772" w14:textId="77777777" w:rsidTr="003D0B9C">
        <w:trPr>
          <w:trHeight w:val="724"/>
          <w:jc w:val="center"/>
        </w:trPr>
        <w:tc>
          <w:tcPr>
            <w:tcW w:w="86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16697B" w14:textId="58752A57" w:rsidR="003B7775" w:rsidRPr="00386BF8" w:rsidRDefault="003B7775" w:rsidP="00875261">
            <w:pPr>
              <w:spacing w:after="120" w:line="300" w:lineRule="exact"/>
              <w:rPr>
                <w:rFonts w:asciiTheme="minorHAnsi" w:hAnsiTheme="minorHAnsi" w:cstheme="minorHAnsi"/>
                <w:sz w:val="22"/>
                <w:szCs w:val="22"/>
              </w:rPr>
            </w:pPr>
            <w:r w:rsidRPr="00386BF8">
              <w:rPr>
                <w:rFonts w:asciiTheme="minorHAnsi" w:hAnsiTheme="minorHAnsi" w:cstheme="minorHAnsi"/>
                <w:b/>
                <w:sz w:val="22"/>
                <w:szCs w:val="22"/>
              </w:rPr>
              <w:t>W2</w:t>
            </w:r>
            <w:r w:rsidRPr="00386BF8">
              <w:rPr>
                <w:rFonts w:asciiTheme="minorHAnsi" w:hAnsiTheme="minorHAnsi" w:cstheme="minorHAnsi"/>
                <w:sz w:val="22"/>
                <w:szCs w:val="22"/>
              </w:rPr>
              <w:t xml:space="preserve"> </w:t>
            </w:r>
            <w:bookmarkStart w:id="4" w:name="_Hlk30161751"/>
            <w:r w:rsidR="00CB2123" w:rsidRPr="00CB2123">
              <w:rPr>
                <w:rFonts w:asciiTheme="minorHAnsi" w:hAnsiTheme="minorHAnsi" w:cstheme="minorHAnsi"/>
                <w:sz w:val="22"/>
                <w:szCs w:val="22"/>
              </w:rPr>
              <w:t>Supplier’s understanding and methodology</w:t>
            </w:r>
            <w:bookmarkEnd w:id="4"/>
          </w:p>
          <w:p w14:paraId="27D991F1" w14:textId="12D09F00" w:rsidR="003B7775" w:rsidRPr="00386BF8" w:rsidRDefault="003B7775" w:rsidP="00875261">
            <w:pPr>
              <w:spacing w:after="120" w:line="300" w:lineRule="exact"/>
              <w:rPr>
                <w:rFonts w:asciiTheme="minorHAnsi" w:hAnsiTheme="minorHAnsi" w:cstheme="minorHAnsi"/>
                <w:sz w:val="22"/>
                <w:szCs w:val="22"/>
              </w:rPr>
            </w:pPr>
            <w:r w:rsidRPr="00386BF8">
              <w:rPr>
                <w:rFonts w:asciiTheme="minorHAnsi" w:hAnsiTheme="minorHAnsi" w:cstheme="minorHAnsi"/>
                <w:sz w:val="22"/>
                <w:szCs w:val="22"/>
              </w:rPr>
              <w:t xml:space="preserve">[Max </w:t>
            </w:r>
            <w:r w:rsidR="009B088C">
              <w:rPr>
                <w:rFonts w:asciiTheme="minorHAnsi" w:hAnsiTheme="minorHAnsi" w:cstheme="minorHAnsi"/>
                <w:sz w:val="22"/>
                <w:szCs w:val="22"/>
              </w:rPr>
              <w:t>5</w:t>
            </w:r>
            <w:r w:rsidRPr="00386BF8">
              <w:rPr>
                <w:rFonts w:asciiTheme="minorHAnsi" w:hAnsiTheme="minorHAnsi" w:cstheme="minorHAnsi"/>
                <w:sz w:val="22"/>
                <w:szCs w:val="22"/>
              </w:rPr>
              <w:t xml:space="preserve"> pages]</w:t>
            </w:r>
          </w:p>
        </w:tc>
        <w:tc>
          <w:tcPr>
            <w:tcW w:w="33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C7683B" w14:textId="77777777" w:rsidR="00CB2123" w:rsidRDefault="00CB2123" w:rsidP="00DA1D5E">
            <w:pPr>
              <w:rPr>
                <w:rFonts w:asciiTheme="minorHAnsi" w:hAnsiTheme="minorHAnsi" w:cstheme="minorHAnsi"/>
                <w:sz w:val="22"/>
                <w:szCs w:val="22"/>
              </w:rPr>
            </w:pPr>
            <w:r w:rsidRPr="00CB2123">
              <w:rPr>
                <w:rFonts w:asciiTheme="minorHAnsi" w:hAnsiTheme="minorHAnsi" w:cstheme="minorHAnsi"/>
                <w:sz w:val="22"/>
                <w:szCs w:val="22"/>
              </w:rPr>
              <w:t>Tenderers should clearly outline their understanding and methodology to carry out the required works defined in the project specification.</w:t>
            </w:r>
          </w:p>
          <w:p w14:paraId="08D8B33E" w14:textId="77777777" w:rsidR="00CB2123" w:rsidRDefault="00CB2123" w:rsidP="00DA1D5E">
            <w:pPr>
              <w:rPr>
                <w:rFonts w:asciiTheme="minorHAnsi" w:hAnsiTheme="minorHAnsi"/>
                <w:sz w:val="22"/>
                <w:szCs w:val="28"/>
              </w:rPr>
            </w:pPr>
          </w:p>
          <w:p w14:paraId="17577E5E" w14:textId="42F695AC" w:rsidR="003B7775" w:rsidRPr="005A499F" w:rsidRDefault="003B7775" w:rsidP="00DA1D5E">
            <w:pPr>
              <w:rPr>
                <w:rFonts w:asciiTheme="minorHAnsi" w:hAnsiTheme="minorHAnsi"/>
                <w:sz w:val="22"/>
                <w:szCs w:val="28"/>
                <w:lang w:eastAsia="en-GB"/>
              </w:rPr>
            </w:pPr>
            <w:r w:rsidRPr="005A499F">
              <w:rPr>
                <w:rFonts w:asciiTheme="minorHAnsi" w:hAnsiTheme="minorHAnsi"/>
                <w:sz w:val="22"/>
                <w:szCs w:val="28"/>
                <w:lang w:eastAsia="en-GB"/>
              </w:rPr>
              <w:t>The tenderer’s response</w:t>
            </w:r>
            <w:r>
              <w:rPr>
                <w:rFonts w:asciiTheme="minorHAnsi" w:hAnsiTheme="minorHAnsi"/>
                <w:sz w:val="22"/>
                <w:szCs w:val="28"/>
                <w:lang w:eastAsia="en-GB"/>
              </w:rPr>
              <w:t xml:space="preserve"> shall be evaluated on the following criteria within the maximum stated page limit</w:t>
            </w:r>
            <w:r w:rsidRPr="005A499F">
              <w:rPr>
                <w:rFonts w:asciiTheme="minorHAnsi" w:hAnsiTheme="minorHAnsi"/>
                <w:sz w:val="22"/>
                <w:szCs w:val="28"/>
                <w:lang w:eastAsia="en-GB"/>
              </w:rPr>
              <w:t>:</w:t>
            </w:r>
          </w:p>
          <w:p w14:paraId="3A6DEA26" w14:textId="2BC7CEA3" w:rsidR="003B7775" w:rsidRDefault="003B7775" w:rsidP="00DB5ED6">
            <w:pPr>
              <w:pStyle w:val="ListParagraph"/>
              <w:numPr>
                <w:ilvl w:val="0"/>
                <w:numId w:val="31"/>
              </w:numPr>
              <w:rPr>
                <w:rFonts w:asciiTheme="minorHAnsi" w:hAnsiTheme="minorHAnsi"/>
                <w:sz w:val="22"/>
                <w:szCs w:val="28"/>
              </w:rPr>
            </w:pPr>
            <w:r>
              <w:rPr>
                <w:rFonts w:asciiTheme="minorHAnsi" w:hAnsiTheme="minorHAnsi"/>
                <w:sz w:val="22"/>
                <w:szCs w:val="28"/>
              </w:rPr>
              <w:t>The tenderer clearly d</w:t>
            </w:r>
            <w:r w:rsidRPr="005A499F">
              <w:rPr>
                <w:rFonts w:asciiTheme="minorHAnsi" w:hAnsiTheme="minorHAnsi"/>
                <w:sz w:val="22"/>
                <w:szCs w:val="28"/>
              </w:rPr>
              <w:t>emonstrates their understanding of each of the</w:t>
            </w:r>
            <w:r>
              <w:rPr>
                <w:rFonts w:asciiTheme="minorHAnsi" w:hAnsiTheme="minorHAnsi"/>
                <w:sz w:val="22"/>
                <w:szCs w:val="28"/>
              </w:rPr>
              <w:t xml:space="preserve"> project</w:t>
            </w:r>
            <w:r w:rsidRPr="005A499F">
              <w:rPr>
                <w:rFonts w:asciiTheme="minorHAnsi" w:hAnsiTheme="minorHAnsi"/>
                <w:sz w:val="22"/>
                <w:szCs w:val="28"/>
              </w:rPr>
              <w:t xml:space="preserve"> objectives</w:t>
            </w:r>
            <w:r>
              <w:rPr>
                <w:rFonts w:asciiTheme="minorHAnsi" w:hAnsiTheme="minorHAnsi"/>
                <w:sz w:val="22"/>
                <w:szCs w:val="28"/>
              </w:rPr>
              <w:t xml:space="preserve"> and outputs</w:t>
            </w:r>
            <w:r w:rsidRPr="005A499F">
              <w:rPr>
                <w:rFonts w:asciiTheme="minorHAnsi" w:hAnsiTheme="minorHAnsi"/>
                <w:sz w:val="22"/>
                <w:szCs w:val="28"/>
              </w:rPr>
              <w:t>;</w:t>
            </w:r>
          </w:p>
          <w:p w14:paraId="2B4F0ED2" w14:textId="5831838E" w:rsidR="00C64DCA" w:rsidRPr="001629B2" w:rsidRDefault="00C64DCA" w:rsidP="00DB5ED6">
            <w:pPr>
              <w:pStyle w:val="ListParagraph"/>
              <w:numPr>
                <w:ilvl w:val="0"/>
                <w:numId w:val="31"/>
              </w:numPr>
              <w:rPr>
                <w:rFonts w:asciiTheme="minorHAnsi" w:hAnsiTheme="minorHAnsi"/>
                <w:sz w:val="22"/>
                <w:szCs w:val="28"/>
              </w:rPr>
            </w:pPr>
            <w:r w:rsidRPr="00C64DCA">
              <w:rPr>
                <w:rFonts w:asciiTheme="minorHAnsi" w:hAnsiTheme="minorHAnsi"/>
                <w:sz w:val="22"/>
                <w:szCs w:val="28"/>
              </w:rPr>
              <w:t xml:space="preserve">The tenderer </w:t>
            </w:r>
            <w:r w:rsidR="00A311CC">
              <w:rPr>
                <w:rFonts w:asciiTheme="minorHAnsi" w:hAnsiTheme="minorHAnsi"/>
                <w:sz w:val="22"/>
                <w:szCs w:val="28"/>
              </w:rPr>
              <w:t xml:space="preserve">establishes and presents a clear and appropriate </w:t>
            </w:r>
            <w:r w:rsidRPr="00C64DCA">
              <w:rPr>
                <w:rFonts w:asciiTheme="minorHAnsi" w:hAnsiTheme="minorHAnsi"/>
                <w:sz w:val="22"/>
                <w:szCs w:val="28"/>
              </w:rPr>
              <w:t xml:space="preserve">methodology to address each of the project objectives and to deliver each of the project outputs, detailing how it shall commit to ensuring the project and outputs are delivered to a </w:t>
            </w:r>
            <w:proofErr w:type="gramStart"/>
            <w:r w:rsidRPr="00C64DCA">
              <w:rPr>
                <w:rFonts w:asciiTheme="minorHAnsi" w:hAnsiTheme="minorHAnsi"/>
                <w:sz w:val="22"/>
                <w:szCs w:val="28"/>
              </w:rPr>
              <w:t>sufficient</w:t>
            </w:r>
            <w:proofErr w:type="gramEnd"/>
            <w:r w:rsidRPr="00C64DCA">
              <w:rPr>
                <w:rFonts w:asciiTheme="minorHAnsi" w:hAnsiTheme="minorHAnsi"/>
                <w:sz w:val="22"/>
                <w:szCs w:val="28"/>
              </w:rPr>
              <w:t xml:space="preserve"> quality</w:t>
            </w:r>
            <w:r>
              <w:rPr>
                <w:rFonts w:asciiTheme="minorHAnsi" w:hAnsiTheme="minorHAnsi"/>
                <w:sz w:val="22"/>
                <w:szCs w:val="28"/>
              </w:rPr>
              <w:t>;</w:t>
            </w:r>
          </w:p>
          <w:p w14:paraId="6640D756" w14:textId="00F0F385" w:rsidR="003B7775" w:rsidRDefault="003B7775" w:rsidP="00DB5ED6">
            <w:pPr>
              <w:pStyle w:val="ListParagraph"/>
              <w:numPr>
                <w:ilvl w:val="0"/>
                <w:numId w:val="31"/>
              </w:numPr>
              <w:rPr>
                <w:rFonts w:asciiTheme="minorHAnsi" w:hAnsiTheme="minorHAnsi"/>
                <w:sz w:val="22"/>
                <w:szCs w:val="28"/>
              </w:rPr>
            </w:pPr>
            <w:r>
              <w:rPr>
                <w:rFonts w:asciiTheme="minorHAnsi" w:hAnsiTheme="minorHAnsi"/>
                <w:sz w:val="22"/>
                <w:szCs w:val="28"/>
              </w:rPr>
              <w:t xml:space="preserve">The tenderer presents </w:t>
            </w:r>
            <w:r w:rsidRPr="00DA1D5E">
              <w:rPr>
                <w:rFonts w:asciiTheme="minorHAnsi" w:hAnsiTheme="minorHAnsi"/>
                <w:sz w:val="22"/>
                <w:szCs w:val="28"/>
              </w:rPr>
              <w:t>a viable and practical approach to</w:t>
            </w:r>
            <w:r w:rsidR="00C64DCA">
              <w:rPr>
                <w:rFonts w:asciiTheme="minorHAnsi" w:hAnsiTheme="minorHAnsi"/>
                <w:sz w:val="22"/>
                <w:szCs w:val="28"/>
              </w:rPr>
              <w:t>:</w:t>
            </w:r>
          </w:p>
          <w:p w14:paraId="36BAEFFC" w14:textId="527590D1" w:rsidR="00C64DCA" w:rsidRDefault="006C7923" w:rsidP="00DB5ED6">
            <w:pPr>
              <w:pStyle w:val="ListParagraph"/>
              <w:numPr>
                <w:ilvl w:val="1"/>
                <w:numId w:val="31"/>
              </w:numPr>
              <w:rPr>
                <w:rFonts w:asciiTheme="minorHAnsi" w:hAnsiTheme="minorHAnsi"/>
                <w:sz w:val="22"/>
                <w:szCs w:val="28"/>
              </w:rPr>
            </w:pPr>
            <w:r>
              <w:rPr>
                <w:rFonts w:asciiTheme="minorHAnsi" w:hAnsiTheme="minorHAnsi"/>
                <w:sz w:val="22"/>
                <w:szCs w:val="28"/>
              </w:rPr>
              <w:t xml:space="preserve">Configure </w:t>
            </w:r>
            <w:r w:rsidR="00182E52">
              <w:rPr>
                <w:rFonts w:asciiTheme="minorHAnsi" w:hAnsiTheme="minorHAnsi"/>
                <w:sz w:val="22"/>
                <w:szCs w:val="28"/>
              </w:rPr>
              <w:t>diverse sander components and sub-systems</w:t>
            </w:r>
          </w:p>
          <w:p w14:paraId="296AD2DC" w14:textId="46D661E6" w:rsidR="00C64DCA" w:rsidRDefault="00182E52" w:rsidP="00DB5ED6">
            <w:pPr>
              <w:pStyle w:val="ListParagraph"/>
              <w:numPr>
                <w:ilvl w:val="1"/>
                <w:numId w:val="31"/>
              </w:numPr>
              <w:rPr>
                <w:rFonts w:asciiTheme="minorHAnsi" w:hAnsiTheme="minorHAnsi"/>
                <w:sz w:val="22"/>
                <w:szCs w:val="28"/>
              </w:rPr>
            </w:pPr>
            <w:r>
              <w:rPr>
                <w:rFonts w:asciiTheme="minorHAnsi" w:hAnsiTheme="minorHAnsi"/>
                <w:sz w:val="22"/>
                <w:szCs w:val="28"/>
              </w:rPr>
              <w:t xml:space="preserve">Highlight the </w:t>
            </w:r>
            <w:r w:rsidR="00BD701E">
              <w:rPr>
                <w:rFonts w:asciiTheme="minorHAnsi" w:hAnsiTheme="minorHAnsi"/>
                <w:sz w:val="22"/>
                <w:szCs w:val="28"/>
              </w:rPr>
              <w:t>different elements of a sander and sander supply chain that are most likely to lead to a failure</w:t>
            </w:r>
          </w:p>
          <w:p w14:paraId="297694D7" w14:textId="64C42098" w:rsidR="002F7A4A" w:rsidRDefault="002F7A4A" w:rsidP="00DB5ED6">
            <w:pPr>
              <w:pStyle w:val="ListParagraph"/>
              <w:numPr>
                <w:ilvl w:val="1"/>
                <w:numId w:val="31"/>
              </w:numPr>
              <w:rPr>
                <w:rFonts w:asciiTheme="minorHAnsi" w:hAnsiTheme="minorHAnsi"/>
                <w:sz w:val="22"/>
                <w:szCs w:val="28"/>
              </w:rPr>
            </w:pPr>
            <w:r>
              <w:rPr>
                <w:rFonts w:asciiTheme="minorHAnsi" w:hAnsiTheme="minorHAnsi"/>
                <w:sz w:val="22"/>
                <w:szCs w:val="28"/>
              </w:rPr>
              <w:lastRenderedPageBreak/>
              <w:t xml:space="preserve">Assess the reliability rating of a </w:t>
            </w:r>
            <w:proofErr w:type="gramStart"/>
            <w:r>
              <w:rPr>
                <w:rFonts w:asciiTheme="minorHAnsi" w:hAnsiTheme="minorHAnsi"/>
                <w:sz w:val="22"/>
                <w:szCs w:val="28"/>
              </w:rPr>
              <w:t>particular sander</w:t>
            </w:r>
            <w:proofErr w:type="gramEnd"/>
            <w:r>
              <w:rPr>
                <w:rFonts w:asciiTheme="minorHAnsi" w:hAnsiTheme="minorHAnsi"/>
                <w:sz w:val="22"/>
                <w:szCs w:val="28"/>
              </w:rPr>
              <w:t xml:space="preserve"> configuration on a particular train type</w:t>
            </w:r>
          </w:p>
          <w:p w14:paraId="540E7FF2" w14:textId="3AE5CE65" w:rsidR="003B7775" w:rsidRPr="00A749D2" w:rsidRDefault="00A749D2" w:rsidP="00DB5ED6">
            <w:pPr>
              <w:pStyle w:val="ListParagraph"/>
              <w:numPr>
                <w:ilvl w:val="0"/>
                <w:numId w:val="31"/>
              </w:numPr>
              <w:rPr>
                <w:rFonts w:asciiTheme="minorHAnsi" w:hAnsiTheme="minorHAnsi"/>
                <w:sz w:val="22"/>
                <w:szCs w:val="28"/>
              </w:rPr>
            </w:pPr>
            <w:r w:rsidRPr="00A749D2">
              <w:rPr>
                <w:rFonts w:asciiTheme="minorHAnsi" w:hAnsiTheme="minorHAnsi"/>
                <w:sz w:val="22"/>
                <w:szCs w:val="28"/>
              </w:rPr>
              <w:t>The tenderer addresses the success criteria in order to ensure successful project delivery and increased likelihood of industry implementation</w:t>
            </w:r>
          </w:p>
        </w:tc>
        <w:tc>
          <w:tcPr>
            <w:tcW w:w="8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54CC06" w14:textId="7F1F2701" w:rsidR="003B7775" w:rsidRPr="00D65903" w:rsidRDefault="00442DA6" w:rsidP="00875261">
            <w:pPr>
              <w:spacing w:after="120" w:line="300" w:lineRule="exact"/>
              <w:rPr>
                <w:rFonts w:asciiTheme="minorHAnsi" w:hAnsiTheme="minorHAnsi" w:cstheme="minorHAnsi"/>
                <w:sz w:val="22"/>
                <w:szCs w:val="22"/>
              </w:rPr>
            </w:pPr>
            <w:r>
              <w:rPr>
                <w:rFonts w:asciiTheme="minorHAnsi" w:hAnsiTheme="minorHAnsi" w:cstheme="minorHAnsi"/>
                <w:sz w:val="22"/>
                <w:szCs w:val="22"/>
              </w:rPr>
              <w:lastRenderedPageBreak/>
              <w:t>25</w:t>
            </w:r>
            <w:r w:rsidR="003B7775" w:rsidRPr="00D65903">
              <w:rPr>
                <w:rFonts w:asciiTheme="minorHAnsi" w:hAnsiTheme="minorHAnsi" w:cstheme="minorHAnsi"/>
                <w:sz w:val="22"/>
                <w:szCs w:val="22"/>
              </w:rPr>
              <w:t>%</w:t>
            </w:r>
          </w:p>
        </w:tc>
      </w:tr>
      <w:tr w:rsidR="003B7775" w:rsidRPr="00D65903" w14:paraId="35C5BA32" w14:textId="77777777" w:rsidTr="003D0B9C">
        <w:trPr>
          <w:trHeight w:val="724"/>
          <w:jc w:val="center"/>
        </w:trPr>
        <w:tc>
          <w:tcPr>
            <w:tcW w:w="86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D88E3A" w14:textId="4B6B2E75" w:rsidR="003B7775" w:rsidRDefault="003B7775" w:rsidP="00875261">
            <w:pPr>
              <w:spacing w:after="120" w:line="300" w:lineRule="exact"/>
              <w:rPr>
                <w:rFonts w:asciiTheme="minorHAnsi" w:hAnsiTheme="minorHAnsi" w:cstheme="minorHAnsi"/>
                <w:sz w:val="22"/>
                <w:szCs w:val="22"/>
              </w:rPr>
            </w:pPr>
            <w:r>
              <w:rPr>
                <w:rFonts w:asciiTheme="minorHAnsi" w:hAnsiTheme="minorHAnsi" w:cstheme="minorHAnsi"/>
                <w:b/>
                <w:sz w:val="22"/>
                <w:szCs w:val="22"/>
              </w:rPr>
              <w:t>W3</w:t>
            </w:r>
            <w:r w:rsidRPr="00D65903">
              <w:rPr>
                <w:rFonts w:asciiTheme="minorHAnsi" w:hAnsiTheme="minorHAnsi" w:cstheme="minorHAnsi"/>
                <w:sz w:val="22"/>
                <w:szCs w:val="22"/>
              </w:rPr>
              <w:t xml:space="preserve"> </w:t>
            </w:r>
            <w:r w:rsidR="00382426" w:rsidRPr="00382426">
              <w:rPr>
                <w:rFonts w:asciiTheme="minorHAnsi" w:hAnsiTheme="minorHAnsi" w:cstheme="minorHAnsi"/>
                <w:sz w:val="22"/>
                <w:szCs w:val="22"/>
              </w:rPr>
              <w:t>Organisational experience and individual expertise</w:t>
            </w:r>
          </w:p>
          <w:p w14:paraId="54D541A7" w14:textId="400A7AA3" w:rsidR="003B7775" w:rsidRPr="00D65903" w:rsidRDefault="003B7775" w:rsidP="00875261">
            <w:pPr>
              <w:spacing w:after="120" w:line="300" w:lineRule="exact"/>
              <w:rPr>
                <w:rFonts w:asciiTheme="minorHAnsi" w:hAnsiTheme="minorHAnsi" w:cstheme="minorHAnsi"/>
                <w:sz w:val="22"/>
                <w:szCs w:val="22"/>
              </w:rPr>
            </w:pPr>
            <w:r>
              <w:rPr>
                <w:rFonts w:asciiTheme="minorHAnsi" w:hAnsiTheme="minorHAnsi" w:cstheme="minorHAnsi"/>
                <w:sz w:val="22"/>
                <w:szCs w:val="22"/>
              </w:rPr>
              <w:t xml:space="preserve">[Max </w:t>
            </w:r>
            <w:r w:rsidR="009B088C">
              <w:rPr>
                <w:rFonts w:asciiTheme="minorHAnsi" w:hAnsiTheme="minorHAnsi" w:cstheme="minorHAnsi"/>
                <w:sz w:val="22"/>
                <w:szCs w:val="22"/>
              </w:rPr>
              <w:t>5</w:t>
            </w:r>
            <w:r>
              <w:rPr>
                <w:rFonts w:asciiTheme="minorHAnsi" w:hAnsiTheme="minorHAnsi" w:cstheme="minorHAnsi"/>
                <w:sz w:val="22"/>
                <w:szCs w:val="22"/>
              </w:rPr>
              <w:t xml:space="preserve"> pages]</w:t>
            </w:r>
          </w:p>
        </w:tc>
        <w:tc>
          <w:tcPr>
            <w:tcW w:w="33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FF1C75" w14:textId="77777777" w:rsidR="00382426" w:rsidRPr="00382426" w:rsidRDefault="00382426" w:rsidP="00382426">
            <w:pPr>
              <w:rPr>
                <w:rFonts w:asciiTheme="minorHAnsi" w:hAnsiTheme="minorHAnsi" w:cstheme="minorHAnsi"/>
                <w:sz w:val="22"/>
                <w:szCs w:val="22"/>
              </w:rPr>
            </w:pPr>
            <w:r w:rsidRPr="00382426">
              <w:rPr>
                <w:rFonts w:asciiTheme="minorHAnsi" w:hAnsiTheme="minorHAnsi"/>
                <w:sz w:val="22"/>
                <w:szCs w:val="22"/>
                <w:lang w:eastAsia="en-GB"/>
              </w:rPr>
              <w:t>Tenderers should clearly outline how their organisational experience and individual expertise can directly address the r</w:t>
            </w:r>
            <w:r w:rsidRPr="00382426">
              <w:rPr>
                <w:rFonts w:asciiTheme="minorHAnsi" w:hAnsiTheme="minorHAnsi" w:cstheme="minorHAnsi"/>
                <w:sz w:val="22"/>
                <w:szCs w:val="22"/>
              </w:rPr>
              <w:t>equired works defined in the project specification.</w:t>
            </w:r>
          </w:p>
          <w:p w14:paraId="62F3A20C" w14:textId="77777777" w:rsidR="00382426" w:rsidRPr="00382426" w:rsidRDefault="00382426" w:rsidP="00382426">
            <w:pPr>
              <w:rPr>
                <w:rFonts w:asciiTheme="minorHAnsi" w:hAnsiTheme="minorHAnsi"/>
                <w:sz w:val="22"/>
                <w:szCs w:val="22"/>
              </w:rPr>
            </w:pPr>
          </w:p>
          <w:p w14:paraId="379C95C7" w14:textId="77777777" w:rsidR="00382426" w:rsidRPr="00382426" w:rsidRDefault="00382426" w:rsidP="00382426">
            <w:pPr>
              <w:spacing w:after="120" w:line="300" w:lineRule="exact"/>
              <w:rPr>
                <w:rFonts w:asciiTheme="minorHAnsi" w:hAnsiTheme="minorHAnsi" w:cstheme="minorHAnsi"/>
                <w:sz w:val="22"/>
                <w:szCs w:val="22"/>
              </w:rPr>
            </w:pPr>
            <w:r w:rsidRPr="00382426">
              <w:rPr>
                <w:rFonts w:asciiTheme="minorHAnsi" w:hAnsiTheme="minorHAnsi" w:cstheme="minorHAnsi"/>
                <w:sz w:val="22"/>
                <w:szCs w:val="22"/>
              </w:rPr>
              <w:t>The tenderer’s response shall be evaluated on the following criteria within the maximum stated page limit:</w:t>
            </w:r>
          </w:p>
          <w:p w14:paraId="0D2AD0F5" w14:textId="77777777" w:rsidR="00382426" w:rsidRPr="00382426" w:rsidRDefault="00382426" w:rsidP="00DB5ED6">
            <w:pPr>
              <w:pStyle w:val="ListParagraph"/>
              <w:numPr>
                <w:ilvl w:val="0"/>
                <w:numId w:val="39"/>
              </w:numPr>
              <w:spacing w:after="120" w:line="300" w:lineRule="exact"/>
              <w:rPr>
                <w:rFonts w:asciiTheme="minorHAnsi" w:hAnsiTheme="minorHAnsi" w:cstheme="minorHAnsi"/>
                <w:sz w:val="22"/>
                <w:szCs w:val="22"/>
              </w:rPr>
            </w:pPr>
            <w:r w:rsidRPr="00382426">
              <w:rPr>
                <w:rFonts w:asciiTheme="minorHAnsi" w:hAnsiTheme="minorHAnsi" w:cstheme="minorHAnsi"/>
                <w:sz w:val="22"/>
                <w:szCs w:val="22"/>
              </w:rPr>
              <w:t>The tenderer outlines relevant activities undertaken by their organisation, that demonstrates suitable experience to meet the project requirements;</w:t>
            </w:r>
          </w:p>
          <w:p w14:paraId="642E6314" w14:textId="77777777" w:rsidR="00382426" w:rsidRDefault="00382426" w:rsidP="00DB5ED6">
            <w:pPr>
              <w:pStyle w:val="ListParagraph"/>
              <w:numPr>
                <w:ilvl w:val="0"/>
                <w:numId w:val="39"/>
              </w:numPr>
              <w:spacing w:after="120" w:line="300" w:lineRule="exact"/>
              <w:rPr>
                <w:rFonts w:asciiTheme="minorHAnsi" w:hAnsiTheme="minorHAnsi" w:cstheme="minorHAnsi"/>
                <w:sz w:val="22"/>
                <w:szCs w:val="22"/>
              </w:rPr>
            </w:pPr>
            <w:r w:rsidRPr="00382426">
              <w:rPr>
                <w:rFonts w:asciiTheme="minorHAnsi" w:hAnsiTheme="minorHAnsi" w:cstheme="minorHAnsi"/>
                <w:sz w:val="22"/>
                <w:szCs w:val="22"/>
              </w:rPr>
              <w:t>The tenderer demonstrates what capabilities individual project team members will bring and how this shall contribute to successfully meeting the project’s objectives and outputs. To support RSSB’s evaluation, the tenderer shall provide a one-page CV for each key project member within an appendix.</w:t>
            </w:r>
          </w:p>
          <w:p w14:paraId="4B661492" w14:textId="668A56BC" w:rsidR="003B7775" w:rsidRPr="00382426" w:rsidRDefault="00382426" w:rsidP="00DB5ED6">
            <w:pPr>
              <w:pStyle w:val="ListParagraph"/>
              <w:numPr>
                <w:ilvl w:val="1"/>
                <w:numId w:val="39"/>
              </w:numPr>
              <w:spacing w:after="120" w:line="300" w:lineRule="exact"/>
              <w:rPr>
                <w:rFonts w:asciiTheme="minorHAnsi" w:hAnsiTheme="minorHAnsi" w:cstheme="minorHAnsi"/>
                <w:sz w:val="22"/>
                <w:szCs w:val="22"/>
              </w:rPr>
            </w:pPr>
            <w:r w:rsidRPr="00382426">
              <w:rPr>
                <w:rFonts w:asciiTheme="minorHAnsi" w:hAnsiTheme="minorHAnsi" w:cstheme="minorHAnsi"/>
                <w:b/>
                <w:bCs/>
                <w:sz w:val="22"/>
                <w:szCs w:val="22"/>
              </w:rPr>
              <w:t>The tenderer must not provide any team members or CVs unless that person is expected to have a role in the project</w:t>
            </w:r>
          </w:p>
        </w:tc>
        <w:tc>
          <w:tcPr>
            <w:tcW w:w="8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17AFF2" w14:textId="7672FB07" w:rsidR="003B7775" w:rsidRPr="00D65903" w:rsidRDefault="00442DA6" w:rsidP="00875261">
            <w:pPr>
              <w:spacing w:after="120" w:line="300" w:lineRule="exact"/>
              <w:rPr>
                <w:rFonts w:asciiTheme="minorHAnsi" w:hAnsiTheme="minorHAnsi" w:cstheme="minorHAnsi"/>
                <w:sz w:val="22"/>
                <w:szCs w:val="22"/>
              </w:rPr>
            </w:pPr>
            <w:r>
              <w:rPr>
                <w:rFonts w:asciiTheme="minorHAnsi" w:hAnsiTheme="minorHAnsi" w:cstheme="minorHAnsi"/>
                <w:sz w:val="22"/>
                <w:szCs w:val="22"/>
              </w:rPr>
              <w:t>25</w:t>
            </w:r>
            <w:r w:rsidR="003B7775" w:rsidRPr="00D65903">
              <w:rPr>
                <w:rFonts w:asciiTheme="minorHAnsi" w:hAnsiTheme="minorHAnsi" w:cstheme="minorHAnsi"/>
                <w:sz w:val="22"/>
                <w:szCs w:val="22"/>
              </w:rPr>
              <w:t>%</w:t>
            </w:r>
          </w:p>
        </w:tc>
      </w:tr>
      <w:tr w:rsidR="00A54208" w:rsidRPr="00A54208" w14:paraId="5652A424" w14:textId="77777777" w:rsidTr="003D0B9C">
        <w:trPr>
          <w:trHeight w:val="724"/>
          <w:jc w:val="center"/>
        </w:trPr>
        <w:tc>
          <w:tcPr>
            <w:tcW w:w="86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41C4D8" w14:textId="77777777" w:rsidR="00A54208" w:rsidRPr="00A54208" w:rsidRDefault="00A54208" w:rsidP="00A54208">
            <w:pPr>
              <w:spacing w:after="120" w:line="300" w:lineRule="exact"/>
              <w:rPr>
                <w:rFonts w:asciiTheme="minorHAnsi" w:hAnsiTheme="minorHAnsi" w:cstheme="minorHAnsi"/>
                <w:sz w:val="22"/>
                <w:szCs w:val="22"/>
              </w:rPr>
            </w:pPr>
            <w:r w:rsidRPr="00A54208">
              <w:rPr>
                <w:rFonts w:asciiTheme="minorHAnsi" w:hAnsiTheme="minorHAnsi" w:cstheme="minorHAnsi"/>
                <w:b/>
                <w:sz w:val="22"/>
                <w:szCs w:val="22"/>
              </w:rPr>
              <w:t>W4</w:t>
            </w:r>
            <w:r w:rsidRPr="00A54208">
              <w:rPr>
                <w:rFonts w:asciiTheme="minorHAnsi" w:hAnsiTheme="minorHAnsi" w:cstheme="minorHAnsi"/>
                <w:sz w:val="22"/>
                <w:szCs w:val="22"/>
              </w:rPr>
              <w:t xml:space="preserve"> Project management: Planning and engagement</w:t>
            </w:r>
          </w:p>
          <w:p w14:paraId="7E526532" w14:textId="0827FA04" w:rsidR="00A54208" w:rsidRPr="00A54208" w:rsidRDefault="00A54208" w:rsidP="00A54208">
            <w:pPr>
              <w:spacing w:after="120" w:line="300" w:lineRule="exact"/>
              <w:rPr>
                <w:rFonts w:asciiTheme="minorHAnsi" w:hAnsiTheme="minorHAnsi" w:cstheme="minorHAnsi"/>
                <w:b/>
                <w:sz w:val="22"/>
                <w:szCs w:val="22"/>
              </w:rPr>
            </w:pPr>
            <w:r w:rsidRPr="00A54208">
              <w:rPr>
                <w:rFonts w:asciiTheme="minorHAnsi" w:hAnsiTheme="minorHAnsi" w:cstheme="minorHAnsi"/>
                <w:sz w:val="22"/>
                <w:szCs w:val="22"/>
              </w:rPr>
              <w:t xml:space="preserve">[Max </w:t>
            </w:r>
            <w:r w:rsidR="009B088C">
              <w:rPr>
                <w:rFonts w:asciiTheme="minorHAnsi" w:hAnsiTheme="minorHAnsi" w:cstheme="minorHAnsi"/>
                <w:sz w:val="22"/>
                <w:szCs w:val="22"/>
              </w:rPr>
              <w:t>4</w:t>
            </w:r>
            <w:r w:rsidRPr="00A54208">
              <w:rPr>
                <w:rFonts w:asciiTheme="minorHAnsi" w:hAnsiTheme="minorHAnsi" w:cstheme="minorHAnsi"/>
                <w:sz w:val="22"/>
                <w:szCs w:val="22"/>
              </w:rPr>
              <w:t xml:space="preserve"> pages]</w:t>
            </w:r>
          </w:p>
        </w:tc>
        <w:tc>
          <w:tcPr>
            <w:tcW w:w="33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9BF3C8" w14:textId="77777777" w:rsidR="00A54208" w:rsidRPr="00A54208" w:rsidRDefault="00A54208" w:rsidP="00A54208">
            <w:pPr>
              <w:rPr>
                <w:rFonts w:asciiTheme="minorHAnsi" w:hAnsiTheme="minorHAnsi"/>
                <w:sz w:val="22"/>
                <w:szCs w:val="22"/>
                <w:lang w:eastAsia="en-GB"/>
              </w:rPr>
            </w:pPr>
            <w:r w:rsidRPr="00A54208">
              <w:rPr>
                <w:rFonts w:asciiTheme="minorHAnsi" w:hAnsiTheme="minorHAnsi"/>
                <w:sz w:val="22"/>
                <w:szCs w:val="22"/>
                <w:lang w:eastAsia="en-GB"/>
              </w:rPr>
              <w:t>Tenderers should outline the processes and resources it proposes to use in order to fulfil RSSB’s requirements.</w:t>
            </w:r>
          </w:p>
          <w:p w14:paraId="76E3FE25" w14:textId="77777777" w:rsidR="00A54208" w:rsidRPr="00A54208" w:rsidRDefault="00A54208" w:rsidP="00A54208">
            <w:pPr>
              <w:rPr>
                <w:rFonts w:asciiTheme="minorHAnsi" w:hAnsiTheme="minorHAnsi"/>
                <w:sz w:val="22"/>
                <w:szCs w:val="22"/>
                <w:lang w:eastAsia="en-GB"/>
              </w:rPr>
            </w:pPr>
          </w:p>
          <w:p w14:paraId="2399BE04" w14:textId="77777777" w:rsidR="00A54208" w:rsidRPr="00A54208" w:rsidRDefault="00A54208" w:rsidP="00A54208">
            <w:pPr>
              <w:rPr>
                <w:rFonts w:asciiTheme="minorHAnsi" w:hAnsiTheme="minorHAnsi"/>
                <w:sz w:val="22"/>
                <w:szCs w:val="22"/>
                <w:lang w:eastAsia="en-GB"/>
              </w:rPr>
            </w:pPr>
            <w:r w:rsidRPr="00A54208">
              <w:rPr>
                <w:rFonts w:asciiTheme="minorHAnsi" w:hAnsiTheme="minorHAnsi"/>
                <w:sz w:val="22"/>
                <w:szCs w:val="22"/>
                <w:lang w:eastAsia="en-GB"/>
              </w:rPr>
              <w:t>The tender’s response shall be evaluated on the following criteria within the maximum stated page limit:</w:t>
            </w:r>
          </w:p>
          <w:p w14:paraId="5C1B5A92" w14:textId="77777777" w:rsidR="00A54208" w:rsidRPr="00A54208" w:rsidRDefault="00A54208" w:rsidP="00DB5ED6">
            <w:pPr>
              <w:numPr>
                <w:ilvl w:val="0"/>
                <w:numId w:val="29"/>
              </w:numPr>
              <w:contextualSpacing/>
              <w:rPr>
                <w:rFonts w:asciiTheme="minorHAnsi" w:hAnsiTheme="minorHAnsi"/>
                <w:sz w:val="22"/>
                <w:szCs w:val="22"/>
                <w:lang w:eastAsia="en-GB"/>
              </w:rPr>
            </w:pPr>
            <w:r w:rsidRPr="00A54208">
              <w:rPr>
                <w:rFonts w:asciiTheme="minorHAnsi" w:hAnsiTheme="minorHAnsi"/>
                <w:sz w:val="22"/>
                <w:szCs w:val="22"/>
                <w:lang w:eastAsia="en-GB"/>
              </w:rPr>
              <w:t>The tenderer provides adequate allocation of resource to successfully deliver outcomes to time, cost and quality</w:t>
            </w:r>
            <w:r w:rsidRPr="00A54208">
              <w:rPr>
                <w:rStyle w:val="FootnoteReference"/>
                <w:rFonts w:asciiTheme="minorHAnsi" w:hAnsiTheme="minorHAnsi"/>
                <w:sz w:val="22"/>
                <w:szCs w:val="22"/>
                <w:lang w:eastAsia="en-GB"/>
              </w:rPr>
              <w:footnoteReference w:id="8"/>
            </w:r>
            <w:r w:rsidRPr="00A54208">
              <w:rPr>
                <w:rFonts w:asciiTheme="minorHAnsi" w:hAnsiTheme="minorHAnsi"/>
                <w:sz w:val="22"/>
                <w:szCs w:val="22"/>
                <w:lang w:eastAsia="en-GB"/>
              </w:rPr>
              <w:t>. To support RSSB’s evaluation, the tenderer shall provide:</w:t>
            </w:r>
          </w:p>
          <w:p w14:paraId="206E78F2" w14:textId="77777777" w:rsidR="00A54208" w:rsidRPr="00A54208" w:rsidRDefault="00A54208" w:rsidP="00DB5ED6">
            <w:pPr>
              <w:pStyle w:val="ListParagraph"/>
              <w:numPr>
                <w:ilvl w:val="1"/>
                <w:numId w:val="39"/>
              </w:numPr>
              <w:spacing w:after="120" w:line="300" w:lineRule="exact"/>
              <w:ind w:left="1257"/>
              <w:rPr>
                <w:rFonts w:asciiTheme="minorHAnsi" w:hAnsiTheme="minorHAnsi" w:cstheme="minorHAnsi"/>
                <w:sz w:val="22"/>
                <w:szCs w:val="22"/>
              </w:rPr>
            </w:pPr>
            <w:r w:rsidRPr="00A54208">
              <w:rPr>
                <w:rFonts w:asciiTheme="minorHAnsi" w:hAnsiTheme="minorHAnsi" w:cstheme="minorHAnsi"/>
                <w:sz w:val="22"/>
                <w:szCs w:val="22"/>
              </w:rPr>
              <w:lastRenderedPageBreak/>
              <w:t>A Gantt chart detailing key tasks and timeframes</w:t>
            </w:r>
          </w:p>
          <w:p w14:paraId="49229097" w14:textId="77777777" w:rsidR="00A54208" w:rsidRPr="00A54208" w:rsidRDefault="00A54208" w:rsidP="00DB5ED6">
            <w:pPr>
              <w:pStyle w:val="ListParagraph"/>
              <w:numPr>
                <w:ilvl w:val="1"/>
                <w:numId w:val="39"/>
              </w:numPr>
              <w:spacing w:after="120" w:line="300" w:lineRule="exact"/>
              <w:ind w:left="1257"/>
              <w:rPr>
                <w:rFonts w:asciiTheme="minorHAnsi" w:hAnsiTheme="minorHAnsi" w:cstheme="minorHAnsi"/>
                <w:sz w:val="22"/>
                <w:szCs w:val="22"/>
              </w:rPr>
            </w:pPr>
            <w:r w:rsidRPr="00A54208">
              <w:rPr>
                <w:rFonts w:asciiTheme="minorHAnsi" w:hAnsiTheme="minorHAnsi" w:cstheme="minorHAnsi"/>
                <w:sz w:val="22"/>
                <w:szCs w:val="22"/>
              </w:rPr>
              <w:t xml:space="preserve">A resource table that details task, role, name and effort (in days). The table should include total effort (in days). </w:t>
            </w:r>
          </w:p>
          <w:p w14:paraId="4E11BEEE" w14:textId="77777777" w:rsidR="00A54208" w:rsidRPr="00A54208" w:rsidRDefault="00A54208" w:rsidP="00DB5ED6">
            <w:pPr>
              <w:pStyle w:val="ListParagraph"/>
              <w:numPr>
                <w:ilvl w:val="0"/>
                <w:numId w:val="29"/>
              </w:numPr>
              <w:spacing w:after="120" w:line="300" w:lineRule="exact"/>
              <w:rPr>
                <w:rFonts w:asciiTheme="minorHAnsi" w:hAnsiTheme="minorHAnsi" w:cstheme="minorHAnsi"/>
                <w:sz w:val="22"/>
                <w:szCs w:val="22"/>
              </w:rPr>
            </w:pPr>
            <w:r w:rsidRPr="00A54208">
              <w:rPr>
                <w:rFonts w:asciiTheme="minorHAnsi" w:hAnsiTheme="minorHAnsi" w:cstheme="minorHAnsi"/>
                <w:sz w:val="22"/>
                <w:szCs w:val="22"/>
              </w:rPr>
              <w:t>The tenderer provides a clear engagement plan detailing:</w:t>
            </w:r>
          </w:p>
          <w:p w14:paraId="19D694A5" w14:textId="77777777" w:rsidR="00A54208" w:rsidRPr="00A54208" w:rsidRDefault="00A54208" w:rsidP="00DB5ED6">
            <w:pPr>
              <w:pStyle w:val="ListParagraph"/>
              <w:numPr>
                <w:ilvl w:val="1"/>
                <w:numId w:val="39"/>
              </w:numPr>
              <w:spacing w:after="120" w:line="300" w:lineRule="exact"/>
              <w:ind w:left="1257"/>
              <w:rPr>
                <w:rFonts w:asciiTheme="minorHAnsi" w:hAnsiTheme="minorHAnsi" w:cstheme="minorHAnsi"/>
                <w:sz w:val="22"/>
                <w:szCs w:val="22"/>
              </w:rPr>
            </w:pPr>
            <w:r w:rsidRPr="00A54208">
              <w:rPr>
                <w:rFonts w:asciiTheme="minorHAnsi" w:hAnsiTheme="minorHAnsi" w:cstheme="minorHAnsi"/>
                <w:sz w:val="22"/>
                <w:szCs w:val="22"/>
              </w:rPr>
              <w:t>Which stakeholders it intends to engage with</w:t>
            </w:r>
          </w:p>
          <w:p w14:paraId="58112BCC" w14:textId="77777777" w:rsidR="00A54208" w:rsidRPr="00A54208" w:rsidRDefault="00A54208" w:rsidP="00DB5ED6">
            <w:pPr>
              <w:pStyle w:val="ListParagraph"/>
              <w:numPr>
                <w:ilvl w:val="1"/>
                <w:numId w:val="39"/>
              </w:numPr>
              <w:spacing w:after="120" w:line="300" w:lineRule="exact"/>
              <w:ind w:left="1257"/>
              <w:rPr>
                <w:rFonts w:asciiTheme="minorHAnsi" w:hAnsiTheme="minorHAnsi" w:cstheme="minorHAnsi"/>
                <w:sz w:val="22"/>
                <w:szCs w:val="22"/>
              </w:rPr>
            </w:pPr>
            <w:r w:rsidRPr="00A54208">
              <w:rPr>
                <w:rFonts w:asciiTheme="minorHAnsi" w:hAnsiTheme="minorHAnsi" w:cstheme="minorHAnsi"/>
                <w:sz w:val="22"/>
                <w:szCs w:val="22"/>
              </w:rPr>
              <w:t>When (and how) it intends to engage with stakeholders</w:t>
            </w:r>
          </w:p>
          <w:p w14:paraId="3EBFA909" w14:textId="77777777" w:rsidR="00D35B11" w:rsidRDefault="00A54208" w:rsidP="00DB5ED6">
            <w:pPr>
              <w:pStyle w:val="ListParagraph"/>
              <w:numPr>
                <w:ilvl w:val="1"/>
                <w:numId w:val="39"/>
              </w:numPr>
              <w:spacing w:after="120" w:line="300" w:lineRule="exact"/>
              <w:ind w:left="1257"/>
              <w:rPr>
                <w:rFonts w:asciiTheme="minorHAnsi" w:hAnsiTheme="minorHAnsi" w:cstheme="minorHAnsi"/>
                <w:sz w:val="22"/>
                <w:szCs w:val="22"/>
              </w:rPr>
            </w:pPr>
            <w:r w:rsidRPr="00A54208">
              <w:rPr>
                <w:rFonts w:asciiTheme="minorHAnsi" w:hAnsiTheme="minorHAnsi" w:cstheme="minorHAnsi"/>
                <w:sz w:val="22"/>
                <w:szCs w:val="22"/>
              </w:rPr>
              <w:t>What input it shall seek from stakeholders</w:t>
            </w:r>
          </w:p>
          <w:p w14:paraId="3A012C38" w14:textId="65F33831" w:rsidR="00A54208" w:rsidRPr="00D35B11" w:rsidRDefault="00A54208" w:rsidP="00DB5ED6">
            <w:pPr>
              <w:pStyle w:val="ListParagraph"/>
              <w:numPr>
                <w:ilvl w:val="1"/>
                <w:numId w:val="39"/>
              </w:numPr>
              <w:spacing w:after="120" w:line="300" w:lineRule="exact"/>
              <w:ind w:left="1257"/>
              <w:rPr>
                <w:rFonts w:asciiTheme="minorHAnsi" w:hAnsiTheme="minorHAnsi" w:cstheme="minorHAnsi"/>
                <w:sz w:val="22"/>
                <w:szCs w:val="22"/>
              </w:rPr>
            </w:pPr>
            <w:r w:rsidRPr="00D35B11">
              <w:rPr>
                <w:rFonts w:asciiTheme="minorHAnsi" w:hAnsiTheme="minorHAnsi" w:cstheme="minorHAnsi"/>
                <w:sz w:val="22"/>
                <w:szCs w:val="22"/>
              </w:rPr>
              <w:t>A ranking of stakeholders by order of priority, outlining how the stakeholders will have impact on successful delivery of the project.</w:t>
            </w:r>
          </w:p>
        </w:tc>
        <w:tc>
          <w:tcPr>
            <w:tcW w:w="8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0A4053" w14:textId="1AB47FA6" w:rsidR="00A54208" w:rsidRPr="00A54208" w:rsidRDefault="00442DA6" w:rsidP="00A54208">
            <w:pPr>
              <w:spacing w:after="120" w:line="300" w:lineRule="exact"/>
              <w:rPr>
                <w:rFonts w:asciiTheme="minorHAnsi" w:hAnsiTheme="minorHAnsi" w:cstheme="minorHAnsi"/>
                <w:sz w:val="22"/>
                <w:szCs w:val="22"/>
              </w:rPr>
            </w:pPr>
            <w:r>
              <w:rPr>
                <w:rFonts w:asciiTheme="minorHAnsi" w:hAnsiTheme="minorHAnsi" w:cstheme="minorHAnsi"/>
                <w:sz w:val="22"/>
                <w:szCs w:val="22"/>
              </w:rPr>
              <w:lastRenderedPageBreak/>
              <w:t>20</w:t>
            </w:r>
            <w:r w:rsidR="00A54208" w:rsidRPr="00A54208">
              <w:rPr>
                <w:rFonts w:asciiTheme="minorHAnsi" w:hAnsiTheme="minorHAnsi" w:cstheme="minorHAnsi"/>
                <w:sz w:val="22"/>
                <w:szCs w:val="22"/>
              </w:rPr>
              <w:t>%</w:t>
            </w:r>
          </w:p>
        </w:tc>
      </w:tr>
      <w:tr w:rsidR="00A54208" w:rsidRPr="006129F4" w14:paraId="17364B92" w14:textId="77777777" w:rsidTr="003D0B9C">
        <w:trPr>
          <w:trHeight w:val="724"/>
          <w:jc w:val="center"/>
        </w:trPr>
        <w:tc>
          <w:tcPr>
            <w:tcW w:w="86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A2E877" w14:textId="657102D3" w:rsidR="00A54208" w:rsidRPr="006129F4" w:rsidRDefault="00A54208" w:rsidP="00A54208">
            <w:pPr>
              <w:spacing w:after="120" w:line="300" w:lineRule="exact"/>
              <w:rPr>
                <w:rFonts w:asciiTheme="minorHAnsi" w:hAnsiTheme="minorHAnsi" w:cstheme="minorHAnsi"/>
                <w:sz w:val="22"/>
                <w:szCs w:val="22"/>
              </w:rPr>
            </w:pPr>
            <w:r w:rsidRPr="006129F4">
              <w:rPr>
                <w:rFonts w:asciiTheme="minorHAnsi" w:hAnsiTheme="minorHAnsi" w:cstheme="minorHAnsi"/>
                <w:b/>
                <w:sz w:val="22"/>
                <w:szCs w:val="22"/>
              </w:rPr>
              <w:t>W</w:t>
            </w:r>
            <w:r w:rsidR="00D35B11">
              <w:rPr>
                <w:rFonts w:asciiTheme="minorHAnsi" w:hAnsiTheme="minorHAnsi" w:cstheme="minorHAnsi"/>
                <w:b/>
                <w:sz w:val="22"/>
                <w:szCs w:val="22"/>
              </w:rPr>
              <w:t>5</w:t>
            </w:r>
            <w:r w:rsidRPr="006129F4">
              <w:rPr>
                <w:rFonts w:asciiTheme="minorHAnsi" w:hAnsiTheme="minorHAnsi" w:cstheme="minorHAnsi"/>
                <w:b/>
                <w:sz w:val="22"/>
                <w:szCs w:val="22"/>
              </w:rPr>
              <w:t xml:space="preserve"> </w:t>
            </w:r>
            <w:r w:rsidR="006129F4" w:rsidRPr="006129F4">
              <w:rPr>
                <w:rFonts w:asciiTheme="minorHAnsi" w:hAnsiTheme="minorHAnsi" w:cstheme="minorHAnsi"/>
                <w:sz w:val="22"/>
                <w:szCs w:val="22"/>
              </w:rPr>
              <w:t>Risks and opportunities</w:t>
            </w:r>
          </w:p>
          <w:p w14:paraId="0ABCE2EB" w14:textId="58176F95" w:rsidR="00A54208" w:rsidRPr="006129F4" w:rsidRDefault="00A54208" w:rsidP="00A54208">
            <w:pPr>
              <w:spacing w:after="120" w:line="300" w:lineRule="exact"/>
              <w:rPr>
                <w:rFonts w:asciiTheme="minorHAnsi" w:hAnsiTheme="minorHAnsi" w:cstheme="minorHAnsi"/>
                <w:sz w:val="22"/>
                <w:szCs w:val="22"/>
              </w:rPr>
            </w:pPr>
            <w:r w:rsidRPr="006129F4">
              <w:rPr>
                <w:rFonts w:asciiTheme="minorHAnsi" w:hAnsiTheme="minorHAnsi" w:cstheme="minorHAnsi"/>
                <w:sz w:val="22"/>
                <w:szCs w:val="22"/>
              </w:rPr>
              <w:t xml:space="preserve">[Max </w:t>
            </w:r>
            <w:r w:rsidR="009B088C">
              <w:rPr>
                <w:rFonts w:asciiTheme="minorHAnsi" w:hAnsiTheme="minorHAnsi" w:cstheme="minorHAnsi"/>
                <w:sz w:val="22"/>
                <w:szCs w:val="22"/>
              </w:rPr>
              <w:t>2</w:t>
            </w:r>
            <w:r w:rsidRPr="006129F4">
              <w:rPr>
                <w:rFonts w:asciiTheme="minorHAnsi" w:hAnsiTheme="minorHAnsi" w:cstheme="minorHAnsi"/>
                <w:sz w:val="22"/>
                <w:szCs w:val="22"/>
              </w:rPr>
              <w:t xml:space="preserve"> pages]</w:t>
            </w:r>
          </w:p>
        </w:tc>
        <w:tc>
          <w:tcPr>
            <w:tcW w:w="33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4225FC" w14:textId="3D0FCCA9" w:rsidR="006129F4" w:rsidRPr="006129F4" w:rsidRDefault="00A84EDF" w:rsidP="006129F4">
            <w:pPr>
              <w:spacing w:after="120" w:line="300" w:lineRule="exact"/>
              <w:rPr>
                <w:rFonts w:asciiTheme="minorHAnsi" w:hAnsiTheme="minorHAnsi" w:cstheme="minorHAnsi"/>
                <w:sz w:val="22"/>
                <w:szCs w:val="22"/>
              </w:rPr>
            </w:pPr>
            <w:r>
              <w:rPr>
                <w:rFonts w:asciiTheme="minorHAnsi" w:hAnsiTheme="minorHAnsi"/>
                <w:sz w:val="22"/>
                <w:szCs w:val="22"/>
                <w:lang w:eastAsia="en-GB"/>
              </w:rPr>
              <w:t xml:space="preserve">Using the RSSB supplied </w:t>
            </w:r>
            <w:r w:rsidR="005C4E1F">
              <w:rPr>
                <w:rFonts w:asciiTheme="minorHAnsi" w:hAnsiTheme="minorHAnsi"/>
                <w:sz w:val="22"/>
                <w:szCs w:val="22"/>
                <w:lang w:eastAsia="en-GB"/>
              </w:rPr>
              <w:t>‘</w:t>
            </w:r>
            <w:r w:rsidR="001502F5" w:rsidRPr="001502F5">
              <w:rPr>
                <w:rFonts w:asciiTheme="minorHAnsi" w:hAnsiTheme="minorHAnsi"/>
                <w:sz w:val="22"/>
                <w:szCs w:val="22"/>
                <w:lang w:eastAsia="en-GB"/>
              </w:rPr>
              <w:t>Risk and Opportunity register templates and guidance</w:t>
            </w:r>
            <w:r w:rsidR="001502F5">
              <w:rPr>
                <w:rFonts w:asciiTheme="minorHAnsi" w:hAnsiTheme="minorHAnsi"/>
                <w:sz w:val="22"/>
                <w:szCs w:val="22"/>
                <w:lang w:eastAsia="en-GB"/>
              </w:rPr>
              <w:t>’</w:t>
            </w:r>
            <w:r>
              <w:rPr>
                <w:rFonts w:asciiTheme="minorHAnsi" w:hAnsiTheme="minorHAnsi"/>
                <w:sz w:val="22"/>
                <w:szCs w:val="22"/>
              </w:rPr>
              <w:t>, t</w:t>
            </w:r>
            <w:r w:rsidR="006129F4" w:rsidRPr="006129F4">
              <w:rPr>
                <w:rFonts w:asciiTheme="minorHAnsi" w:hAnsiTheme="minorHAnsi" w:cstheme="minorHAnsi"/>
                <w:sz w:val="22"/>
                <w:szCs w:val="22"/>
              </w:rPr>
              <w:t>enderers should detail what risks and opportunities</w:t>
            </w:r>
            <w:r w:rsidR="006129F4" w:rsidRPr="006129F4">
              <w:rPr>
                <w:rStyle w:val="FootnoteReference"/>
                <w:rFonts w:asciiTheme="minorHAnsi" w:hAnsiTheme="minorHAnsi" w:cstheme="minorHAnsi"/>
                <w:sz w:val="22"/>
                <w:szCs w:val="22"/>
              </w:rPr>
              <w:footnoteReference w:id="9"/>
            </w:r>
            <w:r w:rsidR="006129F4" w:rsidRPr="006129F4">
              <w:rPr>
                <w:rFonts w:asciiTheme="minorHAnsi" w:hAnsiTheme="minorHAnsi" w:cstheme="minorHAnsi"/>
                <w:sz w:val="22"/>
                <w:szCs w:val="22"/>
              </w:rPr>
              <w:t xml:space="preserve"> are foreseen in the delivery of the project.</w:t>
            </w:r>
          </w:p>
          <w:p w14:paraId="11B82EFC" w14:textId="70BFC805" w:rsidR="006129F4" w:rsidRPr="006129F4" w:rsidRDefault="00A84EDF" w:rsidP="006129F4">
            <w:pPr>
              <w:rPr>
                <w:rFonts w:asciiTheme="minorHAnsi" w:hAnsiTheme="minorHAnsi"/>
                <w:sz w:val="22"/>
                <w:szCs w:val="22"/>
                <w:lang w:eastAsia="en-GB"/>
              </w:rPr>
            </w:pPr>
            <w:r>
              <w:rPr>
                <w:rFonts w:asciiTheme="minorHAnsi" w:hAnsiTheme="minorHAnsi"/>
                <w:sz w:val="22"/>
                <w:szCs w:val="22"/>
                <w:lang w:eastAsia="en-GB"/>
              </w:rPr>
              <w:t>T</w:t>
            </w:r>
            <w:r w:rsidR="006129F4" w:rsidRPr="006129F4">
              <w:rPr>
                <w:rFonts w:asciiTheme="minorHAnsi" w:hAnsiTheme="minorHAnsi"/>
                <w:sz w:val="22"/>
                <w:szCs w:val="22"/>
                <w:lang w:eastAsia="en-GB"/>
              </w:rPr>
              <w:t>he tenderer’s response shall be evaluated on the following criteria within the maximum stated page limit:</w:t>
            </w:r>
          </w:p>
          <w:p w14:paraId="04612231" w14:textId="27507438" w:rsidR="002B2866" w:rsidRDefault="004E4DC4" w:rsidP="00DB5ED6">
            <w:pPr>
              <w:pStyle w:val="ListParagraph"/>
              <w:numPr>
                <w:ilvl w:val="0"/>
                <w:numId w:val="36"/>
              </w:numPr>
              <w:spacing w:after="120" w:line="300" w:lineRule="exact"/>
              <w:rPr>
                <w:rFonts w:asciiTheme="minorHAnsi" w:hAnsiTheme="minorHAnsi" w:cstheme="minorHAnsi"/>
                <w:sz w:val="22"/>
                <w:szCs w:val="22"/>
              </w:rPr>
            </w:pPr>
            <w:r>
              <w:rPr>
                <w:rFonts w:asciiTheme="minorHAnsi" w:hAnsiTheme="minorHAnsi" w:cstheme="minorHAnsi"/>
                <w:sz w:val="22"/>
                <w:szCs w:val="22"/>
              </w:rPr>
              <w:t>For each risk, t</w:t>
            </w:r>
            <w:r w:rsidR="006129F4" w:rsidRPr="006129F4">
              <w:rPr>
                <w:rFonts w:asciiTheme="minorHAnsi" w:hAnsiTheme="minorHAnsi" w:cstheme="minorHAnsi"/>
                <w:sz w:val="22"/>
                <w:szCs w:val="22"/>
              </w:rPr>
              <w:t xml:space="preserve">he tenderer shall </w:t>
            </w:r>
            <w:r w:rsidR="00A84EDF">
              <w:rPr>
                <w:rFonts w:asciiTheme="minorHAnsi" w:hAnsiTheme="minorHAnsi" w:cstheme="minorHAnsi"/>
                <w:sz w:val="22"/>
                <w:szCs w:val="22"/>
              </w:rPr>
              <w:t>detail</w:t>
            </w:r>
            <w:r>
              <w:rPr>
                <w:rFonts w:asciiTheme="minorHAnsi" w:hAnsiTheme="minorHAnsi" w:cstheme="minorHAnsi"/>
                <w:sz w:val="22"/>
                <w:szCs w:val="22"/>
              </w:rPr>
              <w:t>:</w:t>
            </w:r>
          </w:p>
          <w:p w14:paraId="58D8F619" w14:textId="6B16CBB2" w:rsidR="00275F75" w:rsidRDefault="00553F77" w:rsidP="00DB5ED6">
            <w:pPr>
              <w:pStyle w:val="ListParagraph"/>
              <w:numPr>
                <w:ilvl w:val="1"/>
                <w:numId w:val="39"/>
              </w:numPr>
              <w:spacing w:after="120" w:line="300" w:lineRule="exact"/>
              <w:ind w:left="1257"/>
              <w:rPr>
                <w:rFonts w:asciiTheme="minorHAnsi" w:hAnsiTheme="minorHAnsi" w:cstheme="minorHAnsi"/>
                <w:sz w:val="22"/>
                <w:szCs w:val="22"/>
              </w:rPr>
            </w:pPr>
            <w:r w:rsidRPr="00553F77">
              <w:rPr>
                <w:rFonts w:asciiTheme="minorHAnsi" w:hAnsiTheme="minorHAnsi" w:cstheme="minorHAnsi"/>
                <w:sz w:val="22"/>
                <w:szCs w:val="22"/>
              </w:rPr>
              <w:t>Description of the impact and probability of the risk if unmitigated</w:t>
            </w:r>
          </w:p>
          <w:p w14:paraId="1499F8A2" w14:textId="4839DE53" w:rsidR="00A54208" w:rsidRDefault="00553F77" w:rsidP="00DB5ED6">
            <w:pPr>
              <w:pStyle w:val="ListParagraph"/>
              <w:numPr>
                <w:ilvl w:val="1"/>
                <w:numId w:val="39"/>
              </w:numPr>
              <w:spacing w:after="120" w:line="300" w:lineRule="exact"/>
              <w:ind w:left="1257"/>
              <w:rPr>
                <w:rFonts w:asciiTheme="minorHAnsi" w:hAnsiTheme="minorHAnsi" w:cstheme="minorHAnsi"/>
                <w:sz w:val="22"/>
                <w:szCs w:val="22"/>
              </w:rPr>
            </w:pPr>
            <w:r w:rsidRPr="00553F77">
              <w:rPr>
                <w:rFonts w:asciiTheme="minorHAnsi" w:hAnsiTheme="minorHAnsi" w:cstheme="minorHAnsi"/>
                <w:sz w:val="22"/>
                <w:szCs w:val="22"/>
              </w:rPr>
              <w:t xml:space="preserve">Impact of the risk on Time, Quality and Cost </w:t>
            </w:r>
            <w:r w:rsidR="005C4E1F">
              <w:rPr>
                <w:rFonts w:asciiTheme="minorHAnsi" w:hAnsiTheme="minorHAnsi" w:cstheme="minorHAnsi"/>
                <w:sz w:val="22"/>
                <w:szCs w:val="22"/>
              </w:rPr>
              <w:t>(scored out of 5)</w:t>
            </w:r>
          </w:p>
          <w:p w14:paraId="3ABDEE7B" w14:textId="5AC8E19C" w:rsidR="00275F75" w:rsidRDefault="00553F77" w:rsidP="00DB5ED6">
            <w:pPr>
              <w:pStyle w:val="ListParagraph"/>
              <w:numPr>
                <w:ilvl w:val="1"/>
                <w:numId w:val="39"/>
              </w:numPr>
              <w:spacing w:after="120" w:line="300" w:lineRule="exact"/>
              <w:ind w:left="1257"/>
              <w:rPr>
                <w:rFonts w:asciiTheme="minorHAnsi" w:hAnsiTheme="minorHAnsi" w:cstheme="minorHAnsi"/>
                <w:sz w:val="22"/>
                <w:szCs w:val="22"/>
              </w:rPr>
            </w:pPr>
            <w:r w:rsidRPr="00553F77">
              <w:rPr>
                <w:rFonts w:asciiTheme="minorHAnsi" w:hAnsiTheme="minorHAnsi" w:cstheme="minorHAnsi"/>
                <w:sz w:val="22"/>
                <w:szCs w:val="22"/>
              </w:rPr>
              <w:t xml:space="preserve">Likelihood of the risk occurring </w:t>
            </w:r>
            <w:r w:rsidR="005C4E1F">
              <w:rPr>
                <w:rFonts w:asciiTheme="minorHAnsi" w:hAnsiTheme="minorHAnsi" w:cstheme="minorHAnsi"/>
                <w:sz w:val="22"/>
                <w:szCs w:val="22"/>
              </w:rPr>
              <w:t>(scored out of 5)</w:t>
            </w:r>
          </w:p>
          <w:p w14:paraId="3D3916DA" w14:textId="438D4269" w:rsidR="00275F75" w:rsidRDefault="00275F75" w:rsidP="00DB5ED6">
            <w:pPr>
              <w:pStyle w:val="ListParagraph"/>
              <w:numPr>
                <w:ilvl w:val="1"/>
                <w:numId w:val="39"/>
              </w:numPr>
              <w:spacing w:after="120" w:line="300" w:lineRule="exact"/>
              <w:ind w:left="1257"/>
              <w:rPr>
                <w:rFonts w:asciiTheme="minorHAnsi" w:hAnsiTheme="minorHAnsi" w:cstheme="minorHAnsi"/>
                <w:sz w:val="22"/>
                <w:szCs w:val="22"/>
              </w:rPr>
            </w:pPr>
            <w:r>
              <w:rPr>
                <w:rFonts w:asciiTheme="minorHAnsi" w:hAnsiTheme="minorHAnsi" w:cstheme="minorHAnsi"/>
                <w:sz w:val="22"/>
                <w:szCs w:val="22"/>
              </w:rPr>
              <w:t>Provide a risk rating (impact * likelihood</w:t>
            </w:r>
            <w:r w:rsidR="005C4E1F">
              <w:rPr>
                <w:rFonts w:asciiTheme="minorHAnsi" w:hAnsiTheme="minorHAnsi" w:cstheme="minorHAnsi"/>
                <w:sz w:val="22"/>
                <w:szCs w:val="22"/>
              </w:rPr>
              <w:t>)</w:t>
            </w:r>
          </w:p>
          <w:p w14:paraId="0152A56B" w14:textId="592E0063" w:rsidR="00275F75" w:rsidRDefault="00275F75" w:rsidP="00DB5ED6">
            <w:pPr>
              <w:pStyle w:val="ListParagraph"/>
              <w:numPr>
                <w:ilvl w:val="1"/>
                <w:numId w:val="39"/>
              </w:numPr>
              <w:spacing w:after="120" w:line="300" w:lineRule="exact"/>
              <w:ind w:left="1257"/>
              <w:rPr>
                <w:rFonts w:asciiTheme="minorHAnsi" w:hAnsiTheme="minorHAnsi" w:cstheme="minorHAnsi"/>
                <w:sz w:val="22"/>
                <w:szCs w:val="22"/>
              </w:rPr>
            </w:pPr>
            <w:r w:rsidRPr="00275F75">
              <w:rPr>
                <w:rFonts w:asciiTheme="minorHAnsi" w:hAnsiTheme="minorHAnsi" w:cstheme="minorHAnsi"/>
                <w:sz w:val="22"/>
                <w:szCs w:val="22"/>
              </w:rPr>
              <w:t xml:space="preserve">Actions to address probability and impact of the risk; and revised </w:t>
            </w:r>
            <w:r w:rsidR="00507F80">
              <w:rPr>
                <w:rFonts w:asciiTheme="minorHAnsi" w:hAnsiTheme="minorHAnsi" w:cstheme="minorHAnsi"/>
                <w:sz w:val="22"/>
                <w:szCs w:val="22"/>
              </w:rPr>
              <w:t>r</w:t>
            </w:r>
            <w:r w:rsidRPr="00275F75">
              <w:rPr>
                <w:rFonts w:asciiTheme="minorHAnsi" w:hAnsiTheme="minorHAnsi" w:cstheme="minorHAnsi"/>
                <w:sz w:val="22"/>
                <w:szCs w:val="22"/>
              </w:rPr>
              <w:t xml:space="preserve">isk </w:t>
            </w:r>
            <w:r w:rsidR="00507F80">
              <w:rPr>
                <w:rFonts w:asciiTheme="minorHAnsi" w:hAnsiTheme="minorHAnsi" w:cstheme="minorHAnsi"/>
                <w:sz w:val="22"/>
                <w:szCs w:val="22"/>
              </w:rPr>
              <w:t>r</w:t>
            </w:r>
            <w:r w:rsidRPr="00275F75">
              <w:rPr>
                <w:rFonts w:asciiTheme="minorHAnsi" w:hAnsiTheme="minorHAnsi" w:cstheme="minorHAnsi"/>
                <w:sz w:val="22"/>
                <w:szCs w:val="22"/>
              </w:rPr>
              <w:t>ating</w:t>
            </w:r>
            <w:r w:rsidR="00507F80">
              <w:rPr>
                <w:rFonts w:asciiTheme="minorHAnsi" w:hAnsiTheme="minorHAnsi" w:cstheme="minorHAnsi"/>
                <w:sz w:val="22"/>
                <w:szCs w:val="22"/>
              </w:rPr>
              <w:t xml:space="preserve"> </w:t>
            </w:r>
            <w:r w:rsidRPr="00275F75">
              <w:rPr>
                <w:rFonts w:asciiTheme="minorHAnsi" w:hAnsiTheme="minorHAnsi" w:cstheme="minorHAnsi"/>
                <w:sz w:val="22"/>
                <w:szCs w:val="22"/>
              </w:rPr>
              <w:t>with mitigation in place</w:t>
            </w:r>
          </w:p>
          <w:p w14:paraId="08F8EE87" w14:textId="65DCA6EE" w:rsidR="00275F75" w:rsidRDefault="00275F75" w:rsidP="00DB5ED6">
            <w:pPr>
              <w:pStyle w:val="ListParagraph"/>
              <w:numPr>
                <w:ilvl w:val="1"/>
                <w:numId w:val="39"/>
              </w:numPr>
              <w:spacing w:after="120" w:line="300" w:lineRule="exact"/>
              <w:ind w:left="1257"/>
              <w:rPr>
                <w:rFonts w:asciiTheme="minorHAnsi" w:hAnsiTheme="minorHAnsi" w:cstheme="minorHAnsi"/>
                <w:sz w:val="22"/>
                <w:szCs w:val="22"/>
              </w:rPr>
            </w:pPr>
            <w:r w:rsidRPr="00275F75">
              <w:rPr>
                <w:rFonts w:asciiTheme="minorHAnsi" w:hAnsiTheme="minorHAnsi" w:cstheme="minorHAnsi"/>
                <w:sz w:val="22"/>
                <w:szCs w:val="22"/>
              </w:rPr>
              <w:t>Actions to be taken should the risk be realised</w:t>
            </w:r>
          </w:p>
          <w:p w14:paraId="4044EAA3" w14:textId="13A141BC" w:rsidR="00275F75" w:rsidRDefault="00275F75" w:rsidP="00DB5ED6">
            <w:pPr>
              <w:pStyle w:val="ListParagraph"/>
              <w:numPr>
                <w:ilvl w:val="1"/>
                <w:numId w:val="39"/>
              </w:numPr>
              <w:spacing w:after="120" w:line="300" w:lineRule="exact"/>
              <w:ind w:left="1257"/>
              <w:rPr>
                <w:rFonts w:asciiTheme="minorHAnsi" w:hAnsiTheme="minorHAnsi" w:cstheme="minorHAnsi"/>
                <w:sz w:val="22"/>
                <w:szCs w:val="22"/>
              </w:rPr>
            </w:pPr>
            <w:r w:rsidRPr="00275F75">
              <w:rPr>
                <w:rFonts w:asciiTheme="minorHAnsi" w:hAnsiTheme="minorHAnsi" w:cstheme="minorHAnsi"/>
                <w:sz w:val="22"/>
                <w:szCs w:val="22"/>
              </w:rPr>
              <w:t>Specific individual ultimately responsible for the risk control</w:t>
            </w:r>
            <w:r w:rsidR="007A73BC">
              <w:rPr>
                <w:rFonts w:asciiTheme="minorHAnsi" w:hAnsiTheme="minorHAnsi" w:cstheme="minorHAnsi"/>
                <w:sz w:val="22"/>
                <w:szCs w:val="22"/>
              </w:rPr>
              <w:br/>
            </w:r>
          </w:p>
          <w:p w14:paraId="2C638ED5" w14:textId="15C554E8" w:rsidR="009B088C" w:rsidRPr="009B088C" w:rsidRDefault="009B088C" w:rsidP="009B088C">
            <w:pPr>
              <w:spacing w:after="120" w:line="300" w:lineRule="exact"/>
              <w:rPr>
                <w:rFonts w:asciiTheme="minorHAnsi" w:hAnsiTheme="minorHAnsi" w:cstheme="minorHAnsi"/>
                <w:sz w:val="22"/>
                <w:szCs w:val="22"/>
              </w:rPr>
            </w:pPr>
            <w:r>
              <w:rPr>
                <w:rFonts w:asciiTheme="minorHAnsi" w:hAnsiTheme="minorHAnsi" w:cstheme="minorHAnsi"/>
                <w:sz w:val="22"/>
                <w:szCs w:val="22"/>
              </w:rPr>
              <w:lastRenderedPageBreak/>
              <w:t xml:space="preserve">The tenderer </w:t>
            </w:r>
            <w:r w:rsidR="00A21A1D">
              <w:rPr>
                <w:rFonts w:asciiTheme="minorHAnsi" w:hAnsiTheme="minorHAnsi" w:cstheme="minorHAnsi"/>
                <w:sz w:val="22"/>
                <w:szCs w:val="22"/>
              </w:rPr>
              <w:t>must include a minimum of one risk relating to COVID-19.</w:t>
            </w:r>
          </w:p>
          <w:p w14:paraId="1A92BF7B" w14:textId="293ECDE2" w:rsidR="007A73BC" w:rsidRDefault="007A73BC" w:rsidP="00DB5ED6">
            <w:pPr>
              <w:pStyle w:val="ListParagraph"/>
              <w:numPr>
                <w:ilvl w:val="0"/>
                <w:numId w:val="39"/>
              </w:numPr>
              <w:spacing w:after="120" w:line="300" w:lineRule="exact"/>
              <w:rPr>
                <w:rFonts w:asciiTheme="minorHAnsi" w:hAnsiTheme="minorHAnsi" w:cstheme="minorHAnsi"/>
                <w:sz w:val="22"/>
                <w:szCs w:val="22"/>
              </w:rPr>
            </w:pPr>
            <w:r>
              <w:rPr>
                <w:rFonts w:asciiTheme="minorHAnsi" w:hAnsiTheme="minorHAnsi" w:cstheme="minorHAnsi"/>
                <w:sz w:val="22"/>
                <w:szCs w:val="22"/>
              </w:rPr>
              <w:t>For each opportunity, the tenderer shall detail:</w:t>
            </w:r>
          </w:p>
          <w:p w14:paraId="696D1896" w14:textId="637A434A" w:rsidR="007A73BC" w:rsidRDefault="007A73BC" w:rsidP="00DB5ED6">
            <w:pPr>
              <w:pStyle w:val="ListParagraph"/>
              <w:numPr>
                <w:ilvl w:val="1"/>
                <w:numId w:val="39"/>
              </w:numPr>
              <w:spacing w:after="120" w:line="300" w:lineRule="exact"/>
              <w:rPr>
                <w:rFonts w:asciiTheme="minorHAnsi" w:hAnsiTheme="minorHAnsi" w:cstheme="minorHAnsi"/>
                <w:sz w:val="22"/>
                <w:szCs w:val="22"/>
              </w:rPr>
            </w:pPr>
            <w:r w:rsidRPr="007A73BC">
              <w:rPr>
                <w:rFonts w:asciiTheme="minorHAnsi" w:hAnsiTheme="minorHAnsi" w:cstheme="minorHAnsi"/>
                <w:sz w:val="22"/>
                <w:szCs w:val="22"/>
              </w:rPr>
              <w:t xml:space="preserve">Description of </w:t>
            </w:r>
            <w:r>
              <w:rPr>
                <w:rFonts w:asciiTheme="minorHAnsi" w:hAnsiTheme="minorHAnsi" w:cstheme="minorHAnsi"/>
                <w:sz w:val="22"/>
                <w:szCs w:val="22"/>
              </w:rPr>
              <w:t xml:space="preserve">the </w:t>
            </w:r>
            <w:r w:rsidRPr="007A73BC">
              <w:rPr>
                <w:rFonts w:asciiTheme="minorHAnsi" w:hAnsiTheme="minorHAnsi" w:cstheme="minorHAnsi"/>
                <w:sz w:val="22"/>
                <w:szCs w:val="22"/>
              </w:rPr>
              <w:t>opportunity</w:t>
            </w:r>
          </w:p>
          <w:p w14:paraId="0B8F014C" w14:textId="7C3CA22C" w:rsidR="007A73BC" w:rsidRDefault="007A73BC" w:rsidP="00DB5ED6">
            <w:pPr>
              <w:pStyle w:val="ListParagraph"/>
              <w:numPr>
                <w:ilvl w:val="1"/>
                <w:numId w:val="39"/>
              </w:numPr>
              <w:spacing w:after="120" w:line="300" w:lineRule="exact"/>
              <w:rPr>
                <w:rFonts w:asciiTheme="minorHAnsi" w:hAnsiTheme="minorHAnsi" w:cstheme="minorHAnsi"/>
                <w:sz w:val="22"/>
                <w:szCs w:val="22"/>
              </w:rPr>
            </w:pPr>
            <w:r>
              <w:rPr>
                <w:rFonts w:asciiTheme="minorHAnsi" w:hAnsiTheme="minorHAnsi" w:cstheme="minorHAnsi"/>
                <w:sz w:val="22"/>
                <w:szCs w:val="22"/>
              </w:rPr>
              <w:t>T</w:t>
            </w:r>
            <w:r w:rsidRPr="007A73BC">
              <w:rPr>
                <w:rFonts w:asciiTheme="minorHAnsi" w:hAnsiTheme="minorHAnsi" w:cstheme="minorHAnsi"/>
                <w:sz w:val="22"/>
                <w:szCs w:val="22"/>
              </w:rPr>
              <w:t>he benefits of realising the opportunity on project Time, Quality and Cost</w:t>
            </w:r>
          </w:p>
          <w:p w14:paraId="3D267D94" w14:textId="1B13083E" w:rsidR="007A73BC" w:rsidRDefault="007A73BC" w:rsidP="00DB5ED6">
            <w:pPr>
              <w:pStyle w:val="ListParagraph"/>
              <w:numPr>
                <w:ilvl w:val="1"/>
                <w:numId w:val="39"/>
              </w:numPr>
              <w:spacing w:after="120" w:line="300" w:lineRule="exact"/>
              <w:rPr>
                <w:rFonts w:asciiTheme="minorHAnsi" w:hAnsiTheme="minorHAnsi" w:cstheme="minorHAnsi"/>
                <w:sz w:val="22"/>
                <w:szCs w:val="22"/>
              </w:rPr>
            </w:pPr>
            <w:r w:rsidRPr="007A73BC">
              <w:rPr>
                <w:rFonts w:asciiTheme="minorHAnsi" w:hAnsiTheme="minorHAnsi" w:cstheme="minorHAnsi"/>
                <w:sz w:val="22"/>
                <w:szCs w:val="22"/>
              </w:rPr>
              <w:t>Actions to be taken to support the opportunity being realised</w:t>
            </w:r>
          </w:p>
          <w:p w14:paraId="032A6652" w14:textId="2726B959" w:rsidR="009B088C" w:rsidRPr="009B088C" w:rsidRDefault="007A73BC" w:rsidP="00DB5ED6">
            <w:pPr>
              <w:pStyle w:val="ListParagraph"/>
              <w:numPr>
                <w:ilvl w:val="1"/>
                <w:numId w:val="39"/>
              </w:numPr>
              <w:spacing w:after="120" w:line="300" w:lineRule="exact"/>
              <w:rPr>
                <w:rFonts w:asciiTheme="minorHAnsi" w:hAnsiTheme="minorHAnsi" w:cstheme="minorHAnsi"/>
                <w:sz w:val="22"/>
                <w:szCs w:val="22"/>
              </w:rPr>
            </w:pPr>
            <w:r w:rsidRPr="007A73BC">
              <w:rPr>
                <w:rFonts w:asciiTheme="minorHAnsi" w:hAnsiTheme="minorHAnsi" w:cstheme="minorHAnsi"/>
                <w:sz w:val="22"/>
                <w:szCs w:val="22"/>
              </w:rPr>
              <w:t>Specific individual ultimately responsible for the opportunity</w:t>
            </w:r>
          </w:p>
          <w:p w14:paraId="0B5A0201" w14:textId="69B295D1" w:rsidR="00275F75" w:rsidRPr="00275F75" w:rsidRDefault="00275F75" w:rsidP="00275F75">
            <w:pPr>
              <w:spacing w:after="120" w:line="300" w:lineRule="exact"/>
              <w:rPr>
                <w:rFonts w:asciiTheme="minorHAnsi" w:hAnsiTheme="minorHAnsi" w:cstheme="minorHAnsi"/>
                <w:sz w:val="22"/>
                <w:szCs w:val="22"/>
              </w:rPr>
            </w:pPr>
            <w:r>
              <w:rPr>
                <w:rFonts w:asciiTheme="minorHAnsi" w:hAnsiTheme="minorHAnsi" w:cstheme="minorHAnsi"/>
                <w:sz w:val="22"/>
                <w:szCs w:val="22"/>
              </w:rPr>
              <w:t xml:space="preserve">Please note: </w:t>
            </w:r>
            <w:r w:rsidRPr="00275F75">
              <w:rPr>
                <w:rFonts w:asciiTheme="minorHAnsi" w:hAnsiTheme="minorHAnsi" w:cstheme="minorHAnsi"/>
                <w:sz w:val="22"/>
                <w:szCs w:val="22"/>
              </w:rPr>
              <w:t>Tenderers must not use their own template</w:t>
            </w:r>
            <w:r>
              <w:rPr>
                <w:rFonts w:asciiTheme="minorHAnsi" w:hAnsiTheme="minorHAnsi" w:cstheme="minorHAnsi"/>
                <w:sz w:val="22"/>
                <w:szCs w:val="22"/>
              </w:rPr>
              <w:t xml:space="preserve"> for this section.</w:t>
            </w:r>
          </w:p>
        </w:tc>
        <w:tc>
          <w:tcPr>
            <w:tcW w:w="8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91DF75" w14:textId="33258972" w:rsidR="00A54208" w:rsidRPr="006129F4" w:rsidRDefault="00442DA6" w:rsidP="00A54208">
            <w:pPr>
              <w:spacing w:after="120" w:line="300" w:lineRule="exact"/>
              <w:rPr>
                <w:rFonts w:asciiTheme="minorHAnsi" w:hAnsiTheme="minorHAnsi" w:cstheme="minorHAnsi"/>
                <w:sz w:val="22"/>
                <w:szCs w:val="22"/>
              </w:rPr>
            </w:pPr>
            <w:r>
              <w:rPr>
                <w:rFonts w:asciiTheme="minorHAnsi" w:hAnsiTheme="minorHAnsi" w:cstheme="minorHAnsi"/>
                <w:sz w:val="22"/>
                <w:szCs w:val="22"/>
              </w:rPr>
              <w:lastRenderedPageBreak/>
              <w:t>1</w:t>
            </w:r>
            <w:r w:rsidR="00F617E4">
              <w:rPr>
                <w:rFonts w:asciiTheme="minorHAnsi" w:hAnsiTheme="minorHAnsi" w:cstheme="minorHAnsi"/>
                <w:sz w:val="22"/>
                <w:szCs w:val="22"/>
              </w:rPr>
              <w:t>0</w:t>
            </w:r>
            <w:r w:rsidR="00A54208" w:rsidRPr="006129F4">
              <w:rPr>
                <w:rFonts w:asciiTheme="minorHAnsi" w:hAnsiTheme="minorHAnsi" w:cstheme="minorHAnsi"/>
                <w:sz w:val="22"/>
                <w:szCs w:val="22"/>
              </w:rPr>
              <w:t>%</w:t>
            </w:r>
          </w:p>
        </w:tc>
      </w:tr>
      <w:tr w:rsidR="00A54208" w:rsidRPr="00D65903" w14:paraId="521BBA53" w14:textId="77777777" w:rsidTr="003D0B9C">
        <w:trPr>
          <w:trHeight w:val="724"/>
          <w:jc w:val="center"/>
        </w:trPr>
        <w:tc>
          <w:tcPr>
            <w:tcW w:w="86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FDEAA2" w14:textId="2AD52933" w:rsidR="00A54208" w:rsidRPr="00D65903" w:rsidRDefault="00A54208" w:rsidP="00A54208">
            <w:pPr>
              <w:spacing w:after="120" w:line="300" w:lineRule="exact"/>
              <w:rPr>
                <w:rFonts w:asciiTheme="minorHAnsi" w:hAnsiTheme="minorHAnsi" w:cstheme="minorHAnsi"/>
                <w:sz w:val="22"/>
                <w:szCs w:val="22"/>
              </w:rPr>
            </w:pPr>
            <w:r w:rsidRPr="00D65903">
              <w:rPr>
                <w:rFonts w:asciiTheme="minorHAnsi" w:hAnsiTheme="minorHAnsi" w:cstheme="minorHAnsi"/>
                <w:b/>
                <w:sz w:val="22"/>
                <w:szCs w:val="22"/>
              </w:rPr>
              <w:t>W</w:t>
            </w:r>
            <w:r w:rsidR="00D35B11">
              <w:rPr>
                <w:rFonts w:asciiTheme="minorHAnsi" w:hAnsiTheme="minorHAnsi" w:cstheme="minorHAnsi"/>
                <w:b/>
                <w:sz w:val="22"/>
                <w:szCs w:val="22"/>
              </w:rPr>
              <w:t>6</w:t>
            </w:r>
            <w:r w:rsidRPr="00D65903">
              <w:rPr>
                <w:rFonts w:asciiTheme="minorHAnsi" w:hAnsiTheme="minorHAnsi" w:cstheme="minorHAnsi"/>
                <w:b/>
                <w:sz w:val="22"/>
                <w:szCs w:val="22"/>
              </w:rPr>
              <w:t xml:space="preserve"> </w:t>
            </w:r>
            <w:r w:rsidRPr="00D65903">
              <w:rPr>
                <w:rFonts w:asciiTheme="minorHAnsi" w:hAnsiTheme="minorHAnsi" w:cstheme="minorHAnsi"/>
                <w:sz w:val="22"/>
                <w:szCs w:val="22"/>
              </w:rPr>
              <w:t>Cost of project</w:t>
            </w:r>
          </w:p>
        </w:tc>
        <w:tc>
          <w:tcPr>
            <w:tcW w:w="33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7500BC" w14:textId="7066C877" w:rsidR="00A54208" w:rsidRDefault="00A54208" w:rsidP="00A54208">
            <w:pPr>
              <w:pStyle w:val="TableBodyLeft"/>
              <w:rPr>
                <w:rFonts w:asciiTheme="minorHAnsi" w:hAnsiTheme="minorHAnsi" w:cstheme="minorHAnsi"/>
              </w:rPr>
            </w:pPr>
            <w:r w:rsidRPr="00D65903">
              <w:rPr>
                <w:rFonts w:asciiTheme="minorHAnsi" w:hAnsiTheme="minorHAnsi" w:cstheme="minorHAnsi"/>
              </w:rPr>
              <w:t>Tenderers should</w:t>
            </w:r>
            <w:r>
              <w:rPr>
                <w:rFonts w:asciiTheme="minorHAnsi" w:hAnsiTheme="minorHAnsi" w:cstheme="minorHAnsi"/>
              </w:rPr>
              <w:t xml:space="preserve"> p</w:t>
            </w:r>
            <w:r w:rsidRPr="00A076CC">
              <w:rPr>
                <w:rFonts w:asciiTheme="minorHAnsi" w:hAnsiTheme="minorHAnsi" w:cstheme="minorHAnsi"/>
              </w:rPr>
              <w:t>rovide a fixed cost for the project and the associated cost break down.</w:t>
            </w:r>
          </w:p>
          <w:p w14:paraId="32256874" w14:textId="77777777" w:rsidR="00A54208" w:rsidRDefault="00A54208" w:rsidP="00A54208">
            <w:pPr>
              <w:pStyle w:val="TableBodyLeft"/>
              <w:rPr>
                <w:rFonts w:asciiTheme="minorHAnsi" w:hAnsiTheme="minorHAnsi" w:cstheme="minorHAnsi"/>
              </w:rPr>
            </w:pPr>
          </w:p>
          <w:p w14:paraId="266067E1" w14:textId="19DE9ED8" w:rsidR="00A54208" w:rsidRDefault="00A54208" w:rsidP="00A54208">
            <w:pPr>
              <w:spacing w:after="120" w:line="300" w:lineRule="exact"/>
              <w:rPr>
                <w:rFonts w:asciiTheme="minorHAnsi" w:hAnsiTheme="minorHAnsi" w:cstheme="minorHAnsi"/>
                <w:sz w:val="22"/>
                <w:szCs w:val="22"/>
              </w:rPr>
            </w:pPr>
            <w:r w:rsidRPr="00A076CC">
              <w:rPr>
                <w:rFonts w:asciiTheme="minorHAnsi" w:hAnsiTheme="minorHAnsi" w:cstheme="minorHAnsi"/>
                <w:sz w:val="22"/>
                <w:szCs w:val="22"/>
              </w:rPr>
              <w:t>The tender with the lowest total cost will receive 100% of the available weighted score (</w:t>
            </w:r>
            <w:r w:rsidR="009B088C">
              <w:rPr>
                <w:rFonts w:asciiTheme="minorHAnsi" w:hAnsiTheme="minorHAnsi" w:cstheme="minorHAnsi"/>
                <w:sz w:val="22"/>
                <w:szCs w:val="22"/>
              </w:rPr>
              <w:t>20</w:t>
            </w:r>
            <w:r w:rsidRPr="00A076CC">
              <w:rPr>
                <w:rFonts w:asciiTheme="minorHAnsi" w:hAnsiTheme="minorHAnsi" w:cstheme="minorHAnsi"/>
                <w:sz w:val="22"/>
                <w:szCs w:val="22"/>
              </w:rPr>
              <w:t>%).</w:t>
            </w:r>
            <w:r>
              <w:rPr>
                <w:rFonts w:asciiTheme="minorHAnsi" w:hAnsiTheme="minorHAnsi" w:cstheme="minorHAnsi"/>
                <w:sz w:val="22"/>
                <w:szCs w:val="22"/>
              </w:rPr>
              <w:t xml:space="preserve"> </w:t>
            </w:r>
            <w:r w:rsidRPr="00A076CC">
              <w:rPr>
                <w:rFonts w:asciiTheme="minorHAnsi" w:hAnsiTheme="minorHAnsi" w:cstheme="minorHAnsi"/>
                <w:sz w:val="22"/>
                <w:szCs w:val="22"/>
              </w:rPr>
              <w:t>Other tenderers will receive a pro-rated score relative to the lowest cost according to the following formula:</w:t>
            </w:r>
          </w:p>
          <w:p w14:paraId="219EAEC9" w14:textId="4CEC7564" w:rsidR="00A54208" w:rsidRPr="00A076CC" w:rsidRDefault="00A54208" w:rsidP="00DB5ED6">
            <w:pPr>
              <w:pStyle w:val="ListParagraph"/>
              <w:numPr>
                <w:ilvl w:val="0"/>
                <w:numId w:val="37"/>
              </w:numPr>
              <w:spacing w:after="120" w:line="300" w:lineRule="exact"/>
              <w:rPr>
                <w:rFonts w:asciiTheme="minorHAnsi" w:hAnsiTheme="minorHAnsi" w:cstheme="minorHAnsi"/>
                <w:sz w:val="22"/>
                <w:szCs w:val="22"/>
              </w:rPr>
            </w:pPr>
            <w:r w:rsidRPr="00A076CC">
              <w:rPr>
                <w:rFonts w:asciiTheme="minorHAnsi" w:hAnsiTheme="minorHAnsi" w:cstheme="minorHAnsi"/>
                <w:sz w:val="22"/>
                <w:szCs w:val="22"/>
              </w:rPr>
              <w:t xml:space="preserve">Score of other </w:t>
            </w:r>
            <w:proofErr w:type="gramStart"/>
            <w:r w:rsidRPr="00A076CC">
              <w:rPr>
                <w:rFonts w:asciiTheme="minorHAnsi" w:hAnsiTheme="minorHAnsi" w:cstheme="minorHAnsi"/>
                <w:sz w:val="22"/>
                <w:szCs w:val="22"/>
              </w:rPr>
              <w:t>tender</w:t>
            </w:r>
            <w:proofErr w:type="gramEnd"/>
            <w:r w:rsidRPr="00A076CC">
              <w:rPr>
                <w:rFonts w:asciiTheme="minorHAnsi" w:hAnsiTheme="minorHAnsi" w:cstheme="minorHAnsi"/>
                <w:sz w:val="22"/>
                <w:szCs w:val="22"/>
              </w:rPr>
              <w:t xml:space="preserve"> = lowest tender total cost / other tender total cost x 100%.</w:t>
            </w:r>
          </w:p>
        </w:tc>
        <w:tc>
          <w:tcPr>
            <w:tcW w:w="81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E757AE" w14:textId="41B99D7C" w:rsidR="00A54208" w:rsidRPr="00D65903" w:rsidRDefault="00442DA6" w:rsidP="00A54208">
            <w:pPr>
              <w:spacing w:after="120" w:line="300" w:lineRule="exact"/>
              <w:rPr>
                <w:rFonts w:asciiTheme="minorHAnsi" w:hAnsiTheme="minorHAnsi" w:cstheme="minorHAnsi"/>
                <w:sz w:val="22"/>
                <w:szCs w:val="22"/>
              </w:rPr>
            </w:pPr>
            <w:r>
              <w:rPr>
                <w:rFonts w:asciiTheme="minorHAnsi" w:hAnsiTheme="minorHAnsi" w:cstheme="minorHAnsi"/>
                <w:sz w:val="22"/>
                <w:szCs w:val="22"/>
              </w:rPr>
              <w:t>20</w:t>
            </w:r>
            <w:r w:rsidR="00A54208" w:rsidRPr="00D65903">
              <w:rPr>
                <w:rFonts w:asciiTheme="minorHAnsi" w:hAnsiTheme="minorHAnsi" w:cstheme="minorHAnsi"/>
                <w:sz w:val="22"/>
                <w:szCs w:val="22"/>
              </w:rPr>
              <w:t>%</w:t>
            </w:r>
          </w:p>
        </w:tc>
      </w:tr>
    </w:tbl>
    <w:p w14:paraId="0CC7F5C5" w14:textId="77777777" w:rsidR="00D65903" w:rsidRDefault="00D65903" w:rsidP="00D65903">
      <w:pPr>
        <w:jc w:val="center"/>
        <w:rPr>
          <w:lang w:eastAsia="en-GB"/>
        </w:rPr>
      </w:pPr>
    </w:p>
    <w:p w14:paraId="6E2C4474" w14:textId="7C7611E7" w:rsidR="008C0F69" w:rsidRPr="00D65903" w:rsidRDefault="008C0F69" w:rsidP="00D65903">
      <w:pPr>
        <w:tabs>
          <w:tab w:val="center" w:pos="6434"/>
        </w:tabs>
        <w:rPr>
          <w:lang w:eastAsia="en-GB"/>
        </w:rPr>
        <w:sectPr w:rsidR="008C0F69" w:rsidRPr="00D65903" w:rsidSect="008C0F69">
          <w:pgSz w:w="16838" w:h="11906" w:orient="landscape"/>
          <w:pgMar w:top="1985" w:right="1985" w:bottom="1985" w:left="1985" w:header="567" w:footer="567" w:gutter="0"/>
          <w:cols w:space="708"/>
          <w:docGrid w:linePitch="360"/>
        </w:sectPr>
      </w:pPr>
    </w:p>
    <w:p w14:paraId="334B17B1" w14:textId="361F03A6" w:rsidR="00032803" w:rsidRDefault="00032803" w:rsidP="00DB5ED6">
      <w:pPr>
        <w:pStyle w:val="Heading10"/>
        <w:keepNext/>
        <w:numPr>
          <w:ilvl w:val="0"/>
          <w:numId w:val="41"/>
        </w:numPr>
        <w:outlineLvl w:val="9"/>
        <w:rPr>
          <w:rFonts w:ascii="Calibri" w:hAnsi="Calibri"/>
        </w:rPr>
      </w:pPr>
      <w:r w:rsidRPr="00DD308D">
        <w:rPr>
          <w:rFonts w:ascii="Calibri" w:hAnsi="Calibri"/>
        </w:rPr>
        <w:lastRenderedPageBreak/>
        <w:t>Procurement timeline</w:t>
      </w:r>
    </w:p>
    <w:tbl>
      <w:tblPr>
        <w:tblStyle w:val="TableGrid"/>
        <w:tblW w:w="49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39"/>
        <w:gridCol w:w="2978"/>
      </w:tblGrid>
      <w:tr w:rsidR="0070097E" w:rsidRPr="0070097E" w14:paraId="344578DC" w14:textId="77777777" w:rsidTr="00875261">
        <w:trPr>
          <w:trHeight w:val="504"/>
        </w:trPr>
        <w:tc>
          <w:tcPr>
            <w:tcW w:w="3095" w:type="pct"/>
          </w:tcPr>
          <w:p w14:paraId="62D8BD63" w14:textId="77777777" w:rsidR="0070097E" w:rsidRPr="0070097E" w:rsidRDefault="0070097E" w:rsidP="00875261">
            <w:pPr>
              <w:spacing w:before="120" w:after="120"/>
              <w:rPr>
                <w:rFonts w:asciiTheme="minorHAnsi" w:hAnsiTheme="minorHAnsi" w:cstheme="minorHAnsi"/>
                <w:b/>
                <w:sz w:val="22"/>
                <w:szCs w:val="22"/>
              </w:rPr>
            </w:pPr>
          </w:p>
        </w:tc>
        <w:tc>
          <w:tcPr>
            <w:tcW w:w="1905" w:type="pct"/>
          </w:tcPr>
          <w:p w14:paraId="2FE661DF" w14:textId="77777777" w:rsidR="0070097E" w:rsidRPr="0070097E" w:rsidRDefault="0070097E" w:rsidP="00875261">
            <w:pPr>
              <w:spacing w:before="120" w:after="120"/>
              <w:jc w:val="center"/>
              <w:rPr>
                <w:rFonts w:asciiTheme="minorHAnsi" w:hAnsiTheme="minorHAnsi" w:cstheme="minorHAnsi"/>
                <w:b/>
                <w:sz w:val="22"/>
                <w:szCs w:val="22"/>
              </w:rPr>
            </w:pPr>
            <w:r w:rsidRPr="0070097E">
              <w:rPr>
                <w:rFonts w:asciiTheme="minorHAnsi" w:hAnsiTheme="minorHAnsi" w:cstheme="minorHAnsi"/>
                <w:b/>
                <w:sz w:val="22"/>
                <w:szCs w:val="22"/>
              </w:rPr>
              <w:t>Start Date</w:t>
            </w:r>
          </w:p>
        </w:tc>
      </w:tr>
      <w:tr w:rsidR="0070097E" w:rsidRPr="0070097E" w14:paraId="5BE37C86" w14:textId="77777777" w:rsidTr="00875261">
        <w:trPr>
          <w:trHeight w:val="504"/>
        </w:trPr>
        <w:tc>
          <w:tcPr>
            <w:tcW w:w="3095" w:type="pct"/>
          </w:tcPr>
          <w:p w14:paraId="683A6962" w14:textId="52E00A52" w:rsidR="0070097E" w:rsidRPr="0070097E" w:rsidRDefault="0061343D" w:rsidP="00875261">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(Remote) </w:t>
            </w:r>
            <w:r w:rsidR="00381655">
              <w:rPr>
                <w:rFonts w:asciiTheme="minorHAnsi" w:hAnsiTheme="minorHAnsi" w:cstheme="minorHAnsi"/>
                <w:sz w:val="22"/>
                <w:szCs w:val="22"/>
              </w:rPr>
              <w:t>Supplier engagement meeting</w:t>
            </w:r>
          </w:p>
        </w:tc>
        <w:tc>
          <w:tcPr>
            <w:tcW w:w="1905" w:type="pct"/>
          </w:tcPr>
          <w:p w14:paraId="23E9D029" w14:textId="742ABB10" w:rsidR="0070097E" w:rsidRPr="0070097E" w:rsidRDefault="00470D96" w:rsidP="00875261">
            <w:pPr>
              <w:spacing w:before="120" w:after="120"/>
              <w:rPr>
                <w:rFonts w:asciiTheme="minorHAnsi" w:hAnsiTheme="minorHAnsi" w:cstheme="minorHAnsi"/>
                <w:sz w:val="22"/>
                <w:szCs w:val="22"/>
              </w:rPr>
            </w:pPr>
            <w:r>
              <w:rPr>
                <w:rFonts w:asciiTheme="minorHAnsi" w:hAnsiTheme="minorHAnsi" w:cstheme="minorHAnsi"/>
                <w:sz w:val="22"/>
                <w:szCs w:val="22"/>
              </w:rPr>
              <w:t>7 September 2020</w:t>
            </w:r>
          </w:p>
        </w:tc>
      </w:tr>
      <w:tr w:rsidR="0070097E" w:rsidRPr="0070097E" w14:paraId="3CA5C400" w14:textId="77777777" w:rsidTr="00875261">
        <w:trPr>
          <w:trHeight w:val="504"/>
        </w:trPr>
        <w:tc>
          <w:tcPr>
            <w:tcW w:w="3095" w:type="pct"/>
          </w:tcPr>
          <w:p w14:paraId="412D1365" w14:textId="444906B3" w:rsidR="0070097E" w:rsidRPr="0070097E" w:rsidRDefault="0070097E" w:rsidP="008640DE">
            <w:pPr>
              <w:spacing w:before="120" w:after="120"/>
              <w:rPr>
                <w:rFonts w:asciiTheme="minorHAnsi" w:hAnsiTheme="minorHAnsi" w:cstheme="minorHAnsi"/>
                <w:sz w:val="22"/>
                <w:szCs w:val="22"/>
              </w:rPr>
            </w:pPr>
            <w:r w:rsidRPr="0070097E">
              <w:rPr>
                <w:rFonts w:asciiTheme="minorHAnsi" w:hAnsiTheme="minorHAnsi" w:cstheme="minorHAnsi"/>
                <w:sz w:val="22"/>
                <w:szCs w:val="22"/>
              </w:rPr>
              <w:t xml:space="preserve">Request </w:t>
            </w:r>
            <w:r w:rsidRPr="00823829">
              <w:rPr>
                <w:rFonts w:asciiTheme="minorHAnsi" w:hAnsiTheme="minorHAnsi" w:cstheme="minorHAnsi"/>
                <w:sz w:val="22"/>
                <w:szCs w:val="22"/>
              </w:rPr>
              <w:t>for proposal issued</w:t>
            </w:r>
            <w:r w:rsidR="007E54C1" w:rsidRPr="00823829">
              <w:rPr>
                <w:rFonts w:asciiTheme="minorHAnsi" w:hAnsiTheme="minorHAnsi" w:cstheme="minorHAnsi"/>
                <w:sz w:val="22"/>
                <w:szCs w:val="22"/>
              </w:rPr>
              <w:t xml:space="preserve"> on </w:t>
            </w:r>
            <w:r w:rsidR="008640DE" w:rsidRPr="00823829">
              <w:rPr>
                <w:rFonts w:asciiTheme="minorHAnsi" w:hAnsiTheme="minorHAnsi" w:cstheme="minorHAnsi"/>
                <w:sz w:val="22"/>
                <w:szCs w:val="22"/>
              </w:rPr>
              <w:t>Delta</w:t>
            </w:r>
            <w:r w:rsidR="002E6EDC" w:rsidRPr="00823829">
              <w:rPr>
                <w:rFonts w:asciiTheme="minorHAnsi" w:hAnsiTheme="minorHAnsi" w:cstheme="minorHAnsi"/>
                <w:sz w:val="22"/>
                <w:szCs w:val="22"/>
              </w:rPr>
              <w:t xml:space="preserve"> eSourcing</w:t>
            </w:r>
          </w:p>
        </w:tc>
        <w:tc>
          <w:tcPr>
            <w:tcW w:w="1905" w:type="pct"/>
          </w:tcPr>
          <w:p w14:paraId="794DE70D" w14:textId="52B12E6C" w:rsidR="0070097E" w:rsidRPr="0070097E" w:rsidRDefault="00D91C4A" w:rsidP="00875261">
            <w:pPr>
              <w:spacing w:before="120" w:after="120"/>
              <w:rPr>
                <w:rFonts w:asciiTheme="minorHAnsi" w:hAnsiTheme="minorHAnsi" w:cstheme="minorHAnsi"/>
                <w:sz w:val="22"/>
                <w:szCs w:val="22"/>
              </w:rPr>
            </w:pPr>
            <w:r>
              <w:rPr>
                <w:rFonts w:asciiTheme="minorHAnsi" w:hAnsiTheme="minorHAnsi" w:cstheme="minorHAnsi"/>
                <w:sz w:val="22"/>
                <w:szCs w:val="22"/>
              </w:rPr>
              <w:t>18 September 2020</w:t>
            </w:r>
          </w:p>
        </w:tc>
      </w:tr>
      <w:tr w:rsidR="0070097E" w:rsidRPr="0070097E" w14:paraId="1A44BCF7" w14:textId="77777777" w:rsidTr="00875261">
        <w:trPr>
          <w:trHeight w:val="516"/>
        </w:trPr>
        <w:tc>
          <w:tcPr>
            <w:tcW w:w="3095" w:type="pct"/>
          </w:tcPr>
          <w:p w14:paraId="3E5D0B97" w14:textId="77777777" w:rsidR="0070097E" w:rsidRPr="0070097E" w:rsidRDefault="0070097E" w:rsidP="00875261">
            <w:pPr>
              <w:spacing w:before="120" w:after="120"/>
              <w:jc w:val="both"/>
              <w:rPr>
                <w:rFonts w:asciiTheme="minorHAnsi" w:hAnsiTheme="minorHAnsi" w:cstheme="minorHAnsi"/>
                <w:sz w:val="22"/>
                <w:szCs w:val="22"/>
              </w:rPr>
            </w:pPr>
            <w:r w:rsidRPr="0070097E">
              <w:rPr>
                <w:rFonts w:asciiTheme="minorHAnsi" w:hAnsiTheme="minorHAnsi" w:cstheme="minorHAnsi"/>
                <w:sz w:val="22"/>
                <w:szCs w:val="22"/>
              </w:rPr>
              <w:t xml:space="preserve">Supplier clarification questions deadline </w:t>
            </w:r>
          </w:p>
        </w:tc>
        <w:tc>
          <w:tcPr>
            <w:tcW w:w="1905" w:type="pct"/>
          </w:tcPr>
          <w:p w14:paraId="129286A9" w14:textId="0A505349" w:rsidR="0070097E" w:rsidRPr="0070097E" w:rsidRDefault="00C34414" w:rsidP="00875261">
            <w:pPr>
              <w:spacing w:before="120" w:after="120"/>
              <w:rPr>
                <w:rFonts w:asciiTheme="minorHAnsi" w:hAnsiTheme="minorHAnsi" w:cstheme="minorHAnsi"/>
                <w:sz w:val="22"/>
                <w:szCs w:val="22"/>
              </w:rPr>
            </w:pPr>
            <w:r>
              <w:rPr>
                <w:rFonts w:asciiTheme="minorHAnsi" w:hAnsiTheme="minorHAnsi" w:cstheme="minorHAnsi"/>
                <w:sz w:val="22"/>
                <w:szCs w:val="22"/>
              </w:rPr>
              <w:t>13 October</w:t>
            </w:r>
            <w:r w:rsidR="00390EF7">
              <w:rPr>
                <w:rFonts w:asciiTheme="minorHAnsi" w:hAnsiTheme="minorHAnsi" w:cstheme="minorHAnsi"/>
                <w:sz w:val="22"/>
                <w:szCs w:val="22"/>
              </w:rPr>
              <w:t xml:space="preserve"> 2020</w:t>
            </w:r>
            <w:r w:rsidR="0070097E" w:rsidRPr="0070097E">
              <w:rPr>
                <w:rFonts w:asciiTheme="minorHAnsi" w:hAnsiTheme="minorHAnsi" w:cstheme="minorHAnsi"/>
                <w:sz w:val="22"/>
                <w:szCs w:val="22"/>
              </w:rPr>
              <w:t xml:space="preserve">; </w:t>
            </w:r>
            <w:r w:rsidR="00390EF7">
              <w:rPr>
                <w:rFonts w:asciiTheme="minorHAnsi" w:hAnsiTheme="minorHAnsi" w:cstheme="minorHAnsi"/>
                <w:i/>
                <w:sz w:val="22"/>
                <w:szCs w:val="22"/>
              </w:rPr>
              <w:t>12:00</w:t>
            </w:r>
            <w:r w:rsidR="0070097E" w:rsidRPr="0070097E">
              <w:rPr>
                <w:rFonts w:asciiTheme="minorHAnsi" w:hAnsiTheme="minorHAnsi" w:cstheme="minorHAnsi"/>
                <w:sz w:val="22"/>
                <w:szCs w:val="22"/>
              </w:rPr>
              <w:t xml:space="preserve"> hours</w:t>
            </w:r>
          </w:p>
        </w:tc>
      </w:tr>
      <w:tr w:rsidR="0070097E" w:rsidRPr="0070097E" w14:paraId="72D1D1DA" w14:textId="77777777" w:rsidTr="00875261">
        <w:trPr>
          <w:trHeight w:val="280"/>
        </w:trPr>
        <w:tc>
          <w:tcPr>
            <w:tcW w:w="3095" w:type="pct"/>
          </w:tcPr>
          <w:p w14:paraId="5A1212B7" w14:textId="77777777" w:rsidR="0070097E" w:rsidRPr="0070097E" w:rsidRDefault="0070097E" w:rsidP="00875261">
            <w:pPr>
              <w:spacing w:before="120" w:after="120"/>
              <w:jc w:val="both"/>
              <w:rPr>
                <w:rFonts w:asciiTheme="minorHAnsi" w:hAnsiTheme="minorHAnsi" w:cstheme="minorHAnsi"/>
                <w:b/>
                <w:color w:val="FF0000"/>
                <w:sz w:val="22"/>
                <w:szCs w:val="22"/>
              </w:rPr>
            </w:pPr>
            <w:r w:rsidRPr="00CD6DDA">
              <w:rPr>
                <w:rFonts w:asciiTheme="minorHAnsi" w:hAnsiTheme="minorHAnsi" w:cstheme="minorHAnsi"/>
                <w:b/>
                <w:sz w:val="22"/>
                <w:szCs w:val="22"/>
              </w:rPr>
              <w:t xml:space="preserve">Deadline for Submitting </w:t>
            </w:r>
            <w:r w:rsidR="007B6028" w:rsidRPr="00CD6DDA">
              <w:rPr>
                <w:rFonts w:asciiTheme="minorHAnsi" w:hAnsiTheme="minorHAnsi" w:cstheme="minorHAnsi"/>
                <w:b/>
                <w:sz w:val="22"/>
                <w:szCs w:val="22"/>
              </w:rPr>
              <w:t>t</w:t>
            </w:r>
            <w:r w:rsidRPr="00CD6DDA">
              <w:rPr>
                <w:rFonts w:asciiTheme="minorHAnsi" w:hAnsiTheme="minorHAnsi" w:cstheme="minorHAnsi"/>
                <w:b/>
                <w:sz w:val="22"/>
                <w:szCs w:val="22"/>
              </w:rPr>
              <w:t>enders</w:t>
            </w:r>
          </w:p>
        </w:tc>
        <w:tc>
          <w:tcPr>
            <w:tcW w:w="1905" w:type="pct"/>
          </w:tcPr>
          <w:p w14:paraId="0264DF29" w14:textId="3DC73FF1" w:rsidR="0070097E" w:rsidRPr="0070097E" w:rsidRDefault="00C34414" w:rsidP="00875261">
            <w:pPr>
              <w:spacing w:before="120" w:after="120"/>
              <w:rPr>
                <w:rFonts w:asciiTheme="minorHAnsi" w:hAnsiTheme="minorHAnsi" w:cstheme="minorHAnsi"/>
                <w:b/>
                <w:color w:val="FF0000"/>
                <w:sz w:val="22"/>
                <w:szCs w:val="22"/>
              </w:rPr>
            </w:pPr>
            <w:r>
              <w:rPr>
                <w:rFonts w:asciiTheme="minorHAnsi" w:hAnsiTheme="minorHAnsi" w:cstheme="minorHAnsi"/>
                <w:b/>
                <w:color w:val="FF0000"/>
                <w:sz w:val="22"/>
                <w:szCs w:val="22"/>
                <w:lang w:val="en-US"/>
              </w:rPr>
              <w:t>1</w:t>
            </w:r>
            <w:r w:rsidR="00DB5A8E">
              <w:rPr>
                <w:rFonts w:asciiTheme="minorHAnsi" w:hAnsiTheme="minorHAnsi" w:cstheme="minorHAnsi"/>
                <w:b/>
                <w:color w:val="FF0000"/>
                <w:sz w:val="22"/>
                <w:szCs w:val="22"/>
                <w:lang w:val="en-US"/>
              </w:rPr>
              <w:t>9</w:t>
            </w:r>
            <w:r>
              <w:rPr>
                <w:rFonts w:asciiTheme="minorHAnsi" w:hAnsiTheme="minorHAnsi" w:cstheme="minorHAnsi"/>
                <w:b/>
                <w:color w:val="FF0000"/>
                <w:sz w:val="22"/>
                <w:szCs w:val="22"/>
                <w:lang w:val="en-US"/>
              </w:rPr>
              <w:t xml:space="preserve"> October</w:t>
            </w:r>
            <w:r w:rsidR="00390EF7">
              <w:rPr>
                <w:rFonts w:asciiTheme="minorHAnsi" w:hAnsiTheme="minorHAnsi" w:cstheme="minorHAnsi"/>
                <w:b/>
                <w:color w:val="FF0000"/>
                <w:sz w:val="22"/>
                <w:szCs w:val="22"/>
                <w:lang w:val="en-US"/>
              </w:rPr>
              <w:t xml:space="preserve"> 2020;</w:t>
            </w:r>
            <w:r w:rsidR="0070097E" w:rsidRPr="0070097E">
              <w:rPr>
                <w:rFonts w:asciiTheme="minorHAnsi" w:hAnsiTheme="minorHAnsi" w:cstheme="minorHAnsi"/>
                <w:b/>
                <w:color w:val="FF0000"/>
                <w:sz w:val="22"/>
                <w:szCs w:val="22"/>
              </w:rPr>
              <w:t xml:space="preserve"> </w:t>
            </w:r>
            <w:r w:rsidR="00390EF7">
              <w:rPr>
                <w:rFonts w:asciiTheme="minorHAnsi" w:hAnsiTheme="minorHAnsi" w:cstheme="minorHAnsi"/>
                <w:b/>
                <w:i/>
                <w:color w:val="FF0000"/>
                <w:sz w:val="22"/>
                <w:szCs w:val="22"/>
                <w:lang w:val="en-US"/>
              </w:rPr>
              <w:t xml:space="preserve">15:00 </w:t>
            </w:r>
            <w:r w:rsidR="0070097E" w:rsidRPr="0070097E">
              <w:rPr>
                <w:rFonts w:asciiTheme="minorHAnsi" w:hAnsiTheme="minorHAnsi" w:cstheme="minorHAnsi"/>
                <w:b/>
                <w:color w:val="FF0000"/>
                <w:sz w:val="22"/>
                <w:szCs w:val="22"/>
              </w:rPr>
              <w:t>hours</w:t>
            </w:r>
          </w:p>
        </w:tc>
      </w:tr>
      <w:tr w:rsidR="0070097E" w:rsidRPr="0070097E" w14:paraId="2B8C6B14" w14:textId="77777777" w:rsidTr="00875261">
        <w:trPr>
          <w:trHeight w:val="624"/>
        </w:trPr>
        <w:tc>
          <w:tcPr>
            <w:tcW w:w="3095" w:type="pct"/>
          </w:tcPr>
          <w:p w14:paraId="766C8D9B" w14:textId="4092EC66" w:rsidR="0070097E" w:rsidRPr="00CE480B" w:rsidRDefault="00CE480B" w:rsidP="00CE480B">
            <w:pPr>
              <w:spacing w:before="120" w:after="120"/>
              <w:rPr>
                <w:rFonts w:asciiTheme="minorHAnsi" w:hAnsiTheme="minorHAnsi" w:cstheme="minorHAnsi"/>
                <w:sz w:val="22"/>
                <w:szCs w:val="22"/>
                <w:highlight w:val="yellow"/>
              </w:rPr>
            </w:pPr>
            <w:r w:rsidRPr="00823829">
              <w:rPr>
                <w:rFonts w:asciiTheme="minorHAnsi" w:hAnsiTheme="minorHAnsi" w:cstheme="minorHAnsi"/>
                <w:sz w:val="22"/>
                <w:szCs w:val="22"/>
              </w:rPr>
              <w:t>Evaluation and moderation</w:t>
            </w:r>
          </w:p>
        </w:tc>
        <w:tc>
          <w:tcPr>
            <w:tcW w:w="1905" w:type="pct"/>
          </w:tcPr>
          <w:p w14:paraId="3D817C5A" w14:textId="6BC29C38" w:rsidR="0070097E" w:rsidRPr="0070097E" w:rsidRDefault="00F3682A" w:rsidP="00875261">
            <w:pPr>
              <w:spacing w:before="120" w:after="120"/>
              <w:rPr>
                <w:rFonts w:asciiTheme="minorHAnsi" w:hAnsiTheme="minorHAnsi" w:cstheme="minorHAnsi"/>
                <w:sz w:val="22"/>
                <w:szCs w:val="22"/>
              </w:rPr>
            </w:pPr>
            <w:r>
              <w:rPr>
                <w:rFonts w:asciiTheme="minorHAnsi" w:hAnsiTheme="minorHAnsi" w:cstheme="minorHAnsi"/>
                <w:sz w:val="22"/>
                <w:szCs w:val="22"/>
              </w:rPr>
              <w:t xml:space="preserve">30 </w:t>
            </w:r>
            <w:r w:rsidR="00235624">
              <w:rPr>
                <w:rFonts w:asciiTheme="minorHAnsi" w:hAnsiTheme="minorHAnsi" w:cstheme="minorHAnsi"/>
                <w:sz w:val="22"/>
                <w:szCs w:val="22"/>
              </w:rPr>
              <w:t>October 2020</w:t>
            </w:r>
          </w:p>
        </w:tc>
      </w:tr>
      <w:tr w:rsidR="0070097E" w:rsidRPr="0070097E" w14:paraId="77CCE763" w14:textId="77777777" w:rsidTr="00875261">
        <w:trPr>
          <w:trHeight w:val="504"/>
        </w:trPr>
        <w:tc>
          <w:tcPr>
            <w:tcW w:w="3095" w:type="pct"/>
          </w:tcPr>
          <w:p w14:paraId="44F4A4B3" w14:textId="77777777" w:rsidR="0070097E" w:rsidRPr="0070097E" w:rsidRDefault="0070097E" w:rsidP="00875261">
            <w:pPr>
              <w:spacing w:before="120" w:after="120"/>
              <w:jc w:val="both"/>
              <w:rPr>
                <w:rFonts w:asciiTheme="minorHAnsi" w:hAnsiTheme="minorHAnsi" w:cstheme="minorHAnsi"/>
                <w:sz w:val="22"/>
                <w:szCs w:val="22"/>
              </w:rPr>
            </w:pPr>
            <w:r w:rsidRPr="0070097E">
              <w:rPr>
                <w:rFonts w:asciiTheme="minorHAnsi" w:hAnsiTheme="minorHAnsi" w:cstheme="minorHAnsi"/>
                <w:sz w:val="22"/>
                <w:szCs w:val="22"/>
              </w:rPr>
              <w:t>Estimated notification of award decision</w:t>
            </w:r>
          </w:p>
        </w:tc>
        <w:tc>
          <w:tcPr>
            <w:tcW w:w="1905" w:type="pct"/>
          </w:tcPr>
          <w:p w14:paraId="785F36F9" w14:textId="7F2490BA" w:rsidR="0070097E" w:rsidRPr="0070097E" w:rsidRDefault="00F407A4" w:rsidP="00875261">
            <w:pPr>
              <w:spacing w:before="120" w:after="120"/>
              <w:rPr>
                <w:rFonts w:asciiTheme="minorHAnsi" w:hAnsiTheme="minorHAnsi" w:cstheme="minorHAnsi"/>
                <w:sz w:val="22"/>
                <w:szCs w:val="22"/>
              </w:rPr>
            </w:pPr>
            <w:r>
              <w:rPr>
                <w:rFonts w:asciiTheme="minorHAnsi" w:hAnsiTheme="minorHAnsi" w:cstheme="minorHAnsi"/>
                <w:sz w:val="22"/>
                <w:szCs w:val="22"/>
              </w:rPr>
              <w:t>13 November</w:t>
            </w:r>
            <w:r w:rsidR="00235624">
              <w:rPr>
                <w:rFonts w:asciiTheme="minorHAnsi" w:hAnsiTheme="minorHAnsi" w:cstheme="minorHAnsi"/>
                <w:sz w:val="22"/>
                <w:szCs w:val="22"/>
              </w:rPr>
              <w:t xml:space="preserve"> 2020</w:t>
            </w:r>
          </w:p>
        </w:tc>
      </w:tr>
      <w:tr w:rsidR="0070097E" w:rsidRPr="0070097E" w14:paraId="05923CE3" w14:textId="77777777" w:rsidTr="00875261">
        <w:trPr>
          <w:trHeight w:val="504"/>
        </w:trPr>
        <w:tc>
          <w:tcPr>
            <w:tcW w:w="3095" w:type="pct"/>
          </w:tcPr>
          <w:p w14:paraId="0AD5C7C4" w14:textId="77777777" w:rsidR="0070097E" w:rsidRPr="0070097E" w:rsidRDefault="0070097E" w:rsidP="00875261">
            <w:pPr>
              <w:spacing w:before="120" w:after="120"/>
              <w:jc w:val="both"/>
              <w:rPr>
                <w:rFonts w:asciiTheme="minorHAnsi" w:hAnsiTheme="minorHAnsi" w:cstheme="minorHAnsi"/>
                <w:sz w:val="22"/>
                <w:szCs w:val="22"/>
              </w:rPr>
            </w:pPr>
            <w:r w:rsidRPr="0070097E">
              <w:rPr>
                <w:rFonts w:asciiTheme="minorHAnsi" w:hAnsiTheme="minorHAnsi" w:cstheme="minorHAnsi"/>
                <w:sz w:val="22"/>
                <w:szCs w:val="22"/>
              </w:rPr>
              <w:t>Target contract commencement date</w:t>
            </w:r>
          </w:p>
        </w:tc>
        <w:tc>
          <w:tcPr>
            <w:tcW w:w="1905" w:type="pct"/>
          </w:tcPr>
          <w:p w14:paraId="465D54FD" w14:textId="7C18EC87" w:rsidR="0070097E" w:rsidRPr="0070097E" w:rsidRDefault="00F407A4" w:rsidP="00875261">
            <w:pPr>
              <w:spacing w:before="120" w:after="120"/>
              <w:rPr>
                <w:rFonts w:asciiTheme="minorHAnsi" w:hAnsiTheme="minorHAnsi" w:cstheme="minorHAnsi"/>
                <w:sz w:val="22"/>
                <w:szCs w:val="22"/>
              </w:rPr>
            </w:pPr>
            <w:r>
              <w:rPr>
                <w:rFonts w:asciiTheme="minorHAnsi" w:hAnsiTheme="minorHAnsi" w:cstheme="minorHAnsi"/>
                <w:sz w:val="22"/>
                <w:szCs w:val="22"/>
              </w:rPr>
              <w:t xml:space="preserve">27 </w:t>
            </w:r>
            <w:r w:rsidR="0079450E">
              <w:rPr>
                <w:rFonts w:asciiTheme="minorHAnsi" w:hAnsiTheme="minorHAnsi" w:cstheme="minorHAnsi"/>
                <w:sz w:val="22"/>
                <w:szCs w:val="22"/>
              </w:rPr>
              <w:t xml:space="preserve">November </w:t>
            </w:r>
            <w:r w:rsidR="00235624">
              <w:rPr>
                <w:rFonts w:asciiTheme="minorHAnsi" w:hAnsiTheme="minorHAnsi" w:cstheme="minorHAnsi"/>
                <w:sz w:val="22"/>
                <w:szCs w:val="22"/>
              </w:rPr>
              <w:t>2020</w:t>
            </w:r>
          </w:p>
        </w:tc>
      </w:tr>
    </w:tbl>
    <w:p w14:paraId="00B50F2A" w14:textId="3D62465D" w:rsidR="008B6D09" w:rsidRDefault="007226E6" w:rsidP="00143CB7">
      <w:pPr>
        <w:spacing w:after="120" w:line="300" w:lineRule="exact"/>
        <w:rPr>
          <w:rFonts w:ascii="Calibri" w:hAnsi="Calibri" w:cs="Calibri"/>
          <w:sz w:val="22"/>
          <w:szCs w:val="22"/>
          <w:lang w:eastAsia="en-GB"/>
        </w:rPr>
      </w:pPr>
      <w:r>
        <w:rPr>
          <w:rFonts w:ascii="Calibri" w:hAnsi="Calibri" w:cs="Calibri"/>
          <w:sz w:val="22"/>
          <w:szCs w:val="22"/>
          <w:lang w:eastAsia="en-GB"/>
        </w:rPr>
        <w:br/>
      </w:r>
      <w:r w:rsidR="008B6D09" w:rsidRPr="008B6D09">
        <w:rPr>
          <w:rFonts w:ascii="Calibri" w:hAnsi="Calibri" w:cs="Calibri"/>
          <w:sz w:val="22"/>
          <w:szCs w:val="22"/>
          <w:lang w:eastAsia="en-GB"/>
        </w:rPr>
        <w:t>Note: RSSB reserves the right to amend these dates as business requirements demand and will communicate any changes to tenderers.</w:t>
      </w:r>
    </w:p>
    <w:p w14:paraId="7E322497" w14:textId="64B2A7A5" w:rsidR="002D0375" w:rsidRDefault="002D0375" w:rsidP="00143CB7">
      <w:pPr>
        <w:spacing w:after="120" w:line="300" w:lineRule="exact"/>
        <w:rPr>
          <w:rFonts w:ascii="Calibri" w:hAnsi="Calibri" w:cs="Calibri"/>
          <w:sz w:val="22"/>
          <w:szCs w:val="22"/>
          <w:lang w:eastAsia="en-GB"/>
        </w:rPr>
      </w:pPr>
    </w:p>
    <w:p w14:paraId="34D64945" w14:textId="1BC5BE3A" w:rsidR="002D0375" w:rsidRDefault="002D0375" w:rsidP="00143CB7">
      <w:pPr>
        <w:spacing w:after="120" w:line="300" w:lineRule="exact"/>
        <w:rPr>
          <w:rFonts w:ascii="Calibri" w:hAnsi="Calibri" w:cs="Calibri"/>
          <w:sz w:val="22"/>
          <w:szCs w:val="22"/>
          <w:lang w:eastAsia="en-GB"/>
        </w:rPr>
      </w:pPr>
    </w:p>
    <w:p w14:paraId="0C1F689A" w14:textId="2BFC91E5" w:rsidR="002D0375" w:rsidRDefault="002D0375" w:rsidP="00143CB7">
      <w:pPr>
        <w:spacing w:after="120" w:line="300" w:lineRule="exact"/>
        <w:rPr>
          <w:rFonts w:ascii="Calibri" w:hAnsi="Calibri" w:cs="Calibri"/>
          <w:sz w:val="22"/>
          <w:szCs w:val="22"/>
          <w:lang w:eastAsia="en-GB"/>
        </w:rPr>
      </w:pPr>
    </w:p>
    <w:p w14:paraId="4C16ABE7" w14:textId="29DAC444" w:rsidR="002D0375" w:rsidRPr="0063429D" w:rsidRDefault="002D0375" w:rsidP="00143CB7">
      <w:pPr>
        <w:spacing w:after="120" w:line="300" w:lineRule="exact"/>
        <w:rPr>
          <w:sz w:val="20"/>
          <w:szCs w:val="20"/>
        </w:rPr>
      </w:pPr>
    </w:p>
    <w:sectPr w:rsidR="002D0375" w:rsidRPr="0063429D" w:rsidSect="00D26B62">
      <w:pgSz w:w="11906" w:h="16838"/>
      <w:pgMar w:top="1985" w:right="1985" w:bottom="1985"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BA3CE" w14:textId="77777777" w:rsidR="00634929" w:rsidRDefault="00634929" w:rsidP="0003785D">
      <w:r>
        <w:separator/>
      </w:r>
    </w:p>
  </w:endnote>
  <w:endnote w:type="continuationSeparator" w:id="0">
    <w:p w14:paraId="7A5D544E" w14:textId="77777777" w:rsidR="00634929" w:rsidRDefault="00634929"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9AF57" w14:textId="77777777" w:rsidR="00634929" w:rsidRDefault="00634929" w:rsidP="00674166">
    <w:pPr>
      <w:pStyle w:val="FooterLeft"/>
    </w:pPr>
    <w:r>
      <w:fldChar w:fldCharType="begin"/>
    </w:r>
    <w:r>
      <w:instrText xml:space="preserve"> PAGE   \* MERGEFORMAT </w:instrText>
    </w:r>
    <w:r>
      <w:fldChar w:fldCharType="separate"/>
    </w:r>
    <w:r>
      <w:rPr>
        <w:noProof/>
      </w:rPr>
      <w:t>24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D457D" w14:textId="155DD320" w:rsidR="00634929" w:rsidRDefault="00634929" w:rsidP="00032803">
    <w:pPr>
      <w:pStyle w:val="FooterRight"/>
      <w:jc w:val="left"/>
    </w:pPr>
    <w:r>
      <w:fldChar w:fldCharType="begin"/>
    </w:r>
    <w:r>
      <w:instrText xml:space="preserve"> PAGE   \* MERGEFORMAT </w:instrText>
    </w:r>
    <w:r>
      <w:fldChar w:fldCharType="separate"/>
    </w:r>
    <w:r>
      <w:rPr>
        <w:noProof/>
      </w:rPr>
      <w:t>23</w:t>
    </w:r>
    <w:r>
      <w:rPr>
        <w:noProof/>
      </w:rPr>
      <w:fldChar w:fldCharType="end"/>
    </w:r>
    <w:r>
      <w:rPr>
        <w:noProof/>
      </w:rPr>
      <w:tab/>
      <w:t xml:space="preserve">For </w:t>
    </w:r>
    <w:r w:rsidR="00CD0215">
      <w:rPr>
        <w:noProof/>
      </w:rPr>
      <w:t>external use</w:t>
    </w:r>
    <w:r>
      <w:rPr>
        <w:noProof/>
      </w:rPr>
      <w:tab/>
      <w:t>V0.</w:t>
    </w:r>
    <w:r w:rsidR="00CD0215">
      <w:rPr>
        <w:noProof/>
      </w:rPr>
      <w:t>5</w:t>
    </w:r>
    <w:r w:rsidRPr="006862E5">
      <w:rPr>
        <w:noProof/>
      </w:rPr>
      <w:t>,</w:t>
    </w:r>
    <w:r>
      <w:rPr>
        <w:noProof/>
      </w:rPr>
      <w:t xml:space="preserve"> </w:t>
    </w:r>
    <w:r w:rsidR="00CD0215">
      <w:rPr>
        <w:noProof/>
      </w:rPr>
      <w:t>24</w:t>
    </w:r>
    <w:r w:rsidR="00E51130">
      <w:rPr>
        <w:noProof/>
      </w:rPr>
      <w:t xml:space="preserve"> August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B49D9" w14:textId="77777777" w:rsidR="00634929" w:rsidRDefault="00634929" w:rsidP="0003785D">
      <w:r>
        <w:separator/>
      </w:r>
    </w:p>
  </w:footnote>
  <w:footnote w:type="continuationSeparator" w:id="0">
    <w:p w14:paraId="2A943FD7" w14:textId="77777777" w:rsidR="00634929" w:rsidRDefault="00634929" w:rsidP="0003785D">
      <w:r>
        <w:continuationSeparator/>
      </w:r>
    </w:p>
  </w:footnote>
  <w:footnote w:id="1">
    <w:p w14:paraId="41436C95" w14:textId="77777777" w:rsidR="00CD0215" w:rsidRPr="00C30735" w:rsidRDefault="00CD0215" w:rsidP="00CD0215">
      <w:pPr>
        <w:pStyle w:val="FootnoteText"/>
        <w:rPr>
          <w:rFonts w:asciiTheme="minorHAnsi" w:hAnsiTheme="minorHAnsi" w:cstheme="minorHAnsi"/>
        </w:rPr>
      </w:pPr>
      <w:r w:rsidRPr="00C30735">
        <w:rPr>
          <w:rStyle w:val="FootnoteReference"/>
          <w:rFonts w:asciiTheme="minorHAnsi" w:hAnsiTheme="minorHAnsi" w:cstheme="minorHAnsi"/>
        </w:rPr>
        <w:footnoteRef/>
      </w:r>
      <w:r w:rsidRPr="00C30735">
        <w:rPr>
          <w:rFonts w:asciiTheme="minorHAnsi" w:hAnsiTheme="minorHAnsi" w:cstheme="minorHAnsi"/>
        </w:rPr>
        <w:t xml:space="preserve"> Please note: RSSB does not currently have a dial-in functionality for Microsoft Teams, therefore attendees will need to either use a computer or smart phone to access the meeting</w:t>
      </w:r>
    </w:p>
  </w:footnote>
  <w:footnote w:id="2">
    <w:p w14:paraId="319DADA2" w14:textId="741D6655" w:rsidR="00577A93" w:rsidRPr="00577A93" w:rsidRDefault="00577A93">
      <w:pPr>
        <w:pStyle w:val="FootnoteText"/>
        <w:rPr>
          <w:rFonts w:asciiTheme="minorHAnsi" w:hAnsiTheme="minorHAnsi" w:cstheme="minorHAnsi"/>
        </w:rPr>
      </w:pPr>
      <w:r w:rsidRPr="00577A93">
        <w:rPr>
          <w:rStyle w:val="FootnoteReference"/>
          <w:rFonts w:asciiTheme="minorHAnsi" w:hAnsiTheme="minorHAnsi" w:cstheme="minorHAnsi"/>
        </w:rPr>
        <w:footnoteRef/>
      </w:r>
      <w:r w:rsidRPr="00577A93">
        <w:rPr>
          <w:rFonts w:asciiTheme="minorHAnsi" w:hAnsiTheme="minorHAnsi" w:cstheme="minorHAnsi"/>
        </w:rPr>
        <w:t xml:space="preserve"> For instance, consideration of sanded braking in defining guaranteed performance to signal systems</w:t>
      </w:r>
    </w:p>
  </w:footnote>
  <w:footnote w:id="3">
    <w:p w14:paraId="7FAFD165" w14:textId="77777777" w:rsidR="00F92562" w:rsidRPr="00BB5D71" w:rsidRDefault="00F92562" w:rsidP="00F92562">
      <w:pPr>
        <w:pStyle w:val="FootnoteText"/>
        <w:rPr>
          <w:rFonts w:asciiTheme="minorHAnsi" w:hAnsiTheme="minorHAnsi" w:cstheme="minorHAnsi"/>
        </w:rPr>
      </w:pPr>
      <w:r w:rsidRPr="003817B6">
        <w:rPr>
          <w:rStyle w:val="FootnoteReference"/>
          <w:rFonts w:asciiTheme="minorHAnsi" w:hAnsiTheme="minorHAnsi" w:cstheme="minorHAnsi"/>
        </w:rPr>
        <w:footnoteRef/>
      </w:r>
      <w:r w:rsidRPr="003817B6">
        <w:rPr>
          <w:rFonts w:asciiTheme="minorHAnsi" w:hAnsiTheme="minorHAnsi" w:cstheme="minorHAnsi"/>
        </w:rPr>
        <w:t xml:space="preserve"> An established methodology should be used. RSSB does not stipulate what methodology this </w:t>
      </w:r>
      <w:r w:rsidRPr="00BB5D71">
        <w:rPr>
          <w:rFonts w:asciiTheme="minorHAnsi" w:hAnsiTheme="minorHAnsi" w:cstheme="minorHAnsi"/>
        </w:rPr>
        <w:t>should be.</w:t>
      </w:r>
    </w:p>
  </w:footnote>
  <w:footnote w:id="4">
    <w:p w14:paraId="3D15CDF3" w14:textId="20AB355B" w:rsidR="00BB5D71" w:rsidRPr="00BB5D71" w:rsidRDefault="00BB5D71">
      <w:pPr>
        <w:pStyle w:val="FootnoteText"/>
        <w:rPr>
          <w:rFonts w:asciiTheme="minorHAnsi" w:hAnsiTheme="minorHAnsi" w:cstheme="minorHAnsi"/>
        </w:rPr>
      </w:pPr>
      <w:r w:rsidRPr="00BB5D71">
        <w:rPr>
          <w:rStyle w:val="FootnoteReference"/>
          <w:rFonts w:asciiTheme="minorHAnsi" w:hAnsiTheme="minorHAnsi" w:cstheme="minorHAnsi"/>
        </w:rPr>
        <w:footnoteRef/>
      </w:r>
      <w:r w:rsidRPr="00BB5D71">
        <w:rPr>
          <w:rFonts w:asciiTheme="minorHAnsi" w:hAnsiTheme="minorHAnsi" w:cstheme="minorHAnsi"/>
        </w:rPr>
        <w:t xml:space="preserve"> The research shall</w:t>
      </w:r>
      <w:r w:rsidR="00D73BDF">
        <w:rPr>
          <w:rFonts w:asciiTheme="minorHAnsi" w:hAnsiTheme="minorHAnsi" w:cstheme="minorHAnsi"/>
        </w:rPr>
        <w:t xml:space="preserve"> not evaluate the </w:t>
      </w:r>
      <w:r w:rsidR="00B50E6C">
        <w:rPr>
          <w:rFonts w:asciiTheme="minorHAnsi" w:hAnsiTheme="minorHAnsi" w:cstheme="minorHAnsi"/>
        </w:rPr>
        <w:t>wider consequences of a sanding system failure, for example platform overrun, signal passed at danger, etc.</w:t>
      </w:r>
      <w:r w:rsidR="00D73BDF">
        <w:rPr>
          <w:rFonts w:asciiTheme="minorHAnsi" w:hAnsiTheme="minorHAnsi" w:cstheme="minorHAnsi"/>
        </w:rPr>
        <w:t xml:space="preserve"> </w:t>
      </w:r>
    </w:p>
  </w:footnote>
  <w:footnote w:id="5">
    <w:p w14:paraId="5065D2FA" w14:textId="437032C4" w:rsidR="000424F0" w:rsidRPr="00BB5D71" w:rsidRDefault="000424F0">
      <w:pPr>
        <w:pStyle w:val="FootnoteText"/>
        <w:rPr>
          <w:rFonts w:asciiTheme="minorHAnsi" w:hAnsiTheme="minorHAnsi" w:cstheme="minorHAnsi"/>
        </w:rPr>
      </w:pPr>
      <w:r w:rsidRPr="00BB5D71">
        <w:rPr>
          <w:rStyle w:val="FootnoteReference"/>
          <w:rFonts w:asciiTheme="minorHAnsi" w:hAnsiTheme="minorHAnsi" w:cstheme="minorHAnsi"/>
        </w:rPr>
        <w:footnoteRef/>
      </w:r>
      <w:r w:rsidRPr="00BB5D71">
        <w:rPr>
          <w:rFonts w:asciiTheme="minorHAnsi" w:hAnsiTheme="minorHAnsi" w:cstheme="minorHAnsi"/>
        </w:rPr>
        <w:t xml:space="preserve"> No more than two case studies</w:t>
      </w:r>
    </w:p>
  </w:footnote>
  <w:footnote w:id="6">
    <w:p w14:paraId="67ED598B" w14:textId="0E690D33" w:rsidR="00634929" w:rsidRPr="00AD540F" w:rsidRDefault="00634929" w:rsidP="00F05640">
      <w:pPr>
        <w:pStyle w:val="FootnoteText"/>
        <w:rPr>
          <w:rFonts w:asciiTheme="minorHAnsi" w:hAnsiTheme="minorHAnsi" w:cstheme="minorHAnsi"/>
        </w:rPr>
      </w:pPr>
      <w:r w:rsidRPr="00BB5D71">
        <w:rPr>
          <w:rStyle w:val="FootnoteReference"/>
          <w:rFonts w:asciiTheme="minorHAnsi" w:hAnsiTheme="minorHAnsi" w:cstheme="minorHAnsi"/>
        </w:rPr>
        <w:footnoteRef/>
      </w:r>
      <w:r w:rsidRPr="00BB5D71">
        <w:rPr>
          <w:rFonts w:asciiTheme="minorHAnsi" w:hAnsiTheme="minorHAnsi" w:cstheme="minorHAnsi"/>
        </w:rPr>
        <w:t xml:space="preserve"> In case COVID-19 remains an ongoing risk</w:t>
      </w:r>
    </w:p>
  </w:footnote>
  <w:footnote w:id="7">
    <w:p w14:paraId="49234E85" w14:textId="1923E9F0" w:rsidR="00E15BFB" w:rsidRPr="00E15BFB" w:rsidRDefault="00E15BFB">
      <w:pPr>
        <w:pStyle w:val="FootnoteText"/>
        <w:rPr>
          <w:rFonts w:asciiTheme="minorHAnsi" w:hAnsiTheme="minorHAnsi" w:cstheme="minorHAnsi"/>
        </w:rPr>
      </w:pPr>
      <w:r w:rsidRPr="00E15BFB">
        <w:rPr>
          <w:rStyle w:val="FootnoteReference"/>
          <w:rFonts w:asciiTheme="minorHAnsi" w:hAnsiTheme="minorHAnsi" w:cstheme="minorHAnsi"/>
        </w:rPr>
        <w:footnoteRef/>
      </w:r>
      <w:r w:rsidRPr="00E15BFB">
        <w:rPr>
          <w:rFonts w:asciiTheme="minorHAnsi" w:hAnsiTheme="minorHAnsi" w:cstheme="minorHAnsi"/>
        </w:rPr>
        <w:t xml:space="preserve"> See deliverable ‘</w:t>
      </w:r>
      <w:r w:rsidR="0084430A" w:rsidRPr="0084430A">
        <w:rPr>
          <w:rFonts w:asciiTheme="minorHAnsi" w:hAnsiTheme="minorHAnsi" w:cstheme="minorHAnsi"/>
        </w:rPr>
        <w:t xml:space="preserve">Good practice guide for </w:t>
      </w:r>
      <w:r w:rsidR="00163C2B">
        <w:rPr>
          <w:rFonts w:asciiTheme="minorHAnsi" w:hAnsiTheme="minorHAnsi" w:cstheme="minorHAnsi"/>
        </w:rPr>
        <w:t xml:space="preserve">sander </w:t>
      </w:r>
      <w:r w:rsidR="0084430A" w:rsidRPr="0084430A">
        <w:rPr>
          <w:rFonts w:asciiTheme="minorHAnsi" w:hAnsiTheme="minorHAnsi" w:cstheme="minorHAnsi"/>
        </w:rPr>
        <w:t>design and maintenance</w:t>
      </w:r>
      <w:r w:rsidRPr="00E15BFB">
        <w:rPr>
          <w:rFonts w:asciiTheme="minorHAnsi" w:hAnsiTheme="minorHAnsi" w:cstheme="minorHAnsi"/>
        </w:rPr>
        <w:t>’</w:t>
      </w:r>
    </w:p>
  </w:footnote>
  <w:footnote w:id="8">
    <w:p w14:paraId="44F44B7C" w14:textId="77777777" w:rsidR="00634929" w:rsidRPr="00ED3A6B" w:rsidRDefault="00634929" w:rsidP="00A54208">
      <w:pPr>
        <w:pStyle w:val="FootnoteText"/>
        <w:spacing w:afterLines="60" w:after="144"/>
        <w:rPr>
          <w:rFonts w:asciiTheme="minorHAnsi" w:hAnsiTheme="minorHAnsi" w:cstheme="minorHAnsi"/>
        </w:rPr>
      </w:pPr>
      <w:r w:rsidRPr="00ED3A6B">
        <w:rPr>
          <w:rStyle w:val="FootnoteReference"/>
          <w:rFonts w:asciiTheme="minorHAnsi" w:hAnsiTheme="minorHAnsi" w:cstheme="minorHAnsi"/>
        </w:rPr>
        <w:footnoteRef/>
      </w:r>
      <w:r w:rsidRPr="00ED3A6B">
        <w:rPr>
          <w:rFonts w:asciiTheme="minorHAnsi" w:hAnsiTheme="minorHAnsi" w:cstheme="minorHAnsi"/>
        </w:rPr>
        <w:t xml:space="preserve"> </w:t>
      </w:r>
      <w:r>
        <w:rPr>
          <w:rFonts w:asciiTheme="minorHAnsi" w:hAnsiTheme="minorHAnsi" w:cstheme="minorHAnsi"/>
        </w:rPr>
        <w:t xml:space="preserve">For clarity, </w:t>
      </w:r>
      <w:r w:rsidRPr="00ED3A6B">
        <w:rPr>
          <w:rFonts w:asciiTheme="minorHAnsi" w:hAnsiTheme="minorHAnsi" w:cstheme="minorHAnsi"/>
        </w:rPr>
        <w:t>‘</w:t>
      </w:r>
      <w:r>
        <w:rPr>
          <w:rFonts w:asciiTheme="minorHAnsi" w:hAnsiTheme="minorHAnsi" w:cstheme="minorHAnsi"/>
        </w:rPr>
        <w:t>q</w:t>
      </w:r>
      <w:r w:rsidRPr="00ED3A6B">
        <w:rPr>
          <w:rFonts w:asciiTheme="minorHAnsi" w:hAnsiTheme="minorHAnsi" w:cstheme="minorHAnsi"/>
        </w:rPr>
        <w:t>uality’ is defined as the delivery of robust outputs that successfully meet the project’s objectives</w:t>
      </w:r>
    </w:p>
  </w:footnote>
  <w:footnote w:id="9">
    <w:p w14:paraId="6CA159B2" w14:textId="68463D82" w:rsidR="00634929" w:rsidRPr="00B16E1C" w:rsidRDefault="00634929" w:rsidP="006129F4">
      <w:pPr>
        <w:pStyle w:val="FootnoteText"/>
        <w:spacing w:afterLines="60" w:after="144"/>
        <w:rPr>
          <w:rFonts w:asciiTheme="minorHAnsi" w:hAnsiTheme="minorHAnsi" w:cstheme="minorHAnsi"/>
        </w:rPr>
      </w:pPr>
      <w:r w:rsidRPr="00B16E1C">
        <w:rPr>
          <w:rStyle w:val="FootnoteReference"/>
          <w:rFonts w:asciiTheme="minorHAnsi" w:hAnsiTheme="minorHAnsi" w:cstheme="minorHAnsi"/>
        </w:rPr>
        <w:footnoteRef/>
      </w:r>
      <w:r w:rsidRPr="00B16E1C">
        <w:rPr>
          <w:rFonts w:asciiTheme="minorHAnsi" w:hAnsiTheme="minorHAnsi" w:cstheme="minorHAnsi"/>
        </w:rPr>
        <w:t xml:space="preserve"> For clarity, ‘opportunities’ is defined as an upside beneficial source of risk</w:t>
      </w:r>
      <w:r>
        <w:rPr>
          <w:rFonts w:asciiTheme="minorHAnsi" w:hAnsiTheme="minorHAnsi" w:cstheme="minorHAnsi"/>
        </w:rPr>
        <w:t>, for instance, the ability to acquire further data, enabling more robust outputs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674D4" w14:textId="5892C803" w:rsidR="00634929" w:rsidRPr="0003785D" w:rsidRDefault="00634929" w:rsidP="0003785D">
    <w:pPr>
      <w:pStyle w:val="Image"/>
    </w:pPr>
    <w:r>
      <w:rPr>
        <w:noProof/>
      </w:rPr>
      <w:drawing>
        <wp:anchor distT="0" distB="0" distL="114300" distR="114300" simplePos="0" relativeHeight="251659264" behindDoc="0" locked="0" layoutInCell="1" allowOverlap="1" wp14:anchorId="12100B1C" wp14:editId="52C48E57">
          <wp:simplePos x="0" y="0"/>
          <wp:positionH relativeFrom="column">
            <wp:posOffset>4025900</wp:posOffset>
          </wp:positionH>
          <wp:positionV relativeFrom="paragraph">
            <wp:posOffset>-64770</wp:posOffset>
          </wp:positionV>
          <wp:extent cx="1864995" cy="57277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SSB_with-strapline-JPG-for-A4.jpg"/>
                  <pic:cNvPicPr/>
                </pic:nvPicPr>
                <pic:blipFill>
                  <a:blip r:embed="rId1">
                    <a:extLst>
                      <a:ext uri="{28A0092B-C50C-407E-A947-70E740481C1C}">
                        <a14:useLocalDpi xmlns:a14="http://schemas.microsoft.com/office/drawing/2010/main" val="0"/>
                      </a:ext>
                    </a:extLst>
                  </a:blip>
                  <a:stretch>
                    <a:fillRect/>
                  </a:stretch>
                </pic:blipFill>
                <pic:spPr>
                  <a:xfrm>
                    <a:off x="0" y="0"/>
                    <a:ext cx="1864995" cy="5727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917D4"/>
    <w:multiLevelType w:val="hybridMultilevel"/>
    <w:tmpl w:val="858835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A96946"/>
    <w:multiLevelType w:val="hybridMultilevel"/>
    <w:tmpl w:val="E0B2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655E69"/>
    <w:multiLevelType w:val="hybridMultilevel"/>
    <w:tmpl w:val="60528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7018CB"/>
    <w:multiLevelType w:val="hybridMultilevel"/>
    <w:tmpl w:val="99281F34"/>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7E5141"/>
    <w:multiLevelType w:val="hybridMultilevel"/>
    <w:tmpl w:val="0678A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E13396"/>
    <w:multiLevelType w:val="hybridMultilevel"/>
    <w:tmpl w:val="587E2B9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199D6338"/>
    <w:multiLevelType w:val="hybridMultilevel"/>
    <w:tmpl w:val="6D641BF6"/>
    <w:lvl w:ilvl="0" w:tplc="DED675F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960CD7"/>
    <w:multiLevelType w:val="hybridMultilevel"/>
    <w:tmpl w:val="7450AF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28EF177B"/>
    <w:multiLevelType w:val="hybridMultilevel"/>
    <w:tmpl w:val="1F543E58"/>
    <w:lvl w:ilvl="0" w:tplc="ABE64A6A">
      <w:start w:val="1"/>
      <w:numFmt w:val="lowerRoman"/>
      <w:pStyle w:val="Number3First"/>
      <w:lvlText w:val="%1)"/>
      <w:lvlJc w:val="left"/>
      <w:pPr>
        <w:ind w:left="1400" w:hanging="360"/>
      </w:pPr>
      <w:rPr>
        <w:rFonts w:ascii="Calibri" w:hAnsi="Calibri" w:hint="default"/>
        <w:b w:val="0"/>
        <w:i w:val="0"/>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5"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279186E"/>
    <w:multiLevelType w:val="hybridMultilevel"/>
    <w:tmpl w:val="EA0EA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864FFC"/>
    <w:multiLevelType w:val="hybridMultilevel"/>
    <w:tmpl w:val="8286F0D6"/>
    <w:lvl w:ilvl="0" w:tplc="37F4F3E0">
      <w:start w:val="6"/>
      <w:numFmt w:val="decimal"/>
      <w:lvlText w:val="%1."/>
      <w:lvlJc w:val="left"/>
      <w:pPr>
        <w:ind w:left="72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AE23A5"/>
    <w:multiLevelType w:val="hybridMultilevel"/>
    <w:tmpl w:val="543014B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EB624B"/>
    <w:multiLevelType w:val="hybridMultilevel"/>
    <w:tmpl w:val="C99E6AD2"/>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FC456C"/>
    <w:multiLevelType w:val="hybridMultilevel"/>
    <w:tmpl w:val="B4B042DA"/>
    <w:lvl w:ilvl="0" w:tplc="9D94BC20">
      <w:start w:val="1"/>
      <w:numFmt w:val="lowerLetter"/>
      <w:pStyle w:val="Number2First"/>
      <w:lvlText w:val="%1)"/>
      <w:lvlJc w:val="left"/>
      <w:pPr>
        <w:ind w:left="700" w:hanging="360"/>
      </w:pPr>
      <w:rPr>
        <w:rFonts w:hint="default"/>
        <w:b w:val="0"/>
        <w:i w:val="0"/>
        <w:sz w:val="22"/>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1" w15:restartNumberingAfterBreak="0">
    <w:nsid w:val="3E022468"/>
    <w:multiLevelType w:val="hybridMultilevel"/>
    <w:tmpl w:val="DE503C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4" w15:restartNumberingAfterBreak="0">
    <w:nsid w:val="4263066E"/>
    <w:multiLevelType w:val="hybridMultilevel"/>
    <w:tmpl w:val="B9BE578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5" w15:restartNumberingAfterBreak="0">
    <w:nsid w:val="4561592C"/>
    <w:multiLevelType w:val="hybridMultilevel"/>
    <w:tmpl w:val="80DE4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F3356A"/>
    <w:multiLevelType w:val="hybridMultilevel"/>
    <w:tmpl w:val="BF28F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7827ED6"/>
    <w:multiLevelType w:val="hybridMultilevel"/>
    <w:tmpl w:val="5D96B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C9112B"/>
    <w:multiLevelType w:val="hybridMultilevel"/>
    <w:tmpl w:val="92380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191CEE"/>
    <w:multiLevelType w:val="hybridMultilevel"/>
    <w:tmpl w:val="001465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C7147FA"/>
    <w:multiLevelType w:val="hybridMultilevel"/>
    <w:tmpl w:val="EC3AFB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8901B4"/>
    <w:multiLevelType w:val="hybridMultilevel"/>
    <w:tmpl w:val="EC8C5144"/>
    <w:lvl w:ilvl="0" w:tplc="C960F0E0">
      <w:start w:val="1"/>
      <w:numFmt w:val="decimal"/>
      <w:lvlText w:val="%1."/>
      <w:lvlJc w:val="left"/>
      <w:pPr>
        <w:ind w:left="720" w:hanging="360"/>
      </w:pPr>
      <w:rPr>
        <w:sz w:val="36"/>
        <w:szCs w:val="36"/>
      </w:rPr>
    </w:lvl>
    <w:lvl w:ilvl="1" w:tplc="C498A9DC">
      <w:start w:val="1"/>
      <w:numFmt w:val="decimal"/>
      <w:lvlText w:val="4.%2"/>
      <w:lvlJc w:val="left"/>
      <w:pPr>
        <w:ind w:left="1440" w:hanging="360"/>
      </w:pPr>
      <w:rPr>
        <w:rFonts w:asciiTheme="minorHAnsi" w:hAnsi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1380DE5"/>
    <w:multiLevelType w:val="hybridMultilevel"/>
    <w:tmpl w:val="69289602"/>
    <w:lvl w:ilvl="0" w:tplc="219819DE">
      <w:start w:val="1"/>
      <w:numFmt w:val="decimal"/>
      <w:pStyle w:val="Number1First"/>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32C0D2E"/>
    <w:multiLevelType w:val="hybridMultilevel"/>
    <w:tmpl w:val="7D1C29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3AD60E0"/>
    <w:multiLevelType w:val="hybridMultilevel"/>
    <w:tmpl w:val="5804E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42287B"/>
    <w:multiLevelType w:val="hybridMultilevel"/>
    <w:tmpl w:val="76C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7D073E"/>
    <w:multiLevelType w:val="hybridMultilevel"/>
    <w:tmpl w:val="2C260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9D6255"/>
    <w:multiLevelType w:val="multilevel"/>
    <w:tmpl w:val="2C2A9F8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40F5AA0"/>
    <w:multiLevelType w:val="hybridMultilevel"/>
    <w:tmpl w:val="95543FCC"/>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422C46"/>
    <w:multiLevelType w:val="hybridMultilevel"/>
    <w:tmpl w:val="59D4B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FA2DBA"/>
    <w:multiLevelType w:val="hybridMultilevel"/>
    <w:tmpl w:val="F4808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44"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46"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num w:numId="1">
    <w:abstractNumId w:val="2"/>
  </w:num>
  <w:num w:numId="2">
    <w:abstractNumId w:val="15"/>
  </w:num>
  <w:num w:numId="3">
    <w:abstractNumId w:val="12"/>
  </w:num>
  <w:num w:numId="4">
    <w:abstractNumId w:val="22"/>
  </w:num>
  <w:num w:numId="5">
    <w:abstractNumId w:val="44"/>
  </w:num>
  <w:num w:numId="6">
    <w:abstractNumId w:val="0"/>
  </w:num>
  <w:num w:numId="7">
    <w:abstractNumId w:val="45"/>
  </w:num>
  <w:num w:numId="8">
    <w:abstractNumId w:val="43"/>
  </w:num>
  <w:num w:numId="9">
    <w:abstractNumId w:val="1"/>
  </w:num>
  <w:num w:numId="10">
    <w:abstractNumId w:val="23"/>
  </w:num>
  <w:num w:numId="11">
    <w:abstractNumId w:val="47"/>
  </w:num>
  <w:num w:numId="12">
    <w:abstractNumId w:val="3"/>
  </w:num>
  <w:num w:numId="13">
    <w:abstractNumId w:val="46"/>
  </w:num>
  <w:num w:numId="14">
    <w:abstractNumId w:val="34"/>
  </w:num>
  <w:num w:numId="15">
    <w:abstractNumId w:val="31"/>
  </w:num>
  <w:num w:numId="16">
    <w:abstractNumId w:val="4"/>
  </w:num>
  <w:num w:numId="17">
    <w:abstractNumId w:val="40"/>
  </w:num>
  <w:num w:numId="18">
    <w:abstractNumId w:val="8"/>
  </w:num>
  <w:num w:numId="19">
    <w:abstractNumId w:val="18"/>
  </w:num>
  <w:num w:numId="20">
    <w:abstractNumId w:val="19"/>
  </w:num>
  <w:num w:numId="21">
    <w:abstractNumId w:val="33"/>
  </w:num>
  <w:num w:numId="22">
    <w:abstractNumId w:val="20"/>
  </w:num>
  <w:num w:numId="23">
    <w:abstractNumId w:val="14"/>
  </w:num>
  <w:num w:numId="24">
    <w:abstractNumId w:val="28"/>
  </w:num>
  <w:num w:numId="25">
    <w:abstractNumId w:val="27"/>
  </w:num>
  <w:num w:numId="26">
    <w:abstractNumId w:val="32"/>
  </w:num>
  <w:num w:numId="27">
    <w:abstractNumId w:val="11"/>
  </w:num>
  <w:num w:numId="28">
    <w:abstractNumId w:val="9"/>
  </w:num>
  <w:num w:numId="29">
    <w:abstractNumId w:val="21"/>
  </w:num>
  <w:num w:numId="30">
    <w:abstractNumId w:val="37"/>
  </w:num>
  <w:num w:numId="31">
    <w:abstractNumId w:val="42"/>
  </w:num>
  <w:num w:numId="32">
    <w:abstractNumId w:val="29"/>
  </w:num>
  <w:num w:numId="33">
    <w:abstractNumId w:val="13"/>
  </w:num>
  <w:num w:numId="34">
    <w:abstractNumId w:val="16"/>
  </w:num>
  <w:num w:numId="35">
    <w:abstractNumId w:val="36"/>
  </w:num>
  <w:num w:numId="36">
    <w:abstractNumId w:val="5"/>
  </w:num>
  <w:num w:numId="37">
    <w:abstractNumId w:val="38"/>
  </w:num>
  <w:num w:numId="38">
    <w:abstractNumId w:val="41"/>
  </w:num>
  <w:num w:numId="39">
    <w:abstractNumId w:val="7"/>
  </w:num>
  <w:num w:numId="40">
    <w:abstractNumId w:val="39"/>
  </w:num>
  <w:num w:numId="41">
    <w:abstractNumId w:val="17"/>
  </w:num>
  <w:num w:numId="42">
    <w:abstractNumId w:val="35"/>
  </w:num>
  <w:num w:numId="43">
    <w:abstractNumId w:val="6"/>
  </w:num>
  <w:num w:numId="44">
    <w:abstractNumId w:val="10"/>
  </w:num>
  <w:num w:numId="45">
    <w:abstractNumId w:val="25"/>
  </w:num>
  <w:num w:numId="4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24"/>
  </w:num>
  <w:num w:numId="50">
    <w:abstractNumId w:val="30"/>
  </w:num>
  <w:num w:numId="51">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QFSet/>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803"/>
    <w:rsid w:val="0000019E"/>
    <w:rsid w:val="00000F08"/>
    <w:rsid w:val="00000FCB"/>
    <w:rsid w:val="0000139D"/>
    <w:rsid w:val="000048BB"/>
    <w:rsid w:val="00004AB4"/>
    <w:rsid w:val="00005F35"/>
    <w:rsid w:val="00007301"/>
    <w:rsid w:val="000104EA"/>
    <w:rsid w:val="00011CB9"/>
    <w:rsid w:val="0001228D"/>
    <w:rsid w:val="00015F83"/>
    <w:rsid w:val="0001700E"/>
    <w:rsid w:val="000172D3"/>
    <w:rsid w:val="0002231C"/>
    <w:rsid w:val="0002245E"/>
    <w:rsid w:val="00023C66"/>
    <w:rsid w:val="00023DDF"/>
    <w:rsid w:val="000244E7"/>
    <w:rsid w:val="0002683E"/>
    <w:rsid w:val="00027D88"/>
    <w:rsid w:val="00031959"/>
    <w:rsid w:val="00031CEF"/>
    <w:rsid w:val="00032803"/>
    <w:rsid w:val="00036305"/>
    <w:rsid w:val="0003785D"/>
    <w:rsid w:val="00037C41"/>
    <w:rsid w:val="00040064"/>
    <w:rsid w:val="00040660"/>
    <w:rsid w:val="00040D14"/>
    <w:rsid w:val="000424F0"/>
    <w:rsid w:val="00042BB8"/>
    <w:rsid w:val="00045001"/>
    <w:rsid w:val="00045282"/>
    <w:rsid w:val="00045BE7"/>
    <w:rsid w:val="00045FC8"/>
    <w:rsid w:val="00046606"/>
    <w:rsid w:val="00047C3D"/>
    <w:rsid w:val="00050D31"/>
    <w:rsid w:val="0005122A"/>
    <w:rsid w:val="000519D2"/>
    <w:rsid w:val="00053C28"/>
    <w:rsid w:val="000545C4"/>
    <w:rsid w:val="00055E7F"/>
    <w:rsid w:val="00057A40"/>
    <w:rsid w:val="000600B0"/>
    <w:rsid w:val="00062711"/>
    <w:rsid w:val="0006478A"/>
    <w:rsid w:val="00064BD0"/>
    <w:rsid w:val="000657BF"/>
    <w:rsid w:val="00067440"/>
    <w:rsid w:val="00067A43"/>
    <w:rsid w:val="00070925"/>
    <w:rsid w:val="00070E06"/>
    <w:rsid w:val="0007177D"/>
    <w:rsid w:val="000751AD"/>
    <w:rsid w:val="00077D42"/>
    <w:rsid w:val="00080F1C"/>
    <w:rsid w:val="000847AF"/>
    <w:rsid w:val="00086711"/>
    <w:rsid w:val="000900AF"/>
    <w:rsid w:val="00091DF7"/>
    <w:rsid w:val="00093B9C"/>
    <w:rsid w:val="00095757"/>
    <w:rsid w:val="00095A03"/>
    <w:rsid w:val="00096479"/>
    <w:rsid w:val="000A04BD"/>
    <w:rsid w:val="000A15E7"/>
    <w:rsid w:val="000A1AA9"/>
    <w:rsid w:val="000A1B01"/>
    <w:rsid w:val="000A1E86"/>
    <w:rsid w:val="000A2D19"/>
    <w:rsid w:val="000A3709"/>
    <w:rsid w:val="000A4667"/>
    <w:rsid w:val="000A5057"/>
    <w:rsid w:val="000A7126"/>
    <w:rsid w:val="000A7430"/>
    <w:rsid w:val="000A7DAC"/>
    <w:rsid w:val="000B3445"/>
    <w:rsid w:val="000B3594"/>
    <w:rsid w:val="000B397F"/>
    <w:rsid w:val="000B3EC3"/>
    <w:rsid w:val="000B6F82"/>
    <w:rsid w:val="000C1C27"/>
    <w:rsid w:val="000C1CCC"/>
    <w:rsid w:val="000C2152"/>
    <w:rsid w:val="000C3D03"/>
    <w:rsid w:val="000D03D9"/>
    <w:rsid w:val="000D0A16"/>
    <w:rsid w:val="000D1933"/>
    <w:rsid w:val="000D1938"/>
    <w:rsid w:val="000D1A59"/>
    <w:rsid w:val="000D3F24"/>
    <w:rsid w:val="000D418C"/>
    <w:rsid w:val="000D6773"/>
    <w:rsid w:val="000D7E0F"/>
    <w:rsid w:val="000E1B11"/>
    <w:rsid w:val="000E2AA0"/>
    <w:rsid w:val="000E3973"/>
    <w:rsid w:val="000E5223"/>
    <w:rsid w:val="000E52F8"/>
    <w:rsid w:val="000F3413"/>
    <w:rsid w:val="000F46E4"/>
    <w:rsid w:val="000F4C25"/>
    <w:rsid w:val="001007D1"/>
    <w:rsid w:val="00100BAD"/>
    <w:rsid w:val="00103FDD"/>
    <w:rsid w:val="00105023"/>
    <w:rsid w:val="00105AA8"/>
    <w:rsid w:val="00106649"/>
    <w:rsid w:val="00112B0D"/>
    <w:rsid w:val="001145A1"/>
    <w:rsid w:val="00114D12"/>
    <w:rsid w:val="00116A88"/>
    <w:rsid w:val="001203BF"/>
    <w:rsid w:val="00121574"/>
    <w:rsid w:val="001217F7"/>
    <w:rsid w:val="00122840"/>
    <w:rsid w:val="00125064"/>
    <w:rsid w:val="00125DE1"/>
    <w:rsid w:val="001264DF"/>
    <w:rsid w:val="00134002"/>
    <w:rsid w:val="0013478B"/>
    <w:rsid w:val="00134A7B"/>
    <w:rsid w:val="00137827"/>
    <w:rsid w:val="00137998"/>
    <w:rsid w:val="0014030D"/>
    <w:rsid w:val="0014075C"/>
    <w:rsid w:val="00142B68"/>
    <w:rsid w:val="00143CB7"/>
    <w:rsid w:val="0014557C"/>
    <w:rsid w:val="001502F5"/>
    <w:rsid w:val="00152787"/>
    <w:rsid w:val="00152AD9"/>
    <w:rsid w:val="00152BBC"/>
    <w:rsid w:val="00155CBF"/>
    <w:rsid w:val="0015732D"/>
    <w:rsid w:val="00161FD9"/>
    <w:rsid w:val="001629B2"/>
    <w:rsid w:val="00163128"/>
    <w:rsid w:val="00163C2B"/>
    <w:rsid w:val="001640EB"/>
    <w:rsid w:val="00166007"/>
    <w:rsid w:val="00166182"/>
    <w:rsid w:val="00167865"/>
    <w:rsid w:val="0017053B"/>
    <w:rsid w:val="0017283E"/>
    <w:rsid w:val="0017286F"/>
    <w:rsid w:val="00172F10"/>
    <w:rsid w:val="00173170"/>
    <w:rsid w:val="00175769"/>
    <w:rsid w:val="00176DDD"/>
    <w:rsid w:val="00177EC5"/>
    <w:rsid w:val="001802BE"/>
    <w:rsid w:val="00180DB2"/>
    <w:rsid w:val="00182E52"/>
    <w:rsid w:val="001847A6"/>
    <w:rsid w:val="00184B6D"/>
    <w:rsid w:val="001907AE"/>
    <w:rsid w:val="00191D59"/>
    <w:rsid w:val="00197D47"/>
    <w:rsid w:val="001A2D42"/>
    <w:rsid w:val="001A74CF"/>
    <w:rsid w:val="001A763A"/>
    <w:rsid w:val="001B1224"/>
    <w:rsid w:val="001B18E2"/>
    <w:rsid w:val="001B367C"/>
    <w:rsid w:val="001B4560"/>
    <w:rsid w:val="001B5368"/>
    <w:rsid w:val="001B78A2"/>
    <w:rsid w:val="001B7C1B"/>
    <w:rsid w:val="001C0DF4"/>
    <w:rsid w:val="001C1509"/>
    <w:rsid w:val="001C2122"/>
    <w:rsid w:val="001C4B6E"/>
    <w:rsid w:val="001D0F8B"/>
    <w:rsid w:val="001D11EB"/>
    <w:rsid w:val="001D33E3"/>
    <w:rsid w:val="001D3898"/>
    <w:rsid w:val="001D4B6F"/>
    <w:rsid w:val="001D775D"/>
    <w:rsid w:val="001E146A"/>
    <w:rsid w:val="001E1B9F"/>
    <w:rsid w:val="001E3419"/>
    <w:rsid w:val="001E38A6"/>
    <w:rsid w:val="001E53FD"/>
    <w:rsid w:val="001E604B"/>
    <w:rsid w:val="001E6E1E"/>
    <w:rsid w:val="001E7912"/>
    <w:rsid w:val="001E7B04"/>
    <w:rsid w:val="001F22B3"/>
    <w:rsid w:val="001F2882"/>
    <w:rsid w:val="001F5871"/>
    <w:rsid w:val="001F5925"/>
    <w:rsid w:val="001F6223"/>
    <w:rsid w:val="001F7353"/>
    <w:rsid w:val="001F7840"/>
    <w:rsid w:val="001F7A6C"/>
    <w:rsid w:val="00201084"/>
    <w:rsid w:val="002015D7"/>
    <w:rsid w:val="0020199F"/>
    <w:rsid w:val="00202120"/>
    <w:rsid w:val="002026D1"/>
    <w:rsid w:val="00202F56"/>
    <w:rsid w:val="00202FFE"/>
    <w:rsid w:val="0020300A"/>
    <w:rsid w:val="002032C3"/>
    <w:rsid w:val="00206873"/>
    <w:rsid w:val="00207354"/>
    <w:rsid w:val="002102CD"/>
    <w:rsid w:val="002103AA"/>
    <w:rsid w:val="0021088A"/>
    <w:rsid w:val="0021092F"/>
    <w:rsid w:val="00211CA5"/>
    <w:rsid w:val="002123E6"/>
    <w:rsid w:val="002145C3"/>
    <w:rsid w:val="0021504D"/>
    <w:rsid w:val="002227F6"/>
    <w:rsid w:val="00222D2F"/>
    <w:rsid w:val="00222F75"/>
    <w:rsid w:val="00223ADE"/>
    <w:rsid w:val="002247C8"/>
    <w:rsid w:val="0022616B"/>
    <w:rsid w:val="002305B6"/>
    <w:rsid w:val="00230AA3"/>
    <w:rsid w:val="0023251B"/>
    <w:rsid w:val="002333DF"/>
    <w:rsid w:val="002345D7"/>
    <w:rsid w:val="002350CA"/>
    <w:rsid w:val="00235624"/>
    <w:rsid w:val="002401A8"/>
    <w:rsid w:val="002402CB"/>
    <w:rsid w:val="00241B1C"/>
    <w:rsid w:val="002426D4"/>
    <w:rsid w:val="00242AAD"/>
    <w:rsid w:val="00243C3A"/>
    <w:rsid w:val="0024671C"/>
    <w:rsid w:val="00246B2F"/>
    <w:rsid w:val="00247F4F"/>
    <w:rsid w:val="0025638D"/>
    <w:rsid w:val="002569DA"/>
    <w:rsid w:val="00256E7C"/>
    <w:rsid w:val="002628DD"/>
    <w:rsid w:val="00262EF4"/>
    <w:rsid w:val="00267C6F"/>
    <w:rsid w:val="00267F2D"/>
    <w:rsid w:val="00271D1D"/>
    <w:rsid w:val="00272E61"/>
    <w:rsid w:val="0027371E"/>
    <w:rsid w:val="00275AEF"/>
    <w:rsid w:val="00275F75"/>
    <w:rsid w:val="00277AF2"/>
    <w:rsid w:val="00280F6A"/>
    <w:rsid w:val="002866E3"/>
    <w:rsid w:val="00290D4D"/>
    <w:rsid w:val="00291087"/>
    <w:rsid w:val="002A0472"/>
    <w:rsid w:val="002A04C5"/>
    <w:rsid w:val="002A2A92"/>
    <w:rsid w:val="002A4FD2"/>
    <w:rsid w:val="002A6750"/>
    <w:rsid w:val="002A7F4D"/>
    <w:rsid w:val="002B06CD"/>
    <w:rsid w:val="002B09BD"/>
    <w:rsid w:val="002B2866"/>
    <w:rsid w:val="002B28E4"/>
    <w:rsid w:val="002B30F6"/>
    <w:rsid w:val="002B545D"/>
    <w:rsid w:val="002B7A89"/>
    <w:rsid w:val="002C2CFF"/>
    <w:rsid w:val="002C3A20"/>
    <w:rsid w:val="002C4DA9"/>
    <w:rsid w:val="002C7A2C"/>
    <w:rsid w:val="002D0375"/>
    <w:rsid w:val="002D0428"/>
    <w:rsid w:val="002D1406"/>
    <w:rsid w:val="002D2271"/>
    <w:rsid w:val="002D2E9C"/>
    <w:rsid w:val="002D2FA7"/>
    <w:rsid w:val="002D3F8D"/>
    <w:rsid w:val="002D477C"/>
    <w:rsid w:val="002D5374"/>
    <w:rsid w:val="002D5FF4"/>
    <w:rsid w:val="002E1E8B"/>
    <w:rsid w:val="002E2F7E"/>
    <w:rsid w:val="002E2FA5"/>
    <w:rsid w:val="002E5223"/>
    <w:rsid w:val="002E6DC7"/>
    <w:rsid w:val="002E6EDC"/>
    <w:rsid w:val="002F1070"/>
    <w:rsid w:val="002F1FAC"/>
    <w:rsid w:val="002F2093"/>
    <w:rsid w:val="002F2F6E"/>
    <w:rsid w:val="002F4D8E"/>
    <w:rsid w:val="002F5AA3"/>
    <w:rsid w:val="002F7A4A"/>
    <w:rsid w:val="00301677"/>
    <w:rsid w:val="003030E2"/>
    <w:rsid w:val="003040D2"/>
    <w:rsid w:val="00307AB8"/>
    <w:rsid w:val="00307C0E"/>
    <w:rsid w:val="00311017"/>
    <w:rsid w:val="003112E3"/>
    <w:rsid w:val="00311640"/>
    <w:rsid w:val="0031591E"/>
    <w:rsid w:val="00315B74"/>
    <w:rsid w:val="0031690D"/>
    <w:rsid w:val="00317651"/>
    <w:rsid w:val="00317F2B"/>
    <w:rsid w:val="00321152"/>
    <w:rsid w:val="003218DC"/>
    <w:rsid w:val="00323074"/>
    <w:rsid w:val="00324A79"/>
    <w:rsid w:val="00326011"/>
    <w:rsid w:val="00326CC6"/>
    <w:rsid w:val="00326D86"/>
    <w:rsid w:val="00327976"/>
    <w:rsid w:val="00330696"/>
    <w:rsid w:val="00330B81"/>
    <w:rsid w:val="00332581"/>
    <w:rsid w:val="00334BFE"/>
    <w:rsid w:val="00340C13"/>
    <w:rsid w:val="0034111B"/>
    <w:rsid w:val="00341334"/>
    <w:rsid w:val="00341FF4"/>
    <w:rsid w:val="003427E7"/>
    <w:rsid w:val="00342A2E"/>
    <w:rsid w:val="00346A9F"/>
    <w:rsid w:val="003476FE"/>
    <w:rsid w:val="00350CAC"/>
    <w:rsid w:val="003530CC"/>
    <w:rsid w:val="0035434B"/>
    <w:rsid w:val="0035436B"/>
    <w:rsid w:val="003577D4"/>
    <w:rsid w:val="00357863"/>
    <w:rsid w:val="00360B24"/>
    <w:rsid w:val="00362345"/>
    <w:rsid w:val="00364F56"/>
    <w:rsid w:val="00366EF9"/>
    <w:rsid w:val="00370B83"/>
    <w:rsid w:val="00373EBC"/>
    <w:rsid w:val="00374D3F"/>
    <w:rsid w:val="0037577B"/>
    <w:rsid w:val="003801C6"/>
    <w:rsid w:val="003801DB"/>
    <w:rsid w:val="00380F5A"/>
    <w:rsid w:val="00381655"/>
    <w:rsid w:val="003817B6"/>
    <w:rsid w:val="00382426"/>
    <w:rsid w:val="00385D51"/>
    <w:rsid w:val="00386BF8"/>
    <w:rsid w:val="00390EF7"/>
    <w:rsid w:val="0039240D"/>
    <w:rsid w:val="00392D19"/>
    <w:rsid w:val="00393DE4"/>
    <w:rsid w:val="00395222"/>
    <w:rsid w:val="00395624"/>
    <w:rsid w:val="003966C4"/>
    <w:rsid w:val="00396BCF"/>
    <w:rsid w:val="003973AF"/>
    <w:rsid w:val="00397AA2"/>
    <w:rsid w:val="003A07B0"/>
    <w:rsid w:val="003A3C81"/>
    <w:rsid w:val="003A3D27"/>
    <w:rsid w:val="003A463F"/>
    <w:rsid w:val="003A63C9"/>
    <w:rsid w:val="003A73A9"/>
    <w:rsid w:val="003A7892"/>
    <w:rsid w:val="003A7BD6"/>
    <w:rsid w:val="003B01F9"/>
    <w:rsid w:val="003B05EF"/>
    <w:rsid w:val="003B074C"/>
    <w:rsid w:val="003B4220"/>
    <w:rsid w:val="003B5726"/>
    <w:rsid w:val="003B62C9"/>
    <w:rsid w:val="003B662E"/>
    <w:rsid w:val="003B7775"/>
    <w:rsid w:val="003B7FC0"/>
    <w:rsid w:val="003C01DC"/>
    <w:rsid w:val="003C111F"/>
    <w:rsid w:val="003C1431"/>
    <w:rsid w:val="003C38C2"/>
    <w:rsid w:val="003C67CA"/>
    <w:rsid w:val="003C729F"/>
    <w:rsid w:val="003C7D93"/>
    <w:rsid w:val="003D0B9C"/>
    <w:rsid w:val="003D2F67"/>
    <w:rsid w:val="003D45F2"/>
    <w:rsid w:val="003D4B49"/>
    <w:rsid w:val="003D4D85"/>
    <w:rsid w:val="003D7038"/>
    <w:rsid w:val="003D77DC"/>
    <w:rsid w:val="003E14CF"/>
    <w:rsid w:val="003E20EF"/>
    <w:rsid w:val="003E26D7"/>
    <w:rsid w:val="003E2CD9"/>
    <w:rsid w:val="003E425C"/>
    <w:rsid w:val="003E4903"/>
    <w:rsid w:val="003E4C69"/>
    <w:rsid w:val="003E60E0"/>
    <w:rsid w:val="003E6342"/>
    <w:rsid w:val="003E728B"/>
    <w:rsid w:val="003F0294"/>
    <w:rsid w:val="003F1B1B"/>
    <w:rsid w:val="003F2584"/>
    <w:rsid w:val="003F30FD"/>
    <w:rsid w:val="003F4A30"/>
    <w:rsid w:val="003F4BC4"/>
    <w:rsid w:val="003F5D74"/>
    <w:rsid w:val="003F5EAA"/>
    <w:rsid w:val="003F6FCA"/>
    <w:rsid w:val="00400488"/>
    <w:rsid w:val="00402EE2"/>
    <w:rsid w:val="004030DE"/>
    <w:rsid w:val="004038A3"/>
    <w:rsid w:val="00403FD0"/>
    <w:rsid w:val="004045D0"/>
    <w:rsid w:val="00406150"/>
    <w:rsid w:val="00410F07"/>
    <w:rsid w:val="0041419B"/>
    <w:rsid w:val="00414879"/>
    <w:rsid w:val="00416132"/>
    <w:rsid w:val="004161CA"/>
    <w:rsid w:val="004163CF"/>
    <w:rsid w:val="00416982"/>
    <w:rsid w:val="00417B7B"/>
    <w:rsid w:val="00420962"/>
    <w:rsid w:val="004232B1"/>
    <w:rsid w:val="004236BB"/>
    <w:rsid w:val="004247B0"/>
    <w:rsid w:val="00425161"/>
    <w:rsid w:val="004264C0"/>
    <w:rsid w:val="00427D02"/>
    <w:rsid w:val="004306CA"/>
    <w:rsid w:val="00431664"/>
    <w:rsid w:val="00431A61"/>
    <w:rsid w:val="00431BF7"/>
    <w:rsid w:val="00433EAC"/>
    <w:rsid w:val="00436568"/>
    <w:rsid w:val="00436E27"/>
    <w:rsid w:val="00436F87"/>
    <w:rsid w:val="00440DEE"/>
    <w:rsid w:val="004413B0"/>
    <w:rsid w:val="00442865"/>
    <w:rsid w:val="00442C8E"/>
    <w:rsid w:val="00442DA6"/>
    <w:rsid w:val="00443F8E"/>
    <w:rsid w:val="00443FAF"/>
    <w:rsid w:val="0044412F"/>
    <w:rsid w:val="00446335"/>
    <w:rsid w:val="00447701"/>
    <w:rsid w:val="00450EB8"/>
    <w:rsid w:val="004525DB"/>
    <w:rsid w:val="00454596"/>
    <w:rsid w:val="00456204"/>
    <w:rsid w:val="0045692B"/>
    <w:rsid w:val="004604B4"/>
    <w:rsid w:val="004625AC"/>
    <w:rsid w:val="00463B4A"/>
    <w:rsid w:val="00463DCC"/>
    <w:rsid w:val="00465D24"/>
    <w:rsid w:val="004661A9"/>
    <w:rsid w:val="004664D7"/>
    <w:rsid w:val="004666E1"/>
    <w:rsid w:val="00467BA9"/>
    <w:rsid w:val="00470D96"/>
    <w:rsid w:val="004718E4"/>
    <w:rsid w:val="00473B74"/>
    <w:rsid w:val="00474BC4"/>
    <w:rsid w:val="00480814"/>
    <w:rsid w:val="0048109D"/>
    <w:rsid w:val="0048171A"/>
    <w:rsid w:val="00482230"/>
    <w:rsid w:val="0048358F"/>
    <w:rsid w:val="00483C4B"/>
    <w:rsid w:val="0048659A"/>
    <w:rsid w:val="0049010F"/>
    <w:rsid w:val="0049292B"/>
    <w:rsid w:val="00495925"/>
    <w:rsid w:val="004959BD"/>
    <w:rsid w:val="004A0C64"/>
    <w:rsid w:val="004A111C"/>
    <w:rsid w:val="004A3733"/>
    <w:rsid w:val="004A3787"/>
    <w:rsid w:val="004A3F70"/>
    <w:rsid w:val="004A4181"/>
    <w:rsid w:val="004B5C20"/>
    <w:rsid w:val="004B78FC"/>
    <w:rsid w:val="004B7BBB"/>
    <w:rsid w:val="004C4608"/>
    <w:rsid w:val="004C5344"/>
    <w:rsid w:val="004C59B1"/>
    <w:rsid w:val="004C5BAF"/>
    <w:rsid w:val="004C75A1"/>
    <w:rsid w:val="004D06B4"/>
    <w:rsid w:val="004D1829"/>
    <w:rsid w:val="004D2368"/>
    <w:rsid w:val="004D39AA"/>
    <w:rsid w:val="004D5CA0"/>
    <w:rsid w:val="004D7273"/>
    <w:rsid w:val="004E08B0"/>
    <w:rsid w:val="004E37B5"/>
    <w:rsid w:val="004E4A2C"/>
    <w:rsid w:val="004E4DC4"/>
    <w:rsid w:val="004E5CB1"/>
    <w:rsid w:val="004E658A"/>
    <w:rsid w:val="004F00A4"/>
    <w:rsid w:val="004F0353"/>
    <w:rsid w:val="004F0D95"/>
    <w:rsid w:val="004F6564"/>
    <w:rsid w:val="00502AC3"/>
    <w:rsid w:val="00503098"/>
    <w:rsid w:val="0050469F"/>
    <w:rsid w:val="005047AB"/>
    <w:rsid w:val="00505B2A"/>
    <w:rsid w:val="0050724D"/>
    <w:rsid w:val="0050796B"/>
    <w:rsid w:val="00507F0C"/>
    <w:rsid w:val="00507F80"/>
    <w:rsid w:val="00511D8D"/>
    <w:rsid w:val="00514402"/>
    <w:rsid w:val="00514C06"/>
    <w:rsid w:val="005150E3"/>
    <w:rsid w:val="00515103"/>
    <w:rsid w:val="005170FA"/>
    <w:rsid w:val="00517696"/>
    <w:rsid w:val="00523E0C"/>
    <w:rsid w:val="00523FDB"/>
    <w:rsid w:val="0052419C"/>
    <w:rsid w:val="0052436A"/>
    <w:rsid w:val="005302A4"/>
    <w:rsid w:val="00532D44"/>
    <w:rsid w:val="00532FAF"/>
    <w:rsid w:val="005349D0"/>
    <w:rsid w:val="00535C6B"/>
    <w:rsid w:val="0054035A"/>
    <w:rsid w:val="00542B93"/>
    <w:rsid w:val="00544785"/>
    <w:rsid w:val="00544FE5"/>
    <w:rsid w:val="00546361"/>
    <w:rsid w:val="00547F63"/>
    <w:rsid w:val="00553060"/>
    <w:rsid w:val="00553F77"/>
    <w:rsid w:val="0055621F"/>
    <w:rsid w:val="00556ED7"/>
    <w:rsid w:val="00556F79"/>
    <w:rsid w:val="00557610"/>
    <w:rsid w:val="0055795A"/>
    <w:rsid w:val="00560914"/>
    <w:rsid w:val="005636AE"/>
    <w:rsid w:val="0056428B"/>
    <w:rsid w:val="00565059"/>
    <w:rsid w:val="00570882"/>
    <w:rsid w:val="00571090"/>
    <w:rsid w:val="00573392"/>
    <w:rsid w:val="0057352C"/>
    <w:rsid w:val="00576B14"/>
    <w:rsid w:val="00577662"/>
    <w:rsid w:val="00577801"/>
    <w:rsid w:val="00577A93"/>
    <w:rsid w:val="00582678"/>
    <w:rsid w:val="00582A2C"/>
    <w:rsid w:val="00583EDD"/>
    <w:rsid w:val="005840D1"/>
    <w:rsid w:val="00585CFB"/>
    <w:rsid w:val="00585D12"/>
    <w:rsid w:val="00586A7A"/>
    <w:rsid w:val="0058708B"/>
    <w:rsid w:val="00587B6D"/>
    <w:rsid w:val="00587CCB"/>
    <w:rsid w:val="00587FD9"/>
    <w:rsid w:val="005920CD"/>
    <w:rsid w:val="00592C7C"/>
    <w:rsid w:val="005932C4"/>
    <w:rsid w:val="005948C7"/>
    <w:rsid w:val="00595EEE"/>
    <w:rsid w:val="00596790"/>
    <w:rsid w:val="005A0CC7"/>
    <w:rsid w:val="005A15A7"/>
    <w:rsid w:val="005A329D"/>
    <w:rsid w:val="005A499F"/>
    <w:rsid w:val="005A5DF5"/>
    <w:rsid w:val="005A6960"/>
    <w:rsid w:val="005A798E"/>
    <w:rsid w:val="005B0E60"/>
    <w:rsid w:val="005B1ED0"/>
    <w:rsid w:val="005B2A00"/>
    <w:rsid w:val="005B4DAE"/>
    <w:rsid w:val="005B7230"/>
    <w:rsid w:val="005B7B1F"/>
    <w:rsid w:val="005B7D3F"/>
    <w:rsid w:val="005C1DDB"/>
    <w:rsid w:val="005C2665"/>
    <w:rsid w:val="005C29B8"/>
    <w:rsid w:val="005C4E1F"/>
    <w:rsid w:val="005C62D0"/>
    <w:rsid w:val="005C67EF"/>
    <w:rsid w:val="005D0A52"/>
    <w:rsid w:val="005D21E3"/>
    <w:rsid w:val="005D262A"/>
    <w:rsid w:val="005D263C"/>
    <w:rsid w:val="005D339A"/>
    <w:rsid w:val="005D45C4"/>
    <w:rsid w:val="005D46FD"/>
    <w:rsid w:val="005D46FF"/>
    <w:rsid w:val="005D5C42"/>
    <w:rsid w:val="005D644D"/>
    <w:rsid w:val="005E0FA3"/>
    <w:rsid w:val="005E2482"/>
    <w:rsid w:val="005E3E30"/>
    <w:rsid w:val="005E448E"/>
    <w:rsid w:val="005E4B66"/>
    <w:rsid w:val="005E5055"/>
    <w:rsid w:val="005E525C"/>
    <w:rsid w:val="005E6B5A"/>
    <w:rsid w:val="005F1684"/>
    <w:rsid w:val="005F1D65"/>
    <w:rsid w:val="005F41FA"/>
    <w:rsid w:val="005F4C8A"/>
    <w:rsid w:val="005F4D9A"/>
    <w:rsid w:val="005F5FD4"/>
    <w:rsid w:val="005F6FBC"/>
    <w:rsid w:val="006007BE"/>
    <w:rsid w:val="006031A4"/>
    <w:rsid w:val="0060597B"/>
    <w:rsid w:val="006064FF"/>
    <w:rsid w:val="00610885"/>
    <w:rsid w:val="00610B0B"/>
    <w:rsid w:val="00610DB9"/>
    <w:rsid w:val="0061191F"/>
    <w:rsid w:val="006129F4"/>
    <w:rsid w:val="00612A0F"/>
    <w:rsid w:val="0061343D"/>
    <w:rsid w:val="006207AB"/>
    <w:rsid w:val="00620FA0"/>
    <w:rsid w:val="00621026"/>
    <w:rsid w:val="0062110D"/>
    <w:rsid w:val="00622787"/>
    <w:rsid w:val="00622A78"/>
    <w:rsid w:val="00625B03"/>
    <w:rsid w:val="00626A94"/>
    <w:rsid w:val="00631E89"/>
    <w:rsid w:val="00633998"/>
    <w:rsid w:val="0063429D"/>
    <w:rsid w:val="00634929"/>
    <w:rsid w:val="00635AE9"/>
    <w:rsid w:val="00637E2D"/>
    <w:rsid w:val="00640A11"/>
    <w:rsid w:val="0064262B"/>
    <w:rsid w:val="0064370B"/>
    <w:rsid w:val="00644405"/>
    <w:rsid w:val="006520E9"/>
    <w:rsid w:val="00652751"/>
    <w:rsid w:val="00656A5B"/>
    <w:rsid w:val="006578C7"/>
    <w:rsid w:val="00660984"/>
    <w:rsid w:val="00661BAE"/>
    <w:rsid w:val="00662679"/>
    <w:rsid w:val="00663105"/>
    <w:rsid w:val="006644A7"/>
    <w:rsid w:val="006645FA"/>
    <w:rsid w:val="00664AEA"/>
    <w:rsid w:val="00665D05"/>
    <w:rsid w:val="0066666A"/>
    <w:rsid w:val="006719F2"/>
    <w:rsid w:val="00674166"/>
    <w:rsid w:val="00676341"/>
    <w:rsid w:val="0067669F"/>
    <w:rsid w:val="00677B4C"/>
    <w:rsid w:val="00682092"/>
    <w:rsid w:val="00684BCD"/>
    <w:rsid w:val="0068523D"/>
    <w:rsid w:val="00685D1D"/>
    <w:rsid w:val="0068622C"/>
    <w:rsid w:val="006862E5"/>
    <w:rsid w:val="00687082"/>
    <w:rsid w:val="00687527"/>
    <w:rsid w:val="00694131"/>
    <w:rsid w:val="00696D1C"/>
    <w:rsid w:val="006A15C4"/>
    <w:rsid w:val="006A2A93"/>
    <w:rsid w:val="006A4AEC"/>
    <w:rsid w:val="006B0D09"/>
    <w:rsid w:val="006B1B60"/>
    <w:rsid w:val="006B4438"/>
    <w:rsid w:val="006B7269"/>
    <w:rsid w:val="006C04EA"/>
    <w:rsid w:val="006C1BA3"/>
    <w:rsid w:val="006C2F7C"/>
    <w:rsid w:val="006C76C3"/>
    <w:rsid w:val="006C7923"/>
    <w:rsid w:val="006D4779"/>
    <w:rsid w:val="006D4A18"/>
    <w:rsid w:val="006E215A"/>
    <w:rsid w:val="006E2708"/>
    <w:rsid w:val="006E348E"/>
    <w:rsid w:val="006E35B3"/>
    <w:rsid w:val="006E59D3"/>
    <w:rsid w:val="006E5B81"/>
    <w:rsid w:val="006E6437"/>
    <w:rsid w:val="006E69B3"/>
    <w:rsid w:val="006E7034"/>
    <w:rsid w:val="006E7F8F"/>
    <w:rsid w:val="006F0EBB"/>
    <w:rsid w:val="006F2886"/>
    <w:rsid w:val="006F2BBD"/>
    <w:rsid w:val="006F5237"/>
    <w:rsid w:val="0070097E"/>
    <w:rsid w:val="00704C7E"/>
    <w:rsid w:val="00705C85"/>
    <w:rsid w:val="00706259"/>
    <w:rsid w:val="007070D1"/>
    <w:rsid w:val="007078C5"/>
    <w:rsid w:val="00707D3A"/>
    <w:rsid w:val="00711531"/>
    <w:rsid w:val="00712D3E"/>
    <w:rsid w:val="00715EDF"/>
    <w:rsid w:val="0071601A"/>
    <w:rsid w:val="007167B6"/>
    <w:rsid w:val="00720811"/>
    <w:rsid w:val="00720865"/>
    <w:rsid w:val="007226E6"/>
    <w:rsid w:val="00723934"/>
    <w:rsid w:val="00724B56"/>
    <w:rsid w:val="00726449"/>
    <w:rsid w:val="007279F4"/>
    <w:rsid w:val="00727F38"/>
    <w:rsid w:val="00731B8D"/>
    <w:rsid w:val="0073373A"/>
    <w:rsid w:val="007350A2"/>
    <w:rsid w:val="0073567C"/>
    <w:rsid w:val="00737E41"/>
    <w:rsid w:val="0074071F"/>
    <w:rsid w:val="00740722"/>
    <w:rsid w:val="00741332"/>
    <w:rsid w:val="007418BE"/>
    <w:rsid w:val="007419E2"/>
    <w:rsid w:val="00742526"/>
    <w:rsid w:val="00742F2A"/>
    <w:rsid w:val="0074556C"/>
    <w:rsid w:val="007458AB"/>
    <w:rsid w:val="00746C68"/>
    <w:rsid w:val="007501A1"/>
    <w:rsid w:val="00750268"/>
    <w:rsid w:val="007511AE"/>
    <w:rsid w:val="00751879"/>
    <w:rsid w:val="007531C3"/>
    <w:rsid w:val="007536DC"/>
    <w:rsid w:val="00753CB0"/>
    <w:rsid w:val="0075464C"/>
    <w:rsid w:val="0075783D"/>
    <w:rsid w:val="00763C69"/>
    <w:rsid w:val="00765F67"/>
    <w:rsid w:val="00766BFC"/>
    <w:rsid w:val="00767018"/>
    <w:rsid w:val="00771231"/>
    <w:rsid w:val="0077434F"/>
    <w:rsid w:val="0077663C"/>
    <w:rsid w:val="00777FA6"/>
    <w:rsid w:val="007808E9"/>
    <w:rsid w:val="0078259B"/>
    <w:rsid w:val="007825CE"/>
    <w:rsid w:val="0078406D"/>
    <w:rsid w:val="00784994"/>
    <w:rsid w:val="007866E2"/>
    <w:rsid w:val="00786BEE"/>
    <w:rsid w:val="00792D09"/>
    <w:rsid w:val="00793CAE"/>
    <w:rsid w:val="0079450E"/>
    <w:rsid w:val="007961A0"/>
    <w:rsid w:val="0079747F"/>
    <w:rsid w:val="007A4309"/>
    <w:rsid w:val="007A6DDC"/>
    <w:rsid w:val="007A73BC"/>
    <w:rsid w:val="007B096E"/>
    <w:rsid w:val="007B4813"/>
    <w:rsid w:val="007B54B4"/>
    <w:rsid w:val="007B6028"/>
    <w:rsid w:val="007B7955"/>
    <w:rsid w:val="007C0176"/>
    <w:rsid w:val="007C4856"/>
    <w:rsid w:val="007C5EF0"/>
    <w:rsid w:val="007C61C6"/>
    <w:rsid w:val="007C6D8B"/>
    <w:rsid w:val="007C7171"/>
    <w:rsid w:val="007C7F1A"/>
    <w:rsid w:val="007D0976"/>
    <w:rsid w:val="007D1CB6"/>
    <w:rsid w:val="007D21C3"/>
    <w:rsid w:val="007D6211"/>
    <w:rsid w:val="007D658E"/>
    <w:rsid w:val="007D7BC6"/>
    <w:rsid w:val="007E1765"/>
    <w:rsid w:val="007E1E2F"/>
    <w:rsid w:val="007E4C0E"/>
    <w:rsid w:val="007E54C1"/>
    <w:rsid w:val="007E65B6"/>
    <w:rsid w:val="007F30D2"/>
    <w:rsid w:val="007F4A8B"/>
    <w:rsid w:val="007F70DE"/>
    <w:rsid w:val="00800619"/>
    <w:rsid w:val="00801DD1"/>
    <w:rsid w:val="00803876"/>
    <w:rsid w:val="008060E1"/>
    <w:rsid w:val="00806790"/>
    <w:rsid w:val="00811C66"/>
    <w:rsid w:val="008148E7"/>
    <w:rsid w:val="00815061"/>
    <w:rsid w:val="00815120"/>
    <w:rsid w:val="00816916"/>
    <w:rsid w:val="00817116"/>
    <w:rsid w:val="008174FD"/>
    <w:rsid w:val="00823507"/>
    <w:rsid w:val="00823829"/>
    <w:rsid w:val="00823C59"/>
    <w:rsid w:val="00824116"/>
    <w:rsid w:val="00825839"/>
    <w:rsid w:val="00826AC3"/>
    <w:rsid w:val="00826BD5"/>
    <w:rsid w:val="00830112"/>
    <w:rsid w:val="008310C6"/>
    <w:rsid w:val="00835EF2"/>
    <w:rsid w:val="00837438"/>
    <w:rsid w:val="00837C49"/>
    <w:rsid w:val="00842C62"/>
    <w:rsid w:val="00843B88"/>
    <w:rsid w:val="0084430A"/>
    <w:rsid w:val="00845F71"/>
    <w:rsid w:val="00846E9D"/>
    <w:rsid w:val="00850E49"/>
    <w:rsid w:val="00852708"/>
    <w:rsid w:val="00852A7E"/>
    <w:rsid w:val="00853AFA"/>
    <w:rsid w:val="0085447B"/>
    <w:rsid w:val="008553D5"/>
    <w:rsid w:val="00856404"/>
    <w:rsid w:val="008570C6"/>
    <w:rsid w:val="0085734D"/>
    <w:rsid w:val="008615CF"/>
    <w:rsid w:val="008640DE"/>
    <w:rsid w:val="008653E3"/>
    <w:rsid w:val="00865B53"/>
    <w:rsid w:val="00866DAA"/>
    <w:rsid w:val="00872D44"/>
    <w:rsid w:val="00874641"/>
    <w:rsid w:val="00874EEF"/>
    <w:rsid w:val="00875261"/>
    <w:rsid w:val="00883E88"/>
    <w:rsid w:val="00885406"/>
    <w:rsid w:val="00886909"/>
    <w:rsid w:val="00887F23"/>
    <w:rsid w:val="00891443"/>
    <w:rsid w:val="00893112"/>
    <w:rsid w:val="008931EC"/>
    <w:rsid w:val="0089484E"/>
    <w:rsid w:val="008951E4"/>
    <w:rsid w:val="00895AED"/>
    <w:rsid w:val="00896506"/>
    <w:rsid w:val="008972BA"/>
    <w:rsid w:val="008A09CC"/>
    <w:rsid w:val="008A0ED7"/>
    <w:rsid w:val="008A1954"/>
    <w:rsid w:val="008A252F"/>
    <w:rsid w:val="008A46D0"/>
    <w:rsid w:val="008A5564"/>
    <w:rsid w:val="008A5735"/>
    <w:rsid w:val="008A6F92"/>
    <w:rsid w:val="008A7B92"/>
    <w:rsid w:val="008A7DE9"/>
    <w:rsid w:val="008B027D"/>
    <w:rsid w:val="008B10D9"/>
    <w:rsid w:val="008B250E"/>
    <w:rsid w:val="008B272D"/>
    <w:rsid w:val="008B389E"/>
    <w:rsid w:val="008B475D"/>
    <w:rsid w:val="008B57D9"/>
    <w:rsid w:val="008B696F"/>
    <w:rsid w:val="008B6D09"/>
    <w:rsid w:val="008C0D85"/>
    <w:rsid w:val="008C0F62"/>
    <w:rsid w:val="008C0F69"/>
    <w:rsid w:val="008C25F2"/>
    <w:rsid w:val="008C28E2"/>
    <w:rsid w:val="008C298E"/>
    <w:rsid w:val="008C3A09"/>
    <w:rsid w:val="008C4EEF"/>
    <w:rsid w:val="008C5A70"/>
    <w:rsid w:val="008C5E9E"/>
    <w:rsid w:val="008D088D"/>
    <w:rsid w:val="008D263C"/>
    <w:rsid w:val="008D36B9"/>
    <w:rsid w:val="008D4416"/>
    <w:rsid w:val="008D510A"/>
    <w:rsid w:val="008E0B09"/>
    <w:rsid w:val="008E1537"/>
    <w:rsid w:val="008E2122"/>
    <w:rsid w:val="008E379A"/>
    <w:rsid w:val="008E7A2E"/>
    <w:rsid w:val="008F04B0"/>
    <w:rsid w:val="008F16D8"/>
    <w:rsid w:val="008F302F"/>
    <w:rsid w:val="008F6A1F"/>
    <w:rsid w:val="008F6D97"/>
    <w:rsid w:val="00901EB2"/>
    <w:rsid w:val="00902C68"/>
    <w:rsid w:val="00906A75"/>
    <w:rsid w:val="00906BA2"/>
    <w:rsid w:val="00907ABB"/>
    <w:rsid w:val="009104C9"/>
    <w:rsid w:val="00910B17"/>
    <w:rsid w:val="00912EE6"/>
    <w:rsid w:val="0091375D"/>
    <w:rsid w:val="009148AB"/>
    <w:rsid w:val="0091540C"/>
    <w:rsid w:val="0091569D"/>
    <w:rsid w:val="00915872"/>
    <w:rsid w:val="0091699E"/>
    <w:rsid w:val="00916E86"/>
    <w:rsid w:val="00917332"/>
    <w:rsid w:val="009176A0"/>
    <w:rsid w:val="009223D9"/>
    <w:rsid w:val="00923B5C"/>
    <w:rsid w:val="00925A1A"/>
    <w:rsid w:val="00926520"/>
    <w:rsid w:val="00927AD4"/>
    <w:rsid w:val="00927F3F"/>
    <w:rsid w:val="00930E00"/>
    <w:rsid w:val="00931E25"/>
    <w:rsid w:val="00933E15"/>
    <w:rsid w:val="00936D13"/>
    <w:rsid w:val="00937E3F"/>
    <w:rsid w:val="00941584"/>
    <w:rsid w:val="009439EB"/>
    <w:rsid w:val="009451EE"/>
    <w:rsid w:val="0095074C"/>
    <w:rsid w:val="00950C5E"/>
    <w:rsid w:val="00952118"/>
    <w:rsid w:val="0095236B"/>
    <w:rsid w:val="009538C2"/>
    <w:rsid w:val="009611DA"/>
    <w:rsid w:val="00961B2A"/>
    <w:rsid w:val="009632BF"/>
    <w:rsid w:val="009635C2"/>
    <w:rsid w:val="00964952"/>
    <w:rsid w:val="00964F8A"/>
    <w:rsid w:val="00965436"/>
    <w:rsid w:val="00965E00"/>
    <w:rsid w:val="009677D2"/>
    <w:rsid w:val="00967B84"/>
    <w:rsid w:val="00967C0C"/>
    <w:rsid w:val="00970190"/>
    <w:rsid w:val="00971DFA"/>
    <w:rsid w:val="0097446B"/>
    <w:rsid w:val="0097557B"/>
    <w:rsid w:val="00977A0A"/>
    <w:rsid w:val="009805FC"/>
    <w:rsid w:val="00980E6B"/>
    <w:rsid w:val="00982B93"/>
    <w:rsid w:val="009860CA"/>
    <w:rsid w:val="00986434"/>
    <w:rsid w:val="009874FA"/>
    <w:rsid w:val="00990BA6"/>
    <w:rsid w:val="00990DE7"/>
    <w:rsid w:val="00993A8A"/>
    <w:rsid w:val="00993AF9"/>
    <w:rsid w:val="009943F9"/>
    <w:rsid w:val="009963C6"/>
    <w:rsid w:val="00997AB6"/>
    <w:rsid w:val="00997CC6"/>
    <w:rsid w:val="009A0329"/>
    <w:rsid w:val="009A3B56"/>
    <w:rsid w:val="009A43CE"/>
    <w:rsid w:val="009A59F9"/>
    <w:rsid w:val="009A729E"/>
    <w:rsid w:val="009A76F8"/>
    <w:rsid w:val="009B0375"/>
    <w:rsid w:val="009B088C"/>
    <w:rsid w:val="009B21F8"/>
    <w:rsid w:val="009C3991"/>
    <w:rsid w:val="009C49D1"/>
    <w:rsid w:val="009C5395"/>
    <w:rsid w:val="009C55B0"/>
    <w:rsid w:val="009C5E5D"/>
    <w:rsid w:val="009C635A"/>
    <w:rsid w:val="009C66F7"/>
    <w:rsid w:val="009C6B96"/>
    <w:rsid w:val="009C781E"/>
    <w:rsid w:val="009C7BE1"/>
    <w:rsid w:val="009D159F"/>
    <w:rsid w:val="009D186B"/>
    <w:rsid w:val="009D19CA"/>
    <w:rsid w:val="009D27A8"/>
    <w:rsid w:val="009D299B"/>
    <w:rsid w:val="009D444C"/>
    <w:rsid w:val="009E1F97"/>
    <w:rsid w:val="009E27A3"/>
    <w:rsid w:val="009E3561"/>
    <w:rsid w:val="009E497E"/>
    <w:rsid w:val="009E5BF2"/>
    <w:rsid w:val="009F0474"/>
    <w:rsid w:val="009F1720"/>
    <w:rsid w:val="009F20F1"/>
    <w:rsid w:val="009F7987"/>
    <w:rsid w:val="00A0054B"/>
    <w:rsid w:val="00A02185"/>
    <w:rsid w:val="00A0736A"/>
    <w:rsid w:val="00A076CC"/>
    <w:rsid w:val="00A11FF1"/>
    <w:rsid w:val="00A12075"/>
    <w:rsid w:val="00A12089"/>
    <w:rsid w:val="00A1209F"/>
    <w:rsid w:val="00A121C4"/>
    <w:rsid w:val="00A15044"/>
    <w:rsid w:val="00A161AA"/>
    <w:rsid w:val="00A174B3"/>
    <w:rsid w:val="00A17B8B"/>
    <w:rsid w:val="00A20453"/>
    <w:rsid w:val="00A21A1D"/>
    <w:rsid w:val="00A24757"/>
    <w:rsid w:val="00A27B41"/>
    <w:rsid w:val="00A300C4"/>
    <w:rsid w:val="00A311CC"/>
    <w:rsid w:val="00A313B6"/>
    <w:rsid w:val="00A31D78"/>
    <w:rsid w:val="00A32E0D"/>
    <w:rsid w:val="00A32E86"/>
    <w:rsid w:val="00A3582E"/>
    <w:rsid w:val="00A41A7D"/>
    <w:rsid w:val="00A43021"/>
    <w:rsid w:val="00A51797"/>
    <w:rsid w:val="00A54208"/>
    <w:rsid w:val="00A544AB"/>
    <w:rsid w:val="00A55557"/>
    <w:rsid w:val="00A55716"/>
    <w:rsid w:val="00A608DB"/>
    <w:rsid w:val="00A6310B"/>
    <w:rsid w:val="00A64001"/>
    <w:rsid w:val="00A67F2B"/>
    <w:rsid w:val="00A71245"/>
    <w:rsid w:val="00A72A3C"/>
    <w:rsid w:val="00A735A9"/>
    <w:rsid w:val="00A749D2"/>
    <w:rsid w:val="00A76A3F"/>
    <w:rsid w:val="00A80DB7"/>
    <w:rsid w:val="00A81B3B"/>
    <w:rsid w:val="00A81B84"/>
    <w:rsid w:val="00A83C62"/>
    <w:rsid w:val="00A84106"/>
    <w:rsid w:val="00A84EDF"/>
    <w:rsid w:val="00A853E3"/>
    <w:rsid w:val="00A85B19"/>
    <w:rsid w:val="00A90396"/>
    <w:rsid w:val="00A90455"/>
    <w:rsid w:val="00A91977"/>
    <w:rsid w:val="00A91D84"/>
    <w:rsid w:val="00A92A2B"/>
    <w:rsid w:val="00A931A4"/>
    <w:rsid w:val="00A95432"/>
    <w:rsid w:val="00A96121"/>
    <w:rsid w:val="00A966ED"/>
    <w:rsid w:val="00AA076F"/>
    <w:rsid w:val="00AA223D"/>
    <w:rsid w:val="00AA40B1"/>
    <w:rsid w:val="00AA5D54"/>
    <w:rsid w:val="00AB46E7"/>
    <w:rsid w:val="00AB4B3A"/>
    <w:rsid w:val="00AB508F"/>
    <w:rsid w:val="00AB714A"/>
    <w:rsid w:val="00AB76FE"/>
    <w:rsid w:val="00AC2D6D"/>
    <w:rsid w:val="00AC39A2"/>
    <w:rsid w:val="00AC3D2F"/>
    <w:rsid w:val="00AC6DE9"/>
    <w:rsid w:val="00AC7464"/>
    <w:rsid w:val="00AC7B80"/>
    <w:rsid w:val="00AD08D0"/>
    <w:rsid w:val="00AD0B57"/>
    <w:rsid w:val="00AD2CCA"/>
    <w:rsid w:val="00AD562B"/>
    <w:rsid w:val="00AD69E0"/>
    <w:rsid w:val="00AD6F40"/>
    <w:rsid w:val="00AE0358"/>
    <w:rsid w:val="00AE1484"/>
    <w:rsid w:val="00AE28FC"/>
    <w:rsid w:val="00AE4430"/>
    <w:rsid w:val="00AE4751"/>
    <w:rsid w:val="00AE78A7"/>
    <w:rsid w:val="00AE7DF4"/>
    <w:rsid w:val="00AF06A6"/>
    <w:rsid w:val="00AF1724"/>
    <w:rsid w:val="00AF23D0"/>
    <w:rsid w:val="00AF37F8"/>
    <w:rsid w:val="00AF4253"/>
    <w:rsid w:val="00AF4BF3"/>
    <w:rsid w:val="00AF4C21"/>
    <w:rsid w:val="00AF5C12"/>
    <w:rsid w:val="00AF66F8"/>
    <w:rsid w:val="00AF6E72"/>
    <w:rsid w:val="00B00C4B"/>
    <w:rsid w:val="00B071CF"/>
    <w:rsid w:val="00B12295"/>
    <w:rsid w:val="00B12BE2"/>
    <w:rsid w:val="00B135B4"/>
    <w:rsid w:val="00B15403"/>
    <w:rsid w:val="00B1605F"/>
    <w:rsid w:val="00B16347"/>
    <w:rsid w:val="00B1743E"/>
    <w:rsid w:val="00B259D3"/>
    <w:rsid w:val="00B26DE9"/>
    <w:rsid w:val="00B278F8"/>
    <w:rsid w:val="00B30018"/>
    <w:rsid w:val="00B32575"/>
    <w:rsid w:val="00B332E8"/>
    <w:rsid w:val="00B34E30"/>
    <w:rsid w:val="00B35501"/>
    <w:rsid w:val="00B36F4E"/>
    <w:rsid w:val="00B461FA"/>
    <w:rsid w:val="00B46B35"/>
    <w:rsid w:val="00B47AF8"/>
    <w:rsid w:val="00B5008F"/>
    <w:rsid w:val="00B508A9"/>
    <w:rsid w:val="00B50E6C"/>
    <w:rsid w:val="00B51E73"/>
    <w:rsid w:val="00B52D93"/>
    <w:rsid w:val="00B53547"/>
    <w:rsid w:val="00B53BC6"/>
    <w:rsid w:val="00B54E70"/>
    <w:rsid w:val="00B55A28"/>
    <w:rsid w:val="00B564DB"/>
    <w:rsid w:val="00B61B0A"/>
    <w:rsid w:val="00B61D29"/>
    <w:rsid w:val="00B63CF2"/>
    <w:rsid w:val="00B66214"/>
    <w:rsid w:val="00B678DE"/>
    <w:rsid w:val="00B67DD8"/>
    <w:rsid w:val="00B72BA1"/>
    <w:rsid w:val="00B74DAC"/>
    <w:rsid w:val="00B75AB2"/>
    <w:rsid w:val="00B75FD0"/>
    <w:rsid w:val="00B80119"/>
    <w:rsid w:val="00B82724"/>
    <w:rsid w:val="00B84487"/>
    <w:rsid w:val="00B84F90"/>
    <w:rsid w:val="00B86B8A"/>
    <w:rsid w:val="00B928F8"/>
    <w:rsid w:val="00B94964"/>
    <w:rsid w:val="00B94EDA"/>
    <w:rsid w:val="00B94F2E"/>
    <w:rsid w:val="00B95ACC"/>
    <w:rsid w:val="00B96369"/>
    <w:rsid w:val="00B9637C"/>
    <w:rsid w:val="00B96F81"/>
    <w:rsid w:val="00B97B90"/>
    <w:rsid w:val="00B97E4B"/>
    <w:rsid w:val="00BA0948"/>
    <w:rsid w:val="00BA15D8"/>
    <w:rsid w:val="00BA2D0A"/>
    <w:rsid w:val="00BA32D4"/>
    <w:rsid w:val="00BA341D"/>
    <w:rsid w:val="00BA3690"/>
    <w:rsid w:val="00BA3FA9"/>
    <w:rsid w:val="00BA41BC"/>
    <w:rsid w:val="00BA4CB4"/>
    <w:rsid w:val="00BA4D29"/>
    <w:rsid w:val="00BA5291"/>
    <w:rsid w:val="00BA6807"/>
    <w:rsid w:val="00BA6FB0"/>
    <w:rsid w:val="00BB001D"/>
    <w:rsid w:val="00BB09E5"/>
    <w:rsid w:val="00BB1800"/>
    <w:rsid w:val="00BB36B4"/>
    <w:rsid w:val="00BB37E9"/>
    <w:rsid w:val="00BB53BE"/>
    <w:rsid w:val="00BB54EE"/>
    <w:rsid w:val="00BB5D71"/>
    <w:rsid w:val="00BB6A34"/>
    <w:rsid w:val="00BB745C"/>
    <w:rsid w:val="00BC31A4"/>
    <w:rsid w:val="00BC4A4D"/>
    <w:rsid w:val="00BC66B3"/>
    <w:rsid w:val="00BD0C83"/>
    <w:rsid w:val="00BD0F5D"/>
    <w:rsid w:val="00BD2DBB"/>
    <w:rsid w:val="00BD311E"/>
    <w:rsid w:val="00BD4051"/>
    <w:rsid w:val="00BD701E"/>
    <w:rsid w:val="00BD7BA6"/>
    <w:rsid w:val="00BE0091"/>
    <w:rsid w:val="00BE04A4"/>
    <w:rsid w:val="00BE0E6B"/>
    <w:rsid w:val="00BE0E8A"/>
    <w:rsid w:val="00BE1D34"/>
    <w:rsid w:val="00BE1E36"/>
    <w:rsid w:val="00BE2D72"/>
    <w:rsid w:val="00BE30BD"/>
    <w:rsid w:val="00BE3883"/>
    <w:rsid w:val="00BE38C8"/>
    <w:rsid w:val="00BE3E8E"/>
    <w:rsid w:val="00BE7205"/>
    <w:rsid w:val="00BE78E3"/>
    <w:rsid w:val="00BF100B"/>
    <w:rsid w:val="00BF1853"/>
    <w:rsid w:val="00BF2730"/>
    <w:rsid w:val="00BF5C26"/>
    <w:rsid w:val="00BF600D"/>
    <w:rsid w:val="00BF6471"/>
    <w:rsid w:val="00BF6C8A"/>
    <w:rsid w:val="00BF6CF0"/>
    <w:rsid w:val="00BF6F7B"/>
    <w:rsid w:val="00BF74CE"/>
    <w:rsid w:val="00C00410"/>
    <w:rsid w:val="00C00DB2"/>
    <w:rsid w:val="00C02E73"/>
    <w:rsid w:val="00C06857"/>
    <w:rsid w:val="00C12194"/>
    <w:rsid w:val="00C13662"/>
    <w:rsid w:val="00C15913"/>
    <w:rsid w:val="00C210B9"/>
    <w:rsid w:val="00C225C1"/>
    <w:rsid w:val="00C23B34"/>
    <w:rsid w:val="00C25F44"/>
    <w:rsid w:val="00C26D57"/>
    <w:rsid w:val="00C3027A"/>
    <w:rsid w:val="00C31755"/>
    <w:rsid w:val="00C3183A"/>
    <w:rsid w:val="00C323AD"/>
    <w:rsid w:val="00C32F1E"/>
    <w:rsid w:val="00C341E0"/>
    <w:rsid w:val="00C34414"/>
    <w:rsid w:val="00C34CF2"/>
    <w:rsid w:val="00C35A99"/>
    <w:rsid w:val="00C3751F"/>
    <w:rsid w:val="00C404C4"/>
    <w:rsid w:val="00C411AA"/>
    <w:rsid w:val="00C4393D"/>
    <w:rsid w:val="00C43C61"/>
    <w:rsid w:val="00C443C8"/>
    <w:rsid w:val="00C45B1A"/>
    <w:rsid w:val="00C46670"/>
    <w:rsid w:val="00C47649"/>
    <w:rsid w:val="00C51133"/>
    <w:rsid w:val="00C514B3"/>
    <w:rsid w:val="00C51932"/>
    <w:rsid w:val="00C52001"/>
    <w:rsid w:val="00C5562F"/>
    <w:rsid w:val="00C621CC"/>
    <w:rsid w:val="00C62BAC"/>
    <w:rsid w:val="00C63020"/>
    <w:rsid w:val="00C63D1A"/>
    <w:rsid w:val="00C64DCA"/>
    <w:rsid w:val="00C7372C"/>
    <w:rsid w:val="00C744F0"/>
    <w:rsid w:val="00C75BFF"/>
    <w:rsid w:val="00C75C18"/>
    <w:rsid w:val="00C816F7"/>
    <w:rsid w:val="00C81DAE"/>
    <w:rsid w:val="00C82882"/>
    <w:rsid w:val="00C8304E"/>
    <w:rsid w:val="00C837A7"/>
    <w:rsid w:val="00C847A1"/>
    <w:rsid w:val="00C84EE8"/>
    <w:rsid w:val="00C869F9"/>
    <w:rsid w:val="00C94084"/>
    <w:rsid w:val="00C955E4"/>
    <w:rsid w:val="00C95956"/>
    <w:rsid w:val="00C95990"/>
    <w:rsid w:val="00CA4153"/>
    <w:rsid w:val="00CA5150"/>
    <w:rsid w:val="00CA5499"/>
    <w:rsid w:val="00CA5CDC"/>
    <w:rsid w:val="00CA73EA"/>
    <w:rsid w:val="00CA7DFA"/>
    <w:rsid w:val="00CB02FF"/>
    <w:rsid w:val="00CB0A50"/>
    <w:rsid w:val="00CB1050"/>
    <w:rsid w:val="00CB2123"/>
    <w:rsid w:val="00CB219F"/>
    <w:rsid w:val="00CB22EA"/>
    <w:rsid w:val="00CB304A"/>
    <w:rsid w:val="00CB60A5"/>
    <w:rsid w:val="00CC0375"/>
    <w:rsid w:val="00CC197C"/>
    <w:rsid w:val="00CC2358"/>
    <w:rsid w:val="00CC2D16"/>
    <w:rsid w:val="00CC4271"/>
    <w:rsid w:val="00CC5A98"/>
    <w:rsid w:val="00CC64D4"/>
    <w:rsid w:val="00CD0215"/>
    <w:rsid w:val="00CD09B5"/>
    <w:rsid w:val="00CD2C70"/>
    <w:rsid w:val="00CD34E9"/>
    <w:rsid w:val="00CD6DDA"/>
    <w:rsid w:val="00CE1504"/>
    <w:rsid w:val="00CE1916"/>
    <w:rsid w:val="00CE328E"/>
    <w:rsid w:val="00CE3709"/>
    <w:rsid w:val="00CE3BCA"/>
    <w:rsid w:val="00CE434D"/>
    <w:rsid w:val="00CE480B"/>
    <w:rsid w:val="00CE4C48"/>
    <w:rsid w:val="00CE6067"/>
    <w:rsid w:val="00CE7AFA"/>
    <w:rsid w:val="00CF0BC4"/>
    <w:rsid w:val="00CF1AC8"/>
    <w:rsid w:val="00CF1BA9"/>
    <w:rsid w:val="00CF34BE"/>
    <w:rsid w:val="00CF599D"/>
    <w:rsid w:val="00CF7392"/>
    <w:rsid w:val="00CF769D"/>
    <w:rsid w:val="00D002F7"/>
    <w:rsid w:val="00D02A81"/>
    <w:rsid w:val="00D0489D"/>
    <w:rsid w:val="00D05C3C"/>
    <w:rsid w:val="00D06B14"/>
    <w:rsid w:val="00D10AAF"/>
    <w:rsid w:val="00D11754"/>
    <w:rsid w:val="00D1177A"/>
    <w:rsid w:val="00D12447"/>
    <w:rsid w:val="00D13175"/>
    <w:rsid w:val="00D137B0"/>
    <w:rsid w:val="00D13CF7"/>
    <w:rsid w:val="00D1535E"/>
    <w:rsid w:val="00D1550E"/>
    <w:rsid w:val="00D1751D"/>
    <w:rsid w:val="00D176DC"/>
    <w:rsid w:val="00D20BB7"/>
    <w:rsid w:val="00D217EB"/>
    <w:rsid w:val="00D22DB7"/>
    <w:rsid w:val="00D23A73"/>
    <w:rsid w:val="00D24882"/>
    <w:rsid w:val="00D24A34"/>
    <w:rsid w:val="00D26B62"/>
    <w:rsid w:val="00D27339"/>
    <w:rsid w:val="00D279FC"/>
    <w:rsid w:val="00D27AFB"/>
    <w:rsid w:val="00D30A16"/>
    <w:rsid w:val="00D3130F"/>
    <w:rsid w:val="00D31A5B"/>
    <w:rsid w:val="00D35B11"/>
    <w:rsid w:val="00D3670F"/>
    <w:rsid w:val="00D371CD"/>
    <w:rsid w:val="00D4103B"/>
    <w:rsid w:val="00D425EE"/>
    <w:rsid w:val="00D425F5"/>
    <w:rsid w:val="00D45795"/>
    <w:rsid w:val="00D4621B"/>
    <w:rsid w:val="00D46F89"/>
    <w:rsid w:val="00D47499"/>
    <w:rsid w:val="00D51991"/>
    <w:rsid w:val="00D5272B"/>
    <w:rsid w:val="00D52732"/>
    <w:rsid w:val="00D531A6"/>
    <w:rsid w:val="00D53C44"/>
    <w:rsid w:val="00D5594F"/>
    <w:rsid w:val="00D564F9"/>
    <w:rsid w:val="00D617D9"/>
    <w:rsid w:val="00D62DE4"/>
    <w:rsid w:val="00D65903"/>
    <w:rsid w:val="00D65B95"/>
    <w:rsid w:val="00D67EE0"/>
    <w:rsid w:val="00D72700"/>
    <w:rsid w:val="00D73B6A"/>
    <w:rsid w:val="00D73BDF"/>
    <w:rsid w:val="00D754F7"/>
    <w:rsid w:val="00D80AFA"/>
    <w:rsid w:val="00D91C4A"/>
    <w:rsid w:val="00D939F1"/>
    <w:rsid w:val="00D93CAA"/>
    <w:rsid w:val="00D97D45"/>
    <w:rsid w:val="00DA1D5E"/>
    <w:rsid w:val="00DA2EDE"/>
    <w:rsid w:val="00DA389F"/>
    <w:rsid w:val="00DA3C5F"/>
    <w:rsid w:val="00DA5606"/>
    <w:rsid w:val="00DA60F7"/>
    <w:rsid w:val="00DB00A9"/>
    <w:rsid w:val="00DB2D43"/>
    <w:rsid w:val="00DB3916"/>
    <w:rsid w:val="00DB425A"/>
    <w:rsid w:val="00DB5A8E"/>
    <w:rsid w:val="00DB5ED6"/>
    <w:rsid w:val="00DB63D2"/>
    <w:rsid w:val="00DC03F8"/>
    <w:rsid w:val="00DC05E6"/>
    <w:rsid w:val="00DC3DDC"/>
    <w:rsid w:val="00DC5230"/>
    <w:rsid w:val="00DC530C"/>
    <w:rsid w:val="00DC7140"/>
    <w:rsid w:val="00DC7B97"/>
    <w:rsid w:val="00DD05D5"/>
    <w:rsid w:val="00DD1ABC"/>
    <w:rsid w:val="00DD308D"/>
    <w:rsid w:val="00DD3C0B"/>
    <w:rsid w:val="00DD52F6"/>
    <w:rsid w:val="00DD772A"/>
    <w:rsid w:val="00DD7F4D"/>
    <w:rsid w:val="00DE2011"/>
    <w:rsid w:val="00DE3D78"/>
    <w:rsid w:val="00DE49D1"/>
    <w:rsid w:val="00DF044E"/>
    <w:rsid w:val="00DF0D34"/>
    <w:rsid w:val="00DF3A1C"/>
    <w:rsid w:val="00DF64A3"/>
    <w:rsid w:val="00DF6F1A"/>
    <w:rsid w:val="00E00593"/>
    <w:rsid w:val="00E00729"/>
    <w:rsid w:val="00E00C43"/>
    <w:rsid w:val="00E04231"/>
    <w:rsid w:val="00E0481D"/>
    <w:rsid w:val="00E07F6C"/>
    <w:rsid w:val="00E1438E"/>
    <w:rsid w:val="00E15BFB"/>
    <w:rsid w:val="00E16CA1"/>
    <w:rsid w:val="00E172D2"/>
    <w:rsid w:val="00E20067"/>
    <w:rsid w:val="00E200C5"/>
    <w:rsid w:val="00E209AB"/>
    <w:rsid w:val="00E21277"/>
    <w:rsid w:val="00E317C6"/>
    <w:rsid w:val="00E3183D"/>
    <w:rsid w:val="00E32EB0"/>
    <w:rsid w:val="00E33828"/>
    <w:rsid w:val="00E339C5"/>
    <w:rsid w:val="00E3480B"/>
    <w:rsid w:val="00E365E7"/>
    <w:rsid w:val="00E36E32"/>
    <w:rsid w:val="00E36E64"/>
    <w:rsid w:val="00E37124"/>
    <w:rsid w:val="00E40000"/>
    <w:rsid w:val="00E403AB"/>
    <w:rsid w:val="00E41D6A"/>
    <w:rsid w:val="00E41E39"/>
    <w:rsid w:val="00E4204F"/>
    <w:rsid w:val="00E4251D"/>
    <w:rsid w:val="00E44366"/>
    <w:rsid w:val="00E51130"/>
    <w:rsid w:val="00E517B1"/>
    <w:rsid w:val="00E52392"/>
    <w:rsid w:val="00E5388A"/>
    <w:rsid w:val="00E53C15"/>
    <w:rsid w:val="00E5598F"/>
    <w:rsid w:val="00E5676E"/>
    <w:rsid w:val="00E607C3"/>
    <w:rsid w:val="00E610A4"/>
    <w:rsid w:val="00E615FD"/>
    <w:rsid w:val="00E63910"/>
    <w:rsid w:val="00E7198E"/>
    <w:rsid w:val="00E73D5A"/>
    <w:rsid w:val="00E73F6E"/>
    <w:rsid w:val="00E740D1"/>
    <w:rsid w:val="00E74141"/>
    <w:rsid w:val="00E74162"/>
    <w:rsid w:val="00E745A3"/>
    <w:rsid w:val="00E772E5"/>
    <w:rsid w:val="00E858EC"/>
    <w:rsid w:val="00E861C7"/>
    <w:rsid w:val="00E909DF"/>
    <w:rsid w:val="00E9171D"/>
    <w:rsid w:val="00E920BE"/>
    <w:rsid w:val="00E94B95"/>
    <w:rsid w:val="00E952DB"/>
    <w:rsid w:val="00E96267"/>
    <w:rsid w:val="00E96A60"/>
    <w:rsid w:val="00EA049C"/>
    <w:rsid w:val="00EA099E"/>
    <w:rsid w:val="00EA296D"/>
    <w:rsid w:val="00EA2DFB"/>
    <w:rsid w:val="00EA3614"/>
    <w:rsid w:val="00EA6B4D"/>
    <w:rsid w:val="00EB07E6"/>
    <w:rsid w:val="00EB22C5"/>
    <w:rsid w:val="00EB579F"/>
    <w:rsid w:val="00EC04EA"/>
    <w:rsid w:val="00EC063D"/>
    <w:rsid w:val="00EC160E"/>
    <w:rsid w:val="00EC1CE3"/>
    <w:rsid w:val="00EC261D"/>
    <w:rsid w:val="00EC2C5A"/>
    <w:rsid w:val="00EC2DA1"/>
    <w:rsid w:val="00EC3054"/>
    <w:rsid w:val="00EC4A73"/>
    <w:rsid w:val="00EC5B64"/>
    <w:rsid w:val="00EC673A"/>
    <w:rsid w:val="00ED04CC"/>
    <w:rsid w:val="00ED401D"/>
    <w:rsid w:val="00ED501C"/>
    <w:rsid w:val="00ED5AF3"/>
    <w:rsid w:val="00EE0766"/>
    <w:rsid w:val="00EE2251"/>
    <w:rsid w:val="00EE2D23"/>
    <w:rsid w:val="00EE3101"/>
    <w:rsid w:val="00EE3533"/>
    <w:rsid w:val="00EE45A8"/>
    <w:rsid w:val="00EE5009"/>
    <w:rsid w:val="00EE5F8F"/>
    <w:rsid w:val="00EE622D"/>
    <w:rsid w:val="00EE6865"/>
    <w:rsid w:val="00EE7861"/>
    <w:rsid w:val="00EE7CC6"/>
    <w:rsid w:val="00EF18EE"/>
    <w:rsid w:val="00EF1D54"/>
    <w:rsid w:val="00EF293B"/>
    <w:rsid w:val="00EF2AD1"/>
    <w:rsid w:val="00EF3029"/>
    <w:rsid w:val="00EF30C1"/>
    <w:rsid w:val="00EF3823"/>
    <w:rsid w:val="00EF4CBE"/>
    <w:rsid w:val="00EF5171"/>
    <w:rsid w:val="00EF62D8"/>
    <w:rsid w:val="00EF7F13"/>
    <w:rsid w:val="00F00A4A"/>
    <w:rsid w:val="00F043C4"/>
    <w:rsid w:val="00F0516E"/>
    <w:rsid w:val="00F05640"/>
    <w:rsid w:val="00F059C7"/>
    <w:rsid w:val="00F07A29"/>
    <w:rsid w:val="00F1332D"/>
    <w:rsid w:val="00F15790"/>
    <w:rsid w:val="00F1750D"/>
    <w:rsid w:val="00F20294"/>
    <w:rsid w:val="00F20624"/>
    <w:rsid w:val="00F215B2"/>
    <w:rsid w:val="00F21A20"/>
    <w:rsid w:val="00F2244D"/>
    <w:rsid w:val="00F22F23"/>
    <w:rsid w:val="00F26681"/>
    <w:rsid w:val="00F26B5D"/>
    <w:rsid w:val="00F27060"/>
    <w:rsid w:val="00F270FA"/>
    <w:rsid w:val="00F27B14"/>
    <w:rsid w:val="00F31732"/>
    <w:rsid w:val="00F33F05"/>
    <w:rsid w:val="00F3682A"/>
    <w:rsid w:val="00F405C4"/>
    <w:rsid w:val="00F407A4"/>
    <w:rsid w:val="00F413DC"/>
    <w:rsid w:val="00F4287C"/>
    <w:rsid w:val="00F451CD"/>
    <w:rsid w:val="00F47E34"/>
    <w:rsid w:val="00F5257B"/>
    <w:rsid w:val="00F53A69"/>
    <w:rsid w:val="00F53AF9"/>
    <w:rsid w:val="00F53D98"/>
    <w:rsid w:val="00F5656D"/>
    <w:rsid w:val="00F56632"/>
    <w:rsid w:val="00F568CA"/>
    <w:rsid w:val="00F617E4"/>
    <w:rsid w:val="00F62B1B"/>
    <w:rsid w:val="00F62C55"/>
    <w:rsid w:val="00F655A8"/>
    <w:rsid w:val="00F65A17"/>
    <w:rsid w:val="00F7114E"/>
    <w:rsid w:val="00F72317"/>
    <w:rsid w:val="00F72FC9"/>
    <w:rsid w:val="00F8262F"/>
    <w:rsid w:val="00F848E6"/>
    <w:rsid w:val="00F854C3"/>
    <w:rsid w:val="00F867C2"/>
    <w:rsid w:val="00F87C08"/>
    <w:rsid w:val="00F90946"/>
    <w:rsid w:val="00F92562"/>
    <w:rsid w:val="00F93229"/>
    <w:rsid w:val="00F9475B"/>
    <w:rsid w:val="00F96198"/>
    <w:rsid w:val="00F9686B"/>
    <w:rsid w:val="00F970F5"/>
    <w:rsid w:val="00FA3A34"/>
    <w:rsid w:val="00FA55ED"/>
    <w:rsid w:val="00FA686A"/>
    <w:rsid w:val="00FB2610"/>
    <w:rsid w:val="00FB3532"/>
    <w:rsid w:val="00FB4AB7"/>
    <w:rsid w:val="00FB4F82"/>
    <w:rsid w:val="00FB524E"/>
    <w:rsid w:val="00FB6F78"/>
    <w:rsid w:val="00FB7E65"/>
    <w:rsid w:val="00FC04EC"/>
    <w:rsid w:val="00FC12EE"/>
    <w:rsid w:val="00FC142D"/>
    <w:rsid w:val="00FC183F"/>
    <w:rsid w:val="00FC4C03"/>
    <w:rsid w:val="00FC5F1F"/>
    <w:rsid w:val="00FC6F9F"/>
    <w:rsid w:val="00FD2EC5"/>
    <w:rsid w:val="00FD3A39"/>
    <w:rsid w:val="00FD4746"/>
    <w:rsid w:val="00FD4C9F"/>
    <w:rsid w:val="00FD5A90"/>
    <w:rsid w:val="00FD7062"/>
    <w:rsid w:val="00FE378D"/>
    <w:rsid w:val="00FE3D20"/>
    <w:rsid w:val="00FE4094"/>
    <w:rsid w:val="00FF098B"/>
    <w:rsid w:val="00FF220E"/>
    <w:rsid w:val="00FF3E3C"/>
    <w:rsid w:val="00FF3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B897569"/>
  <w15:docId w15:val="{31929276-0E69-40B9-8533-4EA20B71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0D1938"/>
    <w:rPr>
      <w:rFonts w:ascii="Arial" w:hAnsi="Arial"/>
      <w:sz w:val="24"/>
      <w:szCs w:val="24"/>
      <w:lang w:eastAsia="en-US"/>
    </w:rPr>
  </w:style>
  <w:style w:type="paragraph" w:styleId="Heading1">
    <w:name w:val="heading 1"/>
    <w:next w:val="BodyText"/>
    <w:semiHidden/>
    <w:qFormat/>
    <w:rsid w:val="000F3413"/>
    <w:pPr>
      <w:keepNext/>
      <w:spacing w:after="120"/>
      <w:outlineLvl w:val="0"/>
    </w:pPr>
    <w:rPr>
      <w:rFonts w:ascii="Arial Bold" w:hAnsi="Arial Bold"/>
      <w:b/>
      <w:sz w:val="28"/>
      <w:szCs w:val="28"/>
      <w:lang w:eastAsia="en-US"/>
    </w:rPr>
  </w:style>
  <w:style w:type="paragraph" w:styleId="Heading2">
    <w:name w:val="heading 2"/>
    <w:basedOn w:val="Heading1"/>
    <w:next w:val="BodyText"/>
    <w:semiHidden/>
    <w:qFormat/>
    <w:rsid w:val="001F2882"/>
    <w:pPr>
      <w:keepNext w:val="0"/>
      <w:spacing w:before="60" w:line="260" w:lineRule="exact"/>
      <w:outlineLvl w:val="1"/>
    </w:pPr>
    <w:rPr>
      <w:b w:val="0"/>
      <w:sz w:val="22"/>
    </w:rPr>
  </w:style>
  <w:style w:type="paragraph" w:styleId="Heading3">
    <w:name w:val="heading 3"/>
    <w:basedOn w:val="Heading2"/>
    <w:next w:val="BodyText"/>
    <w:semiHidden/>
    <w:qFormat/>
    <w:rsid w:val="008F04B0"/>
    <w:pPr>
      <w:numPr>
        <w:ilvl w:val="2"/>
      </w:numPr>
      <w:spacing w:before="180" w:line="240" w:lineRule="exact"/>
      <w:outlineLvl w:val="2"/>
    </w:pPr>
    <w:rPr>
      <w:bCs/>
    </w:rPr>
  </w:style>
  <w:style w:type="paragraph" w:styleId="Heading4">
    <w:name w:val="heading 4"/>
    <w:basedOn w:val="Heading3"/>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tabs>
        <w:tab w:val="clear" w:pos="1134"/>
        <w:tab w:val="num" w:pos="360"/>
      </w:tabs>
      <w:ind w:left="0" w:firstLine="0"/>
    </w:pPr>
    <w:rPr>
      <w:szCs w:val="22"/>
    </w:rPr>
  </w:style>
  <w:style w:type="paragraph" w:customStyle="1" w:styleId="Bulleted">
    <w:name w:val="Bulleted"/>
    <w:semiHidden/>
    <w:rsid w:val="000F3413"/>
    <w:pPr>
      <w:numPr>
        <w:numId w:val="15"/>
      </w:numPr>
      <w:tabs>
        <w:tab w:val="clear" w:pos="851"/>
        <w:tab w:val="num" w:pos="360"/>
      </w:tabs>
      <w:spacing w:after="60" w:line="260" w:lineRule="exact"/>
      <w:ind w:left="0" w:firstLine="0"/>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
    <w:rsid w:val="00931E25"/>
    <w:pPr>
      <w:spacing w:before="120" w:after="120" w:line="440" w:lineRule="exact"/>
    </w:pPr>
    <w:rPr>
      <w:rFonts w:asciiTheme="majorHAnsi" w:hAnsiTheme="majorHAnsi" w:cs="Arial"/>
      <w:color w:val="000080"/>
      <w:sz w:val="36"/>
      <w:szCs w:val="22"/>
      <w:lang w:eastAsia="zh-CN"/>
    </w:rPr>
  </w:style>
  <w:style w:type="paragraph" w:styleId="TOC1">
    <w:name w:val="toc 1"/>
    <w:next w:val="Normal"/>
    <w:rsid w:val="00CF7392"/>
    <w:pPr>
      <w:spacing w:before="120" w:after="120"/>
    </w:pPr>
    <w:rPr>
      <w:rFonts w:asciiTheme="majorHAnsi" w:hAnsiTheme="majorHAnsi"/>
      <w:noProof/>
      <w:sz w:val="36"/>
      <w:szCs w:val="36"/>
      <w:lang w:eastAsia="en-US"/>
    </w:rPr>
  </w:style>
  <w:style w:type="paragraph" w:styleId="TOC2">
    <w:name w:val="toc 2"/>
    <w:basedOn w:val="TOC1"/>
    <w:rsid w:val="00CF7392"/>
    <w:pPr>
      <w:tabs>
        <w:tab w:val="left" w:pos="960"/>
        <w:tab w:val="right" w:leader="dot" w:pos="9628"/>
      </w:tabs>
      <w:spacing w:after="60"/>
    </w:pPr>
    <w:rPr>
      <w:bCs/>
      <w:sz w:val="32"/>
      <w:szCs w:val="30"/>
    </w:rPr>
  </w:style>
  <w:style w:type="paragraph" w:styleId="TOC3">
    <w:name w:val="toc 3"/>
    <w:basedOn w:val="TOC1"/>
    <w:rsid w:val="00CF7392"/>
    <w:pPr>
      <w:tabs>
        <w:tab w:val="right" w:leader="dot" w:pos="7660"/>
        <w:tab w:val="right" w:leader="dot" w:pos="9360"/>
      </w:tabs>
      <w:spacing w:before="80" w:after="80"/>
    </w:pPr>
    <w:rPr>
      <w:rFonts w:ascii="Calibri Light" w:hAnsi="Calibri Light"/>
      <w:sz w:val="28"/>
    </w:rPr>
  </w:style>
  <w:style w:type="paragraph" w:customStyle="1" w:styleId="Level3subHead">
    <w:name w:val="Level3_subHead"/>
    <w:next w:val="Heading3"/>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semiHidden/>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semiHidden/>
    <w:rsid w:val="000E1B11"/>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BE38C8"/>
    <w:pPr>
      <w:spacing w:before="240" w:after="240"/>
      <w:ind w:left="567"/>
      <w:jc w:val="right"/>
    </w:pPr>
    <w:rPr>
      <w:sz w:val="22"/>
    </w:r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 w:val="22"/>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 w:val="22"/>
      <w:szCs w:val="20"/>
      <w:lang w:val="en-US"/>
    </w:rPr>
  </w:style>
  <w:style w:type="paragraph" w:customStyle="1" w:styleId="EmbeddedText">
    <w:name w:val="Embedded Text"/>
    <w:basedOn w:val="Normal"/>
    <w:semiHidden/>
    <w:rsid w:val="00134A7B"/>
    <w:pPr>
      <w:spacing w:before="40" w:after="120" w:line="260" w:lineRule="exact"/>
      <w:ind w:left="113"/>
    </w:pPr>
    <w:rPr>
      <w:sz w:val="22"/>
      <w:szCs w:val="20"/>
      <w:lang w:val="en-US"/>
    </w:rPr>
  </w:style>
  <w:style w:type="paragraph" w:styleId="Footer">
    <w:name w:val="foote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semiHidden/>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semiHidden/>
    <w:rsid w:val="001640EB"/>
    <w:rPr>
      <w:rFonts w:ascii="Arial" w:hAnsi="Arial"/>
      <w:sz w:val="22"/>
    </w:rPr>
  </w:style>
  <w:style w:type="paragraph" w:customStyle="1" w:styleId="PublicationTitle">
    <w:name w:val="Publication Title"/>
    <w:basedOn w:val="Normal"/>
    <w:next w:val="Heading4"/>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semiHidden/>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rPr>
      <w:sz w:val="22"/>
    </w:r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2569DA"/>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semiHidden/>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8F04B0"/>
    <w:rPr>
      <w:rFonts w:ascii="Arial" w:hAnsi="Arial"/>
      <w:color w:val="FF0000"/>
      <w:sz w:val="16"/>
      <w:lang w:eastAsia="en-US"/>
    </w:rPr>
  </w:style>
  <w:style w:type="paragraph" w:customStyle="1" w:styleId="SectionHead2">
    <w:name w:val="SectionHead2"/>
    <w:next w:val="Heading1"/>
    <w:semiHidden/>
    <w:rsid w:val="008F04B0"/>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2569DA"/>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semiHidden/>
    <w:rsid w:val="00B34E30"/>
    <w:pPr>
      <w:jc w:val="right"/>
    </w:pPr>
    <w:rPr>
      <w:rFonts w:ascii="Arial" w:hAnsi="Arial"/>
      <w:sz w:val="24"/>
      <w:lang w:eastAsia="en-US"/>
    </w:rPr>
  </w:style>
  <w:style w:type="paragraph" w:customStyle="1" w:styleId="TableHead">
    <w:name w:val="TableHead"/>
    <w:basedOn w:val="TableText0"/>
    <w:next w:val="TableText0"/>
    <w:rsid w:val="00B34E30"/>
    <w:rPr>
      <w:b/>
    </w:rPr>
  </w:style>
  <w:style w:type="paragraph" w:customStyle="1" w:styleId="Bullet1">
    <w:name w:val="Bullet1"/>
    <w:basedOn w:val="Body"/>
    <w:qFormat/>
    <w:rsid w:val="004C5BAF"/>
    <w:pPr>
      <w:numPr>
        <w:numId w:val="16"/>
      </w:numPr>
      <w:tabs>
        <w:tab w:val="left" w:pos="227"/>
      </w:tabs>
      <w:spacing w:after="80"/>
    </w:pPr>
  </w:style>
  <w:style w:type="paragraph" w:customStyle="1" w:styleId="Bullet2">
    <w:name w:val="Bullet2"/>
    <w:basedOn w:val="Bullet1"/>
    <w:qFormat/>
    <w:rsid w:val="00D11754"/>
    <w:pPr>
      <w:ind w:left="454"/>
    </w:pPr>
  </w:style>
  <w:style w:type="paragraph" w:customStyle="1" w:styleId="Heading10">
    <w:name w:val="Heading1"/>
    <w:next w:val="Body"/>
    <w:qFormat/>
    <w:rsid w:val="00B55A28"/>
    <w:pPr>
      <w:spacing w:after="360" w:line="440" w:lineRule="exact"/>
      <w:outlineLvl w:val="0"/>
    </w:pPr>
    <w:rPr>
      <w:rFonts w:asciiTheme="majorHAnsi" w:hAnsiTheme="majorHAnsi" w:cs="Arial"/>
      <w:color w:val="00968E"/>
      <w:sz w:val="36"/>
      <w:szCs w:val="22"/>
    </w:rPr>
  </w:style>
  <w:style w:type="paragraph" w:customStyle="1" w:styleId="Heading20">
    <w:name w:val="Heading2"/>
    <w:qFormat/>
    <w:rsid w:val="00B55A28"/>
    <w:pPr>
      <w:spacing w:before="240" w:after="120" w:line="400" w:lineRule="exact"/>
      <w:outlineLvl w:val="1"/>
    </w:pPr>
    <w:rPr>
      <w:rFonts w:ascii="Calibri Light" w:hAnsi="Calibri Light" w:cs="Arial"/>
      <w:color w:val="00968E"/>
      <w:sz w:val="32"/>
      <w:szCs w:val="22"/>
    </w:rPr>
  </w:style>
  <w:style w:type="paragraph" w:customStyle="1" w:styleId="Heading30">
    <w:name w:val="Heading3"/>
    <w:qFormat/>
    <w:rsid w:val="00B55A28"/>
    <w:pPr>
      <w:spacing w:before="240" w:after="120" w:line="360" w:lineRule="exact"/>
      <w:outlineLvl w:val="2"/>
    </w:pPr>
    <w:rPr>
      <w:rFonts w:ascii="Calibri" w:hAnsi="Calibri" w:cs="Arial"/>
      <w:color w:val="00968E"/>
      <w:sz w:val="24"/>
      <w:szCs w:val="22"/>
    </w:rPr>
  </w:style>
  <w:style w:type="paragraph" w:customStyle="1" w:styleId="Heading40">
    <w:name w:val="Heading4"/>
    <w:qFormat/>
    <w:rsid w:val="00B55A28"/>
    <w:pPr>
      <w:spacing w:before="120" w:after="80" w:line="320" w:lineRule="exact"/>
      <w:outlineLvl w:val="3"/>
    </w:pPr>
    <w:rPr>
      <w:rFonts w:ascii="Calibri" w:hAnsi="Calibri" w:cs="Arial"/>
      <w:color w:val="00968E"/>
      <w:sz w:val="22"/>
      <w:szCs w:val="22"/>
    </w:rPr>
  </w:style>
  <w:style w:type="paragraph" w:customStyle="1" w:styleId="FigureTitle">
    <w:name w:val="_FigureTitle"/>
    <w:next w:val="Graphic"/>
    <w:qFormat/>
    <w:rsid w:val="00931E25"/>
    <w:pPr>
      <w:keepNext/>
      <w:numPr>
        <w:numId w:val="17"/>
      </w:numPr>
      <w:suppressAutoHyphens/>
      <w:spacing w:before="120" w:line="300" w:lineRule="exact"/>
      <w:ind w:left="0" w:firstLine="0"/>
      <w:jc w:val="center"/>
    </w:pPr>
    <w:rPr>
      <w:rFonts w:ascii="Calibri" w:hAnsi="Calibri" w:cs="Arial"/>
      <w:b/>
      <w:sz w:val="22"/>
      <w:szCs w:val="22"/>
    </w:rPr>
  </w:style>
  <w:style w:type="paragraph" w:customStyle="1" w:styleId="Graphic">
    <w:name w:val="Graphic"/>
    <w:next w:val="Body"/>
    <w:qFormat/>
    <w:rsid w:val="0095074C"/>
    <w:pPr>
      <w:spacing w:after="120"/>
      <w:jc w:val="center"/>
    </w:pPr>
    <w:rPr>
      <w:rFonts w:ascii="Calibri" w:hAnsi="Calibri" w:cs="Arial"/>
      <w:sz w:val="22"/>
      <w:szCs w:val="22"/>
    </w:rPr>
  </w:style>
  <w:style w:type="paragraph" w:customStyle="1" w:styleId="BodyIndent1">
    <w:name w:val="BodyIndent1"/>
    <w:basedOn w:val="Body"/>
    <w:next w:val="Body"/>
    <w:qFormat/>
    <w:rsid w:val="00CC0375"/>
    <w:pPr>
      <w:ind w:left="227"/>
    </w:pPr>
  </w:style>
  <w:style w:type="paragraph" w:customStyle="1" w:styleId="BodyIndent2">
    <w:name w:val="BodyIndent2"/>
    <w:basedOn w:val="Body"/>
    <w:next w:val="Body"/>
    <w:qFormat/>
    <w:rsid w:val="00CC0375"/>
    <w:pPr>
      <w:ind w:left="454"/>
    </w:pPr>
  </w:style>
  <w:style w:type="paragraph" w:customStyle="1" w:styleId="Number1First">
    <w:name w:val="Number1First"/>
    <w:basedOn w:val="Body"/>
    <w:qFormat/>
    <w:rsid w:val="008B57D9"/>
    <w:pPr>
      <w:numPr>
        <w:numId w:val="21"/>
      </w:numPr>
      <w:tabs>
        <w:tab w:val="left" w:pos="340"/>
      </w:tabs>
      <w:ind w:left="340" w:hanging="340"/>
    </w:pPr>
  </w:style>
  <w:style w:type="paragraph" w:customStyle="1" w:styleId="Number2First">
    <w:name w:val="Number2First"/>
    <w:basedOn w:val="Body"/>
    <w:qFormat/>
    <w:rsid w:val="008B57D9"/>
    <w:pPr>
      <w:numPr>
        <w:numId w:val="22"/>
      </w:numPr>
      <w:tabs>
        <w:tab w:val="left" w:pos="680"/>
      </w:tabs>
      <w:ind w:left="680" w:hanging="340"/>
    </w:pPr>
  </w:style>
  <w:style w:type="paragraph" w:customStyle="1" w:styleId="Number3First">
    <w:name w:val="Number3First"/>
    <w:basedOn w:val="Body"/>
    <w:qFormat/>
    <w:rsid w:val="008B57D9"/>
    <w:pPr>
      <w:numPr>
        <w:numId w:val="23"/>
      </w:numPr>
      <w:tabs>
        <w:tab w:val="left" w:pos="680"/>
      </w:tabs>
      <w:ind w:left="1077" w:hanging="340"/>
    </w:pPr>
  </w:style>
  <w:style w:type="paragraph" w:customStyle="1" w:styleId="BodyBold">
    <w:name w:val="BodyBold"/>
    <w:basedOn w:val="Body"/>
    <w:next w:val="Body"/>
    <w:qFormat/>
    <w:rsid w:val="00856404"/>
    <w:rPr>
      <w:b/>
    </w:rPr>
  </w:style>
  <w:style w:type="paragraph" w:customStyle="1" w:styleId="Quotation">
    <w:name w:val="Quotation"/>
    <w:basedOn w:val="Body"/>
    <w:next w:val="Body"/>
    <w:qFormat/>
    <w:rsid w:val="00856404"/>
    <w:pPr>
      <w:ind w:left="737"/>
    </w:pPr>
    <w:rPr>
      <w:i/>
    </w:rPr>
  </w:style>
  <w:style w:type="paragraph" w:customStyle="1" w:styleId="TableTitle">
    <w:name w:val="_TableTitle"/>
    <w:basedOn w:val="Body"/>
    <w:next w:val="Body"/>
    <w:qFormat/>
    <w:rsid w:val="00856404"/>
    <w:pPr>
      <w:numPr>
        <w:numId w:val="18"/>
      </w:numPr>
      <w:spacing w:before="120"/>
      <w:ind w:left="0" w:firstLine="0"/>
      <w:jc w:val="center"/>
    </w:pPr>
    <w:rPr>
      <w:b/>
    </w:rPr>
  </w:style>
  <w:style w:type="paragraph" w:customStyle="1" w:styleId="TableBodyLeft">
    <w:name w:val="TableBodyLeft"/>
    <w:qFormat/>
    <w:rsid w:val="00CB60A5"/>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BB37E9"/>
    <w:pPr>
      <w:spacing w:line="300" w:lineRule="exact"/>
      <w:jc w:val="center"/>
    </w:pPr>
  </w:style>
  <w:style w:type="paragraph" w:customStyle="1" w:styleId="TableBodyRight">
    <w:name w:val="TableBodyRight"/>
    <w:basedOn w:val="TableBodyLeft"/>
    <w:qFormat/>
    <w:rsid w:val="00CB60A5"/>
    <w:pPr>
      <w:jc w:val="right"/>
    </w:pPr>
  </w:style>
  <w:style w:type="paragraph" w:customStyle="1" w:styleId="TableBullet">
    <w:name w:val="TableBullet"/>
    <w:basedOn w:val="TableBodyLeft"/>
    <w:qFormat/>
    <w:rsid w:val="00443FAF"/>
    <w:pPr>
      <w:numPr>
        <w:numId w:val="19"/>
      </w:numPr>
      <w:tabs>
        <w:tab w:val="clear" w:pos="113"/>
        <w:tab w:val="left" w:pos="170"/>
      </w:tabs>
      <w:ind w:left="170" w:hanging="170"/>
    </w:pPr>
  </w:style>
  <w:style w:type="paragraph" w:customStyle="1" w:styleId="TableNumber1">
    <w:name w:val="TableNumber1"/>
    <w:basedOn w:val="TableBodyLeft"/>
    <w:qFormat/>
    <w:rsid w:val="00443FAF"/>
    <w:pPr>
      <w:numPr>
        <w:numId w:val="20"/>
      </w:numPr>
      <w:ind w:left="170" w:hanging="170"/>
    </w:pPr>
  </w:style>
  <w:style w:type="paragraph" w:customStyle="1" w:styleId="Explanation">
    <w:name w:val="Explanation"/>
    <w:basedOn w:val="Body"/>
    <w:next w:val="Body"/>
    <w:qFormat/>
    <w:rsid w:val="0062110D"/>
    <w:rPr>
      <w:color w:val="006272"/>
    </w:rPr>
  </w:style>
  <w:style w:type="paragraph" w:customStyle="1" w:styleId="Detail">
    <w:name w:val="Detail"/>
    <w:basedOn w:val="Body"/>
    <w:next w:val="Body"/>
    <w:qFormat/>
    <w:rsid w:val="00A12089"/>
    <w:pPr>
      <w:spacing w:before="120"/>
    </w:pPr>
    <w:rPr>
      <w:color w:val="005EB8"/>
    </w:rPr>
  </w:style>
  <w:style w:type="paragraph" w:customStyle="1" w:styleId="CoverTitle">
    <w:name w:val="_CoverTitle"/>
    <w:qFormat/>
    <w:rsid w:val="00931E25"/>
    <w:pPr>
      <w:spacing w:after="480" w:line="600" w:lineRule="exact"/>
    </w:pPr>
    <w:rPr>
      <w:rFonts w:ascii="Calibri Light" w:hAnsi="Calibri Light" w:cs="Arial"/>
      <w:color w:val="005844"/>
      <w:sz w:val="48"/>
      <w:szCs w:val="22"/>
    </w:rPr>
  </w:style>
  <w:style w:type="paragraph" w:customStyle="1" w:styleId="CoverSubTitle">
    <w:name w:val="_CoverSubTitle"/>
    <w:basedOn w:val="CoverTitle"/>
    <w:qFormat/>
    <w:rsid w:val="00931E25"/>
    <w:rPr>
      <w:sz w:val="40"/>
    </w:rPr>
  </w:style>
  <w:style w:type="paragraph" w:customStyle="1" w:styleId="Author">
    <w:name w:val="Author"/>
    <w:qFormat/>
    <w:rsid w:val="00E615FD"/>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BB37E9"/>
    <w:pPr>
      <w:spacing w:before="120"/>
      <w:jc w:val="center"/>
    </w:pPr>
    <w:rPr>
      <w:rFonts w:ascii="Calibri" w:hAnsi="Calibri" w:cs="Arial"/>
      <w:sz w:val="14"/>
      <w:szCs w:val="22"/>
    </w:rPr>
  </w:style>
  <w:style w:type="character" w:styleId="Emphasis">
    <w:name w:val="Emphasis"/>
    <w:basedOn w:val="DefaultParagraphFont"/>
    <w:qFormat/>
    <w:rsid w:val="00395222"/>
    <w:rPr>
      <w:i/>
      <w:iCs/>
    </w:rPr>
  </w:style>
  <w:style w:type="character" w:styleId="Strong">
    <w:name w:val="Strong"/>
    <w:basedOn w:val="DefaultParagraphFont"/>
    <w:qFormat/>
    <w:rsid w:val="00395222"/>
    <w:rPr>
      <w:b/>
      <w:bCs/>
    </w:rPr>
  </w:style>
  <w:style w:type="paragraph" w:styleId="TOC4">
    <w:name w:val="toc 4"/>
    <w:basedOn w:val="TOC1"/>
    <w:rsid w:val="00CF7392"/>
    <w:pPr>
      <w:spacing w:before="40" w:after="40"/>
    </w:pPr>
    <w:rPr>
      <w:sz w:val="24"/>
    </w:rPr>
  </w:style>
  <w:style w:type="paragraph" w:customStyle="1" w:styleId="SectionTitle2">
    <w:name w:val="_SectionTitle2"/>
    <w:basedOn w:val="SectionTitle"/>
    <w:next w:val="Body"/>
    <w:qFormat/>
    <w:rsid w:val="00AD08D0"/>
    <w:rPr>
      <w:sz w:val="28"/>
    </w:rPr>
  </w:style>
  <w:style w:type="paragraph" w:customStyle="1" w:styleId="NoteToPublisher">
    <w:name w:val="NoteToPublisher"/>
    <w:basedOn w:val="Body"/>
    <w:next w:val="Body"/>
    <w:qFormat/>
    <w:rsid w:val="00D26B62"/>
    <w:pPr>
      <w:jc w:val="right"/>
    </w:pPr>
    <w:rPr>
      <w:color w:val="538135" w:themeColor="accent6" w:themeShade="BF"/>
      <w:sz w:val="24"/>
    </w:rPr>
  </w:style>
  <w:style w:type="character" w:customStyle="1" w:styleId="Superscript">
    <w:name w:val="Superscript"/>
    <w:basedOn w:val="DefaultParagraphFont"/>
    <w:uiPriority w:val="1"/>
    <w:qFormat/>
    <w:rsid w:val="006719F2"/>
    <w:rPr>
      <w:vertAlign w:val="superscript"/>
    </w:rPr>
  </w:style>
  <w:style w:type="character" w:customStyle="1" w:styleId="Subscript">
    <w:name w:val="Subscript"/>
    <w:basedOn w:val="Superscript"/>
    <w:uiPriority w:val="1"/>
    <w:qFormat/>
    <w:rsid w:val="006719F2"/>
    <w:rPr>
      <w:vertAlign w:val="subscript"/>
    </w:rPr>
  </w:style>
  <w:style w:type="character" w:customStyle="1" w:styleId="TNR">
    <w:name w:val="TNR"/>
    <w:basedOn w:val="DefaultParagraphFont"/>
    <w:uiPriority w:val="1"/>
    <w:qFormat/>
    <w:rsid w:val="00DD1ABC"/>
    <w:rPr>
      <w:rFonts w:ascii="Times New Roman" w:hAnsi="Times New Roman"/>
    </w:rPr>
  </w:style>
  <w:style w:type="character" w:customStyle="1" w:styleId="SymbolFont">
    <w:name w:val="SymbolFont"/>
    <w:basedOn w:val="DefaultParagraphFont"/>
    <w:uiPriority w:val="1"/>
    <w:qFormat/>
    <w:rsid w:val="00DD1ABC"/>
    <w:rPr>
      <w:rFonts w:ascii="Symbol" w:hAnsi="Symbol"/>
    </w:rPr>
  </w:style>
  <w:style w:type="paragraph" w:styleId="ListParagraph">
    <w:name w:val="List Paragraph"/>
    <w:aliases w:val="Dot pt"/>
    <w:basedOn w:val="Normal"/>
    <w:link w:val="ListParagraphChar"/>
    <w:uiPriority w:val="34"/>
    <w:qFormat/>
    <w:rsid w:val="00427D02"/>
    <w:pPr>
      <w:ind w:left="720"/>
      <w:contextualSpacing/>
    </w:pPr>
  </w:style>
  <w:style w:type="character" w:styleId="CommentReference">
    <w:name w:val="annotation reference"/>
    <w:uiPriority w:val="99"/>
    <w:semiHidden/>
    <w:unhideWhenUsed/>
    <w:rsid w:val="0048171A"/>
    <w:rPr>
      <w:sz w:val="16"/>
      <w:szCs w:val="16"/>
    </w:rPr>
  </w:style>
  <w:style w:type="paragraph" w:styleId="CommentText">
    <w:name w:val="annotation text"/>
    <w:basedOn w:val="Normal"/>
    <w:link w:val="CommentTextChar"/>
    <w:uiPriority w:val="99"/>
    <w:unhideWhenUsed/>
    <w:rsid w:val="0048171A"/>
    <w:rPr>
      <w:rFonts w:eastAsia="Arial"/>
      <w:sz w:val="20"/>
      <w:szCs w:val="20"/>
      <w:lang w:val="x-none"/>
    </w:rPr>
  </w:style>
  <w:style w:type="character" w:customStyle="1" w:styleId="CommentTextChar">
    <w:name w:val="Comment Text Char"/>
    <w:basedOn w:val="DefaultParagraphFont"/>
    <w:link w:val="CommentText"/>
    <w:uiPriority w:val="99"/>
    <w:rsid w:val="0048171A"/>
    <w:rPr>
      <w:rFonts w:ascii="Arial" w:eastAsia="Arial" w:hAnsi="Arial"/>
      <w:lang w:val="x-none" w:eastAsia="en-US"/>
    </w:rPr>
  </w:style>
  <w:style w:type="paragraph" w:styleId="CommentSubject">
    <w:name w:val="annotation subject"/>
    <w:basedOn w:val="CommentText"/>
    <w:next w:val="CommentText"/>
    <w:link w:val="CommentSubjectChar"/>
    <w:semiHidden/>
    <w:unhideWhenUsed/>
    <w:rsid w:val="007279F4"/>
    <w:rPr>
      <w:rFonts w:eastAsia="Times New Roman"/>
      <w:b/>
      <w:bCs/>
      <w:lang w:val="en-GB"/>
    </w:rPr>
  </w:style>
  <w:style w:type="character" w:customStyle="1" w:styleId="CommentSubjectChar">
    <w:name w:val="Comment Subject Char"/>
    <w:basedOn w:val="CommentTextChar"/>
    <w:link w:val="CommentSubject"/>
    <w:semiHidden/>
    <w:rsid w:val="007279F4"/>
    <w:rPr>
      <w:rFonts w:ascii="Arial" w:eastAsia="Arial" w:hAnsi="Arial"/>
      <w:b/>
      <w:bCs/>
      <w:lang w:val="x-none" w:eastAsia="en-US"/>
    </w:rPr>
  </w:style>
  <w:style w:type="character" w:customStyle="1" w:styleId="BodyChar">
    <w:name w:val="Body Char"/>
    <w:link w:val="Body"/>
    <w:locked/>
    <w:rsid w:val="0054035A"/>
    <w:rPr>
      <w:rFonts w:ascii="Calibri" w:hAnsi="Calibri" w:cs="Arial"/>
      <w:sz w:val="22"/>
      <w:szCs w:val="22"/>
    </w:rPr>
  </w:style>
  <w:style w:type="paragraph" w:styleId="NormalWeb">
    <w:name w:val="Normal (Web)"/>
    <w:basedOn w:val="Normal"/>
    <w:uiPriority w:val="99"/>
    <w:unhideWhenUsed/>
    <w:rsid w:val="00425161"/>
    <w:pPr>
      <w:spacing w:before="100" w:beforeAutospacing="1" w:after="100" w:afterAutospacing="1"/>
    </w:pPr>
    <w:rPr>
      <w:rFonts w:ascii="Times New Roman" w:eastAsiaTheme="minorHAnsi" w:hAnsi="Times New Roman"/>
      <w:sz w:val="22"/>
      <w:szCs w:val="22"/>
      <w:lang w:eastAsia="en-GB" w:bidi="he-IL"/>
    </w:rPr>
  </w:style>
  <w:style w:type="character" w:customStyle="1" w:styleId="ListParagraphChar">
    <w:name w:val="List Paragraph Char"/>
    <w:aliases w:val="Dot pt Char"/>
    <w:link w:val="ListParagraph"/>
    <w:uiPriority w:val="34"/>
    <w:locked/>
    <w:rsid w:val="00BF1853"/>
    <w:rPr>
      <w:rFonts w:ascii="Arial" w:hAnsi="Arial"/>
      <w:sz w:val="24"/>
      <w:szCs w:val="24"/>
      <w:lang w:eastAsia="en-US"/>
    </w:rPr>
  </w:style>
  <w:style w:type="character" w:styleId="PlaceholderText">
    <w:name w:val="Placeholder Text"/>
    <w:basedOn w:val="DefaultParagraphFont"/>
    <w:uiPriority w:val="99"/>
    <w:semiHidden/>
    <w:rsid w:val="00D65B95"/>
    <w:rPr>
      <w:color w:val="808080"/>
    </w:rPr>
  </w:style>
  <w:style w:type="paragraph" w:styleId="NoSpacing">
    <w:name w:val="No Spacing"/>
    <w:uiPriority w:val="1"/>
    <w:qFormat/>
    <w:rsid w:val="00DA3C5F"/>
    <w:rPr>
      <w:rFonts w:ascii="Arial" w:eastAsia="Arial" w:hAnsi="Arial"/>
      <w:sz w:val="22"/>
      <w:szCs w:val="22"/>
      <w:lang w:eastAsia="en-US"/>
    </w:rPr>
  </w:style>
  <w:style w:type="paragraph" w:customStyle="1" w:styleId="legclearfix">
    <w:name w:val="legclearfix"/>
    <w:basedOn w:val="Normal"/>
    <w:rsid w:val="00E403AB"/>
    <w:pPr>
      <w:spacing w:before="100" w:beforeAutospacing="1" w:after="100" w:afterAutospacing="1"/>
    </w:pPr>
    <w:rPr>
      <w:rFonts w:ascii="Times New Roman" w:hAnsi="Times New Roman"/>
      <w:lang w:eastAsia="en-GB"/>
    </w:rPr>
  </w:style>
  <w:style w:type="character" w:customStyle="1" w:styleId="legds">
    <w:name w:val="legds"/>
    <w:basedOn w:val="DefaultParagraphFont"/>
    <w:rsid w:val="00E403AB"/>
  </w:style>
  <w:style w:type="paragraph" w:styleId="Revision">
    <w:name w:val="Revision"/>
    <w:hidden/>
    <w:uiPriority w:val="99"/>
    <w:semiHidden/>
    <w:rsid w:val="00826BD5"/>
    <w:rPr>
      <w:rFonts w:ascii="Arial" w:hAnsi="Arial"/>
      <w:sz w:val="24"/>
      <w:szCs w:val="24"/>
      <w:lang w:eastAsia="en-US"/>
    </w:rPr>
  </w:style>
  <w:style w:type="paragraph" w:styleId="FootnoteText">
    <w:name w:val="footnote text"/>
    <w:basedOn w:val="Normal"/>
    <w:link w:val="FootnoteTextChar"/>
    <w:semiHidden/>
    <w:unhideWhenUsed/>
    <w:rsid w:val="00A54208"/>
    <w:rPr>
      <w:sz w:val="20"/>
      <w:szCs w:val="20"/>
    </w:rPr>
  </w:style>
  <w:style w:type="character" w:customStyle="1" w:styleId="FootnoteTextChar">
    <w:name w:val="Footnote Text Char"/>
    <w:basedOn w:val="DefaultParagraphFont"/>
    <w:link w:val="FootnoteText"/>
    <w:semiHidden/>
    <w:rsid w:val="00A54208"/>
    <w:rPr>
      <w:rFonts w:ascii="Arial" w:hAnsi="Arial"/>
      <w:lang w:eastAsia="en-US"/>
    </w:rPr>
  </w:style>
  <w:style w:type="character" w:styleId="FootnoteReference">
    <w:name w:val="footnote reference"/>
    <w:basedOn w:val="DefaultParagraphFont"/>
    <w:uiPriority w:val="99"/>
    <w:semiHidden/>
    <w:unhideWhenUsed/>
    <w:rsid w:val="00A54208"/>
    <w:rPr>
      <w:vertAlign w:val="superscript"/>
    </w:rPr>
  </w:style>
  <w:style w:type="character" w:styleId="Hyperlink">
    <w:name w:val="Hyperlink"/>
    <w:basedOn w:val="DefaultParagraphFont"/>
    <w:unhideWhenUsed/>
    <w:rsid w:val="00243C3A"/>
    <w:rPr>
      <w:color w:val="0563C1" w:themeColor="hyperlink"/>
      <w:u w:val="single"/>
    </w:rPr>
  </w:style>
  <w:style w:type="character" w:styleId="UnresolvedMention">
    <w:name w:val="Unresolved Mention"/>
    <w:basedOn w:val="DefaultParagraphFont"/>
    <w:uiPriority w:val="99"/>
    <w:semiHidden/>
    <w:unhideWhenUsed/>
    <w:rsid w:val="003D2F67"/>
    <w:rPr>
      <w:color w:val="605E5C"/>
      <w:shd w:val="clear" w:color="auto" w:fill="E1DFDD"/>
    </w:rPr>
  </w:style>
  <w:style w:type="character" w:styleId="FollowedHyperlink">
    <w:name w:val="FollowedHyperlink"/>
    <w:basedOn w:val="DefaultParagraphFont"/>
    <w:semiHidden/>
    <w:unhideWhenUsed/>
    <w:rsid w:val="00CC42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873844">
      <w:bodyDiv w:val="1"/>
      <w:marLeft w:val="0"/>
      <w:marRight w:val="0"/>
      <w:marTop w:val="0"/>
      <w:marBottom w:val="0"/>
      <w:divBdr>
        <w:top w:val="none" w:sz="0" w:space="0" w:color="auto"/>
        <w:left w:val="none" w:sz="0" w:space="0" w:color="auto"/>
        <w:bottom w:val="none" w:sz="0" w:space="0" w:color="auto"/>
        <w:right w:val="none" w:sz="0" w:space="0" w:color="auto"/>
      </w:divBdr>
    </w:div>
    <w:div w:id="294682058">
      <w:bodyDiv w:val="1"/>
      <w:marLeft w:val="0"/>
      <w:marRight w:val="0"/>
      <w:marTop w:val="0"/>
      <w:marBottom w:val="0"/>
      <w:divBdr>
        <w:top w:val="none" w:sz="0" w:space="0" w:color="auto"/>
        <w:left w:val="none" w:sz="0" w:space="0" w:color="auto"/>
        <w:bottom w:val="none" w:sz="0" w:space="0" w:color="auto"/>
        <w:right w:val="none" w:sz="0" w:space="0" w:color="auto"/>
      </w:divBdr>
    </w:div>
    <w:div w:id="621689882">
      <w:bodyDiv w:val="1"/>
      <w:marLeft w:val="0"/>
      <w:marRight w:val="0"/>
      <w:marTop w:val="0"/>
      <w:marBottom w:val="0"/>
      <w:divBdr>
        <w:top w:val="none" w:sz="0" w:space="0" w:color="auto"/>
        <w:left w:val="none" w:sz="0" w:space="0" w:color="auto"/>
        <w:bottom w:val="none" w:sz="0" w:space="0" w:color="auto"/>
        <w:right w:val="none" w:sz="0" w:space="0" w:color="auto"/>
      </w:divBdr>
    </w:div>
    <w:div w:id="848176091">
      <w:bodyDiv w:val="1"/>
      <w:marLeft w:val="0"/>
      <w:marRight w:val="0"/>
      <w:marTop w:val="0"/>
      <w:marBottom w:val="0"/>
      <w:divBdr>
        <w:top w:val="none" w:sz="0" w:space="0" w:color="auto"/>
        <w:left w:val="none" w:sz="0" w:space="0" w:color="auto"/>
        <w:bottom w:val="none" w:sz="0" w:space="0" w:color="auto"/>
        <w:right w:val="none" w:sz="0" w:space="0" w:color="auto"/>
      </w:divBdr>
    </w:div>
    <w:div w:id="872378287">
      <w:bodyDiv w:val="1"/>
      <w:marLeft w:val="0"/>
      <w:marRight w:val="0"/>
      <w:marTop w:val="0"/>
      <w:marBottom w:val="0"/>
      <w:divBdr>
        <w:top w:val="none" w:sz="0" w:space="0" w:color="auto"/>
        <w:left w:val="none" w:sz="0" w:space="0" w:color="auto"/>
        <w:bottom w:val="none" w:sz="0" w:space="0" w:color="auto"/>
        <w:right w:val="none" w:sz="0" w:space="0" w:color="auto"/>
      </w:divBdr>
    </w:div>
    <w:div w:id="877856355">
      <w:bodyDiv w:val="1"/>
      <w:marLeft w:val="0"/>
      <w:marRight w:val="0"/>
      <w:marTop w:val="0"/>
      <w:marBottom w:val="0"/>
      <w:divBdr>
        <w:top w:val="none" w:sz="0" w:space="0" w:color="auto"/>
        <w:left w:val="none" w:sz="0" w:space="0" w:color="auto"/>
        <w:bottom w:val="none" w:sz="0" w:space="0" w:color="auto"/>
        <w:right w:val="none" w:sz="0" w:space="0" w:color="auto"/>
      </w:divBdr>
    </w:div>
    <w:div w:id="1091002841">
      <w:bodyDiv w:val="1"/>
      <w:marLeft w:val="0"/>
      <w:marRight w:val="0"/>
      <w:marTop w:val="0"/>
      <w:marBottom w:val="0"/>
      <w:divBdr>
        <w:top w:val="none" w:sz="0" w:space="0" w:color="auto"/>
        <w:left w:val="none" w:sz="0" w:space="0" w:color="auto"/>
        <w:bottom w:val="none" w:sz="0" w:space="0" w:color="auto"/>
        <w:right w:val="none" w:sz="0" w:space="0" w:color="auto"/>
      </w:divBdr>
    </w:div>
    <w:div w:id="1352953628">
      <w:bodyDiv w:val="1"/>
      <w:marLeft w:val="0"/>
      <w:marRight w:val="0"/>
      <w:marTop w:val="0"/>
      <w:marBottom w:val="0"/>
      <w:divBdr>
        <w:top w:val="none" w:sz="0" w:space="0" w:color="auto"/>
        <w:left w:val="none" w:sz="0" w:space="0" w:color="auto"/>
        <w:bottom w:val="none" w:sz="0" w:space="0" w:color="auto"/>
        <w:right w:val="none" w:sz="0" w:space="0" w:color="auto"/>
      </w:divBdr>
    </w:div>
    <w:div w:id="1422407157">
      <w:bodyDiv w:val="1"/>
      <w:marLeft w:val="0"/>
      <w:marRight w:val="0"/>
      <w:marTop w:val="0"/>
      <w:marBottom w:val="0"/>
      <w:divBdr>
        <w:top w:val="none" w:sz="0" w:space="0" w:color="auto"/>
        <w:left w:val="none" w:sz="0" w:space="0" w:color="auto"/>
        <w:bottom w:val="none" w:sz="0" w:space="0" w:color="auto"/>
        <w:right w:val="none" w:sz="0" w:space="0" w:color="auto"/>
      </w:divBdr>
    </w:div>
    <w:div w:id="1643775419">
      <w:bodyDiv w:val="1"/>
      <w:marLeft w:val="0"/>
      <w:marRight w:val="0"/>
      <w:marTop w:val="0"/>
      <w:marBottom w:val="0"/>
      <w:divBdr>
        <w:top w:val="none" w:sz="0" w:space="0" w:color="auto"/>
        <w:left w:val="none" w:sz="0" w:space="0" w:color="auto"/>
        <w:bottom w:val="none" w:sz="0" w:space="0" w:color="auto"/>
        <w:right w:val="none" w:sz="0" w:space="0" w:color="auto"/>
      </w:divBdr>
    </w:div>
    <w:div w:id="1694573817">
      <w:bodyDiv w:val="1"/>
      <w:marLeft w:val="0"/>
      <w:marRight w:val="0"/>
      <w:marTop w:val="0"/>
      <w:marBottom w:val="0"/>
      <w:divBdr>
        <w:top w:val="none" w:sz="0" w:space="0" w:color="auto"/>
        <w:left w:val="none" w:sz="0" w:space="0" w:color="auto"/>
        <w:bottom w:val="none" w:sz="0" w:space="0" w:color="auto"/>
        <w:right w:val="none" w:sz="0" w:space="0" w:color="auto"/>
      </w:divBdr>
    </w:div>
    <w:div w:id="1874221582">
      <w:bodyDiv w:val="1"/>
      <w:marLeft w:val="0"/>
      <w:marRight w:val="0"/>
      <w:marTop w:val="0"/>
      <w:marBottom w:val="0"/>
      <w:divBdr>
        <w:top w:val="none" w:sz="0" w:space="0" w:color="auto"/>
        <w:left w:val="none" w:sz="0" w:space="0" w:color="auto"/>
        <w:bottom w:val="none" w:sz="0" w:space="0" w:color="auto"/>
        <w:right w:val="none" w:sz="0" w:space="0" w:color="auto"/>
      </w:divBdr>
    </w:div>
    <w:div w:id="197428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rssb.co.uk/en/Insights-and-News/Key-Industry-Topics/Adhesion/ADHERE--ADHEsion-REsearch-challen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nja.Odinsen@rssb.co.uk" TargetMode="External"/><Relationship Id="rId5" Type="http://schemas.openxmlformats.org/officeDocument/2006/relationships/numbering" Target="numbering.xml"/><Relationship Id="rId15" Type="http://schemas.openxmlformats.org/officeDocument/2006/relationships/hyperlink" Target="https://www.sparkrail.org/Lists/Records/DispForm.aspx?ID=629"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Walker\AppData\Roaming\Microsoft\Templates\RSSB%20Documents\RSSB-A4-document-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7B5A5B50A13B40B5EB0B9F0844EB4A" ma:contentTypeVersion="12" ma:contentTypeDescription="Create a new document." ma:contentTypeScope="" ma:versionID="1738f38489bc804b767ccc87ca5aa8a6">
  <xsd:schema xmlns:xsd="http://www.w3.org/2001/XMLSchema" xmlns:xs="http://www.w3.org/2001/XMLSchema" xmlns:p="http://schemas.microsoft.com/office/2006/metadata/properties" xmlns:ns3="666abb98-0dbc-4ac9-b5e4-64dfbf48c047" xmlns:ns4="5f4c9777-fd1e-45fa-806c-d0fecf5c4e65" targetNamespace="http://schemas.microsoft.com/office/2006/metadata/properties" ma:root="true" ma:fieldsID="5419299c4ea6faa8582442071bf00b93" ns3:_="" ns4:_="">
    <xsd:import namespace="666abb98-0dbc-4ac9-b5e4-64dfbf48c047"/>
    <xsd:import namespace="5f4c9777-fd1e-45fa-806c-d0fecf5c4e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abb98-0dbc-4ac9-b5e4-64dfbf48c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4c9777-fd1e-45fa-806c-d0fecf5c4e6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8E237-816D-4C76-A4B4-B1B8529253C3}">
  <ds:schemaRefs>
    <ds:schemaRef ds:uri="http://schemas.microsoft.com/sharepoint/v3/contenttype/forms"/>
  </ds:schemaRefs>
</ds:datastoreItem>
</file>

<file path=customXml/itemProps2.xml><?xml version="1.0" encoding="utf-8"?>
<ds:datastoreItem xmlns:ds="http://schemas.openxmlformats.org/officeDocument/2006/customXml" ds:itemID="{BE8C860B-8387-4A45-AA4E-E2F75385D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abb98-0dbc-4ac9-b5e4-64dfbf48c047"/>
    <ds:schemaRef ds:uri="5f4c9777-fd1e-45fa-806c-d0fecf5c4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5A268A-96B1-4D79-9B30-F946F74ACF1D}">
  <ds:schemaRefs>
    <ds:schemaRef ds:uri="http://purl.org/dc/terms/"/>
    <ds:schemaRef ds:uri="5f4c9777-fd1e-45fa-806c-d0fecf5c4e65"/>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666abb98-0dbc-4ac9-b5e4-64dfbf48c047"/>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FBA4CBB-46EB-41D9-8040-487FAD2BE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RSSB-A4-document-2016</Template>
  <TotalTime>2</TotalTime>
  <Pages>21</Pages>
  <Words>4353</Words>
  <Characters>25111</Characters>
  <Application>Microsoft Office Word</Application>
  <DocSecurity>4</DocSecurity>
  <Lines>209</Lines>
  <Paragraphs>58</Paragraphs>
  <ScaleCrop>false</ScaleCrop>
  <HeadingPairs>
    <vt:vector size="2" baseType="variant">
      <vt:variant>
        <vt:lpstr>Title</vt:lpstr>
      </vt:variant>
      <vt:variant>
        <vt:i4>1</vt:i4>
      </vt:variant>
    </vt:vector>
  </HeadingPairs>
  <TitlesOfParts>
    <vt:vector size="1" baseType="lpstr">
      <vt:lpstr>RSSB A4 template with numbered headings</vt:lpstr>
    </vt:vector>
  </TitlesOfParts>
  <Company>RSSB</Company>
  <LinksUpToDate>false</LinksUpToDate>
  <CharactersWithSpaces>29406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template with numbered headings</dc:title>
  <dc:creator>Ben Altman</dc:creator>
  <cp:lastModifiedBy>Tanja Odinsen</cp:lastModifiedBy>
  <cp:revision>2</cp:revision>
  <dcterms:created xsi:type="dcterms:W3CDTF">2020-08-25T10:15:00Z</dcterms:created>
  <dcterms:modified xsi:type="dcterms:W3CDTF">2020-08-25T10:15:00Z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0x010100C67B5A5B50A13B40B5EB0B9F0844EB4A</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ies>
</file>