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BA" w:rsidRDefault="00165BBA" w:rsidP="00165BBA">
      <w:pPr>
        <w:tabs>
          <w:tab w:val="left" w:pos="567"/>
        </w:tabs>
        <w:rPr>
          <w:rFonts w:ascii="Arial" w:hAnsi="Arial" w:cs="Arial"/>
          <w:bCs/>
        </w:rPr>
      </w:pPr>
      <w:bookmarkStart w:id="0" w:name="_GoBack"/>
      <w:bookmarkEnd w:id="0"/>
    </w:p>
    <w:p w:rsidR="001E3806" w:rsidRDefault="001E3806" w:rsidP="00165BBA">
      <w:pPr>
        <w:tabs>
          <w:tab w:val="left" w:pos="567"/>
        </w:tabs>
        <w:rPr>
          <w:rFonts w:ascii="Arial" w:hAnsi="Arial" w:cs="Arial"/>
          <w:b/>
          <w:bCs/>
        </w:rPr>
      </w:pPr>
    </w:p>
    <w:p w:rsidR="00165BBA" w:rsidRDefault="008321B2" w:rsidP="00165BBA">
      <w:pPr>
        <w:tabs>
          <w:tab w:val="left" w:pos="567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London </w:t>
      </w:r>
      <w:r w:rsidR="00165BBA" w:rsidRPr="00165BBA">
        <w:rPr>
          <w:rFonts w:ascii="Arial" w:hAnsi="Arial" w:cs="Arial"/>
          <w:b/>
          <w:bCs/>
        </w:rPr>
        <w:t>APMS Practice Information</w:t>
      </w:r>
    </w:p>
    <w:p w:rsidR="00165BBA" w:rsidRPr="00165BBA" w:rsidRDefault="00165BBA" w:rsidP="00165BBA">
      <w:pPr>
        <w:tabs>
          <w:tab w:val="left" w:pos="567"/>
        </w:tabs>
        <w:rPr>
          <w:rFonts w:ascii="Arial" w:hAnsi="Arial" w:cs="Arial"/>
          <w:b/>
          <w:bCs/>
        </w:rPr>
      </w:pPr>
    </w:p>
    <w:p w:rsidR="00165BBA" w:rsidRDefault="00165BBA" w:rsidP="00165BBA">
      <w:pPr>
        <w:tabs>
          <w:tab w:val="left" w:pos="56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Prospective </w:t>
      </w:r>
      <w:r w:rsidRPr="0062157B">
        <w:rPr>
          <w:rFonts w:ascii="Arial" w:hAnsi="Arial" w:cs="Arial"/>
          <w:bCs/>
        </w:rPr>
        <w:t>Bidders</w:t>
      </w:r>
      <w:r>
        <w:rPr>
          <w:rFonts w:ascii="Arial" w:hAnsi="Arial" w:cs="Arial"/>
          <w:bCs/>
        </w:rPr>
        <w:t xml:space="preserve"> are requested to note</w:t>
      </w:r>
      <w:r w:rsidRPr="0062157B">
        <w:rPr>
          <w:rFonts w:ascii="Arial" w:hAnsi="Arial" w:cs="Arial"/>
          <w:bCs/>
        </w:rPr>
        <w:t xml:space="preserve"> the requirement to commence services on 01st July</w:t>
      </w:r>
      <w:r>
        <w:rPr>
          <w:rFonts w:ascii="Arial" w:hAnsi="Arial" w:cs="Arial"/>
          <w:bCs/>
        </w:rPr>
        <w:t xml:space="preserve">, </w:t>
      </w:r>
      <w:r w:rsidRPr="0062157B">
        <w:rPr>
          <w:rFonts w:ascii="Arial" w:hAnsi="Arial" w:cs="Arial"/>
          <w:bCs/>
        </w:rPr>
        <w:t>for contracts within phase 1 of the procurement</w:t>
      </w:r>
      <w:r>
        <w:rPr>
          <w:rFonts w:ascii="Arial" w:hAnsi="Arial" w:cs="Arial"/>
          <w:bCs/>
        </w:rPr>
        <w:t>,</w:t>
      </w:r>
      <w:r w:rsidRPr="0062157B">
        <w:rPr>
          <w:rFonts w:ascii="Arial" w:hAnsi="Arial" w:cs="Arial"/>
          <w:bCs/>
        </w:rPr>
        <w:t xml:space="preserve"> and 01st October 2017</w:t>
      </w:r>
      <w:r>
        <w:rPr>
          <w:rFonts w:ascii="Arial" w:hAnsi="Arial" w:cs="Arial"/>
          <w:bCs/>
        </w:rPr>
        <w:t xml:space="preserve">, </w:t>
      </w:r>
      <w:r w:rsidRPr="0062157B">
        <w:rPr>
          <w:rFonts w:ascii="Arial" w:hAnsi="Arial" w:cs="Arial"/>
          <w:bCs/>
        </w:rPr>
        <w:t>for contracts within phase 2 of the procurement</w:t>
      </w:r>
      <w:r>
        <w:rPr>
          <w:rFonts w:ascii="Arial" w:hAnsi="Arial" w:cs="Arial"/>
          <w:bCs/>
        </w:rPr>
        <w:t xml:space="preserve">. </w:t>
      </w:r>
      <w:r w:rsidRPr="0062157B">
        <w:rPr>
          <w:rFonts w:ascii="Arial" w:hAnsi="Arial" w:cs="Arial"/>
          <w:bCs/>
        </w:rPr>
        <w:t>Dates in brackets indicate amended service commencement date within each phase</w:t>
      </w:r>
      <w:r>
        <w:rPr>
          <w:rFonts w:ascii="Arial" w:hAnsi="Arial" w:cs="Arial"/>
          <w:bCs/>
        </w:rPr>
        <w:t>):</w:t>
      </w:r>
    </w:p>
    <w:p w:rsidR="00165BBA" w:rsidRDefault="00165BBA" w:rsidP="00165BBA">
      <w:pPr>
        <w:tabs>
          <w:tab w:val="left" w:pos="567"/>
        </w:tabs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946"/>
      </w:tblGrid>
      <w:tr w:rsidR="00165BBA" w:rsidRPr="00A369AB" w:rsidTr="00023213">
        <w:tc>
          <w:tcPr>
            <w:tcW w:w="1696" w:type="dxa"/>
          </w:tcPr>
          <w:p w:rsidR="00165BBA" w:rsidRPr="00165BBA" w:rsidRDefault="00165BBA" w:rsidP="00023213">
            <w:pPr>
              <w:tabs>
                <w:tab w:val="left" w:pos="567"/>
              </w:tabs>
              <w:spacing w:after="160" w:line="259" w:lineRule="auto"/>
              <w:rPr>
                <w:rFonts w:ascii="Arial" w:hAnsi="Arial" w:cs="Arial"/>
                <w:b/>
                <w:bCs/>
                <w:sz w:val="22"/>
              </w:rPr>
            </w:pPr>
            <w:r w:rsidRPr="00165BBA">
              <w:rPr>
                <w:rFonts w:ascii="Arial" w:hAnsi="Arial" w:cs="Arial"/>
                <w:b/>
                <w:bCs/>
                <w:sz w:val="22"/>
              </w:rPr>
              <w:t>Phase 1</w:t>
            </w:r>
          </w:p>
          <w:p w:rsidR="00165BBA" w:rsidRPr="0062157B" w:rsidRDefault="00165BBA" w:rsidP="00023213">
            <w:pPr>
              <w:tabs>
                <w:tab w:val="left" w:pos="567"/>
              </w:tabs>
              <w:spacing w:after="160" w:line="259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946" w:type="dxa"/>
          </w:tcPr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Bedfont Practice</w:t>
            </w:r>
            <w:r w:rsidR="005E4510">
              <w:rPr>
                <w:rFonts w:eastAsiaTheme="minorHAnsi" w:cs="Arial"/>
                <w:bCs/>
                <w:sz w:val="22"/>
                <w:lang w:eastAsia="en-US"/>
              </w:rPr>
              <w:t>, TW14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The Great West Surgery/Heston Practice</w:t>
            </w:r>
            <w:r w:rsidR="005E4510">
              <w:rPr>
                <w:rFonts w:eastAsiaTheme="minorHAnsi" w:cs="Arial"/>
                <w:bCs/>
                <w:sz w:val="22"/>
                <w:lang w:eastAsia="en-US"/>
              </w:rPr>
              <w:t xml:space="preserve">, 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TW4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Isleworth Practice/Grove Medical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TW7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Orient Community Practice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E10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The Rowans Surgery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SW16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Somers Town Medical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NW1</w:t>
            </w: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 xml:space="preserve"> (01 August 2017)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Chestnuts Park Surgery/The Laurels Medical Practice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N15</w:t>
            </w: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 xml:space="preserve"> (01 August 2017)</w:t>
            </w:r>
          </w:p>
        </w:tc>
      </w:tr>
      <w:tr w:rsidR="00165BBA" w:rsidRPr="00A369AB" w:rsidTr="00023213">
        <w:tc>
          <w:tcPr>
            <w:tcW w:w="1696" w:type="dxa"/>
          </w:tcPr>
          <w:p w:rsidR="00165BBA" w:rsidRPr="00165BBA" w:rsidRDefault="00165BBA" w:rsidP="00023213">
            <w:pPr>
              <w:tabs>
                <w:tab w:val="left" w:pos="567"/>
              </w:tabs>
              <w:spacing w:after="160" w:line="259" w:lineRule="auto"/>
              <w:rPr>
                <w:rFonts w:ascii="Arial" w:hAnsi="Arial" w:cs="Arial"/>
                <w:b/>
                <w:bCs/>
                <w:sz w:val="22"/>
              </w:rPr>
            </w:pPr>
            <w:r w:rsidRPr="00165BBA">
              <w:rPr>
                <w:rFonts w:ascii="Arial" w:hAnsi="Arial" w:cs="Arial"/>
                <w:b/>
                <w:bCs/>
                <w:sz w:val="22"/>
              </w:rPr>
              <w:t>Phase 2</w:t>
            </w:r>
          </w:p>
          <w:p w:rsidR="00165BBA" w:rsidRPr="0062157B" w:rsidRDefault="00165BBA" w:rsidP="00023213">
            <w:pPr>
              <w:tabs>
                <w:tab w:val="left" w:pos="567"/>
              </w:tabs>
              <w:spacing w:after="160" w:line="259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946" w:type="dxa"/>
          </w:tcPr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Acton Lane/Harness Harlesden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NW10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Central Colindale Practice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NW9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Edridge Road Health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CR9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Featherstone Road Health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UB2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Half Penny Steps Health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W10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Hayes Town/Orchard Practice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UB3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Sandringham Practice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E8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Springfield Health Centre/Tollgate Lodge Health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N16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Kings Park Surgery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RM3</w:t>
            </w: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 xml:space="preserve"> (01 January 2018)</w:t>
            </w:r>
          </w:p>
          <w:p w:rsidR="00165BBA" w:rsidRPr="008321B2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cs="Arial"/>
                <w:bCs/>
                <w:sz w:val="22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Woodbridge Medical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UB1</w:t>
            </w: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 xml:space="preserve"> (01 January 2018)</w:t>
            </w:r>
          </w:p>
          <w:p w:rsidR="008321B2" w:rsidRPr="0062157B" w:rsidRDefault="008321B2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cs="Arial"/>
                <w:bCs/>
                <w:sz w:val="22"/>
              </w:rPr>
            </w:pPr>
            <w:proofErr w:type="spellStart"/>
            <w:r>
              <w:rPr>
                <w:rFonts w:eastAsiaTheme="minorHAnsi" w:cs="Arial"/>
                <w:bCs/>
                <w:sz w:val="22"/>
                <w:lang w:eastAsia="en-US"/>
              </w:rPr>
              <w:t>Broadmead</w:t>
            </w:r>
            <w:proofErr w:type="spellEnd"/>
            <w:r>
              <w:rPr>
                <w:rFonts w:eastAsiaTheme="minorHAnsi" w:cs="Arial"/>
                <w:bCs/>
                <w:sz w:val="22"/>
                <w:lang w:eastAsia="en-US"/>
              </w:rPr>
              <w:t xml:space="preserve"> Surgery (UB5)</w:t>
            </w:r>
          </w:p>
        </w:tc>
      </w:tr>
    </w:tbl>
    <w:p w:rsidR="00B67906" w:rsidRDefault="00B67906"/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851F9" w:rsidRDefault="008321B2" w:rsidP="001851F9">
      <w:pPr>
        <w:tabs>
          <w:tab w:val="left" w:pos="567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London </w:t>
      </w:r>
      <w:r w:rsidR="001851F9" w:rsidRPr="00165BBA">
        <w:rPr>
          <w:rFonts w:ascii="Arial" w:hAnsi="Arial" w:cs="Arial"/>
          <w:b/>
          <w:bCs/>
        </w:rPr>
        <w:t xml:space="preserve">APMS </w:t>
      </w:r>
      <w:r w:rsidR="001851F9">
        <w:rPr>
          <w:rFonts w:ascii="Arial" w:hAnsi="Arial" w:cs="Arial"/>
          <w:b/>
          <w:bCs/>
        </w:rPr>
        <w:t xml:space="preserve">Indicative </w:t>
      </w:r>
      <w:r w:rsidR="001851F9" w:rsidRPr="00165BBA">
        <w:rPr>
          <w:rFonts w:ascii="Arial" w:hAnsi="Arial" w:cs="Arial"/>
          <w:b/>
          <w:bCs/>
        </w:rPr>
        <w:t>Pr</w:t>
      </w:r>
      <w:r w:rsidR="001851F9">
        <w:rPr>
          <w:rFonts w:ascii="Arial" w:hAnsi="Arial" w:cs="Arial"/>
          <w:b/>
          <w:bCs/>
        </w:rPr>
        <w:t>ocurement Timeline</w:t>
      </w:r>
    </w:p>
    <w:p w:rsidR="001E3806" w:rsidRPr="001E3806" w:rsidRDefault="001E3806" w:rsidP="001E3806">
      <w:pPr>
        <w:rPr>
          <w:rFonts w:ascii="Arial" w:hAnsi="Arial" w:cs="Arial"/>
          <w:bCs/>
        </w:rPr>
      </w:pPr>
      <w:r w:rsidRPr="001E3806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indicative </w:t>
      </w:r>
      <w:r w:rsidRPr="001E3806">
        <w:rPr>
          <w:rFonts w:ascii="Arial" w:hAnsi="Arial" w:cs="Arial"/>
          <w:bCs/>
        </w:rPr>
        <w:t xml:space="preserve">timeline for The Procurement </w:t>
      </w:r>
      <w:r>
        <w:rPr>
          <w:rFonts w:ascii="Arial" w:hAnsi="Arial" w:cs="Arial"/>
          <w:bCs/>
        </w:rPr>
        <w:t>is</w:t>
      </w:r>
      <w:r w:rsidRPr="001E3806">
        <w:rPr>
          <w:rFonts w:ascii="Arial" w:hAnsi="Arial" w:cs="Arial"/>
          <w:bCs/>
        </w:rPr>
        <w:t xml:space="preserve"> set out</w:t>
      </w:r>
      <w:r>
        <w:rPr>
          <w:rFonts w:ascii="Arial" w:hAnsi="Arial" w:cs="Arial"/>
          <w:bCs/>
        </w:rPr>
        <w:t xml:space="preserve"> </w:t>
      </w:r>
      <w:r w:rsidRPr="001E3806">
        <w:rPr>
          <w:rFonts w:ascii="Arial" w:hAnsi="Arial" w:cs="Arial"/>
          <w:bCs/>
        </w:rPr>
        <w:t xml:space="preserve">below.  </w:t>
      </w:r>
    </w:p>
    <w:p w:rsidR="001E3806" w:rsidRPr="001E3806" w:rsidRDefault="001E3806" w:rsidP="001E3806">
      <w:pPr>
        <w:rPr>
          <w:rFonts w:ascii="Arial" w:hAnsi="Arial" w:cs="Arial"/>
          <w:bCs/>
        </w:rPr>
      </w:pPr>
      <w:r w:rsidRPr="001E3806">
        <w:rPr>
          <w:rFonts w:ascii="Arial" w:hAnsi="Arial" w:cs="Arial"/>
          <w:bCs/>
        </w:rPr>
        <w:t xml:space="preserve">Bidders are to note that the dates are expected dates at the time of issuing this ITT and are therefore subject to change at the sole discretion of the Authority. </w:t>
      </w:r>
    </w:p>
    <w:p w:rsidR="001E3806" w:rsidRPr="001E3806" w:rsidRDefault="001E3806" w:rsidP="001E3806">
      <w:pPr>
        <w:rPr>
          <w:rFonts w:ascii="Arial" w:hAnsi="Arial" w:cs="Arial"/>
          <w:bCs/>
        </w:rPr>
      </w:pPr>
    </w:p>
    <w:tbl>
      <w:tblPr>
        <w:tblStyle w:val="GridTable4-Accent11"/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1E3806" w:rsidTr="00CE0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1E3806" w:rsidRDefault="001E3806" w:rsidP="00CE04A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3806">
              <w:rPr>
                <w:rFonts w:ascii="Arial" w:hAnsi="Arial" w:cs="Arial"/>
                <w:bCs w:val="0"/>
                <w:sz w:val="22"/>
                <w:szCs w:val="22"/>
              </w:rPr>
              <w:t>Milestones</w:t>
            </w:r>
          </w:p>
        </w:tc>
        <w:tc>
          <w:tcPr>
            <w:tcW w:w="3544" w:type="dxa"/>
          </w:tcPr>
          <w:p w:rsidR="001E3806" w:rsidRPr="001E3806" w:rsidRDefault="001E3806" w:rsidP="00CE04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3806">
              <w:rPr>
                <w:rFonts w:ascii="Arial" w:hAnsi="Arial" w:cs="Arial"/>
                <w:bCs w:val="0"/>
                <w:sz w:val="22"/>
                <w:szCs w:val="22"/>
              </w:rPr>
              <w:t xml:space="preserve">Date </w:t>
            </w:r>
          </w:p>
          <w:p w:rsidR="001E3806" w:rsidRPr="001E3806" w:rsidRDefault="001E3806" w:rsidP="00CE04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Advertisement published and ITT documents available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06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January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Bidder information event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11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January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Deadline for receipt of Bidder clarification questions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31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January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Deadline for receipt of ITT submissions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10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February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Phase 1 Evaluation and Award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Procurement and Finance Due Diligence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13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– 17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February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ITT evaluation (Generic and Lot specific)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20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February – 10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March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Presentations and Interviews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27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– 31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March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Recommendations to Board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w/c 10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April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Notification of outcome/Initiation of Standstill period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02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Conclusion of Standstill period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12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Mobilisation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w/c 15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Service commencement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01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July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Phase 2 Evaluation and Award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ITT evaluation (Lot specific)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10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April – 05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Presentations and Interviews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22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– 26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Recommendations to Board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w/c 05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June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Notification of outcome/Initiation of Standstill period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03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July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Conclusion of Standstill period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13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July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Mobilisation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w/c 17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July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Service commencement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01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October 2017</w:t>
            </w:r>
          </w:p>
        </w:tc>
      </w:tr>
    </w:tbl>
    <w:p w:rsidR="001E3806" w:rsidRDefault="001E3806" w:rsidP="001E3806">
      <w:pPr>
        <w:rPr>
          <w:rFonts w:cs="Arial"/>
        </w:rPr>
      </w:pPr>
    </w:p>
    <w:p w:rsidR="001E3806" w:rsidRPr="001E3806" w:rsidRDefault="001E3806" w:rsidP="001E3806">
      <w:pPr>
        <w:rPr>
          <w:rFonts w:ascii="Arial" w:hAnsi="Arial" w:cs="Arial"/>
        </w:rPr>
      </w:pPr>
      <w:r w:rsidRPr="001E3806">
        <w:rPr>
          <w:rFonts w:ascii="Arial" w:hAnsi="Arial" w:cs="Arial"/>
        </w:rPr>
        <w:t xml:space="preserve">Bidders are requested to note that The Authority reserves the right to adjust the timetable as required to meet the needs of the </w:t>
      </w:r>
      <w:r>
        <w:rPr>
          <w:rFonts w:ascii="Arial" w:hAnsi="Arial" w:cs="Arial"/>
        </w:rPr>
        <w:t xml:space="preserve">procurement </w:t>
      </w:r>
      <w:r w:rsidRPr="001E3806">
        <w:rPr>
          <w:rFonts w:ascii="Arial" w:hAnsi="Arial" w:cs="Arial"/>
        </w:rPr>
        <w:t xml:space="preserve">process, and will endeavour to provide adequate notice to Bidders of any necessary adjustment where possible. </w:t>
      </w: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851F9" w:rsidRDefault="001851F9"/>
    <w:sectPr w:rsidR="001851F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BBA" w:rsidRDefault="00165BBA" w:rsidP="00165BBA">
      <w:pPr>
        <w:spacing w:after="0" w:line="240" w:lineRule="auto"/>
      </w:pPr>
      <w:r>
        <w:separator/>
      </w:r>
    </w:p>
  </w:endnote>
  <w:endnote w:type="continuationSeparator" w:id="0">
    <w:p w:rsidR="00165BBA" w:rsidRDefault="00165BBA" w:rsidP="0016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BBA" w:rsidRPr="00165BBA" w:rsidRDefault="00165BBA">
    <w:pPr>
      <w:pStyle w:val="Footer"/>
      <w:jc w:val="center"/>
      <w:rPr>
        <w:caps/>
        <w:noProof/>
        <w:color w:val="5B9BD5" w:themeColor="accent1"/>
        <w:sz w:val="16"/>
        <w:szCs w:val="16"/>
      </w:rPr>
    </w:pPr>
    <w:r w:rsidRPr="00165BBA">
      <w:rPr>
        <w:caps/>
        <w:color w:val="5B9BD5" w:themeColor="accent1"/>
        <w:sz w:val="16"/>
        <w:szCs w:val="16"/>
      </w:rPr>
      <w:fldChar w:fldCharType="begin"/>
    </w:r>
    <w:r w:rsidRPr="00165BBA">
      <w:rPr>
        <w:caps/>
        <w:color w:val="5B9BD5" w:themeColor="accent1"/>
        <w:sz w:val="16"/>
        <w:szCs w:val="16"/>
      </w:rPr>
      <w:instrText xml:space="preserve"> PAGE   \* MERGEFORMAT </w:instrText>
    </w:r>
    <w:r w:rsidRPr="00165BBA">
      <w:rPr>
        <w:caps/>
        <w:color w:val="5B9BD5" w:themeColor="accent1"/>
        <w:sz w:val="16"/>
        <w:szCs w:val="16"/>
      </w:rPr>
      <w:fldChar w:fldCharType="separate"/>
    </w:r>
    <w:r w:rsidR="008321B2">
      <w:rPr>
        <w:caps/>
        <w:noProof/>
        <w:color w:val="5B9BD5" w:themeColor="accent1"/>
        <w:sz w:val="16"/>
        <w:szCs w:val="16"/>
      </w:rPr>
      <w:t>1</w:t>
    </w:r>
    <w:r w:rsidRPr="00165BBA">
      <w:rPr>
        <w:caps/>
        <w:noProof/>
        <w:color w:val="5B9BD5" w:themeColor="accent1"/>
        <w:sz w:val="16"/>
        <w:szCs w:val="16"/>
      </w:rPr>
      <w:fldChar w:fldCharType="end"/>
    </w:r>
  </w:p>
  <w:p w:rsidR="00165BBA" w:rsidRDefault="00165B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BBA" w:rsidRDefault="00165BBA" w:rsidP="00165BBA">
      <w:pPr>
        <w:spacing w:after="0" w:line="240" w:lineRule="auto"/>
      </w:pPr>
      <w:r>
        <w:separator/>
      </w:r>
    </w:p>
  </w:footnote>
  <w:footnote w:type="continuationSeparator" w:id="0">
    <w:p w:rsidR="00165BBA" w:rsidRDefault="00165BBA" w:rsidP="0016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BBA" w:rsidRPr="00C43C36" w:rsidRDefault="00165BBA" w:rsidP="00165BBA">
    <w:pPr>
      <w:jc w:val="center"/>
      <w:rPr>
        <w:b/>
      </w:rPr>
    </w:pPr>
    <w:r w:rsidRPr="00C43C3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F6151E1" wp14:editId="738EF835">
          <wp:simplePos x="0" y="0"/>
          <wp:positionH relativeFrom="column">
            <wp:posOffset>5214620</wp:posOffset>
          </wp:positionH>
          <wp:positionV relativeFrom="paragraph">
            <wp:posOffset>-95885</wp:posOffset>
          </wp:positionV>
          <wp:extent cx="1149985" cy="68961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England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98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Bidder Information Event Practice Information</w:t>
    </w:r>
    <w:r w:rsidR="001851F9">
      <w:rPr>
        <w:b/>
      </w:rPr>
      <w:t xml:space="preserve"> &amp; Indicative Procurement Timeline</w:t>
    </w:r>
  </w:p>
  <w:p w:rsidR="00165BBA" w:rsidRDefault="008321B2" w:rsidP="00165BBA">
    <w:pPr>
      <w:tabs>
        <w:tab w:val="center" w:pos="4819"/>
        <w:tab w:val="right" w:pos="9638"/>
      </w:tabs>
      <w:jc w:val="center"/>
      <w:rPr>
        <w:b/>
      </w:rPr>
    </w:pPr>
    <w:r>
      <w:rPr>
        <w:b/>
      </w:rPr>
      <w:t xml:space="preserve">NHS England (London Region) </w:t>
    </w:r>
    <w:r w:rsidR="00165BBA">
      <w:rPr>
        <w:b/>
      </w:rPr>
      <w:t>APMS</w:t>
    </w:r>
  </w:p>
  <w:p w:rsidR="00165BBA" w:rsidRDefault="00165B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5705"/>
    <w:multiLevelType w:val="hybridMultilevel"/>
    <w:tmpl w:val="3D60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0E"/>
    <w:rsid w:val="00165BBA"/>
    <w:rsid w:val="001851F9"/>
    <w:rsid w:val="001E3806"/>
    <w:rsid w:val="003D44E1"/>
    <w:rsid w:val="005E4510"/>
    <w:rsid w:val="007B4D0E"/>
    <w:rsid w:val="008321B2"/>
    <w:rsid w:val="00B67906"/>
    <w:rsid w:val="00C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611C8-30BA-4697-BD32-F4110E12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BBA"/>
  </w:style>
  <w:style w:type="paragraph" w:styleId="Footer">
    <w:name w:val="footer"/>
    <w:basedOn w:val="Normal"/>
    <w:link w:val="FooterChar"/>
    <w:uiPriority w:val="99"/>
    <w:unhideWhenUsed/>
    <w:rsid w:val="0016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BBA"/>
  </w:style>
  <w:style w:type="table" w:styleId="TableGrid">
    <w:name w:val="Table Grid"/>
    <w:basedOn w:val="TableNormal"/>
    <w:uiPriority w:val="39"/>
    <w:rsid w:val="00165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65BBA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lang w:eastAsia="en-GB"/>
    </w:rPr>
  </w:style>
  <w:style w:type="table" w:customStyle="1" w:styleId="GridTable4-Accent11">
    <w:name w:val="Grid Table 4 - Accent 11"/>
    <w:basedOn w:val="TableNormal"/>
    <w:uiPriority w:val="49"/>
    <w:rsid w:val="001E3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NELCSU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Mansfield, David - Senior Procurement Manager</dc:creator>
  <cp:keywords/>
  <dc:description/>
  <cp:lastModifiedBy>Mansfield, David - Senior Procurement Manager</cp:lastModifiedBy>
  <cp:revision>7</cp:revision>
  <dcterms:created xsi:type="dcterms:W3CDTF">2016-12-01T13:53:00Z</dcterms:created>
  <dcterms:modified xsi:type="dcterms:W3CDTF">2016-12-15T14:24:00Z</dcterms:modified>
</cp:coreProperties>
</file>