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1FF6F01" w:rsidR="00A57128" w:rsidRPr="007E0083" w:rsidRDefault="00A57128" w:rsidP="00EE71A2">
      <w:pPr>
        <w:pStyle w:val="Heading1"/>
      </w:pPr>
      <w:r w:rsidRPr="007E0083">
        <w:t>Title:</w:t>
      </w:r>
      <w:r w:rsidR="000C22D9">
        <w:t xml:space="preserve"> </w:t>
      </w:r>
      <w:r w:rsidR="000C22D9" w:rsidRPr="00C030C4">
        <w:t>R</w:t>
      </w:r>
      <w:r w:rsidR="00C030C4" w:rsidRPr="00C030C4">
        <w:t>egional Academy Growth Fund (R</w:t>
      </w:r>
      <w:r w:rsidR="000C22D9" w:rsidRPr="00C030C4">
        <w:t>AGF</w:t>
      </w:r>
      <w:r w:rsidR="00C030C4" w:rsidRPr="00C030C4">
        <w:t>):</w:t>
      </w:r>
      <w:r w:rsidR="000C22D9" w:rsidRPr="00C030C4">
        <w:t xml:space="preserve"> Qualitative Evaluation</w:t>
      </w:r>
    </w:p>
    <w:p w14:paraId="2B434E3D" w14:textId="23399F99" w:rsidR="00A57128" w:rsidRPr="007E0083" w:rsidRDefault="00A57128" w:rsidP="00A57128">
      <w:pPr>
        <w:rPr>
          <w:b/>
        </w:rPr>
      </w:pPr>
      <w:r w:rsidRPr="007E0083">
        <w:rPr>
          <w:b/>
        </w:rPr>
        <w:t xml:space="preserve">Project reference: </w:t>
      </w:r>
      <w:r w:rsidR="009B2374">
        <w:rPr>
          <w:b/>
        </w:rPr>
        <w:t>DFERPPU/2017/088</w:t>
      </w:r>
      <w:bookmarkStart w:id="0" w:name="_GoBack"/>
      <w:bookmarkEnd w:id="0"/>
    </w:p>
    <w:p w14:paraId="501D40E4" w14:textId="0C041D21" w:rsidR="00A57128" w:rsidRPr="007E0083" w:rsidRDefault="00A57128" w:rsidP="00A57128">
      <w:pPr>
        <w:rPr>
          <w:b/>
        </w:rPr>
      </w:pPr>
      <w:r w:rsidRPr="007E0083">
        <w:rPr>
          <w:b/>
        </w:rPr>
        <w:t>Deadline for expressions of interest:</w:t>
      </w:r>
      <w:r w:rsidR="00C030C4">
        <w:rPr>
          <w:b/>
        </w:rPr>
        <w:t xml:space="preserve"> </w:t>
      </w:r>
      <w:r w:rsidR="00C030C4" w:rsidRPr="00C030C4">
        <w:rPr>
          <w:b/>
        </w:rPr>
        <w:t xml:space="preserve">5pm, </w:t>
      </w:r>
      <w:r w:rsidR="00E92E72">
        <w:rPr>
          <w:b/>
        </w:rPr>
        <w:t>Tuesday</w:t>
      </w:r>
      <w:r w:rsidR="00C030C4" w:rsidRPr="00C030C4">
        <w:rPr>
          <w:b/>
        </w:rPr>
        <w:t xml:space="preserve"> 1</w:t>
      </w:r>
      <w:r w:rsidR="008B24AA">
        <w:rPr>
          <w:b/>
        </w:rPr>
        <w:t>9</w:t>
      </w:r>
      <w:r w:rsidR="00C030C4" w:rsidRPr="00C030C4">
        <w:rPr>
          <w:b/>
          <w:vertAlign w:val="superscript"/>
        </w:rPr>
        <w:t>th</w:t>
      </w:r>
      <w:r w:rsidR="00C030C4">
        <w:rPr>
          <w:b/>
        </w:rPr>
        <w:t xml:space="preserve"> </w:t>
      </w:r>
      <w:r w:rsidR="00C030C4" w:rsidRPr="00C030C4">
        <w:rPr>
          <w:b/>
        </w:rPr>
        <w:t>December 2017</w:t>
      </w:r>
    </w:p>
    <w:p w14:paraId="0CFBF484" w14:textId="6F894856" w:rsidR="00A57128" w:rsidRDefault="00A57128" w:rsidP="001F2CE2">
      <w:pPr>
        <w:pStyle w:val="Heading2"/>
      </w:pPr>
      <w:r w:rsidRPr="001F2CE2">
        <w:t>Summary</w:t>
      </w:r>
    </w:p>
    <w:p w14:paraId="33179052" w14:textId="650727E8" w:rsidR="00FC2241" w:rsidRDefault="00FC2241" w:rsidP="00FC2241">
      <w:r>
        <w:rPr>
          <w:szCs w:val="22"/>
        </w:rPr>
        <w:t xml:space="preserve">Expressions of interest </w:t>
      </w:r>
      <w:r w:rsidRPr="00E809A0">
        <w:rPr>
          <w:szCs w:val="22"/>
        </w:rPr>
        <w:t xml:space="preserve">are sought to conduct a series of qualitative interviews with </w:t>
      </w:r>
      <w:r w:rsidR="00705BB4" w:rsidRPr="00E809A0">
        <w:rPr>
          <w:szCs w:val="22"/>
        </w:rPr>
        <w:t xml:space="preserve">senior leaders in academy trusts </w:t>
      </w:r>
      <w:r w:rsidRPr="00E809A0">
        <w:rPr>
          <w:szCs w:val="22"/>
        </w:rPr>
        <w:t xml:space="preserve">to investigate </w:t>
      </w:r>
      <w:r w:rsidR="00705BB4" w:rsidRPr="00E809A0">
        <w:rPr>
          <w:szCs w:val="22"/>
        </w:rPr>
        <w:t>their experiences of applying for the Regional Academy Growth Fund (RAGF).</w:t>
      </w:r>
      <w:r w:rsidR="00705BB4">
        <w:rPr>
          <w:szCs w:val="22"/>
        </w:rPr>
        <w:t xml:space="preserve"> </w:t>
      </w:r>
    </w:p>
    <w:p w14:paraId="0BF9ADD3" w14:textId="1A5D6761" w:rsidR="00A57128" w:rsidRDefault="00A57128" w:rsidP="001F2CE2">
      <w:pPr>
        <w:pStyle w:val="Heading2"/>
      </w:pPr>
      <w:r>
        <w:t>Background</w:t>
      </w:r>
    </w:p>
    <w:p w14:paraId="458BE0F1" w14:textId="77777777" w:rsidR="00BC7D36" w:rsidRDefault="00BC7D36" w:rsidP="00BC7D36">
      <w:pPr>
        <w:contextualSpacing/>
        <w:rPr>
          <w:rFonts w:cs="Arial"/>
        </w:rPr>
      </w:pPr>
      <w:r>
        <w:rPr>
          <w:rFonts w:cs="Arial"/>
        </w:rPr>
        <w:t xml:space="preserve">Regional Academy Growth Fund (RAGF) funding was awarded to </w:t>
      </w:r>
      <w:r w:rsidRPr="00052E4E">
        <w:rPr>
          <w:rFonts w:cs="Arial"/>
        </w:rPr>
        <w:t>375</w:t>
      </w:r>
      <w:r>
        <w:rPr>
          <w:rFonts w:cs="Arial"/>
        </w:rPr>
        <w:t xml:space="preserve"> academy trusts during the 16-17 financial year, and was designed to support</w:t>
      </w:r>
      <w:r w:rsidRPr="000F6233">
        <w:rPr>
          <w:rFonts w:cs="Arial"/>
        </w:rPr>
        <w:t xml:space="preserve"> the growth of successful trusts and to increase capacity to raise standards in underperforming schools, especially in areas of low capacity. The RAGF replaced the previous Sponsor Capacity Fund by extending the range of ways that the fund could be used to support growing MATs and recruit sponsors. There were three streams through which the funding could be allocated: </w:t>
      </w:r>
    </w:p>
    <w:p w14:paraId="224159A4" w14:textId="77777777" w:rsidR="00BC7D36" w:rsidRDefault="00BC7D36" w:rsidP="00BC7D36">
      <w:pPr>
        <w:spacing w:line="276" w:lineRule="auto"/>
        <w:contextualSpacing/>
        <w:rPr>
          <w:rFonts w:cs="Arial"/>
        </w:rPr>
      </w:pPr>
    </w:p>
    <w:p w14:paraId="4018A51F" w14:textId="77777777" w:rsidR="00BC7D36" w:rsidRPr="000C3403" w:rsidRDefault="00BC7D36" w:rsidP="00BC7D36">
      <w:pPr>
        <w:pStyle w:val="NumberedNormal"/>
        <w:numPr>
          <w:ilvl w:val="0"/>
          <w:numId w:val="20"/>
        </w:numPr>
        <w:tabs>
          <w:tab w:val="left" w:pos="720"/>
        </w:tabs>
        <w:spacing w:before="0" w:after="0" w:line="288" w:lineRule="auto"/>
        <w:ind w:left="1145" w:hanging="357"/>
        <w:rPr>
          <w:rFonts w:ascii="Arial" w:hAnsi="Arial" w:cs="Arial"/>
          <w:sz w:val="22"/>
        </w:rPr>
      </w:pPr>
      <w:r w:rsidRPr="000C3403">
        <w:rPr>
          <w:rFonts w:ascii="Arial" w:hAnsi="Arial" w:cs="Arial"/>
          <w:b/>
          <w:sz w:val="22"/>
        </w:rPr>
        <w:t xml:space="preserve">Sponsor Capacity </w:t>
      </w:r>
      <w:r w:rsidRPr="000C3403">
        <w:rPr>
          <w:rFonts w:ascii="Arial" w:hAnsi="Arial" w:cs="Arial"/>
          <w:sz w:val="22"/>
        </w:rPr>
        <w:t xml:space="preserve">– to support and incentivise strong sponsors to drive school improvement and turn around underperforming schools. </w:t>
      </w:r>
    </w:p>
    <w:p w14:paraId="0C83671D" w14:textId="77777777" w:rsidR="00BC7D36" w:rsidRPr="000C3403" w:rsidRDefault="00BC7D36" w:rsidP="00BC7D36">
      <w:pPr>
        <w:pStyle w:val="NumberedNormal"/>
        <w:numPr>
          <w:ilvl w:val="0"/>
          <w:numId w:val="20"/>
        </w:numPr>
        <w:tabs>
          <w:tab w:val="left" w:pos="720"/>
        </w:tabs>
        <w:spacing w:before="0" w:after="0" w:line="288" w:lineRule="auto"/>
        <w:ind w:left="1145" w:hanging="357"/>
        <w:rPr>
          <w:rFonts w:ascii="Arial" w:hAnsi="Arial" w:cs="Arial"/>
          <w:sz w:val="22"/>
        </w:rPr>
      </w:pPr>
      <w:r w:rsidRPr="000C3403">
        <w:rPr>
          <w:rFonts w:ascii="Arial" w:hAnsi="Arial" w:cs="Arial"/>
          <w:b/>
          <w:sz w:val="22"/>
        </w:rPr>
        <w:t xml:space="preserve">MAT Growth </w:t>
      </w:r>
      <w:r w:rsidRPr="000C3403">
        <w:rPr>
          <w:rFonts w:ascii="Arial" w:hAnsi="Arial" w:cs="Arial"/>
          <w:sz w:val="22"/>
        </w:rPr>
        <w:t>–</w:t>
      </w:r>
      <w:r>
        <w:rPr>
          <w:rFonts w:ascii="Arial" w:hAnsi="Arial" w:cs="Arial"/>
          <w:sz w:val="22"/>
        </w:rPr>
        <w:t xml:space="preserve"> </w:t>
      </w:r>
      <w:r w:rsidRPr="000C3403">
        <w:rPr>
          <w:rFonts w:ascii="Arial" w:hAnsi="Arial" w:cs="Arial"/>
          <w:sz w:val="22"/>
        </w:rPr>
        <w:t xml:space="preserve">to support MATs looking to expand, aimed at the critical growth phase for MATs with 3-10 schools. </w:t>
      </w:r>
    </w:p>
    <w:p w14:paraId="281776A3" w14:textId="77777777" w:rsidR="00BC7D36" w:rsidRPr="000C3403" w:rsidRDefault="00BC7D36" w:rsidP="00BC7D36">
      <w:pPr>
        <w:pStyle w:val="NumberedNormal"/>
        <w:numPr>
          <w:ilvl w:val="0"/>
          <w:numId w:val="20"/>
        </w:numPr>
        <w:tabs>
          <w:tab w:val="left" w:pos="720"/>
        </w:tabs>
        <w:spacing w:before="0" w:after="0" w:line="288" w:lineRule="auto"/>
        <w:ind w:left="1145" w:hanging="357"/>
        <w:rPr>
          <w:rFonts w:ascii="Arial" w:hAnsi="Arial" w:cs="Arial"/>
          <w:sz w:val="22"/>
        </w:rPr>
      </w:pPr>
      <w:r w:rsidRPr="000C3403">
        <w:rPr>
          <w:rFonts w:ascii="Arial" w:hAnsi="Arial" w:cs="Arial"/>
          <w:b/>
          <w:sz w:val="22"/>
        </w:rPr>
        <w:t xml:space="preserve">New Hubs </w:t>
      </w:r>
      <w:r w:rsidRPr="000C3403">
        <w:rPr>
          <w:rFonts w:ascii="Arial" w:hAnsi="Arial" w:cs="Arial"/>
          <w:sz w:val="22"/>
        </w:rPr>
        <w:t xml:space="preserve">– to encourage high-performing sponsors to open new bases in areas of low capacity. </w:t>
      </w:r>
    </w:p>
    <w:p w14:paraId="272F2069" w14:textId="77777777" w:rsidR="00BC7D36" w:rsidRPr="000F6233" w:rsidRDefault="00BC7D36" w:rsidP="00BC7D36">
      <w:pPr>
        <w:spacing w:line="276" w:lineRule="auto"/>
        <w:contextualSpacing/>
        <w:rPr>
          <w:rFonts w:cs="Arial"/>
        </w:rPr>
      </w:pPr>
    </w:p>
    <w:p w14:paraId="55FB23C6" w14:textId="77777777" w:rsidR="00BC7D36" w:rsidRPr="000F6233" w:rsidRDefault="00BC7D36" w:rsidP="00BC7D36">
      <w:pPr>
        <w:contextualSpacing/>
        <w:rPr>
          <w:rFonts w:cs="Arial"/>
        </w:rPr>
      </w:pPr>
      <w:r w:rsidRPr="000F6233">
        <w:rPr>
          <w:rFonts w:cs="Arial"/>
        </w:rPr>
        <w:t xml:space="preserve">Each </w:t>
      </w:r>
      <w:r>
        <w:rPr>
          <w:rFonts w:cs="Arial"/>
        </w:rPr>
        <w:t xml:space="preserve">RSC </w:t>
      </w:r>
      <w:r w:rsidRPr="000F6233">
        <w:rPr>
          <w:rFonts w:cs="Arial"/>
        </w:rPr>
        <w:t xml:space="preserve">region was allocated a minimum of £2m for the RAGF, to cover the three streams, with up to £6m of additional funding to be used specifically in </w:t>
      </w:r>
      <w:r>
        <w:rPr>
          <w:rFonts w:cs="Arial"/>
        </w:rPr>
        <w:t xml:space="preserve">the first wave </w:t>
      </w:r>
      <w:r w:rsidRPr="000F6233">
        <w:rPr>
          <w:rFonts w:cs="Arial"/>
        </w:rPr>
        <w:t>Opportunity Areas</w:t>
      </w:r>
      <w:r>
        <w:rPr>
          <w:rFonts w:cs="Arial"/>
        </w:rPr>
        <w:t xml:space="preserve"> (OAs)</w:t>
      </w:r>
      <w:r w:rsidRPr="000F6233">
        <w:rPr>
          <w:rFonts w:cs="Arial"/>
        </w:rPr>
        <w:t>. RSCs had the flexibility to decide the split of their funding between the three funding streams according to their regional priorities.</w:t>
      </w:r>
    </w:p>
    <w:p w14:paraId="2DA3BB87" w14:textId="132BC56B" w:rsidR="00A57128" w:rsidRDefault="00A76426" w:rsidP="001F2CE2">
      <w:pPr>
        <w:pStyle w:val="Heading2"/>
      </w:pPr>
      <w:r>
        <w:lastRenderedPageBreak/>
        <w:t>Research</w:t>
      </w:r>
      <w:r w:rsidR="00A57128" w:rsidRPr="003E05F9">
        <w:t xml:space="preserve"> aims</w:t>
      </w:r>
    </w:p>
    <w:p w14:paraId="7CF7F87A" w14:textId="1621AABF" w:rsidR="00EE3692" w:rsidRPr="000F6233" w:rsidRDefault="00EE3692" w:rsidP="00EE3692">
      <w:pPr>
        <w:spacing w:line="276" w:lineRule="auto"/>
        <w:contextualSpacing/>
        <w:rPr>
          <w:rFonts w:cs="Arial"/>
        </w:rPr>
      </w:pPr>
      <w:r w:rsidRPr="000F6233">
        <w:rPr>
          <w:rFonts w:cs="Arial"/>
        </w:rPr>
        <w:t xml:space="preserve">Below is a </w:t>
      </w:r>
      <w:r w:rsidR="001328E4">
        <w:rPr>
          <w:rFonts w:cs="Arial"/>
        </w:rPr>
        <w:t xml:space="preserve">(non-exhaustive) </w:t>
      </w:r>
      <w:r w:rsidRPr="000F6233">
        <w:rPr>
          <w:rFonts w:cs="Arial"/>
        </w:rPr>
        <w:t>list of the questions we hope th</w:t>
      </w:r>
      <w:r w:rsidR="00DB6434">
        <w:rPr>
          <w:rFonts w:cs="Arial"/>
        </w:rPr>
        <w:t xml:space="preserve">is research </w:t>
      </w:r>
      <w:r w:rsidRPr="000F6233">
        <w:rPr>
          <w:rFonts w:cs="Arial"/>
        </w:rPr>
        <w:t>will answer:</w:t>
      </w:r>
    </w:p>
    <w:p w14:paraId="38652B1F" w14:textId="6E11D2C4" w:rsidR="00BC7D36" w:rsidRPr="00BC7D36" w:rsidRDefault="00BC7D36" w:rsidP="00BC7D36">
      <w:pPr>
        <w:pStyle w:val="ListParagraph"/>
        <w:numPr>
          <w:ilvl w:val="0"/>
          <w:numId w:val="22"/>
        </w:numPr>
      </w:pPr>
      <w:r w:rsidRPr="00BC7D36">
        <w:t xml:space="preserve">How did trusts hear about </w:t>
      </w:r>
      <w:r w:rsidR="001328E4">
        <w:t xml:space="preserve">the </w:t>
      </w:r>
      <w:r w:rsidRPr="00BC7D36">
        <w:t>RAGF?</w:t>
      </w:r>
    </w:p>
    <w:p w14:paraId="1C341D47" w14:textId="65833722" w:rsidR="00BC7D36" w:rsidRPr="00BC7D36" w:rsidRDefault="00BC7D36" w:rsidP="00BC7D36">
      <w:pPr>
        <w:pStyle w:val="ListParagraph"/>
        <w:numPr>
          <w:ilvl w:val="0"/>
          <w:numId w:val="22"/>
        </w:numPr>
      </w:pPr>
      <w:r w:rsidRPr="00BC7D36">
        <w:t>How did trusts come to the decision to apply for RAGF funding?</w:t>
      </w:r>
    </w:p>
    <w:p w14:paraId="1653FE8B" w14:textId="57EC603B" w:rsidR="00BC7D36" w:rsidRPr="00BC7D36" w:rsidRDefault="00BC7D36" w:rsidP="00BC7D36">
      <w:pPr>
        <w:pStyle w:val="ListParagraph"/>
        <w:numPr>
          <w:ilvl w:val="0"/>
          <w:numId w:val="22"/>
        </w:numPr>
      </w:pPr>
      <w:r w:rsidRPr="00BC7D36">
        <w:t>How did trusts decide how much funding to apply for, and if they did not request the maximum amount, then why not?</w:t>
      </w:r>
    </w:p>
    <w:p w14:paraId="2F58D47E" w14:textId="6633ABD6" w:rsidR="00BC7D36" w:rsidRPr="00BC7D36" w:rsidRDefault="00BC7D36" w:rsidP="00BC7D36">
      <w:pPr>
        <w:pStyle w:val="ListParagraph"/>
        <w:numPr>
          <w:ilvl w:val="0"/>
          <w:numId w:val="22"/>
        </w:numPr>
      </w:pPr>
      <w:r w:rsidRPr="00BC7D36">
        <w:t>How did they decide what the funding would be spent on? Similarly, how did they identify which areas were most likely to aid them in achieving their goals?</w:t>
      </w:r>
    </w:p>
    <w:p w14:paraId="7DDCAFE0" w14:textId="7FEE82B1" w:rsidR="00BC7D36" w:rsidRPr="00BC7D36" w:rsidRDefault="00BC7D36" w:rsidP="00BC7D36">
      <w:pPr>
        <w:pStyle w:val="ListParagraph"/>
        <w:numPr>
          <w:ilvl w:val="0"/>
          <w:numId w:val="22"/>
        </w:numPr>
      </w:pPr>
      <w:r w:rsidRPr="00BC7D36">
        <w:t>How did they decide which stream(s) to apply for? Did they consider going for more or fewer?</w:t>
      </w:r>
    </w:p>
    <w:p w14:paraId="165416DE" w14:textId="3874C19A" w:rsidR="00BC7D36" w:rsidRPr="00BC7D36" w:rsidRDefault="00BC7D36" w:rsidP="00BC7D36">
      <w:pPr>
        <w:pStyle w:val="ListParagraph"/>
        <w:numPr>
          <w:ilvl w:val="0"/>
          <w:numId w:val="22"/>
        </w:numPr>
      </w:pPr>
      <w:r w:rsidRPr="00BC7D36">
        <w:t>How do trusts view the RAGF compared to other funding opportunities available to them?</w:t>
      </w:r>
    </w:p>
    <w:p w14:paraId="32FE0B1B" w14:textId="40B842D7" w:rsidR="00BC7D36" w:rsidRPr="00BC7D36" w:rsidRDefault="00BC7D36" w:rsidP="00BC7D36">
      <w:pPr>
        <w:pStyle w:val="ListParagraph"/>
        <w:numPr>
          <w:ilvl w:val="0"/>
          <w:numId w:val="22"/>
        </w:numPr>
      </w:pPr>
      <w:r w:rsidRPr="00BC7D36">
        <w:t>How effective have the trust’s KPIs been in measuring progress?</w:t>
      </w:r>
    </w:p>
    <w:p w14:paraId="56FCD716" w14:textId="00C17F55" w:rsidR="00BC7D36" w:rsidRPr="00BC7D36" w:rsidRDefault="00BC7D36" w:rsidP="00BC7D36">
      <w:pPr>
        <w:pStyle w:val="ListParagraph"/>
        <w:numPr>
          <w:ilvl w:val="0"/>
          <w:numId w:val="22"/>
        </w:numPr>
      </w:pPr>
      <w:r w:rsidRPr="00BC7D36">
        <w:t>Have trusts spent the money received in accordance with what they initially outlined on the application form, or did their plans change? If so, how?</w:t>
      </w:r>
    </w:p>
    <w:p w14:paraId="3CD43D63" w14:textId="4B57820C" w:rsidR="00BC7D36" w:rsidRPr="00BC7D36" w:rsidRDefault="00BC7D36" w:rsidP="00BC7D36">
      <w:pPr>
        <w:pStyle w:val="ListParagraph"/>
        <w:numPr>
          <w:ilvl w:val="0"/>
          <w:numId w:val="22"/>
        </w:numPr>
      </w:pPr>
      <w:r w:rsidRPr="00BC7D36">
        <w:t>Was their emphasis purely on increasing capacity, or did trusts also have an eye on school improvement? Did this alter the way funds were spent?</w:t>
      </w:r>
    </w:p>
    <w:p w14:paraId="3543C300" w14:textId="09E4EFF9" w:rsidR="00BC7D36" w:rsidRPr="00BC7D36" w:rsidRDefault="00BC7D36" w:rsidP="00BC7D36">
      <w:pPr>
        <w:pStyle w:val="ListParagraph"/>
        <w:numPr>
          <w:ilvl w:val="0"/>
          <w:numId w:val="22"/>
        </w:numPr>
      </w:pPr>
      <w:r w:rsidRPr="00BC7D36">
        <w:t>Have there been any learning points for the trusts? Things they would do differently if they were to go through a similar process in the future?</w:t>
      </w:r>
    </w:p>
    <w:p w14:paraId="039CAE25" w14:textId="593D96D5" w:rsidR="00BC7D36" w:rsidRPr="00BC7D36" w:rsidRDefault="001328E4" w:rsidP="00BC7D36">
      <w:pPr>
        <w:pStyle w:val="ListParagraph"/>
        <w:numPr>
          <w:ilvl w:val="0"/>
          <w:numId w:val="22"/>
        </w:numPr>
      </w:pPr>
      <w:r>
        <w:t>Do trusts feel that</w:t>
      </w:r>
      <w:r w:rsidR="00BC7D36" w:rsidRPr="00BC7D36">
        <w:t xml:space="preserve"> 12 months </w:t>
      </w:r>
      <w:r>
        <w:t xml:space="preserve">is </w:t>
      </w:r>
      <w:r w:rsidR="00BC7D36" w:rsidRPr="00BC7D36">
        <w:t>a sufficient amount of time to carry out the activity expected of the award?</w:t>
      </w:r>
    </w:p>
    <w:p w14:paraId="2CD17E6F" w14:textId="0EB648DA" w:rsidR="00BC7D36" w:rsidRPr="00BC7D36" w:rsidRDefault="001328E4" w:rsidP="00BC7D36">
      <w:pPr>
        <w:pStyle w:val="ListParagraph"/>
        <w:numPr>
          <w:ilvl w:val="0"/>
          <w:numId w:val="22"/>
        </w:numPr>
      </w:pPr>
      <w:r>
        <w:t>From the trusts’ perspective, h</w:t>
      </w:r>
      <w:r w:rsidR="00BC7D36" w:rsidRPr="00BC7D36">
        <w:t xml:space="preserve">ow did </w:t>
      </w:r>
      <w:r>
        <w:t xml:space="preserve">the </w:t>
      </w:r>
      <w:r w:rsidR="00BC7D36" w:rsidRPr="00BC7D36">
        <w:t>RAGF compare with previous capacity funding rounds?</w:t>
      </w:r>
    </w:p>
    <w:p w14:paraId="4CD4759F" w14:textId="0884945D" w:rsidR="00BC7D36" w:rsidRPr="00BC7D36" w:rsidRDefault="00BC7D36" w:rsidP="00BC7D36">
      <w:pPr>
        <w:pStyle w:val="ListParagraph"/>
        <w:numPr>
          <w:ilvl w:val="0"/>
          <w:numId w:val="22"/>
        </w:numPr>
        <w:rPr>
          <w:b/>
        </w:rPr>
      </w:pPr>
      <w:r w:rsidRPr="00BC7D36">
        <w:t xml:space="preserve">If </w:t>
      </w:r>
      <w:r w:rsidR="000D7FC1">
        <w:t xml:space="preserve">a </w:t>
      </w:r>
      <w:r w:rsidRPr="00BC7D36">
        <w:t xml:space="preserve">trust also applied for </w:t>
      </w:r>
      <w:r w:rsidR="00AD5FE1">
        <w:t>the MAT Development and Innovation Fund (</w:t>
      </w:r>
      <w:r w:rsidRPr="00BC7D36">
        <w:t>MDIF</w:t>
      </w:r>
      <w:r w:rsidR="00AD5FE1">
        <w:t>):</w:t>
      </w:r>
      <w:r w:rsidRPr="00BC7D36">
        <w:t xml:space="preserve"> How did applying for </w:t>
      </w:r>
      <w:r w:rsidR="001328E4">
        <w:t xml:space="preserve">the </w:t>
      </w:r>
      <w:r w:rsidRPr="00BC7D36">
        <w:t xml:space="preserve">RAGF compare with applying for </w:t>
      </w:r>
      <w:r w:rsidR="001328E4">
        <w:t xml:space="preserve">the </w:t>
      </w:r>
      <w:r w:rsidRPr="00BC7D36">
        <w:t>MDIF?</w:t>
      </w:r>
    </w:p>
    <w:p w14:paraId="0E6B3F4B" w14:textId="353852FD" w:rsidR="004A600B" w:rsidRPr="004A600B" w:rsidRDefault="004A600B" w:rsidP="00BC7D36">
      <w:pPr>
        <w:pStyle w:val="Heading2"/>
      </w:pPr>
      <w:r>
        <w:t>Methodology</w:t>
      </w:r>
    </w:p>
    <w:p w14:paraId="32CFE69E" w14:textId="32CA2179" w:rsidR="005133D9" w:rsidRDefault="005133D9" w:rsidP="005133D9">
      <w:pPr>
        <w:rPr>
          <w:rFonts w:cs="Arial"/>
        </w:rPr>
      </w:pPr>
      <w:r w:rsidRPr="000F6233">
        <w:rPr>
          <w:rFonts w:cs="Arial"/>
        </w:rPr>
        <w:t xml:space="preserve">The proposed research is qualitative in nature, and </w:t>
      </w:r>
      <w:r w:rsidR="000D7FC1">
        <w:rPr>
          <w:rFonts w:cs="Arial"/>
        </w:rPr>
        <w:t xml:space="preserve">we </w:t>
      </w:r>
      <w:r w:rsidR="00DA5463">
        <w:rPr>
          <w:rFonts w:cs="Arial"/>
        </w:rPr>
        <w:t xml:space="preserve">expect it </w:t>
      </w:r>
      <w:r w:rsidRPr="000F6233">
        <w:rPr>
          <w:rFonts w:cs="Arial"/>
        </w:rPr>
        <w:t xml:space="preserve">will consist of </w:t>
      </w:r>
      <w:r w:rsidR="00553BB2">
        <w:rPr>
          <w:rFonts w:cs="Arial"/>
        </w:rPr>
        <w:t>interviews with</w:t>
      </w:r>
      <w:r>
        <w:rPr>
          <w:rFonts w:cs="Arial"/>
        </w:rPr>
        <w:t xml:space="preserve"> 24 different trusts – 3 per RSC region. This will allow us to speak to one trust from each </w:t>
      </w:r>
      <w:r w:rsidRPr="0064050A">
        <w:rPr>
          <w:rFonts w:cs="Arial"/>
        </w:rPr>
        <w:t>stream</w:t>
      </w:r>
      <w:r>
        <w:rPr>
          <w:rFonts w:cs="Arial"/>
        </w:rPr>
        <w:t xml:space="preserve"> (</w:t>
      </w:r>
      <w:r w:rsidRPr="000F6233">
        <w:rPr>
          <w:rFonts w:cs="Arial"/>
        </w:rPr>
        <w:t>Sponsor Capacity; MAT Growth; New Hubs</w:t>
      </w:r>
      <w:r>
        <w:rPr>
          <w:rFonts w:cs="Arial"/>
        </w:rPr>
        <w:t>) in each RSC.</w:t>
      </w:r>
    </w:p>
    <w:p w14:paraId="68959BF6" w14:textId="37C3E712" w:rsidR="005360B7" w:rsidRDefault="00213170" w:rsidP="005133D9">
      <w:pPr>
        <w:pStyle w:val="Heading4"/>
      </w:pPr>
      <w:r>
        <w:t>Interviews</w:t>
      </w:r>
    </w:p>
    <w:p w14:paraId="171B95E1" w14:textId="0232EA0C" w:rsidR="0053796E" w:rsidRDefault="0053796E" w:rsidP="000B5641">
      <w:pPr>
        <w:rPr>
          <w:rFonts w:cs="Arial"/>
        </w:rPr>
      </w:pPr>
      <w:r>
        <w:rPr>
          <w:rFonts w:cs="Arial"/>
        </w:rPr>
        <w:t>At the ITT stage, we will ask bidders to provide a detailed proposal for addressing the research questions</w:t>
      </w:r>
      <w:r w:rsidR="00DA5463">
        <w:rPr>
          <w:rFonts w:cs="Arial"/>
        </w:rPr>
        <w:t xml:space="preserve"> listed above</w:t>
      </w:r>
      <w:r>
        <w:rPr>
          <w:rFonts w:cs="Arial"/>
        </w:rPr>
        <w:t>. However, we currently envision that the research will involve in-depth telephone interviews.</w:t>
      </w:r>
    </w:p>
    <w:p w14:paraId="2DBBB57C" w14:textId="37DC3EF0" w:rsidR="000B5641" w:rsidRDefault="00DA5463" w:rsidP="000B5641">
      <w:pPr>
        <w:rPr>
          <w:rFonts w:cs="Arial"/>
        </w:rPr>
      </w:pPr>
      <w:r w:rsidRPr="00466D3C">
        <w:rPr>
          <w:rFonts w:cs="Arial"/>
        </w:rPr>
        <w:t>A</w:t>
      </w:r>
      <w:r w:rsidR="00CE0804">
        <w:rPr>
          <w:rFonts w:cs="Arial"/>
        </w:rPr>
        <w:t>t</w:t>
      </w:r>
      <w:r w:rsidRPr="00466D3C">
        <w:rPr>
          <w:rFonts w:cs="Arial"/>
        </w:rPr>
        <w:t xml:space="preserve"> a minimum, we expect the contractor to conduct </w:t>
      </w:r>
      <w:r w:rsidR="000B5641" w:rsidRPr="00466D3C">
        <w:rPr>
          <w:rFonts w:cs="Arial"/>
        </w:rPr>
        <w:t xml:space="preserve">in-depth interviews with </w:t>
      </w:r>
      <w:r w:rsidR="00815E16">
        <w:rPr>
          <w:rFonts w:cs="Arial"/>
        </w:rPr>
        <w:t xml:space="preserve">at least </w:t>
      </w:r>
      <w:r w:rsidR="000B5641" w:rsidRPr="00466D3C">
        <w:rPr>
          <w:rFonts w:cs="Arial"/>
        </w:rPr>
        <w:t xml:space="preserve">two individuals per trust, most likely the Chief Executive and Chief Financial Officer, although there may be others </w:t>
      </w:r>
      <w:r w:rsidRPr="00466D3C">
        <w:rPr>
          <w:rFonts w:cs="Arial"/>
        </w:rPr>
        <w:t>who can provide further insight</w:t>
      </w:r>
      <w:r w:rsidR="000B5641" w:rsidRPr="00466D3C">
        <w:rPr>
          <w:rFonts w:cs="Arial"/>
        </w:rPr>
        <w:t xml:space="preserve">. As such, the research will need to respond accordingly; if it is possible to speak to more people in a particular trust, and there is value to be had in doing so, then we will </w:t>
      </w:r>
      <w:r w:rsidRPr="00466D3C">
        <w:rPr>
          <w:rFonts w:cs="Arial"/>
        </w:rPr>
        <w:t xml:space="preserve">expect the contractor to do so </w:t>
      </w:r>
      <w:r w:rsidR="000B5641" w:rsidRPr="00466D3C">
        <w:rPr>
          <w:rFonts w:cs="Arial"/>
        </w:rPr>
        <w:t>(so long as it is not too sizeable an imposition to the trusts in question).</w:t>
      </w:r>
      <w:r w:rsidR="000B5641" w:rsidRPr="000F6233">
        <w:rPr>
          <w:rFonts w:cs="Arial"/>
        </w:rPr>
        <w:t xml:space="preserve"> </w:t>
      </w:r>
    </w:p>
    <w:p w14:paraId="67DFD847" w14:textId="50E25D21" w:rsidR="00213170" w:rsidRDefault="00213170" w:rsidP="000B5641">
      <w:pPr>
        <w:rPr>
          <w:rFonts w:cs="Arial"/>
        </w:rPr>
      </w:pPr>
      <w:r w:rsidRPr="000F6233">
        <w:rPr>
          <w:rFonts w:cs="Arial"/>
        </w:rPr>
        <w:t xml:space="preserve">Department analysts will work with the policy team and contractor to develop the interview schedule and ensure that it meets the needs of the project. We will request that the contractor </w:t>
      </w:r>
      <w:r>
        <w:rPr>
          <w:rFonts w:cs="Arial"/>
        </w:rPr>
        <w:t xml:space="preserve">remain in </w:t>
      </w:r>
      <w:r>
        <w:rPr>
          <w:rFonts w:cs="Arial"/>
        </w:rPr>
        <w:lastRenderedPageBreak/>
        <w:t xml:space="preserve">contact, particularly during the </w:t>
      </w:r>
      <w:r w:rsidRPr="000F6233">
        <w:rPr>
          <w:rFonts w:cs="Arial"/>
        </w:rPr>
        <w:t xml:space="preserve">early </w:t>
      </w:r>
      <w:r>
        <w:rPr>
          <w:rFonts w:cs="Arial"/>
        </w:rPr>
        <w:t xml:space="preserve">stages of </w:t>
      </w:r>
      <w:r w:rsidRPr="000F6233">
        <w:rPr>
          <w:rFonts w:cs="Arial"/>
        </w:rPr>
        <w:t>fieldwork, to ensure interviews are gathering usable and insightful data.</w:t>
      </w:r>
    </w:p>
    <w:p w14:paraId="0F720F60" w14:textId="3915ECA6" w:rsidR="002B6D93" w:rsidRDefault="00213170" w:rsidP="001F2CE2">
      <w:pPr>
        <w:pStyle w:val="Heading4"/>
      </w:pPr>
      <w:r>
        <w:t>Sampling</w:t>
      </w:r>
    </w:p>
    <w:p w14:paraId="08BCBC98" w14:textId="31324AEB" w:rsidR="004041B3" w:rsidRPr="00213170" w:rsidRDefault="00213170" w:rsidP="004041B3">
      <w:r w:rsidRPr="00213170">
        <w:t xml:space="preserve">This is small, qualitative project and, as such, </w:t>
      </w:r>
      <w:r w:rsidR="000B5641">
        <w:t xml:space="preserve">we are not aiming for the sample to be </w:t>
      </w:r>
      <w:r w:rsidRPr="00213170">
        <w:t>entirely representative of all academy trusts</w:t>
      </w:r>
      <w:r w:rsidR="00363A88">
        <w:t>;</w:t>
      </w:r>
      <w:r w:rsidR="009977DD">
        <w:t xml:space="preserve"> rather we are keen to ensure that the sample captures a broad range of characteristics</w:t>
      </w:r>
      <w:r w:rsidRPr="00213170">
        <w:t xml:space="preserve">. </w:t>
      </w:r>
      <w:r w:rsidR="004041B3">
        <w:t xml:space="preserve">We will work in collaboration with the contractor to ensure </w:t>
      </w:r>
      <w:r w:rsidR="009977DD">
        <w:t xml:space="preserve">an appropriate sample is selected. Factors </w:t>
      </w:r>
      <w:r w:rsidR="004041B3" w:rsidRPr="00213170">
        <w:t>which will inform the choice of trusts include:</w:t>
      </w:r>
    </w:p>
    <w:p w14:paraId="58EF0932" w14:textId="35444654" w:rsidR="00213170" w:rsidRPr="00213170" w:rsidRDefault="00213170" w:rsidP="004041B3">
      <w:pPr>
        <w:pStyle w:val="ListParagraph"/>
        <w:numPr>
          <w:ilvl w:val="0"/>
          <w:numId w:val="33"/>
        </w:numPr>
      </w:pPr>
      <w:r w:rsidRPr="00213170">
        <w:t>Size of trust</w:t>
      </w:r>
    </w:p>
    <w:p w14:paraId="6540B73A" w14:textId="523F1F82" w:rsidR="00213170" w:rsidRPr="00213170" w:rsidRDefault="00213170" w:rsidP="004041B3">
      <w:pPr>
        <w:pStyle w:val="ListParagraph"/>
        <w:numPr>
          <w:ilvl w:val="0"/>
          <w:numId w:val="33"/>
        </w:numPr>
      </w:pPr>
      <w:r w:rsidRPr="00213170">
        <w:t>Region</w:t>
      </w:r>
    </w:p>
    <w:p w14:paraId="7EC213C4" w14:textId="72C45B27" w:rsidR="00213170" w:rsidRPr="00213170" w:rsidRDefault="00213170" w:rsidP="004041B3">
      <w:pPr>
        <w:pStyle w:val="ListParagraph"/>
        <w:numPr>
          <w:ilvl w:val="0"/>
          <w:numId w:val="33"/>
        </w:numPr>
      </w:pPr>
      <w:r w:rsidRPr="00213170">
        <w:t>Age/experience of trust</w:t>
      </w:r>
    </w:p>
    <w:p w14:paraId="767D5563" w14:textId="62E365D6" w:rsidR="00213170" w:rsidRPr="00213170" w:rsidRDefault="00213170" w:rsidP="004041B3">
      <w:pPr>
        <w:pStyle w:val="ListParagraph"/>
        <w:numPr>
          <w:ilvl w:val="0"/>
          <w:numId w:val="33"/>
        </w:numPr>
      </w:pPr>
      <w:r w:rsidRPr="00213170">
        <w:t>Whether schools in trust are mainly in rural, urban, or coastal locations</w:t>
      </w:r>
    </w:p>
    <w:p w14:paraId="4141BBAA" w14:textId="750B6F69" w:rsidR="00213170" w:rsidRPr="00213170" w:rsidRDefault="009977DD" w:rsidP="004041B3">
      <w:pPr>
        <w:pStyle w:val="ListParagraph"/>
        <w:numPr>
          <w:ilvl w:val="0"/>
          <w:numId w:val="33"/>
        </w:numPr>
      </w:pPr>
      <w:r>
        <w:t xml:space="preserve">Whether trusts’ schools are located in </w:t>
      </w:r>
      <w:r w:rsidR="00213170" w:rsidRPr="00213170">
        <w:t>Opportunity Area</w:t>
      </w:r>
      <w:r>
        <w:t>s</w:t>
      </w:r>
    </w:p>
    <w:p w14:paraId="11C9369D" w14:textId="05C626EA" w:rsidR="00213170" w:rsidRPr="00213170" w:rsidRDefault="009977DD" w:rsidP="004041B3">
      <w:pPr>
        <w:pStyle w:val="ListParagraph"/>
        <w:numPr>
          <w:ilvl w:val="0"/>
          <w:numId w:val="33"/>
        </w:numPr>
      </w:pPr>
      <w:r>
        <w:t>Whether trusts have been a</w:t>
      </w:r>
      <w:r w:rsidR="00213170" w:rsidRPr="00213170">
        <w:t>warded funding under multiple streams</w:t>
      </w:r>
    </w:p>
    <w:p w14:paraId="502BE6FA" w14:textId="3DFF7B54" w:rsidR="004A600B" w:rsidRDefault="004A600B" w:rsidP="001F2CE2">
      <w:pPr>
        <w:pStyle w:val="Heading2"/>
      </w:pPr>
      <w:r>
        <w:t>Timing</w:t>
      </w:r>
    </w:p>
    <w:p w14:paraId="65FC3A69" w14:textId="77777777" w:rsidR="001D213C" w:rsidRDefault="001D213C" w:rsidP="000B5641">
      <w:r>
        <w:t>Commissioning</w:t>
      </w:r>
    </w:p>
    <w:p w14:paraId="50F47E55" w14:textId="607F8826" w:rsidR="005C42ED" w:rsidRDefault="005C42ED" w:rsidP="000B5641">
      <w:pPr>
        <w:pStyle w:val="ListParagraph"/>
        <w:numPr>
          <w:ilvl w:val="0"/>
          <w:numId w:val="18"/>
        </w:numPr>
      </w:pPr>
      <w:r>
        <w:t>Deadline for recei</w:t>
      </w:r>
      <w:r w:rsidRPr="00D215B5">
        <w:t xml:space="preserve">pt of EOIs </w:t>
      </w:r>
      <w:r w:rsidR="000B584F">
        <w:t>–</w:t>
      </w:r>
      <w:r w:rsidRPr="00D215B5">
        <w:t xml:space="preserve"> </w:t>
      </w:r>
      <w:r w:rsidR="000B584F">
        <w:t xml:space="preserve">5pm, </w:t>
      </w:r>
      <w:r w:rsidR="00E92E72">
        <w:t xml:space="preserve">Tuesday </w:t>
      </w:r>
      <w:r w:rsidRPr="00D215B5">
        <w:t>1</w:t>
      </w:r>
      <w:r w:rsidR="008B24AA" w:rsidRPr="00D215B5">
        <w:t>9</w:t>
      </w:r>
      <w:r w:rsidRPr="00D215B5">
        <w:t xml:space="preserve"> December</w:t>
      </w:r>
      <w:r>
        <w:t xml:space="preserve"> 2017</w:t>
      </w:r>
    </w:p>
    <w:p w14:paraId="4E9F718C" w14:textId="2592C944" w:rsidR="005C42ED" w:rsidRDefault="005C42ED" w:rsidP="000B5641">
      <w:pPr>
        <w:pStyle w:val="ListParagraph"/>
        <w:numPr>
          <w:ilvl w:val="0"/>
          <w:numId w:val="18"/>
        </w:numPr>
      </w:pPr>
      <w:r>
        <w:t>Issue invitations to tender - 22 December 2017</w:t>
      </w:r>
    </w:p>
    <w:p w14:paraId="55D3EC90" w14:textId="1893D855" w:rsidR="005C42ED" w:rsidRDefault="005C42ED" w:rsidP="000B5641">
      <w:pPr>
        <w:pStyle w:val="ListParagraph"/>
        <w:numPr>
          <w:ilvl w:val="0"/>
          <w:numId w:val="18"/>
        </w:numPr>
      </w:pPr>
      <w:r>
        <w:t>Receive tenders - 19 January 2018</w:t>
      </w:r>
    </w:p>
    <w:p w14:paraId="3E272EF3" w14:textId="586AE668" w:rsidR="005C42ED" w:rsidRDefault="005C42ED" w:rsidP="000B5641">
      <w:pPr>
        <w:pStyle w:val="ListParagraph"/>
        <w:numPr>
          <w:ilvl w:val="0"/>
          <w:numId w:val="18"/>
        </w:numPr>
      </w:pPr>
      <w:r>
        <w:t>Contract awarded - 26 January 2018</w:t>
      </w:r>
    </w:p>
    <w:p w14:paraId="7A6FB48C" w14:textId="4B71EBB7" w:rsidR="001D213C" w:rsidRDefault="001D213C" w:rsidP="000B5641">
      <w:r w:rsidRPr="001D213C">
        <w:t>Project – indicative, and subject to agreement at contract stage</w:t>
      </w:r>
    </w:p>
    <w:p w14:paraId="0040E391" w14:textId="297B4E18" w:rsidR="005C42ED" w:rsidRDefault="005C42ED" w:rsidP="000B5641">
      <w:pPr>
        <w:pStyle w:val="ListParagraph"/>
        <w:numPr>
          <w:ilvl w:val="0"/>
          <w:numId w:val="18"/>
        </w:numPr>
      </w:pPr>
      <w:r>
        <w:t>Develop interview schedules and begin arranging visits - February 2018</w:t>
      </w:r>
    </w:p>
    <w:p w14:paraId="5466E97F" w14:textId="4A83F423" w:rsidR="005C42ED" w:rsidRDefault="005C42ED" w:rsidP="000B5641">
      <w:pPr>
        <w:pStyle w:val="ListParagraph"/>
        <w:numPr>
          <w:ilvl w:val="0"/>
          <w:numId w:val="18"/>
        </w:numPr>
      </w:pPr>
      <w:r>
        <w:t>Academy trust visits</w:t>
      </w:r>
      <w:r>
        <w:tab/>
        <w:t>February - March 2108</w:t>
      </w:r>
    </w:p>
    <w:p w14:paraId="3096EBFD" w14:textId="2D89DF59" w:rsidR="005C42ED" w:rsidRPr="007E0083" w:rsidRDefault="005C42ED" w:rsidP="000B5641">
      <w:pPr>
        <w:pStyle w:val="ListParagraph"/>
        <w:numPr>
          <w:ilvl w:val="0"/>
          <w:numId w:val="18"/>
        </w:numPr>
      </w:pPr>
      <w:r>
        <w:t>Final report - April 2018</w:t>
      </w:r>
    </w:p>
    <w:p w14:paraId="0D2B2C65" w14:textId="41DF3DE1" w:rsidR="004A600B" w:rsidRPr="004A600B" w:rsidRDefault="004A600B" w:rsidP="007E0083">
      <w:pPr>
        <w:pStyle w:val="Heading2"/>
      </w:pPr>
      <w:r w:rsidRPr="004A600B">
        <w:t>Assessment criteria</w:t>
      </w:r>
    </w:p>
    <w:p w14:paraId="542ECE8D" w14:textId="77777777" w:rsidR="00A13B97" w:rsidRDefault="00A13B97" w:rsidP="000B5641">
      <w:pPr>
        <w:pStyle w:val="Default"/>
        <w:spacing w:before="120" w:after="120" w:line="288" w:lineRule="auto"/>
        <w:rPr>
          <w:sz w:val="22"/>
          <w:szCs w:val="22"/>
        </w:rPr>
      </w:pPr>
      <w:r>
        <w:rPr>
          <w:sz w:val="22"/>
          <w:szCs w:val="22"/>
        </w:rPr>
        <w:t xml:space="preserve">Expressions of interest will be assessed against the following criteria: </w:t>
      </w:r>
    </w:p>
    <w:p w14:paraId="22B6C85F" w14:textId="77777777" w:rsidR="00A13B97" w:rsidRPr="0087497F" w:rsidRDefault="00A13B97" w:rsidP="000B5641">
      <w:pPr>
        <w:pStyle w:val="Default"/>
        <w:numPr>
          <w:ilvl w:val="0"/>
          <w:numId w:val="30"/>
        </w:numPr>
        <w:spacing w:after="100" w:afterAutospacing="1" w:line="288" w:lineRule="auto"/>
        <w:rPr>
          <w:color w:val="auto"/>
          <w:sz w:val="22"/>
          <w:szCs w:val="22"/>
        </w:rPr>
      </w:pPr>
      <w:r w:rsidRPr="0087497F">
        <w:rPr>
          <w:color w:val="auto"/>
          <w:sz w:val="22"/>
          <w:szCs w:val="22"/>
        </w:rPr>
        <w:t xml:space="preserve">Understanding of the Department’s requirement, including an outline of the proposed approach to conducting the research and its rationale (30%). </w:t>
      </w:r>
    </w:p>
    <w:p w14:paraId="5931B37C" w14:textId="081673D4" w:rsidR="00A13B97" w:rsidRPr="0087497F" w:rsidRDefault="00A13B97" w:rsidP="000B5641">
      <w:pPr>
        <w:pStyle w:val="Default"/>
        <w:numPr>
          <w:ilvl w:val="0"/>
          <w:numId w:val="30"/>
        </w:numPr>
        <w:spacing w:before="120" w:after="120" w:line="288" w:lineRule="auto"/>
        <w:rPr>
          <w:sz w:val="22"/>
          <w:szCs w:val="22"/>
        </w:rPr>
      </w:pPr>
      <w:r w:rsidRPr="0087497F">
        <w:rPr>
          <w:sz w:val="22"/>
          <w:szCs w:val="22"/>
        </w:rPr>
        <w:t xml:space="preserve">Relevant research experience, i.e. conducting </w:t>
      </w:r>
      <w:r w:rsidR="00CD22B9" w:rsidRPr="0087497F">
        <w:rPr>
          <w:sz w:val="22"/>
          <w:szCs w:val="22"/>
        </w:rPr>
        <w:t xml:space="preserve">qualitative </w:t>
      </w:r>
      <w:r w:rsidRPr="0087497F">
        <w:rPr>
          <w:sz w:val="22"/>
          <w:szCs w:val="22"/>
        </w:rPr>
        <w:t xml:space="preserve">research, particularly with </w:t>
      </w:r>
      <w:r w:rsidR="00CD22B9" w:rsidRPr="0087497F">
        <w:rPr>
          <w:sz w:val="22"/>
          <w:szCs w:val="22"/>
        </w:rPr>
        <w:t xml:space="preserve">trusts and/or </w:t>
      </w:r>
      <w:r w:rsidRPr="0087497F">
        <w:rPr>
          <w:sz w:val="22"/>
          <w:szCs w:val="22"/>
        </w:rPr>
        <w:t xml:space="preserve">schools, designing appropriate samples for </w:t>
      </w:r>
      <w:r w:rsidR="00CD22B9" w:rsidRPr="0087497F">
        <w:rPr>
          <w:sz w:val="22"/>
          <w:szCs w:val="22"/>
        </w:rPr>
        <w:t xml:space="preserve">qualitative research, </w:t>
      </w:r>
      <w:r w:rsidRPr="0087497F">
        <w:rPr>
          <w:sz w:val="22"/>
          <w:szCs w:val="22"/>
        </w:rPr>
        <w:t>interview/topic guide design, qualitative data analysis and high quality reporting (35%)</w:t>
      </w:r>
      <w:r w:rsidR="00CD22B9" w:rsidRPr="0087497F">
        <w:rPr>
          <w:sz w:val="22"/>
          <w:szCs w:val="22"/>
        </w:rPr>
        <w:t>.</w:t>
      </w:r>
    </w:p>
    <w:p w14:paraId="62BF871E" w14:textId="36EEF67E" w:rsidR="00A13B97" w:rsidRPr="0087497F" w:rsidRDefault="00A13B97" w:rsidP="000B5641">
      <w:pPr>
        <w:pStyle w:val="Default"/>
        <w:numPr>
          <w:ilvl w:val="0"/>
          <w:numId w:val="30"/>
        </w:numPr>
        <w:spacing w:before="120" w:after="120" w:line="288" w:lineRule="auto"/>
        <w:rPr>
          <w:sz w:val="22"/>
          <w:szCs w:val="22"/>
        </w:rPr>
      </w:pPr>
      <w:r w:rsidRPr="0087497F">
        <w:rPr>
          <w:sz w:val="22"/>
          <w:szCs w:val="22"/>
        </w:rPr>
        <w:t>Capacity to deliver the work to time and budget (35%)</w:t>
      </w:r>
      <w:r w:rsidR="00CD22B9" w:rsidRPr="0087497F">
        <w:rPr>
          <w:sz w:val="22"/>
          <w:szCs w:val="22"/>
        </w:rPr>
        <w:t>.</w:t>
      </w:r>
      <w:r w:rsidRPr="0087497F">
        <w:rPr>
          <w:sz w:val="22"/>
          <w:szCs w:val="22"/>
        </w:rPr>
        <w:t xml:space="preserve"> </w:t>
      </w:r>
    </w:p>
    <w:p w14:paraId="2ED0D5F5" w14:textId="77777777" w:rsidR="00A13B97" w:rsidRDefault="00A13B97" w:rsidP="000B5641">
      <w:pPr>
        <w:pStyle w:val="Default"/>
        <w:spacing w:before="120" w:after="120" w:line="288" w:lineRule="auto"/>
        <w:rPr>
          <w:sz w:val="22"/>
          <w:szCs w:val="22"/>
        </w:rPr>
      </w:pPr>
      <w:r>
        <w:rPr>
          <w:sz w:val="22"/>
          <w:szCs w:val="22"/>
        </w:rPr>
        <w:t xml:space="preserve">Full proposals will be expected to demonstrate good value for money. </w:t>
      </w:r>
    </w:p>
    <w:p w14:paraId="6A57BE4F" w14:textId="19B89FD8" w:rsidR="00A13B97" w:rsidRDefault="00A13B97" w:rsidP="000B5641">
      <w:pPr>
        <w:pStyle w:val="Default"/>
        <w:spacing w:before="120" w:after="120" w:line="288" w:lineRule="auto"/>
        <w:rPr>
          <w:sz w:val="22"/>
          <w:szCs w:val="22"/>
        </w:rPr>
      </w:pPr>
      <w:r>
        <w:rPr>
          <w:sz w:val="22"/>
          <w:szCs w:val="22"/>
        </w:rPr>
        <w:t>Expressions of interests submitted must be no more than 1000 words overall. Please do not include website links or references. Anything longer than 1000 words will be disregarded.</w:t>
      </w:r>
    </w:p>
    <w:p w14:paraId="45184E35" w14:textId="77777777" w:rsidR="00317E5A" w:rsidRDefault="00317E5A" w:rsidP="00317E5A">
      <w:pPr>
        <w:pStyle w:val="Default"/>
        <w:rPr>
          <w:sz w:val="22"/>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B1498A2" w:rsidR="00915C18" w:rsidRDefault="00915C18" w:rsidP="00915C18">
            <w:pPr>
              <w:spacing w:before="160"/>
              <w:rPr>
                <w:b/>
                <w:bCs/>
                <w:sz w:val="28"/>
                <w:szCs w:val="20"/>
              </w:rPr>
            </w:pPr>
            <w:r w:rsidRPr="00915C18">
              <w:rPr>
                <w:b/>
                <w:bCs/>
                <w:sz w:val="28"/>
                <w:szCs w:val="20"/>
              </w:rPr>
              <w:t>Closing date for EOIs:</w:t>
            </w:r>
            <w:r w:rsidR="003A17D7">
              <w:t xml:space="preserve"> </w:t>
            </w:r>
            <w:r w:rsidR="003A17D7" w:rsidRPr="003A17D7">
              <w:rPr>
                <w:b/>
                <w:bCs/>
                <w:sz w:val="28"/>
                <w:szCs w:val="20"/>
              </w:rPr>
              <w:t xml:space="preserve">5pm, </w:t>
            </w:r>
            <w:r w:rsidR="00E92E72">
              <w:rPr>
                <w:b/>
                <w:bCs/>
                <w:sz w:val="28"/>
                <w:szCs w:val="20"/>
              </w:rPr>
              <w:t>Tuesday</w:t>
            </w:r>
            <w:r w:rsidR="00797D79">
              <w:rPr>
                <w:b/>
                <w:bCs/>
                <w:sz w:val="28"/>
                <w:szCs w:val="20"/>
              </w:rPr>
              <w:t xml:space="preserve"> </w:t>
            </w:r>
            <w:r w:rsidR="003A17D7" w:rsidRPr="003A17D7">
              <w:rPr>
                <w:b/>
                <w:bCs/>
                <w:sz w:val="28"/>
                <w:szCs w:val="20"/>
              </w:rPr>
              <w:t>1</w:t>
            </w:r>
            <w:r w:rsidR="008B24AA">
              <w:rPr>
                <w:b/>
                <w:bCs/>
                <w:sz w:val="28"/>
                <w:szCs w:val="20"/>
              </w:rPr>
              <w:t>9</w:t>
            </w:r>
            <w:r w:rsidR="003E7622" w:rsidRPr="003E7622">
              <w:rPr>
                <w:b/>
                <w:bCs/>
                <w:sz w:val="28"/>
                <w:szCs w:val="20"/>
                <w:vertAlign w:val="superscript"/>
              </w:rPr>
              <w:t>th</w:t>
            </w:r>
            <w:r w:rsidR="003E7622">
              <w:rPr>
                <w:b/>
                <w:bCs/>
                <w:sz w:val="28"/>
                <w:szCs w:val="20"/>
              </w:rPr>
              <w:t xml:space="preserve"> </w:t>
            </w:r>
            <w:r w:rsidR="003A17D7" w:rsidRPr="003A17D7">
              <w:rPr>
                <w:b/>
                <w:bCs/>
                <w:sz w:val="28"/>
                <w:szCs w:val="20"/>
              </w:rPr>
              <w:t>December 2017</w:t>
            </w:r>
          </w:p>
          <w:p w14:paraId="5178F3E6" w14:textId="38B25224" w:rsidR="00A85EBD" w:rsidRDefault="00915C18" w:rsidP="007519C2">
            <w:pPr>
              <w:rPr>
                <w:rFonts w:ascii="Calibri" w:hAnsi="Calibri"/>
              </w:rPr>
            </w:pPr>
            <w:r w:rsidRPr="00915C18">
              <w:rPr>
                <w:b/>
                <w:bCs/>
                <w:sz w:val="28"/>
                <w:szCs w:val="20"/>
              </w:rPr>
              <w:t>Send your EOI form to:</w:t>
            </w:r>
            <w:r w:rsidR="003A17D7">
              <w:rPr>
                <w:b/>
                <w:bCs/>
                <w:sz w:val="28"/>
                <w:szCs w:val="20"/>
              </w:rPr>
              <w:t xml:space="preserve"> </w:t>
            </w:r>
            <w:hyperlink r:id="rId14" w:history="1">
              <w:r w:rsidR="003A17D7" w:rsidRPr="001A3E15">
                <w:rPr>
                  <w:rStyle w:val="Hyperlink"/>
                  <w:b/>
                  <w:bCs/>
                  <w:sz w:val="28"/>
                  <w:szCs w:val="20"/>
                </w:rPr>
                <w:t>james.lubwama@education.gov.uk</w:t>
              </w:r>
            </w:hyperlink>
            <w:r w:rsidR="003A17D7">
              <w:rPr>
                <w:b/>
                <w:bCs/>
                <w:sz w:val="28"/>
                <w:szCs w:val="20"/>
              </w:rPr>
              <w:t xml:space="preserve"> and </w:t>
            </w:r>
            <w:hyperlink r:id="rId15" w:history="1">
              <w:r w:rsidR="003A17D7" w:rsidRPr="003A17D7">
                <w:rPr>
                  <w:rStyle w:val="Hyperlink"/>
                  <w:b/>
                  <w:sz w:val="28"/>
                </w:rPr>
                <w:t>r</w:t>
              </w:r>
              <w:r w:rsidR="003A17D7" w:rsidRPr="001A3E15">
                <w:rPr>
                  <w:rStyle w:val="Hyperlink"/>
                  <w:b/>
                  <w:bCs/>
                  <w:sz w:val="28"/>
                  <w:szCs w:val="20"/>
                </w:rPr>
                <w:t>obert.cirin@education.gov.uk</w:t>
              </w:r>
            </w:hyperlink>
            <w:r w:rsidR="003A17D7">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0B5641">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0B5641">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0B5641"/>
    <w:p w14:paraId="5944612C" w14:textId="7E1BBBC7" w:rsidR="005D3B59" w:rsidRPr="00531385" w:rsidRDefault="00C2496D" w:rsidP="000B5641">
      <w:r w:rsidRPr="00995398">
        <w:t>©</w:t>
      </w:r>
      <w:r w:rsidR="005D3B59" w:rsidRPr="005D3B59">
        <w:t xml:space="preserve"> </w:t>
      </w:r>
      <w:r w:rsidR="00EE71A2">
        <w:t xml:space="preserve">Crown copyright </w:t>
      </w:r>
      <w:r w:rsidR="00B110AA">
        <w:t>2017</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20158C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B2374">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37C45A9D" w:rsidR="00DA0AD5" w:rsidRPr="006E6ADB" w:rsidRDefault="00DA0AD5" w:rsidP="004A3626">
    <w:pPr>
      <w:tabs>
        <w:tab w:val="left" w:pos="7088"/>
      </w:tabs>
      <w:spacing w:before="240"/>
      <w:rPr>
        <w:szCs w:val="20"/>
      </w:rPr>
    </w:pPr>
    <w:r w:rsidRPr="006E6ADB">
      <w:rPr>
        <w:szCs w:val="20"/>
      </w:rPr>
      <w:tab/>
      <w:t xml:space="preserve">Published: </w:t>
    </w:r>
    <w:r w:rsidR="00C546BB">
      <w:rPr>
        <w:szCs w:val="20"/>
      </w:rPr>
      <w:t>December</w:t>
    </w:r>
    <w:r w:rsidR="00F85AA7">
      <w:rPr>
        <w:szCs w:val="20"/>
      </w:rPr>
      <w:t xml:space="preserve"> </w:t>
    </w:r>
    <w:r w:rsidR="00C546BB">
      <w:rPr>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4174A1"/>
    <w:multiLevelType w:val="hybridMultilevel"/>
    <w:tmpl w:val="24CC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9A34CE"/>
    <w:multiLevelType w:val="hybridMultilevel"/>
    <w:tmpl w:val="0D3AC63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A6317"/>
    <w:multiLevelType w:val="hybridMultilevel"/>
    <w:tmpl w:val="7DF4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C54C1"/>
    <w:multiLevelType w:val="hybridMultilevel"/>
    <w:tmpl w:val="61F2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853D1"/>
    <w:multiLevelType w:val="hybridMultilevel"/>
    <w:tmpl w:val="B24CBFA8"/>
    <w:lvl w:ilvl="0" w:tplc="4F303A72">
      <w:start w:val="1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497C"/>
    <w:multiLevelType w:val="hybridMultilevel"/>
    <w:tmpl w:val="D9BEF1DC"/>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18" w15:restartNumberingAfterBreak="0">
    <w:nsid w:val="46573F2C"/>
    <w:multiLevelType w:val="hybridMultilevel"/>
    <w:tmpl w:val="DF22B414"/>
    <w:lvl w:ilvl="0" w:tplc="8ED878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C231137"/>
    <w:multiLevelType w:val="hybridMultilevel"/>
    <w:tmpl w:val="2B4C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1C09E8"/>
    <w:multiLevelType w:val="hybridMultilevel"/>
    <w:tmpl w:val="74D6BFF2"/>
    <w:lvl w:ilvl="0" w:tplc="4F303A72">
      <w:start w:val="1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41D2E"/>
    <w:multiLevelType w:val="hybridMultilevel"/>
    <w:tmpl w:val="5D340E9E"/>
    <w:lvl w:ilvl="0" w:tplc="4F303A72">
      <w:start w:val="1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88C603E"/>
    <w:multiLevelType w:val="hybridMultilevel"/>
    <w:tmpl w:val="F2AC303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C3075"/>
    <w:multiLevelType w:val="hybridMultilevel"/>
    <w:tmpl w:val="0C3CB120"/>
    <w:lvl w:ilvl="0" w:tplc="79F05E8E">
      <w:start w:val="1"/>
      <w:numFmt w:val="decimal"/>
      <w:pStyle w:val="NumberedNormal"/>
      <w:lvlText w:val="%1."/>
      <w:lvlJc w:val="left"/>
      <w:pPr>
        <w:ind w:left="0" w:firstLine="0"/>
      </w:pPr>
      <w:rPr>
        <w:rFonts w:asciiTheme="majorHAnsi" w:hAnsiTheme="majorHAnsi" w:cstheme="majorHAnsi"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26"/>
  </w:num>
  <w:num w:numId="3">
    <w:abstractNumId w:val="24"/>
  </w:num>
  <w:num w:numId="4">
    <w:abstractNumId w:val="12"/>
  </w:num>
  <w:num w:numId="5">
    <w:abstractNumId w:val="10"/>
  </w:num>
  <w:num w:numId="6">
    <w:abstractNumId w:val="19"/>
  </w:num>
  <w:num w:numId="7">
    <w:abstractNumId w:val="3"/>
  </w:num>
  <w:num w:numId="8">
    <w:abstractNumId w:val="1"/>
  </w:num>
  <w:num w:numId="9">
    <w:abstractNumId w:val="0"/>
  </w:num>
  <w:num w:numId="10">
    <w:abstractNumId w:val="21"/>
  </w:num>
  <w:num w:numId="11">
    <w:abstractNumId w:val="19"/>
  </w:num>
  <w:num w:numId="12">
    <w:abstractNumId w:val="2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1"/>
  </w:num>
  <w:num w:numId="18">
    <w:abstractNumId w:val="1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18"/>
  </w:num>
  <w:num w:numId="24">
    <w:abstractNumId w:val="5"/>
  </w:num>
  <w:num w:numId="25">
    <w:abstractNumId w:val="16"/>
  </w:num>
  <w:num w:numId="26">
    <w:abstractNumId w:val="22"/>
  </w:num>
  <w:num w:numId="27">
    <w:abstractNumId w:val="23"/>
  </w:num>
  <w:num w:numId="28">
    <w:abstractNumId w:val="7"/>
  </w:num>
  <w:num w:numId="29">
    <w:abstractNumId w:val="25"/>
  </w:num>
  <w:num w:numId="30">
    <w:abstractNumId w:val="6"/>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20"/>
  </w:num>
  <w:num w:numId="3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673A"/>
    <w:rsid w:val="00011A88"/>
    <w:rsid w:val="00012381"/>
    <w:rsid w:val="00013A6E"/>
    <w:rsid w:val="0002203B"/>
    <w:rsid w:val="00031F36"/>
    <w:rsid w:val="000442BD"/>
    <w:rsid w:val="00057100"/>
    <w:rsid w:val="00065E86"/>
    <w:rsid w:val="00066B1C"/>
    <w:rsid w:val="000720CD"/>
    <w:rsid w:val="00083A73"/>
    <w:rsid w:val="0008618A"/>
    <w:rsid w:val="00094338"/>
    <w:rsid w:val="000A10F4"/>
    <w:rsid w:val="000B3DE0"/>
    <w:rsid w:val="000B5641"/>
    <w:rsid w:val="000B584F"/>
    <w:rsid w:val="000C22D9"/>
    <w:rsid w:val="000D1D30"/>
    <w:rsid w:val="000D4433"/>
    <w:rsid w:val="000D7FC1"/>
    <w:rsid w:val="000E22FD"/>
    <w:rsid w:val="000E3350"/>
    <w:rsid w:val="000F73F3"/>
    <w:rsid w:val="00103E77"/>
    <w:rsid w:val="0011494F"/>
    <w:rsid w:val="00121C6C"/>
    <w:rsid w:val="001264D9"/>
    <w:rsid w:val="001272A9"/>
    <w:rsid w:val="001328E4"/>
    <w:rsid w:val="00133075"/>
    <w:rsid w:val="00137B5C"/>
    <w:rsid w:val="00147214"/>
    <w:rsid w:val="00147697"/>
    <w:rsid w:val="0015179E"/>
    <w:rsid w:val="001534B2"/>
    <w:rsid w:val="001540AB"/>
    <w:rsid w:val="001612C8"/>
    <w:rsid w:val="001641C1"/>
    <w:rsid w:val="001747E2"/>
    <w:rsid w:val="00176EB9"/>
    <w:rsid w:val="0017793A"/>
    <w:rsid w:val="00190C3A"/>
    <w:rsid w:val="00196306"/>
    <w:rsid w:val="001975D1"/>
    <w:rsid w:val="001A3A04"/>
    <w:rsid w:val="001B2AE2"/>
    <w:rsid w:val="001B4452"/>
    <w:rsid w:val="001B5C15"/>
    <w:rsid w:val="001B796F"/>
    <w:rsid w:val="001C5A63"/>
    <w:rsid w:val="001C5EB6"/>
    <w:rsid w:val="001D213C"/>
    <w:rsid w:val="001D5770"/>
    <w:rsid w:val="001F1B30"/>
    <w:rsid w:val="001F2CE2"/>
    <w:rsid w:val="001F5044"/>
    <w:rsid w:val="00203EC9"/>
    <w:rsid w:val="002113CF"/>
    <w:rsid w:val="00213170"/>
    <w:rsid w:val="0022255C"/>
    <w:rsid w:val="0022489D"/>
    <w:rsid w:val="002262F3"/>
    <w:rsid w:val="00230559"/>
    <w:rsid w:val="002332F8"/>
    <w:rsid w:val="00234F75"/>
    <w:rsid w:val="00240F4B"/>
    <w:rsid w:val="00246D15"/>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17E5A"/>
    <w:rsid w:val="00340AB7"/>
    <w:rsid w:val="00342F8B"/>
    <w:rsid w:val="00361752"/>
    <w:rsid w:val="00363A88"/>
    <w:rsid w:val="00366A63"/>
    <w:rsid w:val="00373253"/>
    <w:rsid w:val="00374981"/>
    <w:rsid w:val="003810D8"/>
    <w:rsid w:val="0038248E"/>
    <w:rsid w:val="003853A4"/>
    <w:rsid w:val="0039725F"/>
    <w:rsid w:val="003A17D7"/>
    <w:rsid w:val="003A1CC2"/>
    <w:rsid w:val="003C60B5"/>
    <w:rsid w:val="003D1EFE"/>
    <w:rsid w:val="003E1329"/>
    <w:rsid w:val="003E3ED2"/>
    <w:rsid w:val="003E7622"/>
    <w:rsid w:val="003F4688"/>
    <w:rsid w:val="00400E1D"/>
    <w:rsid w:val="00403D1C"/>
    <w:rsid w:val="004041B3"/>
    <w:rsid w:val="004216FF"/>
    <w:rsid w:val="004242C5"/>
    <w:rsid w:val="004339FB"/>
    <w:rsid w:val="004509BE"/>
    <w:rsid w:val="00456560"/>
    <w:rsid w:val="00466D3C"/>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133D9"/>
    <w:rsid w:val="005247AD"/>
    <w:rsid w:val="005360B7"/>
    <w:rsid w:val="00536E0B"/>
    <w:rsid w:val="0053796E"/>
    <w:rsid w:val="005535E5"/>
    <w:rsid w:val="00553BB2"/>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42ED"/>
    <w:rsid w:val="005C657D"/>
    <w:rsid w:val="005D3B59"/>
    <w:rsid w:val="005E3024"/>
    <w:rsid w:val="005F107C"/>
    <w:rsid w:val="006020E5"/>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576"/>
    <w:rsid w:val="00695D08"/>
    <w:rsid w:val="006A27AA"/>
    <w:rsid w:val="006A3602"/>
    <w:rsid w:val="006B1F9F"/>
    <w:rsid w:val="006C382D"/>
    <w:rsid w:val="006C6BB5"/>
    <w:rsid w:val="006D1162"/>
    <w:rsid w:val="006E6ADB"/>
    <w:rsid w:val="006E7F39"/>
    <w:rsid w:val="006F1F96"/>
    <w:rsid w:val="00700B01"/>
    <w:rsid w:val="00702EBF"/>
    <w:rsid w:val="00705BB4"/>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97D79"/>
    <w:rsid w:val="007A2250"/>
    <w:rsid w:val="007A5759"/>
    <w:rsid w:val="007B3CFE"/>
    <w:rsid w:val="007C19E4"/>
    <w:rsid w:val="007C4122"/>
    <w:rsid w:val="007C41A5"/>
    <w:rsid w:val="007C58BE"/>
    <w:rsid w:val="007D080B"/>
    <w:rsid w:val="007E0083"/>
    <w:rsid w:val="007F28C8"/>
    <w:rsid w:val="00814CCF"/>
    <w:rsid w:val="00815E16"/>
    <w:rsid w:val="00816E77"/>
    <w:rsid w:val="00831263"/>
    <w:rsid w:val="00831DB7"/>
    <w:rsid w:val="00832EBF"/>
    <w:rsid w:val="008365DA"/>
    <w:rsid w:val="008366CB"/>
    <w:rsid w:val="008369E1"/>
    <w:rsid w:val="00837F3A"/>
    <w:rsid w:val="008420D7"/>
    <w:rsid w:val="008620F3"/>
    <w:rsid w:val="00863986"/>
    <w:rsid w:val="00866257"/>
    <w:rsid w:val="0087497F"/>
    <w:rsid w:val="00874F24"/>
    <w:rsid w:val="00876230"/>
    <w:rsid w:val="00877D5B"/>
    <w:rsid w:val="00880441"/>
    <w:rsid w:val="00880B83"/>
    <w:rsid w:val="00886B1E"/>
    <w:rsid w:val="008A460D"/>
    <w:rsid w:val="008A4CD5"/>
    <w:rsid w:val="008A588F"/>
    <w:rsid w:val="008A644A"/>
    <w:rsid w:val="008B05BD"/>
    <w:rsid w:val="008B0C03"/>
    <w:rsid w:val="008B0DD1"/>
    <w:rsid w:val="008B24AA"/>
    <w:rsid w:val="008B427B"/>
    <w:rsid w:val="008B6009"/>
    <w:rsid w:val="008C46DC"/>
    <w:rsid w:val="008D15AA"/>
    <w:rsid w:val="008D6968"/>
    <w:rsid w:val="008E3F07"/>
    <w:rsid w:val="008E5F36"/>
    <w:rsid w:val="008E72ED"/>
    <w:rsid w:val="008F2757"/>
    <w:rsid w:val="008F2E4F"/>
    <w:rsid w:val="008F44EC"/>
    <w:rsid w:val="008F53E4"/>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977DD"/>
    <w:rsid w:val="009B2374"/>
    <w:rsid w:val="009B32FA"/>
    <w:rsid w:val="009C2C02"/>
    <w:rsid w:val="009C73CF"/>
    <w:rsid w:val="009E00AE"/>
    <w:rsid w:val="009E09D3"/>
    <w:rsid w:val="009E6E74"/>
    <w:rsid w:val="009E7EE1"/>
    <w:rsid w:val="009E7F32"/>
    <w:rsid w:val="00A00D0D"/>
    <w:rsid w:val="00A0541C"/>
    <w:rsid w:val="00A13B97"/>
    <w:rsid w:val="00A248DB"/>
    <w:rsid w:val="00A30BA1"/>
    <w:rsid w:val="00A37DEE"/>
    <w:rsid w:val="00A433C3"/>
    <w:rsid w:val="00A54BB7"/>
    <w:rsid w:val="00A5643A"/>
    <w:rsid w:val="00A57128"/>
    <w:rsid w:val="00A5723C"/>
    <w:rsid w:val="00A707A4"/>
    <w:rsid w:val="00A7274B"/>
    <w:rsid w:val="00A73FB8"/>
    <w:rsid w:val="00A75086"/>
    <w:rsid w:val="00A763CB"/>
    <w:rsid w:val="00A76426"/>
    <w:rsid w:val="00A801D1"/>
    <w:rsid w:val="00A81F69"/>
    <w:rsid w:val="00A85EBD"/>
    <w:rsid w:val="00AA3484"/>
    <w:rsid w:val="00AA7E7B"/>
    <w:rsid w:val="00AB6D0F"/>
    <w:rsid w:val="00AB7858"/>
    <w:rsid w:val="00AC4ADD"/>
    <w:rsid w:val="00AC61A6"/>
    <w:rsid w:val="00AD1BE5"/>
    <w:rsid w:val="00AD1DD2"/>
    <w:rsid w:val="00AD2062"/>
    <w:rsid w:val="00AD2F1D"/>
    <w:rsid w:val="00AD5FE1"/>
    <w:rsid w:val="00AE1E46"/>
    <w:rsid w:val="00AE4296"/>
    <w:rsid w:val="00AF0989"/>
    <w:rsid w:val="00AF2191"/>
    <w:rsid w:val="00AF785C"/>
    <w:rsid w:val="00B110AA"/>
    <w:rsid w:val="00B336AF"/>
    <w:rsid w:val="00B3498C"/>
    <w:rsid w:val="00B43CAD"/>
    <w:rsid w:val="00B53333"/>
    <w:rsid w:val="00B55A49"/>
    <w:rsid w:val="00B64265"/>
    <w:rsid w:val="00B67F76"/>
    <w:rsid w:val="00B70EFF"/>
    <w:rsid w:val="00B7558C"/>
    <w:rsid w:val="00B818C3"/>
    <w:rsid w:val="00B9194F"/>
    <w:rsid w:val="00BA003B"/>
    <w:rsid w:val="00BB05E2"/>
    <w:rsid w:val="00BC7D36"/>
    <w:rsid w:val="00BD1111"/>
    <w:rsid w:val="00BD26B6"/>
    <w:rsid w:val="00BE01C6"/>
    <w:rsid w:val="00BE4DAC"/>
    <w:rsid w:val="00BF13F8"/>
    <w:rsid w:val="00C01CFF"/>
    <w:rsid w:val="00C026F2"/>
    <w:rsid w:val="00C02D89"/>
    <w:rsid w:val="00C030C4"/>
    <w:rsid w:val="00C0728B"/>
    <w:rsid w:val="00C15B78"/>
    <w:rsid w:val="00C2207B"/>
    <w:rsid w:val="00C22BA0"/>
    <w:rsid w:val="00C2496D"/>
    <w:rsid w:val="00C278D7"/>
    <w:rsid w:val="00C46129"/>
    <w:rsid w:val="00C4624B"/>
    <w:rsid w:val="00C529E8"/>
    <w:rsid w:val="00C5454B"/>
    <w:rsid w:val="00C546BB"/>
    <w:rsid w:val="00C6013F"/>
    <w:rsid w:val="00C71238"/>
    <w:rsid w:val="00C71561"/>
    <w:rsid w:val="00C76325"/>
    <w:rsid w:val="00C8124F"/>
    <w:rsid w:val="00C81513"/>
    <w:rsid w:val="00C84637"/>
    <w:rsid w:val="00C92AD3"/>
    <w:rsid w:val="00CA1009"/>
    <w:rsid w:val="00CA1F32"/>
    <w:rsid w:val="00CA30B4"/>
    <w:rsid w:val="00CA610B"/>
    <w:rsid w:val="00CA72FC"/>
    <w:rsid w:val="00CB4FF3"/>
    <w:rsid w:val="00CB56F5"/>
    <w:rsid w:val="00CB6E04"/>
    <w:rsid w:val="00CC2512"/>
    <w:rsid w:val="00CC547F"/>
    <w:rsid w:val="00CD22B9"/>
    <w:rsid w:val="00CD5D21"/>
    <w:rsid w:val="00CE0804"/>
    <w:rsid w:val="00CE2652"/>
    <w:rsid w:val="00CE7906"/>
    <w:rsid w:val="00CF0E19"/>
    <w:rsid w:val="00D11353"/>
    <w:rsid w:val="00D215B5"/>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463"/>
    <w:rsid w:val="00DA57A4"/>
    <w:rsid w:val="00DB0D07"/>
    <w:rsid w:val="00DB56EB"/>
    <w:rsid w:val="00DB6434"/>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C58"/>
    <w:rsid w:val="00E4012C"/>
    <w:rsid w:val="00E42A8F"/>
    <w:rsid w:val="00E5223F"/>
    <w:rsid w:val="00E534F0"/>
    <w:rsid w:val="00E6029F"/>
    <w:rsid w:val="00E66B4F"/>
    <w:rsid w:val="00E741D5"/>
    <w:rsid w:val="00E74474"/>
    <w:rsid w:val="00E809A0"/>
    <w:rsid w:val="00E87A6A"/>
    <w:rsid w:val="00E9232A"/>
    <w:rsid w:val="00E92E72"/>
    <w:rsid w:val="00EA4D1B"/>
    <w:rsid w:val="00EB1D11"/>
    <w:rsid w:val="00EC3DC1"/>
    <w:rsid w:val="00ED2F1C"/>
    <w:rsid w:val="00ED3D05"/>
    <w:rsid w:val="00EE3692"/>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241"/>
    <w:rsid w:val="00FC2B3C"/>
    <w:rsid w:val="00FD1CD8"/>
    <w:rsid w:val="00FD60A5"/>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Normal">
    <w:name w:val="Numbered Normal"/>
    <w:basedOn w:val="ListParagraph"/>
    <w:uiPriority w:val="1"/>
    <w:qFormat/>
    <w:rsid w:val="00BC7D36"/>
    <w:pPr>
      <w:numPr>
        <w:numId w:val="19"/>
      </w:numPr>
      <w:tabs>
        <w:tab w:val="num" w:pos="360"/>
      </w:tabs>
      <w:spacing w:before="200" w:after="260" w:line="240" w:lineRule="auto"/>
      <w:ind w:left="720"/>
      <w:contextualSpacing w:val="0"/>
    </w:pPr>
    <w:rPr>
      <w:rFonts w:ascii="Times New Roman" w:hAnsi="Times New Roman"/>
      <w:sz w:val="28"/>
    </w:rPr>
  </w:style>
  <w:style w:type="paragraph" w:styleId="FootnoteText">
    <w:name w:val="footnote text"/>
    <w:basedOn w:val="Normal"/>
    <w:link w:val="FootnoteTextChar"/>
    <w:uiPriority w:val="99"/>
    <w:semiHidden/>
    <w:unhideWhenUsed/>
    <w:rsid w:val="00FC224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C224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C2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8259">
      <w:bodyDiv w:val="1"/>
      <w:marLeft w:val="0"/>
      <w:marRight w:val="0"/>
      <w:marTop w:val="0"/>
      <w:marBottom w:val="0"/>
      <w:divBdr>
        <w:top w:val="none" w:sz="0" w:space="0" w:color="auto"/>
        <w:left w:val="none" w:sz="0" w:space="0" w:color="auto"/>
        <w:bottom w:val="none" w:sz="0" w:space="0" w:color="auto"/>
        <w:right w:val="none" w:sz="0" w:space="0" w:color="auto"/>
      </w:divBdr>
    </w:div>
    <w:div w:id="14694150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40887645">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63439787">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53811328">
      <w:bodyDiv w:val="1"/>
      <w:marLeft w:val="0"/>
      <w:marRight w:val="0"/>
      <w:marTop w:val="0"/>
      <w:marBottom w:val="0"/>
      <w:divBdr>
        <w:top w:val="none" w:sz="0" w:space="0" w:color="auto"/>
        <w:left w:val="none" w:sz="0" w:space="0" w:color="auto"/>
        <w:bottom w:val="none" w:sz="0" w:space="0" w:color="auto"/>
        <w:right w:val="none" w:sz="0" w:space="0" w:color="auto"/>
      </w:divBdr>
    </w:div>
    <w:div w:id="1901865338">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obert.cirin@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lubwama@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450DB9-FE4E-4CBB-92D6-4A4847C2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6132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7252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2017-12-06T10:59:00Z</dcterms:created>
  <dcterms:modified xsi:type="dcterms:W3CDTF">2017-12-06T10:59:00Z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