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A2E" w:rsidRDefault="00B96A2E">
      <w:pPr>
        <w:pStyle w:val="Standard"/>
        <w:tabs>
          <w:tab w:val="left" w:pos="3641"/>
        </w:tabs>
        <w:spacing w:before="120" w:after="120"/>
        <w:ind w:left="1656" w:hanging="720"/>
        <w:rPr>
          <w:rFonts w:ascii="Arial" w:eastAsia="Arial" w:hAnsi="Arial" w:cs="Arial"/>
          <w:b/>
          <w:color w:val="000000"/>
          <w:sz w:val="36"/>
          <w:szCs w:val="36"/>
        </w:rPr>
      </w:pPr>
      <w:bookmarkStart w:id="0" w:name="_heading=h.gjdgxs"/>
      <w:bookmarkEnd w:id="0"/>
    </w:p>
    <w:p w:rsidR="00B96A2E" w:rsidRDefault="00000000">
      <w:pPr>
        <w:pStyle w:val="Standard"/>
        <w:keepNext/>
        <w:jc w:val="left"/>
      </w:pPr>
      <w:r>
        <w:rPr>
          <w:rFonts w:ascii="Arial" w:eastAsia="Arial" w:hAnsi="Arial" w:cs="Arial"/>
          <w:b/>
          <w:sz w:val="36"/>
          <w:szCs w:val="36"/>
        </w:rPr>
        <w:t>Call-Off Schedule 16 (Benchmarking)</w:t>
      </w:r>
    </w:p>
    <w:p w:rsidR="00B96A2E" w:rsidRDefault="00000000">
      <w:pPr>
        <w:pStyle w:val="Standard"/>
        <w:keepNext/>
        <w:numPr>
          <w:ilvl w:val="0"/>
          <w:numId w:val="3"/>
        </w:numPr>
        <w:tabs>
          <w:tab w:val="left" w:pos="502"/>
        </w:tabs>
        <w:spacing w:before="120"/>
        <w:jc w:val="left"/>
      </w:pPr>
      <w:r>
        <w:rPr>
          <w:rFonts w:ascii="Arial" w:eastAsia="Arial" w:hAnsi="Arial" w:cs="Arial"/>
          <w:b/>
          <w:smallCaps/>
          <w:color w:val="000000"/>
          <w:sz w:val="24"/>
          <w:szCs w:val="24"/>
        </w:rPr>
        <w:t>DEFINITIONS</w:t>
      </w:r>
    </w:p>
    <w:p w:rsidR="00B96A2E" w:rsidRDefault="00000000">
      <w:pPr>
        <w:pStyle w:val="Standard"/>
        <w:keepNext/>
        <w:numPr>
          <w:ilvl w:val="1"/>
          <w:numId w:val="2"/>
        </w:numPr>
        <w:tabs>
          <w:tab w:val="left" w:pos="1778"/>
        </w:tabs>
        <w:spacing w:before="120" w:after="120"/>
        <w:ind w:hanging="360"/>
      </w:pPr>
      <w:r>
        <w:rPr>
          <w:rFonts w:ascii="Arial" w:eastAsia="Arial" w:hAnsi="Arial" w:cs="Arial"/>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4A0" w:firstRow="1" w:lastRow="0" w:firstColumn="1" w:lastColumn="0" w:noHBand="0" w:noVBand="1"/>
      </w:tblPr>
      <w:tblGrid>
        <w:gridCol w:w="2899"/>
        <w:gridCol w:w="5143"/>
      </w:tblGrid>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"Benchmark Review"</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"Benchmarked Deliverables"</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any Deliverables included within the scope of a Benchmark Review pursuant to this Schedule;</w:t>
            </w:r>
          </w:p>
        </w:tc>
      </w:tr>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"Comparable Rates"</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the Charges for Comparable Deliverables;</w:t>
            </w:r>
          </w:p>
        </w:tc>
      </w:tr>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"Comparable Deliverables"</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"Comparison Group"</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"Equivalent Data"</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"Good Value"</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that the Benchmarked Rates are within the Upper Quartile; and</w:t>
            </w:r>
          </w:p>
        </w:tc>
      </w:tr>
      <w:tr w:rsidR="00B96A2E">
        <w:tblPrEx>
          <w:tblCellMar>
            <w:top w:w="0" w:type="dxa"/>
            <w:bottom w:w="0" w:type="dxa"/>
          </w:tblCellMar>
        </w:tblPrEx>
        <w:tc>
          <w:tcPr>
            <w:tcW w:w="2899" w:type="dxa"/>
            <w:tcMar>
              <w:top w:w="0" w:type="dxa"/>
              <w:left w:w="108" w:type="dxa"/>
              <w:bottom w:w="0" w:type="dxa"/>
              <w:right w:w="108" w:type="dxa"/>
            </w:tcMar>
          </w:tcPr>
          <w:p w:rsidR="00B96A2E" w:rsidRDefault="00000000">
            <w:pPr>
              <w:pStyle w:val="Standard"/>
              <w:spacing w:after="120"/>
              <w:ind w:left="-108"/>
            </w:pPr>
            <w:r>
              <w:rPr>
                <w:rFonts w:ascii="Arial" w:eastAsia="Arial" w:hAnsi="Arial" w:cs="Arial"/>
                <w:b/>
                <w:color w:val="000000"/>
                <w:sz w:val="24"/>
                <w:szCs w:val="24"/>
              </w:rPr>
              <w:t>"Upper Quartile"</w:t>
            </w:r>
          </w:p>
        </w:tc>
        <w:tc>
          <w:tcPr>
            <w:tcW w:w="5142" w:type="dxa"/>
            <w:tcMar>
              <w:top w:w="0" w:type="dxa"/>
              <w:left w:w="108" w:type="dxa"/>
              <w:bottom w:w="0" w:type="dxa"/>
              <w:right w:w="108" w:type="dxa"/>
            </w:tcMar>
          </w:tcPr>
          <w:p w:rsidR="00B96A2E" w:rsidRDefault="00000000">
            <w:pPr>
              <w:pStyle w:val="Standard"/>
              <w:tabs>
                <w:tab w:val="left" w:pos="175"/>
              </w:tabs>
              <w:spacing w:after="120"/>
            </w:pPr>
            <w:r>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B96A2E" w:rsidRDefault="00000000">
      <w:pPr>
        <w:pStyle w:val="Standard"/>
        <w:keepNext/>
        <w:numPr>
          <w:ilvl w:val="0"/>
          <w:numId w:val="2"/>
        </w:numPr>
        <w:tabs>
          <w:tab w:val="left" w:pos="502"/>
        </w:tabs>
        <w:spacing w:before="120"/>
      </w:pPr>
      <w:r>
        <w:rPr>
          <w:rFonts w:ascii="Arial Bold" w:eastAsia="Arial Bold" w:hAnsi="Arial Bold" w:cs="Arial Bold"/>
          <w:b/>
          <w:color w:val="000000"/>
          <w:sz w:val="24"/>
          <w:szCs w:val="24"/>
        </w:rPr>
        <w:lastRenderedPageBreak/>
        <w:t>When you should use this Schedule</w:t>
      </w:r>
    </w:p>
    <w:p w:rsidR="00B96A2E"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 xml:space="preserve">The Supplier acknowledges that the Buyer wishes to ensure that the </w:t>
      </w:r>
      <w:r>
        <w:rPr>
          <w:rFonts w:ascii="Arial" w:eastAsia="Arial" w:hAnsi="Arial" w:cs="Arial"/>
          <w:sz w:val="24"/>
          <w:szCs w:val="24"/>
        </w:rPr>
        <w:t>Deliverables represent</w:t>
      </w:r>
      <w:r>
        <w:rPr>
          <w:rFonts w:ascii="Arial" w:eastAsia="Arial" w:hAnsi="Arial" w:cs="Arial"/>
          <w:color w:val="000000"/>
          <w:sz w:val="24"/>
          <w:szCs w:val="24"/>
        </w:rPr>
        <w:t xml:space="preserve"> value for money to the taxpayer throughout the Contract Period.  </w:t>
      </w:r>
    </w:p>
    <w:p w:rsidR="00B96A2E"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B96A2E"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Amounts payable under this Schedule shall not fall with the definition of a Cost.</w:t>
      </w:r>
    </w:p>
    <w:p w:rsidR="00B96A2E" w:rsidRDefault="00000000">
      <w:pPr>
        <w:pStyle w:val="Standard"/>
        <w:keepNext/>
        <w:numPr>
          <w:ilvl w:val="0"/>
          <w:numId w:val="2"/>
        </w:numPr>
        <w:tabs>
          <w:tab w:val="left" w:pos="502"/>
        </w:tabs>
        <w:spacing w:before="120"/>
      </w:pPr>
      <w:r>
        <w:rPr>
          <w:rFonts w:ascii="Arial Bold" w:eastAsia="Arial Bold" w:hAnsi="Arial Bold" w:cs="Arial Bold"/>
          <w:b/>
          <w:color w:val="000000"/>
          <w:sz w:val="24"/>
          <w:szCs w:val="24"/>
        </w:rPr>
        <w:t>Benchmarking</w:t>
      </w:r>
    </w:p>
    <w:p w:rsidR="00B96A2E" w:rsidRDefault="00000000">
      <w:pPr>
        <w:pStyle w:val="Standard"/>
        <w:keepNext/>
        <w:numPr>
          <w:ilvl w:val="1"/>
          <w:numId w:val="2"/>
        </w:numPr>
        <w:tabs>
          <w:tab w:val="left" w:pos="1778"/>
        </w:tabs>
        <w:spacing w:before="120" w:after="120"/>
        <w:ind w:hanging="360"/>
      </w:pPr>
      <w:r>
        <w:rPr>
          <w:rFonts w:ascii="Arial" w:eastAsia="Arial" w:hAnsi="Arial" w:cs="Arial"/>
          <w:b/>
          <w:color w:val="000000"/>
          <w:sz w:val="24"/>
          <w:szCs w:val="24"/>
        </w:rPr>
        <w:t>How benchmarking works</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The Buyer may, by written notice to the Supplier, require a Benchmark Review of any or all of the Deliverables.</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The Buyer shall not be entitled to request a Benchmark Review during the first six (6) Month period from the Contract Commencement Date or at intervals of less than twelve (12) Months after any previous Benchmark Review.</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The purpose of a Benchmark Review will be to establish whether the Benchmarked Deliverables are, individually and/or as a whole, Good Value.</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The Deliverables that are to be the Benchmarked Deliverables will be identified by the Buyer in writing.</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 xml:space="preserve">Upon its request for a Benchmark Review the Buyer shall nominate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If the Parties cannot agree the appointment within twenty (20) days of the initial request for Benchmark review then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selected by the Chartered Institute of Financial Accountants.</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 xml:space="preserve">The cost of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such proportions as the Parties agree (acting reasonably). Invoices </w:t>
      </w:r>
      <w:r>
        <w:rPr>
          <w:rFonts w:ascii="Arial" w:eastAsia="Arial" w:hAnsi="Arial" w:cs="Arial"/>
          <w:color w:val="000000"/>
          <w:sz w:val="24"/>
          <w:szCs w:val="24"/>
        </w:rPr>
        <w:lastRenderedPageBreak/>
        <w:t xml:space="preserve">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raised against the Supplier and the relevant portion shall be reimbursed by the Buyer.</w:t>
      </w:r>
    </w:p>
    <w:p w:rsidR="00B96A2E" w:rsidRDefault="00000000">
      <w:pPr>
        <w:pStyle w:val="Standard"/>
        <w:keepNext/>
        <w:numPr>
          <w:ilvl w:val="1"/>
          <w:numId w:val="2"/>
        </w:numPr>
        <w:tabs>
          <w:tab w:val="left" w:pos="1778"/>
        </w:tabs>
        <w:spacing w:before="120" w:after="120"/>
        <w:ind w:hanging="360"/>
      </w:pPr>
      <w:r>
        <w:rPr>
          <w:rFonts w:ascii="Arial" w:eastAsia="Arial" w:hAnsi="Arial" w:cs="Arial"/>
          <w:b/>
          <w:color w:val="000000"/>
          <w:sz w:val="24"/>
          <w:szCs w:val="24"/>
        </w:rPr>
        <w:t>Benchmarking Process</w:t>
      </w:r>
    </w:p>
    <w:p w:rsidR="00B96A2E" w:rsidRDefault="00000000">
      <w:pPr>
        <w:pStyle w:val="Standard"/>
        <w:keepNext/>
        <w:numPr>
          <w:ilvl w:val="2"/>
          <w:numId w:val="2"/>
        </w:numPr>
        <w:tabs>
          <w:tab w:val="left" w:pos="4407"/>
        </w:tabs>
        <w:spacing w:before="120" w:after="120"/>
      </w:pPr>
      <w:bookmarkStart w:id="1" w:name="_heading=h.30j0zll"/>
      <w:bookmarkEnd w:id="1"/>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produce and send to the Buyer, for Approval, a draft plan for the Benchmark Review which must include:</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a proposed cost and timetable for the Benchmark Review;</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 xml:space="preserve">a description of how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will scope and identify the Comparison Group.</w:t>
      </w:r>
    </w:p>
    <w:p w:rsidR="00B96A2E" w:rsidRDefault="00000000">
      <w:pPr>
        <w:pStyle w:val="Standard"/>
        <w:numPr>
          <w:ilvl w:val="2"/>
          <w:numId w:val="2"/>
        </w:numPr>
        <w:tabs>
          <w:tab w:val="left" w:pos="4407"/>
        </w:tabs>
        <w:spacing w:before="120" w:after="120"/>
      </w:pPr>
      <w:bookmarkStart w:id="2" w:name="_heading=h.1fob9te"/>
      <w:bookmarkEnd w:id="2"/>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acting reasonably, shall be entitled to use any model to determine the achievement of value for money and to carry out the benchmarking.</w:t>
      </w:r>
    </w:p>
    <w:p w:rsidR="00B96A2E" w:rsidRDefault="00000000">
      <w:pPr>
        <w:pStyle w:val="Standard"/>
        <w:numPr>
          <w:ilvl w:val="2"/>
          <w:numId w:val="2"/>
        </w:numPr>
        <w:tabs>
          <w:tab w:val="left" w:pos="4407"/>
        </w:tabs>
        <w:spacing w:before="120" w:after="120"/>
      </w:pPr>
      <w:bookmarkStart w:id="3" w:name="_heading=h.3znysh7"/>
      <w:bookmarkEnd w:id="3"/>
      <w:r>
        <w:rPr>
          <w:rFonts w:ascii="Arial" w:eastAsia="Arial" w:hAnsi="Arial" w:cs="Arial"/>
          <w:color w:val="000000"/>
          <w:sz w:val="24"/>
          <w:szCs w:val="24"/>
        </w:rPr>
        <w:t xml:space="preserve">The Buyer must give notice in writing to the Supplier within ten (10) Working Days after receiving the draft plan, advising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must produce an amended draft plan and this Paragraph 3.2.3 shall apply to any amended draft plan.</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 xml:space="preserve">Once both Parties have approved the draft plan then they will notify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No Party may unreasonably withhold or delay its Approval of the draft plan.</w:t>
      </w:r>
    </w:p>
    <w:p w:rsidR="00B96A2E" w:rsidRDefault="00000000">
      <w:pPr>
        <w:pStyle w:val="Standard"/>
        <w:keepNext/>
        <w:numPr>
          <w:ilvl w:val="2"/>
          <w:numId w:val="2"/>
        </w:numPr>
        <w:tabs>
          <w:tab w:val="left" w:pos="4407"/>
        </w:tabs>
        <w:spacing w:before="120" w:after="120"/>
      </w:pPr>
      <w:r>
        <w:rPr>
          <w:rFonts w:ascii="Arial" w:eastAsia="Arial" w:hAnsi="Arial" w:cs="Arial"/>
          <w:color w:val="000000"/>
          <w:sz w:val="24"/>
          <w:szCs w:val="24"/>
        </w:rPr>
        <w:t xml:space="preserve">Once it has received the Approval of the draft plan,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B96A2E" w:rsidRDefault="00000000">
      <w:pPr>
        <w:pStyle w:val="Standard"/>
        <w:numPr>
          <w:ilvl w:val="4"/>
          <w:numId w:val="2"/>
        </w:numPr>
        <w:tabs>
          <w:tab w:val="left" w:pos="4559"/>
        </w:tabs>
        <w:spacing w:before="120" w:after="120"/>
      </w:pPr>
      <w:r>
        <w:rPr>
          <w:rFonts w:ascii="Arial" w:eastAsia="Arial" w:hAnsi="Arial" w:cs="Arial"/>
          <w:color w:val="000000"/>
          <w:sz w:val="24"/>
          <w:szCs w:val="24"/>
        </w:rPr>
        <w:t>market intelligence;</w:t>
      </w:r>
    </w:p>
    <w:p w:rsidR="00B96A2E" w:rsidRDefault="00000000">
      <w:pPr>
        <w:pStyle w:val="Standard"/>
        <w:numPr>
          <w:ilvl w:val="4"/>
          <w:numId w:val="2"/>
        </w:numPr>
        <w:tabs>
          <w:tab w:val="left" w:pos="4559"/>
        </w:tabs>
        <w:spacing w:before="120" w:after="120"/>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rsidR="00B96A2E" w:rsidRDefault="00000000">
      <w:pPr>
        <w:pStyle w:val="Standard"/>
        <w:numPr>
          <w:ilvl w:val="4"/>
          <w:numId w:val="2"/>
        </w:numPr>
        <w:tabs>
          <w:tab w:val="left" w:pos="4559"/>
        </w:tabs>
        <w:spacing w:before="120" w:after="120"/>
      </w:pPr>
      <w:r>
        <w:rPr>
          <w:rFonts w:ascii="Arial" w:eastAsia="Arial" w:hAnsi="Arial" w:cs="Arial"/>
          <w:color w:val="000000"/>
          <w:sz w:val="24"/>
          <w:szCs w:val="24"/>
        </w:rPr>
        <w:t>relevant published information; and</w:t>
      </w:r>
    </w:p>
    <w:p w:rsidR="00B96A2E" w:rsidRDefault="00000000">
      <w:pPr>
        <w:pStyle w:val="Standard"/>
        <w:numPr>
          <w:ilvl w:val="4"/>
          <w:numId w:val="2"/>
        </w:numPr>
        <w:tabs>
          <w:tab w:val="left" w:pos="4559"/>
        </w:tabs>
        <w:spacing w:before="120" w:after="120"/>
      </w:pPr>
      <w:bookmarkStart w:id="4" w:name="_heading=h.2et92p0"/>
      <w:bookmarkEnd w:id="4"/>
      <w:r>
        <w:rPr>
          <w:rFonts w:ascii="Arial" w:eastAsia="Arial" w:hAnsi="Arial" w:cs="Arial"/>
          <w:color w:val="000000"/>
          <w:sz w:val="24"/>
          <w:szCs w:val="24"/>
        </w:rPr>
        <w:t xml:space="preserve">pursuant to Paragraph </w:t>
      </w:r>
      <w:proofErr w:type="gramStart"/>
      <w:r>
        <w:rPr>
          <w:rFonts w:ascii="Arial" w:eastAsia="Arial" w:hAnsi="Arial" w:cs="Arial"/>
          <w:color w:val="000000"/>
          <w:sz w:val="24"/>
          <w:szCs w:val="24"/>
        </w:rPr>
        <w:t>3.2.6  below</w:t>
      </w:r>
      <w:proofErr w:type="gramEnd"/>
      <w:r>
        <w:rPr>
          <w:rFonts w:ascii="Arial" w:eastAsia="Arial" w:hAnsi="Arial" w:cs="Arial"/>
          <w:color w:val="000000"/>
          <w:sz w:val="24"/>
          <w:szCs w:val="24"/>
        </w:rPr>
        <w:t>, information from other suppliers or purchasers on Comparable Rates;</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by applying the adjustment factors listed in Paragraph 3.2.7 and from an analysis of the Comparable Rates, derive the Equivalent Data;</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using the Equivalent Data, calculate the Upper Quartile;</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lastRenderedPageBreak/>
        <w:t>determine whether or not each Benchmarked Rate is, and/or the Benchmarked Rates as a whole are, Good Value.</w:t>
      </w:r>
    </w:p>
    <w:p w:rsidR="00B96A2E" w:rsidRDefault="00000000">
      <w:pPr>
        <w:pStyle w:val="Standard"/>
        <w:numPr>
          <w:ilvl w:val="2"/>
          <w:numId w:val="2"/>
        </w:numPr>
        <w:tabs>
          <w:tab w:val="left" w:pos="4407"/>
        </w:tabs>
        <w:spacing w:before="120" w:after="120"/>
      </w:pPr>
      <w:bookmarkStart w:id="5" w:name="_heading=h.tyjcwt"/>
      <w:bookmarkEnd w:id="5"/>
      <w:r>
        <w:rPr>
          <w:rFonts w:ascii="Arial" w:eastAsia="Arial" w:hAnsi="Arial" w:cs="Arial"/>
          <w:color w:val="000000"/>
          <w:sz w:val="24"/>
          <w:szCs w:val="24"/>
        </w:rPr>
        <w:t xml:space="preserve">The Supplier shall use all reasonable endeavours and act in good faith to supply information required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rsidR="00B96A2E" w:rsidRDefault="00000000">
      <w:pPr>
        <w:pStyle w:val="Standard"/>
        <w:keepNext/>
        <w:numPr>
          <w:ilvl w:val="2"/>
          <w:numId w:val="2"/>
        </w:numPr>
        <w:tabs>
          <w:tab w:val="left" w:pos="4407"/>
        </w:tabs>
        <w:spacing w:before="120" w:after="120"/>
      </w:pPr>
      <w:bookmarkStart w:id="6" w:name="_heading=h.3dy6vkm"/>
      <w:bookmarkEnd w:id="6"/>
      <w:r>
        <w:rPr>
          <w:rFonts w:ascii="Arial" w:eastAsia="Arial" w:hAnsi="Arial" w:cs="Arial"/>
          <w:color w:val="000000"/>
          <w:sz w:val="24"/>
          <w:szCs w:val="24"/>
        </w:rPr>
        <w:t xml:space="preserve">In carrying out the benchmarking analysis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exchange rates;</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rsidR="00B96A2E" w:rsidRDefault="00000000">
      <w:pPr>
        <w:pStyle w:val="Standard"/>
        <w:keepNext/>
        <w:numPr>
          <w:ilvl w:val="1"/>
          <w:numId w:val="2"/>
        </w:numPr>
        <w:tabs>
          <w:tab w:val="left" w:pos="1782"/>
        </w:tabs>
        <w:spacing w:before="120" w:after="120"/>
        <w:ind w:left="648" w:hanging="216"/>
      </w:pPr>
      <w:r>
        <w:rPr>
          <w:rFonts w:ascii="Arial" w:eastAsia="Arial" w:hAnsi="Arial" w:cs="Arial"/>
          <w:b/>
          <w:color w:val="000000"/>
          <w:sz w:val="24"/>
          <w:szCs w:val="24"/>
        </w:rPr>
        <w:t>Benchmarking Report</w:t>
      </w:r>
    </w:p>
    <w:p w:rsidR="00B96A2E" w:rsidRDefault="00000000">
      <w:pPr>
        <w:pStyle w:val="Standard"/>
        <w:numPr>
          <w:ilvl w:val="2"/>
          <w:numId w:val="2"/>
        </w:numPr>
        <w:tabs>
          <w:tab w:val="left" w:pos="4407"/>
        </w:tabs>
        <w:spacing w:before="120" w:after="120"/>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following the Benchmark Review and as further described in this Schedule;</w:t>
      </w:r>
    </w:p>
    <w:p w:rsidR="00B96A2E" w:rsidRDefault="00000000">
      <w:pPr>
        <w:pStyle w:val="Standard"/>
        <w:keepNext/>
        <w:numPr>
          <w:ilvl w:val="2"/>
          <w:numId w:val="2"/>
        </w:numPr>
        <w:tabs>
          <w:tab w:val="left" w:pos="4407"/>
        </w:tabs>
        <w:spacing w:before="120" w:after="120"/>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include a finding as to whether or not a Benchmarked Service and/or whether the Benchmarked Deliverables as a whole are, Good Value;</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rsidR="00B96A2E" w:rsidRDefault="00000000">
      <w:pPr>
        <w:pStyle w:val="Standard"/>
        <w:numPr>
          <w:ilvl w:val="3"/>
          <w:numId w:val="2"/>
        </w:numPr>
        <w:tabs>
          <w:tab w:val="left" w:pos="4548"/>
        </w:tabs>
        <w:spacing w:before="120" w:after="120"/>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rsidR="00B96A2E" w:rsidRDefault="00000000">
      <w:pPr>
        <w:pStyle w:val="Standard"/>
        <w:numPr>
          <w:ilvl w:val="2"/>
          <w:numId w:val="2"/>
        </w:numPr>
        <w:tabs>
          <w:tab w:val="left" w:pos="3641"/>
        </w:tabs>
        <w:spacing w:before="120" w:after="120"/>
        <w:ind w:left="1656"/>
        <w:jc w:val="left"/>
      </w:pPr>
      <w:r>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sectPr w:rsidR="00B96A2E">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BDF" w:rsidRDefault="00B80BDF">
      <w:r>
        <w:separator/>
      </w:r>
    </w:p>
  </w:endnote>
  <w:endnote w:type="continuationSeparator" w:id="0">
    <w:p w:rsidR="00B80BDF" w:rsidRDefault="00B8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altName w:val="Cambria"/>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rPr>
        <w:rFonts w:ascii="Arial" w:eastAsia="Arial" w:hAnsi="Arial" w:cs="Arial"/>
        <w:sz w:val="20"/>
        <w:szCs w:val="20"/>
      </w:rPr>
    </w:pPr>
  </w:p>
  <w:p w:rsidR="00000000" w:rsidRDefault="00000000">
    <w:pPr>
      <w:pStyle w:val="Standard"/>
      <w:tabs>
        <w:tab w:val="center" w:pos="4513"/>
        <w:tab w:val="right" w:pos="9026"/>
      </w:tabs>
      <w:spacing w:after="0"/>
    </w:pPr>
    <w:r>
      <w:rPr>
        <w:rFonts w:ascii="Arial" w:eastAsia="Arial" w:hAnsi="Arial" w:cs="Arial"/>
        <w:sz w:val="20"/>
        <w:szCs w:val="20"/>
      </w:rPr>
      <w:t>Framework Ref: RM6168 - Estate Management Services</w:t>
    </w:r>
  </w:p>
  <w:p w:rsidR="00000000" w:rsidRDefault="00000000">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3</w:t>
    </w:r>
    <w:r>
      <w:fldChar w:fldCharType="end"/>
    </w:r>
  </w:p>
  <w:p w:rsidR="00000000" w:rsidRDefault="00000000">
    <w:pPr>
      <w:pStyle w:val="Standard"/>
      <w:tabs>
        <w:tab w:val="center" w:pos="4513"/>
        <w:tab w:val="right" w:pos="9026"/>
      </w:tabs>
      <w:spacing w:after="0"/>
    </w:pPr>
    <w:r>
      <w:rPr>
        <w:rFonts w:ascii="Arial" w:eastAsia="Arial" w:hAnsi="Arial" w:cs="Arial"/>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BDF" w:rsidRDefault="00B80BDF">
      <w:r>
        <w:rPr>
          <w:color w:val="000000"/>
        </w:rPr>
        <w:separator/>
      </w:r>
    </w:p>
  </w:footnote>
  <w:footnote w:type="continuationSeparator" w:id="0">
    <w:p w:rsidR="00B80BDF" w:rsidRDefault="00B8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cs="Arial"/>
        <w:b/>
        <w:color w:val="000000"/>
        <w:sz w:val="20"/>
        <w:szCs w:val="20"/>
      </w:rPr>
      <w:t>Call-Off Schedule 16 (Benchmarking)</w:t>
    </w:r>
  </w:p>
  <w:p w:rsidR="00000000" w:rsidRDefault="00000000">
    <w:pPr>
      <w:pStyle w:val="Standard"/>
      <w:tabs>
        <w:tab w:val="center" w:pos="4513"/>
        <w:tab w:val="right" w:pos="9026"/>
      </w:tabs>
      <w:spacing w:after="0"/>
    </w:pPr>
    <w:r>
      <w:rPr>
        <w:rFonts w:ascii="Arial" w:eastAsia="Arial" w:hAnsi="Arial" w:cs="Arial"/>
        <w:color w:val="000000"/>
        <w:sz w:val="20"/>
        <w:szCs w:val="20"/>
      </w:rPr>
      <w:t>Call-Off Ref:</w:t>
    </w:r>
  </w:p>
  <w:p w:rsidR="00000000" w:rsidRDefault="00000000">
    <w:pPr>
      <w:pStyle w:val="Standard"/>
      <w:tabs>
        <w:tab w:val="center" w:pos="4513"/>
        <w:tab w:val="right" w:pos="9026"/>
      </w:tabs>
      <w:spacing w:after="0"/>
    </w:pPr>
    <w:r>
      <w:rPr>
        <w:rFonts w:ascii="Arial" w:eastAsia="Arial" w:hAnsi="Arial" w:cs="Arial"/>
        <w:color w:val="000000"/>
        <w:sz w:val="20"/>
        <w:szCs w:val="20"/>
      </w:rPr>
      <w:t>Crown Copyright 20</w:t>
    </w:r>
    <w:r>
      <w:rPr>
        <w:rFonts w:ascii="Arial" w:eastAsia="Arial" w:hAnsi="Arial" w:cs="Arial"/>
        <w:sz w:val="20"/>
        <w:szCs w:val="20"/>
      </w:rPr>
      <w:t>20</w:t>
    </w:r>
  </w:p>
  <w:p w:rsidR="00000000" w:rsidRDefault="00000000">
    <w:pPr>
      <w:pStyle w:val="Standard"/>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E4448"/>
    <w:multiLevelType w:val="multilevel"/>
    <w:tmpl w:val="8E20D67C"/>
    <w:styleLink w:val="WWNum1"/>
    <w:lvl w:ilvl="0">
      <w:start w:val="1"/>
      <w:numFmt w:val="decimal"/>
      <w:lvlText w:val="%1."/>
      <w:lvlJc w:val="left"/>
      <w:pPr>
        <w:ind w:left="360" w:hanging="36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563"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Arial" w:hAnsi="Arial"/>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1A0465E"/>
    <w:multiLevelType w:val="multilevel"/>
    <w:tmpl w:val="8E5E4D3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964380662">
    <w:abstractNumId w:val="1"/>
  </w:num>
  <w:num w:numId="2" w16cid:durableId="124081325">
    <w:abstractNumId w:val="0"/>
  </w:num>
  <w:num w:numId="3" w16cid:durableId="786197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6A2E"/>
    <w:rsid w:val="007B3AD7"/>
    <w:rsid w:val="00B80BDF"/>
    <w:rsid w:val="00B9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5">
    <w:name w:val="ListLabel 5"/>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2025-02-04T11:05:00Z</dcterms:created>
  <dcterms:modified xsi:type="dcterms:W3CDTF">2025-02-04T11:05:00Z</dcterms:modified>
</cp:coreProperties>
</file>