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1F18" w14:textId="77777777" w:rsidR="00FF222D" w:rsidRDefault="00FF222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30j0zll" w:colFirst="0" w:colLast="0"/>
      <w:bookmarkEnd w:id="0"/>
    </w:p>
    <w:p w14:paraId="23CA98DD" w14:textId="77777777" w:rsidR="00FF222D" w:rsidRDefault="002F761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E571227" w14:textId="77777777" w:rsidR="00FF222D" w:rsidRDefault="00FF222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D604107" w14:textId="77777777" w:rsidR="00FF222D" w:rsidRDefault="002F761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0AB81BC"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F222D" w14:paraId="0162780F" w14:textId="77777777">
        <w:tc>
          <w:tcPr>
            <w:tcW w:w="2263" w:type="dxa"/>
          </w:tcPr>
          <w:p w14:paraId="5E9CDB1E" w14:textId="77777777" w:rsidR="00FF222D" w:rsidRDefault="002F7615">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428EF53A" w14:textId="77777777" w:rsidR="00FF222D" w:rsidRDefault="002F7615">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9A47D97" w14:textId="77777777" w:rsidR="00FF222D" w:rsidRDefault="002F761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672CECA"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w:t>
      </w:r>
      <w:r>
        <w:rPr>
          <w:rFonts w:ascii="Arial" w:eastAsia="Arial" w:hAnsi="Arial" w:cs="Arial"/>
          <w:sz w:val="24"/>
          <w:szCs w:val="24"/>
        </w:rPr>
        <w:t>rty may act as:</w:t>
      </w:r>
    </w:p>
    <w:p w14:paraId="2D7404E2"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6EC2259"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3BEE9EC7"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C4E0817"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w:t>
      </w:r>
      <w:r>
        <w:rPr>
          <w:rFonts w:ascii="Arial" w:eastAsia="Arial" w:hAnsi="Arial" w:cs="Arial"/>
          <w:sz w:val="24"/>
          <w:szCs w:val="24"/>
        </w:rPr>
        <w:t>lso “Controller”,</w:t>
      </w:r>
    </w:p>
    <w:p w14:paraId="6899455A" w14:textId="77777777" w:rsidR="00FF222D" w:rsidRDefault="002F7615">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5B067638" w14:textId="77777777" w:rsidR="00FF222D" w:rsidRDefault="002F761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1F22B18"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and may not otherwise be determined by the Proc</w:t>
      </w:r>
      <w:r>
        <w:rPr>
          <w:rFonts w:ascii="Arial" w:eastAsia="Arial" w:hAnsi="Arial" w:cs="Arial"/>
          <w:sz w:val="24"/>
          <w:szCs w:val="24"/>
        </w:rPr>
        <w:t xml:space="preserve">essor. </w:t>
      </w:r>
    </w:p>
    <w:p w14:paraId="626C0F02"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688B104"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4FBD8DF"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w:t>
      </w:r>
      <w:r>
        <w:rPr>
          <w:rFonts w:ascii="Arial" w:eastAsia="Arial" w:hAnsi="Arial" w:cs="Arial"/>
          <w:sz w:val="24"/>
          <w:szCs w:val="24"/>
        </w:rPr>
        <w:t>ion of the envisaged Processing and the purpose of the Processing;</w:t>
      </w:r>
    </w:p>
    <w:p w14:paraId="6CBBA47F"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75A292E5"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78EA57A5"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w:t>
      </w:r>
      <w:r>
        <w:rPr>
          <w:rFonts w:ascii="Arial" w:eastAsia="Arial" w:hAnsi="Arial" w:cs="Arial"/>
          <w:sz w:val="24"/>
          <w:szCs w:val="24"/>
        </w:rPr>
        <w:t>s envisaged to address the risks, including safeguards, security measures and mechanisms to ensure the protection of Personal Data.</w:t>
      </w:r>
    </w:p>
    <w:p w14:paraId="513149E7"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14:paraId="6AED1196"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Proce</w:t>
      </w:r>
      <w:r>
        <w:rPr>
          <w:rFonts w:ascii="Arial" w:eastAsia="Arial" w:hAnsi="Arial" w:cs="Arial"/>
          <w:sz w:val="24"/>
          <w:szCs w:val="24"/>
        </w:rPr>
        <w:t xml:space="preserv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w:t>
      </w:r>
      <w:r>
        <w:rPr>
          <w:rFonts w:ascii="Arial" w:eastAsia="Arial" w:hAnsi="Arial" w:cs="Arial"/>
          <w:sz w:val="24"/>
          <w:szCs w:val="24"/>
        </w:rPr>
        <w:t>troller before Processing the Personal Data unless prohibited by Law;</w:t>
      </w:r>
    </w:p>
    <w:p w14:paraId="23C88C33"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w:t>
      </w:r>
      <w:r>
        <w:rPr>
          <w:rFonts w:ascii="Arial" w:eastAsia="Arial" w:hAnsi="Arial" w:cs="Arial"/>
          <w:sz w:val="24"/>
          <w:szCs w:val="24"/>
        </w:rPr>
        <w:t xml:space="preserve">nt of the Controller reasonably rejecting Protection Measures put in place by the Processor, the Processor must propose alternative Protective Measures to the satisfaction of the Controller. Failure to reject shall not amount to approval by the Controller </w:t>
      </w:r>
      <w:r>
        <w:rPr>
          <w:rFonts w:ascii="Arial" w:eastAsia="Arial" w:hAnsi="Arial" w:cs="Arial"/>
          <w:sz w:val="24"/>
          <w:szCs w:val="24"/>
        </w:rPr>
        <w:t>of the adequacy of the Protective Measures. Protective Measures must take account of the:</w:t>
      </w:r>
    </w:p>
    <w:p w14:paraId="5FB738CC"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14:paraId="130AD3C3"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216A97AA"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149149A"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BA80221"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 xml:space="preserve">ensure </w:t>
      </w:r>
      <w:r>
        <w:rPr>
          <w:rFonts w:ascii="Arial" w:eastAsia="Arial" w:hAnsi="Arial" w:cs="Arial"/>
          <w:sz w:val="24"/>
          <w:szCs w:val="24"/>
        </w:rPr>
        <w:t>that:</w:t>
      </w:r>
    </w:p>
    <w:p w14:paraId="37668FF2"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74ACF63A"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w:t>
      </w:r>
      <w:r>
        <w:rPr>
          <w:rFonts w:ascii="Arial" w:eastAsia="Arial" w:hAnsi="Arial" w:cs="Arial"/>
          <w:sz w:val="24"/>
          <w:szCs w:val="24"/>
        </w:rPr>
        <w:t>ave access to the Personal Data and ensure that they:</w:t>
      </w:r>
    </w:p>
    <w:p w14:paraId="2A6EFB91" w14:textId="77777777" w:rsidR="00FF222D" w:rsidRDefault="002F7615">
      <w:pPr>
        <w:numPr>
          <w:ilvl w:val="4"/>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w:t>
      </w:r>
      <w:r>
        <w:rPr>
          <w:rFonts w:ascii="Arial" w:eastAsia="Arial" w:hAnsi="Arial" w:cs="Arial"/>
          <w:sz w:val="24"/>
          <w:szCs w:val="24"/>
        </w:rPr>
        <w:t>erms;</w:t>
      </w:r>
    </w:p>
    <w:p w14:paraId="7EB5C41C" w14:textId="77777777" w:rsidR="00FF222D" w:rsidRDefault="002F7615">
      <w:pPr>
        <w:numPr>
          <w:ilvl w:val="4"/>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1E316F98" w14:textId="77777777" w:rsidR="00FF222D" w:rsidRDefault="002F7615">
      <w:pPr>
        <w:numPr>
          <w:ilvl w:val="4"/>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992D2CA" w14:textId="77777777" w:rsidR="00FF222D" w:rsidRDefault="002F7615">
      <w:pPr>
        <w:numPr>
          <w:ilvl w:val="4"/>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have under</w:t>
      </w:r>
      <w:r>
        <w:rPr>
          <w:rFonts w:ascii="Arial" w:eastAsia="Arial" w:hAnsi="Arial" w:cs="Arial"/>
          <w:sz w:val="24"/>
          <w:szCs w:val="24"/>
        </w:rPr>
        <w:t xml:space="preserve">gone adequate training in the use, care, protection and handling of Personal Data; </w:t>
      </w:r>
    </w:p>
    <w:p w14:paraId="40AD6E8B"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Process, or otherwise make available for Processing, Personal Data outside of the UK unless the prior written consent of the Controller has been obtained (suc</w:t>
      </w:r>
      <w:r>
        <w:rPr>
          <w:rFonts w:ascii="Arial" w:eastAsia="Arial" w:hAnsi="Arial" w:cs="Arial"/>
          <w:sz w:val="24"/>
          <w:szCs w:val="24"/>
        </w:rPr>
        <w:t>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58769832"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the destination country has been recognised as adequate by the UK Government in accorda</w:t>
      </w:r>
      <w:r>
        <w:rPr>
          <w:rFonts w:ascii="Arial" w:eastAsia="Arial" w:hAnsi="Arial" w:cs="Arial"/>
          <w:sz w:val="24"/>
          <w:szCs w:val="24"/>
        </w:rPr>
        <w:t>nce with Article 45 UK GDPR or section 74 of the DPA 2018;</w:t>
      </w:r>
    </w:p>
    <w:p w14:paraId="58B99DDD"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63EA101C"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w:t>
      </w:r>
      <w:r>
        <w:rPr>
          <w:rFonts w:ascii="Arial" w:eastAsia="Arial" w:hAnsi="Arial" w:cs="Arial"/>
          <w:sz w:val="24"/>
          <w:szCs w:val="24"/>
        </w:rPr>
        <w:t>he Data Subject has enforceable rights and effective legal remedies;</w:t>
      </w:r>
    </w:p>
    <w:p w14:paraId="2578E06F"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w:t>
      </w:r>
      <w:r>
        <w:rPr>
          <w:rFonts w:ascii="Arial" w:eastAsia="Arial" w:hAnsi="Arial" w:cs="Arial"/>
          <w:sz w:val="24"/>
          <w:szCs w:val="24"/>
        </w:rPr>
        <w:t>o bound, uses its best endeavours to assist the Controller in meeting its obligations); and</w:t>
      </w:r>
    </w:p>
    <w:p w14:paraId="2946C922" w14:textId="77777777" w:rsidR="00FF222D" w:rsidRDefault="002F7615">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1B9EE9C8" w14:textId="77777777" w:rsidR="00FF222D" w:rsidRDefault="002F7615">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w:t>
      </w:r>
      <w:r>
        <w:rPr>
          <w:rFonts w:ascii="Arial" w:eastAsia="Arial" w:hAnsi="Arial" w:cs="Arial"/>
          <w:sz w:val="24"/>
          <w:szCs w:val="24"/>
        </w:rPr>
        <w:t>otection Legislation. If no alternative mechanism is available, the Controller and the Processor shall work together in good faith to determine the appropriate measures to be taken, taking into account any relevant guidance and accepted good industry pract</w:t>
      </w:r>
      <w:r>
        <w:rPr>
          <w:rFonts w:ascii="Arial" w:eastAsia="Arial" w:hAnsi="Arial" w:cs="Arial"/>
          <w:sz w:val="24"/>
          <w:szCs w:val="24"/>
        </w:rPr>
        <w:t>ice. The Controller reserves the right to require the Processor to cease any affected transfers if no alternative mechanism to ensure compliance with Data Protection Legislation is reasonably available; and</w:t>
      </w:r>
    </w:p>
    <w:p w14:paraId="3A7B5B9F"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and absolute discretion</w:t>
      </w:r>
      <w:r>
        <w:rPr>
          <w:rFonts w:ascii="Arial" w:eastAsia="Arial" w:hAnsi="Arial" w:cs="Arial"/>
          <w:sz w:val="24"/>
          <w:szCs w:val="24"/>
        </w:rPr>
        <w:t>, of the Controller, delete or return Personal Data (and any copies of it) to the Controller on termination of the Contract unless the Processor is required by Law to retain the Personal Data.</w:t>
      </w:r>
    </w:p>
    <w:p w14:paraId="2976C4EB"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Subject to paragraph 8 of this Joint Schedule 11, the Processor</w:t>
      </w:r>
      <w:r>
        <w:rPr>
          <w:rFonts w:ascii="Arial" w:eastAsia="Arial" w:hAnsi="Arial" w:cs="Arial"/>
          <w:sz w:val="24"/>
          <w:szCs w:val="24"/>
        </w:rPr>
        <w:t xml:space="preserve"> shall notify the Controller immediately if in relation to Processing Personal Data under or in connection with the Contract it:</w:t>
      </w:r>
    </w:p>
    <w:p w14:paraId="4C6D4343"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receives a Data Subject Access Request (or purported Data Subject Access Request);</w:t>
      </w:r>
    </w:p>
    <w:p w14:paraId="16BA3DA8"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to rectify, block or eras</w:t>
      </w:r>
      <w:r>
        <w:rPr>
          <w:rFonts w:ascii="Arial" w:eastAsia="Arial" w:hAnsi="Arial" w:cs="Arial"/>
          <w:sz w:val="24"/>
          <w:szCs w:val="24"/>
        </w:rPr>
        <w:t xml:space="preserve">e any Personal Data; </w:t>
      </w:r>
    </w:p>
    <w:p w14:paraId="01DC011F"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023A061"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any communication from the Information Commissioner or any other regulatory authority in co</w:t>
      </w:r>
      <w:r>
        <w:rPr>
          <w:rFonts w:ascii="Arial" w:eastAsia="Arial" w:hAnsi="Arial" w:cs="Arial"/>
          <w:sz w:val="24"/>
          <w:szCs w:val="24"/>
        </w:rPr>
        <w:t xml:space="preserve">nnection with Personal Data Processed under the Contract; </w:t>
      </w:r>
    </w:p>
    <w:p w14:paraId="21CCAA32"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3A9FB6F"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6B1F9ECC"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71BF145"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w:t>
      </w:r>
      <w:r>
        <w:rPr>
          <w:rFonts w:ascii="Arial" w:eastAsia="Arial" w:hAnsi="Arial" w:cs="Arial"/>
          <w:sz w:val="24"/>
          <w:szCs w:val="24"/>
        </w:rPr>
        <w:t>de the Controller with full assistance in relation to either Party's obligations under Data Protection Legislation and any complaint, communication or request made under paragraph 7 of this Joint Schedule 11 (and insofar as possible within the timescales r</w:t>
      </w:r>
      <w:r>
        <w:rPr>
          <w:rFonts w:ascii="Arial" w:eastAsia="Arial" w:hAnsi="Arial" w:cs="Arial"/>
          <w:sz w:val="24"/>
          <w:szCs w:val="24"/>
        </w:rPr>
        <w:t>easonably required by the Controller) including by immediately providing:</w:t>
      </w:r>
    </w:p>
    <w:p w14:paraId="4603B2F7"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16F591D6"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such assistance as is requested by the Controller to enable the Controller to comply with a Da</w:t>
      </w:r>
      <w:r>
        <w:rPr>
          <w:rFonts w:ascii="Arial" w:eastAsia="Arial" w:hAnsi="Arial" w:cs="Arial"/>
          <w:sz w:val="24"/>
          <w:szCs w:val="24"/>
        </w:rPr>
        <w:t xml:space="preserve">ta Subject Access Request within the relevant timescales set out in the Data Protection Legislation; </w:t>
      </w:r>
    </w:p>
    <w:p w14:paraId="65E88BFE"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54F7388"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w:t>
      </w:r>
      <w:r>
        <w:rPr>
          <w:rFonts w:ascii="Arial" w:eastAsia="Arial" w:hAnsi="Arial" w:cs="Arial"/>
          <w:sz w:val="24"/>
          <w:szCs w:val="24"/>
        </w:rPr>
        <w:t xml:space="preserve">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14:paraId="740FDD3A"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FA6FC73"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w:t>
      </w:r>
      <w:r>
        <w:rPr>
          <w:rFonts w:ascii="Arial" w:eastAsia="Arial" w:hAnsi="Arial" w:cs="Arial"/>
          <w:sz w:val="24"/>
          <w:szCs w:val="24"/>
        </w:rPr>
        <w:t xml:space="preserve"> and accurate records and information to demonstrate its compliance with this Joint Schedule 11. This requirement does not apply where the Processor employs fewer than 250 staff, unless:</w:t>
      </w:r>
    </w:p>
    <w:p w14:paraId="642F7D59"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CE8BAAB"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 xml:space="preserve">the </w:t>
      </w:r>
      <w:r>
        <w:rPr>
          <w:rFonts w:ascii="Arial" w:eastAsia="Arial" w:hAnsi="Arial" w:cs="Arial"/>
          <w:sz w:val="24"/>
          <w:szCs w:val="24"/>
        </w:rPr>
        <w:t>Controller determines the Processing includes special categories of data as referred to in Article 9(1) of the UK GDPR or Personal Data relating to criminal convictions and offences referred to in Article 10 of the UK GDPR; or</w:t>
      </w:r>
    </w:p>
    <w:p w14:paraId="574DE4D9"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determines tha</w:t>
      </w:r>
      <w:r>
        <w:rPr>
          <w:rFonts w:ascii="Arial" w:eastAsia="Arial" w:hAnsi="Arial" w:cs="Arial"/>
          <w:sz w:val="24"/>
          <w:szCs w:val="24"/>
        </w:rPr>
        <w:t>t the Processing is likely to result in a risk to the rights and freedoms of Data Subjects.</w:t>
      </w:r>
    </w:p>
    <w:p w14:paraId="6251318C"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5FE6A418"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designate a Data Pr</w:t>
      </w:r>
      <w:r>
        <w:rPr>
          <w:rFonts w:ascii="Arial" w:eastAsia="Arial" w:hAnsi="Arial" w:cs="Arial"/>
          <w:sz w:val="24"/>
          <w:szCs w:val="24"/>
        </w:rPr>
        <w:t xml:space="preserve">otection Officer if required by the Data Protection Legislation. </w:t>
      </w:r>
    </w:p>
    <w:p w14:paraId="2E321D90"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53A4E5EB"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w:t>
      </w:r>
      <w:r>
        <w:rPr>
          <w:rFonts w:ascii="Arial" w:eastAsia="Arial" w:hAnsi="Arial" w:cs="Arial"/>
          <w:sz w:val="24"/>
          <w:szCs w:val="24"/>
        </w:rPr>
        <w:t xml:space="preserve">ill be undertaken by the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78154295"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62A842A4"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w:t>
      </w:r>
      <w:r>
        <w:rPr>
          <w:rFonts w:ascii="Arial" w:eastAsia="Arial" w:hAnsi="Arial" w:cs="Arial"/>
          <w:sz w:val="24"/>
          <w:szCs w:val="24"/>
        </w:rPr>
        <w:t xml:space="preserve"> and</w:t>
      </w:r>
    </w:p>
    <w:p w14:paraId="6C1178CC" w14:textId="77777777" w:rsidR="00FF222D" w:rsidRDefault="002F7615">
      <w:pPr>
        <w:numPr>
          <w:ilvl w:val="2"/>
          <w:numId w:val="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5542789"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w:t>
      </w:r>
      <w:r>
        <w:rPr>
          <w:rFonts w:ascii="Arial" w:eastAsia="Arial" w:hAnsi="Arial" w:cs="Arial"/>
          <w:sz w:val="24"/>
          <w:szCs w:val="24"/>
        </w:rPr>
        <w:t xml:space="preserve">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87DB5AC"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The Relevant Authority may, at any time on n</w:t>
      </w:r>
      <w:r>
        <w:rPr>
          <w:rFonts w:ascii="Arial" w:eastAsia="Arial" w:hAnsi="Arial" w:cs="Arial"/>
          <w:sz w:val="24"/>
          <w:szCs w:val="24"/>
        </w:rPr>
        <w:t>ot less than thirty (30) Working Days’ notice, revise this Joint Schedule 11 by replacing it with any applicable controller to processor standard clauses or similar terms forming part of an applicable certification scheme (which shall apply when incorporat</w:t>
      </w:r>
      <w:r>
        <w:rPr>
          <w:rFonts w:ascii="Arial" w:eastAsia="Arial" w:hAnsi="Arial" w:cs="Arial"/>
          <w:sz w:val="24"/>
          <w:szCs w:val="24"/>
        </w:rPr>
        <w:t>ed by attachment to the Contract).</w:t>
      </w:r>
    </w:p>
    <w:p w14:paraId="49AF478C"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w:t>
      </w:r>
      <w:r>
        <w:rPr>
          <w:rFonts w:ascii="Arial" w:eastAsia="Arial" w:hAnsi="Arial" w:cs="Arial"/>
          <w:sz w:val="24"/>
          <w:szCs w:val="24"/>
        </w:rPr>
        <w:t xml:space="preserve">that it complies with any guidance issued by the Information Commissioner’s Office. </w:t>
      </w:r>
    </w:p>
    <w:p w14:paraId="6458AB4F" w14:textId="77777777" w:rsidR="00FF222D" w:rsidRDefault="002F761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38B0F3A8"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w:t>
      </w:r>
      <w:r>
        <w:rPr>
          <w:rFonts w:ascii="Arial" w:eastAsia="Arial" w:hAnsi="Arial" w:cs="Arial"/>
          <w:sz w:val="24"/>
          <w:szCs w:val="24"/>
        </w:rPr>
        <w:t xml:space="preserve">hall implement paragraphs that are necessary to comply with UK GDPR Article 26 based on the terms set out in Annex 3 to this Joint Schedule 11. </w:t>
      </w:r>
    </w:p>
    <w:p w14:paraId="77803477" w14:textId="77777777" w:rsidR="00FF222D" w:rsidRDefault="002F761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14:paraId="0C69C187"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With respect to Personal Data provided by one Party to another Party </w:t>
      </w:r>
      <w:r>
        <w:rPr>
          <w:rFonts w:ascii="Arial" w:eastAsia="Arial" w:hAnsi="Arial" w:cs="Arial"/>
          <w:sz w:val="24"/>
          <w:szCs w:val="24"/>
        </w:rPr>
        <w:t>for which each Party acts as Controller but which is not under the Joint Control of the Parties, each Party undertakes to comply with the applicable Data Protection Legislation in respect of their Processing of such Personal Data as Controller.</w:t>
      </w:r>
    </w:p>
    <w:p w14:paraId="50321B1A"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w:t>
      </w:r>
      <w:r>
        <w:rPr>
          <w:rFonts w:ascii="Arial" w:eastAsia="Arial" w:hAnsi="Arial" w:cs="Arial"/>
          <w:sz w:val="24"/>
          <w:szCs w:val="24"/>
        </w:rPr>
        <w:t xml:space="preserve">shall Process the Personal Data in compliance with its obligations under the Data Protection Legislation and not do anything to cause the other Party to be in breach of it. </w:t>
      </w:r>
    </w:p>
    <w:p w14:paraId="2D46A417"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w:t>
      </w:r>
      <w:r>
        <w:rPr>
          <w:rFonts w:ascii="Arial" w:eastAsia="Arial" w:hAnsi="Arial" w:cs="Arial"/>
          <w:sz w:val="24"/>
          <w:szCs w:val="24"/>
        </w:rPr>
        <w:t>s and procedures as the other Party may reasonably require.</w:t>
      </w:r>
    </w:p>
    <w:p w14:paraId="0A11D290"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8C7875F"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w:t>
      </w:r>
      <w:r>
        <w:rPr>
          <w:rFonts w:ascii="Arial" w:eastAsia="Arial" w:hAnsi="Arial" w:cs="Arial"/>
          <w:sz w:val="24"/>
          <w:szCs w:val="24"/>
        </w:rPr>
        <w:t>ovide Personal Data to each other:</w:t>
      </w:r>
    </w:p>
    <w:p w14:paraId="49A13608"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48A2A7AC"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w:t>
      </w:r>
      <w:r>
        <w:rPr>
          <w:rFonts w:ascii="Arial" w:eastAsia="Arial" w:hAnsi="Arial" w:cs="Arial"/>
          <w:sz w:val="24"/>
          <w:szCs w:val="24"/>
        </w:rPr>
        <w:t>d Data Subjects to meet the requirements of Articles 13 and 14 of the UK GDPR); and</w:t>
      </w:r>
    </w:p>
    <w:p w14:paraId="2307585D"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6BD5AA52"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w:t>
      </w:r>
      <w:r>
        <w:rPr>
          <w:rFonts w:ascii="Arial" w:eastAsia="Arial" w:hAnsi="Arial" w:cs="Arial"/>
          <w:sz w:val="24"/>
          <w:szCs w:val="24"/>
        </w:rPr>
        <w:t>spect to its Processing of Personal Data as Independent Controller, implement and maintain appropriate technical and organisational measures to ensure a level of security appropriate to that risk, including, as appropriate, the measures referred to in Arti</w:t>
      </w:r>
      <w:r>
        <w:rPr>
          <w:rFonts w:ascii="Arial" w:eastAsia="Arial" w:hAnsi="Arial" w:cs="Arial"/>
          <w:sz w:val="24"/>
          <w:szCs w:val="24"/>
        </w:rPr>
        <w:t>cle 32(1)(a), (b), (c) and (d) of the UK GDPR, and the measures shall, at a minimum, comply with the requirements of the Data Protection Legislation, including Article 32 of the UK GDPR.</w:t>
      </w:r>
    </w:p>
    <w:p w14:paraId="7EF3F104"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w:t>
      </w:r>
      <w:r>
        <w:rPr>
          <w:rFonts w:ascii="Arial" w:eastAsia="Arial" w:hAnsi="Arial" w:cs="Arial"/>
          <w:sz w:val="24"/>
          <w:szCs w:val="24"/>
        </w:rPr>
        <w:t>ll maintain a record of its Processing activities in accordance with Article 30 UK GDPR and shall make the record available to the other Party upon reasonable request.</w:t>
      </w:r>
    </w:p>
    <w:p w14:paraId="6F720F93"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receives a request by any Data Subject to exercise any of their rights und</w:t>
      </w:r>
      <w:r>
        <w:rPr>
          <w:rFonts w:ascii="Arial" w:eastAsia="Arial" w:hAnsi="Arial" w:cs="Arial"/>
          <w:sz w:val="24"/>
          <w:szCs w:val="24"/>
        </w:rPr>
        <w:t xml:space="preserve">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5CC749D"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w:t>
      </w:r>
      <w:r>
        <w:rPr>
          <w:rFonts w:ascii="Arial" w:eastAsia="Arial" w:hAnsi="Arial" w:cs="Arial"/>
          <w:sz w:val="24"/>
          <w:szCs w:val="24"/>
        </w:rPr>
        <w:t>ipient to help it respond to the request or correspondence, at the cost of the Request Recipient; or</w:t>
      </w:r>
    </w:p>
    <w:p w14:paraId="0FA26868"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w:t>
      </w:r>
      <w:r>
        <w:rPr>
          <w:rFonts w:ascii="Arial" w:eastAsia="Arial" w:hAnsi="Arial" w:cs="Arial"/>
          <w:sz w:val="24"/>
          <w:szCs w:val="24"/>
        </w:rPr>
        <w:t>ent  will</w:t>
      </w:r>
      <w:proofErr w:type="gramEnd"/>
      <w:r>
        <w:rPr>
          <w:rFonts w:ascii="Arial" w:eastAsia="Arial" w:hAnsi="Arial" w:cs="Arial"/>
          <w:sz w:val="24"/>
          <w:szCs w:val="24"/>
        </w:rPr>
        <w:t>:</w:t>
      </w:r>
    </w:p>
    <w:p w14:paraId="648C0830" w14:textId="77777777" w:rsidR="00FF222D" w:rsidRDefault="002F7615">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B23124B" w14:textId="77777777" w:rsidR="00FF222D" w:rsidRDefault="002F7615">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w:t>
      </w:r>
      <w:r>
        <w:rPr>
          <w:rFonts w:ascii="Arial" w:eastAsia="Arial" w:hAnsi="Arial" w:cs="Arial"/>
          <w:sz w:val="24"/>
          <w:szCs w:val="24"/>
        </w:rPr>
        <w:t>r assistance as reasonably requested by the other Party to help it respond to the request or correspondence in the timeframes specified by Data Protection Legislation.</w:t>
      </w:r>
    </w:p>
    <w:p w14:paraId="3B81C6ED"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promptly notify the other Party upon it becoming aware of any Data Loss</w:t>
      </w:r>
      <w:r>
        <w:rPr>
          <w:rFonts w:ascii="Arial" w:eastAsia="Arial" w:hAnsi="Arial" w:cs="Arial"/>
          <w:sz w:val="24"/>
          <w:szCs w:val="24"/>
        </w:rPr>
        <w:t xml:space="preserve"> Event relating to Personal Data provided by the other Party pursuant to the Contract and shall: </w:t>
      </w:r>
    </w:p>
    <w:p w14:paraId="7CB9395A"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68DA27EE"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implement any measures necessary to re</w:t>
      </w:r>
      <w:r>
        <w:rPr>
          <w:rFonts w:ascii="Arial" w:eastAsia="Arial" w:hAnsi="Arial" w:cs="Arial"/>
          <w:sz w:val="24"/>
          <w:szCs w:val="24"/>
        </w:rPr>
        <w:t xml:space="preserve">store the security of any compromised Personal Data; </w:t>
      </w:r>
    </w:p>
    <w:p w14:paraId="143AC794"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w:t>
      </w:r>
      <w:r>
        <w:rPr>
          <w:rFonts w:ascii="Arial" w:eastAsia="Arial" w:hAnsi="Arial" w:cs="Arial"/>
          <w:sz w:val="24"/>
          <w:szCs w:val="24"/>
        </w:rPr>
        <w:t>mes set out therein); and</w:t>
      </w:r>
    </w:p>
    <w:p w14:paraId="2E0744BF" w14:textId="77777777" w:rsidR="00FF222D" w:rsidRDefault="002F761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7E50DE7"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Personal Data provided by one Party to the other Party may be used exclusiv</w:t>
      </w:r>
      <w:r>
        <w:rPr>
          <w:rFonts w:ascii="Arial" w:eastAsia="Arial" w:hAnsi="Arial" w:cs="Arial"/>
          <w:sz w:val="24"/>
          <w:szCs w:val="24"/>
        </w:rPr>
        <w:t xml:space="preserve">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95351CD"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C75FB1D" w14:textId="77777777" w:rsidR="00FF222D" w:rsidRDefault="002F7615">
      <w:pPr>
        <w:numPr>
          <w:ilvl w:val="1"/>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w:t>
      </w:r>
      <w:r>
        <w:rPr>
          <w:rFonts w:ascii="Arial" w:eastAsia="Arial" w:hAnsi="Arial" w:cs="Arial"/>
          <w:sz w:val="24"/>
          <w:szCs w:val="24"/>
        </w:rPr>
        <w:t xml:space="preserve">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w:t>
      </w:r>
      <w:r>
        <w:rPr>
          <w:rFonts w:ascii="Arial" w:eastAsia="Arial" w:hAnsi="Arial" w:cs="Arial"/>
          <w:sz w:val="24"/>
          <w:szCs w:val="24"/>
        </w:rPr>
        <w:t xml:space="preserve"> to 28 of this Joint Schedule 11.</w:t>
      </w:r>
    </w:p>
    <w:p w14:paraId="052F78FB" w14:textId="77777777" w:rsidR="00FF222D" w:rsidRDefault="00FF222D">
      <w:pPr>
        <w:pBdr>
          <w:top w:val="nil"/>
          <w:left w:val="nil"/>
          <w:bottom w:val="nil"/>
          <w:right w:val="nil"/>
          <w:between w:val="nil"/>
        </w:pBdr>
        <w:spacing w:before="280" w:after="120"/>
        <w:ind w:left="709"/>
        <w:rPr>
          <w:rFonts w:ascii="Arial" w:eastAsia="Arial" w:hAnsi="Arial" w:cs="Arial"/>
          <w:sz w:val="24"/>
          <w:szCs w:val="24"/>
        </w:rPr>
      </w:pPr>
    </w:p>
    <w:p w14:paraId="0940E8F6" w14:textId="77777777" w:rsidR="00FF222D" w:rsidRDefault="002F7615">
      <w:pPr>
        <w:pStyle w:val="Heading2"/>
        <w:spacing w:before="0" w:after="240"/>
        <w:ind w:left="709" w:hanging="709"/>
        <w:rPr>
          <w:rFonts w:ascii="Arial" w:eastAsia="Arial" w:hAnsi="Arial" w:cs="Arial"/>
          <w:b w:val="0"/>
          <w:sz w:val="24"/>
          <w:szCs w:val="24"/>
        </w:rPr>
      </w:pPr>
      <w:r>
        <w:br w:type="page"/>
      </w:r>
      <w:r>
        <w:rPr>
          <w:rFonts w:ascii="Arial" w:eastAsia="Arial" w:hAnsi="Arial" w:cs="Arial"/>
          <w:b w:val="0"/>
          <w:sz w:val="24"/>
          <w:szCs w:val="24"/>
        </w:rPr>
        <w:lastRenderedPageBreak/>
        <w:t xml:space="preserve"> </w:t>
      </w:r>
      <w:r>
        <w:rPr>
          <w:rFonts w:ascii="Arial" w:eastAsia="Arial" w:hAnsi="Arial" w:cs="Arial"/>
          <w:sz w:val="24"/>
          <w:szCs w:val="24"/>
        </w:rPr>
        <w:t>Annex 1 - Processing Personal Data (Lot 1-7 Authority &amp; Supplier, Call-Off Contract)</w:t>
      </w:r>
    </w:p>
    <w:p w14:paraId="1A35EC8D" w14:textId="77777777" w:rsidR="00FF222D" w:rsidRDefault="002F7615">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w:t>
      </w:r>
      <w:r>
        <w:rPr>
          <w:rFonts w:ascii="Arial" w:eastAsia="Arial" w:hAnsi="Arial" w:cs="Arial"/>
          <w:sz w:val="24"/>
          <w:szCs w:val="24"/>
        </w:rPr>
        <w:t xml:space="preserve">the content of this Annex shall be with the Relevant Authority at its absolute discretion.  </w:t>
      </w:r>
    </w:p>
    <w:p w14:paraId="76B20FB5" w14:textId="1A52268E" w:rsidR="00FF222D" w:rsidRPr="003C6422" w:rsidRDefault="002F7615" w:rsidP="003C6422">
      <w:pPr>
        <w:keepNext/>
        <w:numPr>
          <w:ilvl w:val="3"/>
          <w:numId w:val="22"/>
        </w:numPr>
        <w:spacing w:after="0" w:line="240" w:lineRule="auto"/>
        <w:jc w:val="both"/>
        <w:rPr>
          <w:rFonts w:ascii="Arial" w:eastAsia="Arial" w:hAnsi="Arial" w:cs="Arial"/>
          <w:sz w:val="24"/>
          <w:szCs w:val="24"/>
        </w:rPr>
      </w:pPr>
      <w:r w:rsidRPr="003C6422">
        <w:rPr>
          <w:rFonts w:ascii="Arial" w:eastAsia="Arial" w:hAnsi="Arial" w:cs="Arial"/>
          <w:sz w:val="24"/>
          <w:szCs w:val="24"/>
        </w:rPr>
        <w:t>The contact details of the Relevant Authority’s Data Protection Officer are:</w:t>
      </w:r>
      <w:r w:rsidR="003C6422" w:rsidRPr="003C6422">
        <w:rPr>
          <w:rFonts w:ascii="Arial" w:eastAsia="Arial" w:hAnsi="Arial" w:cs="Arial"/>
          <w:color w:val="FF0000"/>
          <w:sz w:val="24"/>
          <w:szCs w:val="24"/>
        </w:rPr>
        <w:t xml:space="preserve"> </w:t>
      </w:r>
      <w:r w:rsidR="003C6422">
        <w:rPr>
          <w:rFonts w:ascii="Arial" w:eastAsia="Arial" w:hAnsi="Arial" w:cs="Arial"/>
          <w:color w:val="FF0000"/>
          <w:sz w:val="24"/>
          <w:szCs w:val="24"/>
        </w:rPr>
        <w:t>Redacted Text under FOIA section 40 – Personal Information</w:t>
      </w:r>
      <w:r w:rsidR="003C6422">
        <w:rPr>
          <w:color w:val="FF0000"/>
        </w:rPr>
        <w:t xml:space="preserve">                                                </w:t>
      </w:r>
      <w:r w:rsidRPr="003C6422">
        <w:rPr>
          <w:rFonts w:ascii="Arial" w:eastAsia="Arial" w:hAnsi="Arial" w:cs="Arial"/>
          <w:sz w:val="24"/>
          <w:szCs w:val="24"/>
        </w:rPr>
        <w:t>The contact details of the Supplier’s Data Protection Officer a</w:t>
      </w:r>
      <w:r w:rsidRPr="003C6422">
        <w:rPr>
          <w:rFonts w:ascii="Arial" w:eastAsia="Arial" w:hAnsi="Arial" w:cs="Arial"/>
          <w:sz w:val="24"/>
          <w:szCs w:val="24"/>
        </w:rPr>
        <w:t xml:space="preserve">re: </w:t>
      </w:r>
      <w:r w:rsidR="003C6422">
        <w:rPr>
          <w:rFonts w:ascii="Arial" w:eastAsia="Arial" w:hAnsi="Arial" w:cs="Arial"/>
          <w:color w:val="FF0000"/>
          <w:sz w:val="24"/>
          <w:szCs w:val="24"/>
        </w:rPr>
        <w:t>Redacted Text under FOIA section 40 – Personal Information</w:t>
      </w:r>
      <w:r w:rsidR="003C6422">
        <w:rPr>
          <w:color w:val="FF0000"/>
        </w:rPr>
        <w:t xml:space="preserve">                                                </w:t>
      </w:r>
    </w:p>
    <w:p w14:paraId="28119D26" w14:textId="77777777" w:rsidR="00FF222D" w:rsidRDefault="002F7615">
      <w:pPr>
        <w:keepNext/>
        <w:numPr>
          <w:ilvl w:val="3"/>
          <w:numId w:val="2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6C6812A" w14:textId="77777777" w:rsidR="00FF222D" w:rsidRDefault="002F7615">
      <w:pPr>
        <w:keepNext/>
        <w:numPr>
          <w:ilvl w:val="3"/>
          <w:numId w:val="2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F222D" w14:paraId="42AC961B" w14:textId="77777777">
        <w:trPr>
          <w:trHeight w:val="700"/>
        </w:trPr>
        <w:tc>
          <w:tcPr>
            <w:tcW w:w="2263" w:type="dxa"/>
            <w:shd w:val="clear" w:color="auto" w:fill="BFBFBF"/>
            <w:vAlign w:val="center"/>
          </w:tcPr>
          <w:p w14:paraId="4855F13D" w14:textId="77777777" w:rsidR="00FF222D" w:rsidRDefault="002F7615">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41487DB" w14:textId="77777777" w:rsidR="00FF222D" w:rsidRDefault="002F7615">
            <w:pPr>
              <w:jc w:val="center"/>
              <w:rPr>
                <w:rFonts w:ascii="Arial" w:eastAsia="Arial" w:hAnsi="Arial" w:cs="Arial"/>
                <w:b/>
                <w:sz w:val="24"/>
                <w:szCs w:val="24"/>
              </w:rPr>
            </w:pPr>
            <w:r>
              <w:rPr>
                <w:rFonts w:ascii="Arial" w:eastAsia="Arial" w:hAnsi="Arial" w:cs="Arial"/>
                <w:b/>
                <w:sz w:val="24"/>
                <w:szCs w:val="24"/>
              </w:rPr>
              <w:t>Details</w:t>
            </w:r>
          </w:p>
        </w:tc>
      </w:tr>
      <w:tr w:rsidR="00FF222D" w14:paraId="6938063E" w14:textId="77777777">
        <w:trPr>
          <w:trHeight w:val="1620"/>
        </w:trPr>
        <w:tc>
          <w:tcPr>
            <w:tcW w:w="2263" w:type="dxa"/>
            <w:shd w:val="clear" w:color="auto" w:fill="auto"/>
          </w:tcPr>
          <w:p w14:paraId="72075077" w14:textId="77777777" w:rsidR="00FF222D" w:rsidRDefault="002F7615">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1DA6CA16" w14:textId="77777777" w:rsidR="00FF222D" w:rsidRDefault="002F7615">
            <w:pPr>
              <w:rPr>
                <w:rFonts w:ascii="Arial" w:eastAsia="Arial" w:hAnsi="Arial" w:cs="Arial"/>
                <w:b/>
                <w:sz w:val="24"/>
                <w:szCs w:val="24"/>
              </w:rPr>
            </w:pPr>
            <w:r>
              <w:rPr>
                <w:rFonts w:ascii="Arial" w:eastAsia="Arial" w:hAnsi="Arial" w:cs="Arial"/>
                <w:b/>
                <w:sz w:val="24"/>
                <w:szCs w:val="24"/>
              </w:rPr>
              <w:t>The Relevant Authority is Controller and the Supplier is the Processor</w:t>
            </w:r>
          </w:p>
          <w:p w14:paraId="22A3745A" w14:textId="77777777" w:rsidR="00FF222D" w:rsidRDefault="002F7615">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w:t>
            </w:r>
            <w:r>
              <w:rPr>
                <w:rFonts w:ascii="Arial" w:eastAsia="Arial" w:hAnsi="Arial" w:cs="Arial"/>
                <w:sz w:val="24"/>
                <w:szCs w:val="24"/>
              </w:rPr>
              <w:t>tion, the Relevant Authority is the Controller and the Supplier is the Processor of the following Personal Data:</w:t>
            </w:r>
          </w:p>
          <w:p w14:paraId="73B369AC" w14:textId="77777777" w:rsidR="00FF222D" w:rsidRDefault="00FF222D">
            <w:pPr>
              <w:rPr>
                <w:rFonts w:ascii="Arial" w:eastAsia="Arial" w:hAnsi="Arial" w:cs="Arial"/>
                <w:sz w:val="24"/>
                <w:szCs w:val="24"/>
              </w:rPr>
            </w:pPr>
          </w:p>
          <w:p w14:paraId="5C8AD61D" w14:textId="3A5206EE" w:rsidR="00FF222D" w:rsidRDefault="003C6422">
            <w:pPr>
              <w:rPr>
                <w:rFonts w:ascii="Arial" w:eastAsia="Arial" w:hAnsi="Arial" w:cs="Arial"/>
                <w:sz w:val="24"/>
                <w:szCs w:val="24"/>
              </w:rPr>
            </w:pPr>
            <w:r>
              <w:rPr>
                <w:rFonts w:ascii="Arial" w:eastAsia="Arial" w:hAnsi="Arial" w:cs="Arial"/>
                <w:color w:val="FF0000"/>
                <w:sz w:val="24"/>
                <w:szCs w:val="24"/>
              </w:rPr>
              <w:t>Redacted Text under FOIA section 40 – Personal Information</w:t>
            </w:r>
            <w:r>
              <w:rPr>
                <w:color w:val="FF0000"/>
              </w:rPr>
              <w:t xml:space="preserve">                                                </w:t>
            </w:r>
          </w:p>
          <w:p w14:paraId="55450A86" w14:textId="77777777" w:rsidR="00FF222D" w:rsidRDefault="002F7615">
            <w:pPr>
              <w:rPr>
                <w:rFonts w:ascii="Arial" w:eastAsia="Arial" w:hAnsi="Arial" w:cs="Arial"/>
                <w:b/>
                <w:sz w:val="24"/>
                <w:szCs w:val="24"/>
              </w:rPr>
            </w:pPr>
            <w:r>
              <w:rPr>
                <w:rFonts w:ascii="Arial" w:eastAsia="Arial" w:hAnsi="Arial" w:cs="Arial"/>
                <w:b/>
                <w:sz w:val="24"/>
                <w:szCs w:val="24"/>
              </w:rPr>
              <w:t>Th</w:t>
            </w:r>
            <w:r>
              <w:rPr>
                <w:rFonts w:ascii="Arial" w:eastAsia="Arial" w:hAnsi="Arial" w:cs="Arial"/>
                <w:b/>
                <w:sz w:val="24"/>
                <w:szCs w:val="24"/>
              </w:rPr>
              <w:t>e Supplier is Controller and the Relevant Authority is Processor</w:t>
            </w:r>
          </w:p>
          <w:p w14:paraId="54B19769" w14:textId="77777777" w:rsidR="00FF222D" w:rsidRDefault="00FF222D">
            <w:pPr>
              <w:rPr>
                <w:rFonts w:ascii="Arial" w:eastAsia="Arial" w:hAnsi="Arial" w:cs="Arial"/>
                <w:i/>
                <w:sz w:val="24"/>
                <w:szCs w:val="24"/>
              </w:rPr>
            </w:pPr>
          </w:p>
          <w:p w14:paraId="3C0A8417" w14:textId="77777777" w:rsidR="00FF222D" w:rsidRDefault="002F7615">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w:t>
            </w:r>
            <w:r>
              <w:rPr>
                <w:rFonts w:ascii="Arial" w:eastAsia="Arial" w:hAnsi="Arial" w:cs="Arial"/>
                <w:i/>
                <w:sz w:val="24"/>
                <w:szCs w:val="24"/>
              </w:rPr>
              <w:t xml:space="preserve">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7A7A443D" w14:textId="77777777" w:rsidR="00FF222D" w:rsidRDefault="00FF222D">
            <w:pPr>
              <w:rPr>
                <w:rFonts w:ascii="Arial" w:eastAsia="Arial" w:hAnsi="Arial" w:cs="Arial"/>
                <w:sz w:val="24"/>
                <w:szCs w:val="24"/>
              </w:rPr>
            </w:pPr>
          </w:p>
          <w:p w14:paraId="635E343A" w14:textId="7158AAA3" w:rsidR="00FF222D" w:rsidRDefault="003C6422">
            <w:pPr>
              <w:rPr>
                <w:rFonts w:ascii="Arial" w:eastAsia="Arial" w:hAnsi="Arial" w:cs="Arial"/>
                <w:sz w:val="24"/>
                <w:szCs w:val="24"/>
                <w:highlight w:val="yellow"/>
              </w:rPr>
            </w:pPr>
            <w:r>
              <w:rPr>
                <w:rFonts w:ascii="Arial" w:eastAsia="Arial" w:hAnsi="Arial" w:cs="Arial"/>
                <w:color w:val="FF0000"/>
                <w:sz w:val="24"/>
                <w:szCs w:val="24"/>
              </w:rPr>
              <w:t>Redacted Text under FOIA section 40 – Personal Information</w:t>
            </w:r>
            <w:r>
              <w:rPr>
                <w:color w:val="FF0000"/>
              </w:rPr>
              <w:t xml:space="preserve">                                                </w:t>
            </w:r>
          </w:p>
          <w:p w14:paraId="30067787" w14:textId="77777777" w:rsidR="00FF222D" w:rsidRDefault="002F7615">
            <w:pPr>
              <w:rPr>
                <w:rFonts w:ascii="Arial" w:eastAsia="Arial" w:hAnsi="Arial" w:cs="Arial"/>
                <w:b/>
                <w:sz w:val="24"/>
                <w:szCs w:val="24"/>
              </w:rPr>
            </w:pPr>
            <w:r>
              <w:rPr>
                <w:rFonts w:ascii="Arial" w:eastAsia="Arial" w:hAnsi="Arial" w:cs="Arial"/>
                <w:b/>
                <w:sz w:val="24"/>
                <w:szCs w:val="24"/>
              </w:rPr>
              <w:t>The Parties are Joint Controllers</w:t>
            </w:r>
          </w:p>
          <w:p w14:paraId="03244373" w14:textId="77777777" w:rsidR="00FF222D" w:rsidRDefault="00FF222D">
            <w:pPr>
              <w:rPr>
                <w:rFonts w:ascii="Arial" w:eastAsia="Arial" w:hAnsi="Arial" w:cs="Arial"/>
                <w:i/>
                <w:sz w:val="24"/>
                <w:szCs w:val="24"/>
              </w:rPr>
            </w:pPr>
          </w:p>
          <w:p w14:paraId="213C383E" w14:textId="77777777" w:rsidR="00FF222D" w:rsidRDefault="002F7615">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w:t>
            </w:r>
            <w:r>
              <w:rPr>
                <w:rFonts w:ascii="Arial" w:eastAsia="Arial" w:hAnsi="Arial" w:cs="Arial"/>
                <w:i/>
                <w:sz w:val="24"/>
                <w:szCs w:val="24"/>
              </w:rPr>
              <w:t>tection Legislation and in accordance with paragraph 17 in respect of:</w:t>
            </w:r>
          </w:p>
          <w:p w14:paraId="1E467579" w14:textId="77777777" w:rsidR="00FF222D" w:rsidRDefault="00FF222D">
            <w:pPr>
              <w:rPr>
                <w:rFonts w:ascii="Arial" w:eastAsia="Arial" w:hAnsi="Arial" w:cs="Arial"/>
                <w:b/>
                <w:i/>
                <w:sz w:val="24"/>
                <w:szCs w:val="24"/>
                <w:highlight w:val="yellow"/>
              </w:rPr>
            </w:pPr>
          </w:p>
          <w:p w14:paraId="21844540" w14:textId="7C999B59" w:rsidR="00FF222D" w:rsidRDefault="003C6422">
            <w:pPr>
              <w:rPr>
                <w:rFonts w:ascii="Arial" w:eastAsia="Arial" w:hAnsi="Arial" w:cs="Arial"/>
                <w:i/>
                <w:sz w:val="24"/>
                <w:szCs w:val="24"/>
              </w:rPr>
            </w:pPr>
            <w:r>
              <w:rPr>
                <w:rFonts w:ascii="Arial" w:eastAsia="Arial" w:hAnsi="Arial" w:cs="Arial"/>
                <w:color w:val="FF0000"/>
                <w:sz w:val="24"/>
                <w:szCs w:val="24"/>
              </w:rPr>
              <w:t>Redacted Text under FOIA section 40 – Personal Information</w:t>
            </w:r>
            <w:r>
              <w:rPr>
                <w:color w:val="FF0000"/>
              </w:rPr>
              <w:t xml:space="preserve">                                                </w:t>
            </w:r>
          </w:p>
          <w:p w14:paraId="6A617B31" w14:textId="77777777" w:rsidR="00FF222D" w:rsidRDefault="002F7615">
            <w:pPr>
              <w:rPr>
                <w:rFonts w:ascii="Arial" w:eastAsia="Arial" w:hAnsi="Arial" w:cs="Arial"/>
                <w:b/>
                <w:sz w:val="24"/>
                <w:szCs w:val="24"/>
              </w:rPr>
            </w:pPr>
            <w:r>
              <w:rPr>
                <w:rFonts w:ascii="Arial" w:eastAsia="Arial" w:hAnsi="Arial" w:cs="Arial"/>
                <w:b/>
                <w:sz w:val="24"/>
                <w:szCs w:val="24"/>
              </w:rPr>
              <w:t>The Parties are Independent Controllers of Personal Data</w:t>
            </w:r>
          </w:p>
          <w:p w14:paraId="38C009ED" w14:textId="77777777" w:rsidR="00FF222D" w:rsidRDefault="00FF222D">
            <w:pPr>
              <w:rPr>
                <w:rFonts w:ascii="Arial" w:eastAsia="Arial" w:hAnsi="Arial" w:cs="Arial"/>
                <w:b/>
                <w:i/>
                <w:sz w:val="24"/>
                <w:szCs w:val="24"/>
                <w:highlight w:val="yellow"/>
              </w:rPr>
            </w:pPr>
          </w:p>
          <w:p w14:paraId="3A499DFE" w14:textId="77777777" w:rsidR="00FF222D" w:rsidRDefault="002F7615">
            <w:pPr>
              <w:rPr>
                <w:rFonts w:ascii="Arial" w:eastAsia="Arial" w:hAnsi="Arial" w:cs="Arial"/>
                <w:i/>
                <w:sz w:val="24"/>
                <w:szCs w:val="24"/>
              </w:rPr>
            </w:pPr>
            <w:r>
              <w:rPr>
                <w:rFonts w:ascii="Arial" w:eastAsia="Arial" w:hAnsi="Arial" w:cs="Arial"/>
                <w:i/>
                <w:sz w:val="24"/>
                <w:szCs w:val="24"/>
              </w:rPr>
              <w:t xml:space="preserve">The Parties acknowledge that they are Independent Controllers for the purposes </w:t>
            </w:r>
            <w:r>
              <w:rPr>
                <w:rFonts w:ascii="Arial" w:eastAsia="Arial" w:hAnsi="Arial" w:cs="Arial"/>
                <w:i/>
                <w:sz w:val="24"/>
                <w:szCs w:val="24"/>
              </w:rPr>
              <w:t>of the Data Protection Legislation and in accordance with paragraph 18 in respect of:</w:t>
            </w:r>
          </w:p>
          <w:p w14:paraId="5CBD677D" w14:textId="4F662561" w:rsidR="00FF222D" w:rsidRDefault="003C6422">
            <w:pPr>
              <w:rPr>
                <w:rFonts w:ascii="Arial" w:eastAsia="Arial" w:hAnsi="Arial" w:cs="Arial"/>
                <w:sz w:val="24"/>
                <w:szCs w:val="24"/>
              </w:rPr>
            </w:pPr>
            <w:r>
              <w:rPr>
                <w:rFonts w:ascii="Arial" w:eastAsia="Arial" w:hAnsi="Arial" w:cs="Arial"/>
                <w:color w:val="FF0000"/>
                <w:sz w:val="24"/>
                <w:szCs w:val="24"/>
              </w:rPr>
              <w:t>Redacted Text under FOIA section 40 – Personal Information</w:t>
            </w:r>
            <w:r>
              <w:rPr>
                <w:color w:val="FF0000"/>
              </w:rPr>
              <w:t xml:space="preserve">                                                </w:t>
            </w:r>
          </w:p>
        </w:tc>
      </w:tr>
      <w:tr w:rsidR="00FF222D" w14:paraId="6452C3D9" w14:textId="77777777">
        <w:trPr>
          <w:trHeight w:val="1620"/>
        </w:trPr>
        <w:tc>
          <w:tcPr>
            <w:tcW w:w="2263" w:type="dxa"/>
            <w:shd w:val="clear" w:color="auto" w:fill="auto"/>
          </w:tcPr>
          <w:p w14:paraId="25545E94" w14:textId="77777777" w:rsidR="00FF222D" w:rsidRDefault="002F7615">
            <w:pPr>
              <w:rPr>
                <w:rFonts w:ascii="Arial" w:eastAsia="Arial" w:hAnsi="Arial" w:cs="Arial"/>
                <w:sz w:val="24"/>
                <w:szCs w:val="24"/>
              </w:rPr>
            </w:pPr>
            <w:r>
              <w:rPr>
                <w:rFonts w:ascii="Arial" w:eastAsia="Arial" w:hAnsi="Arial" w:cs="Arial"/>
                <w:sz w:val="24"/>
                <w:szCs w:val="24"/>
              </w:rPr>
              <w:lastRenderedPageBreak/>
              <w:t>Subject matter of the Processing</w:t>
            </w:r>
          </w:p>
        </w:tc>
        <w:tc>
          <w:tcPr>
            <w:tcW w:w="7423" w:type="dxa"/>
            <w:shd w:val="clear" w:color="auto" w:fill="auto"/>
          </w:tcPr>
          <w:p w14:paraId="30BD1661" w14:textId="77777777" w:rsidR="00FF222D" w:rsidRDefault="002F7615">
            <w:pPr>
              <w:rPr>
                <w:rFonts w:ascii="Arial" w:eastAsia="Arial" w:hAnsi="Arial" w:cs="Arial"/>
                <w:i/>
                <w:sz w:val="24"/>
                <w:szCs w:val="24"/>
              </w:rPr>
            </w:pPr>
            <w:r>
              <w:rPr>
                <w:rFonts w:ascii="Arial" w:eastAsia="Arial" w:hAnsi="Arial" w:cs="Arial"/>
                <w:i/>
                <w:sz w:val="24"/>
                <w:szCs w:val="24"/>
              </w:rPr>
              <w:t>[This should be a high level, short description of what the</w:t>
            </w:r>
          </w:p>
          <w:p w14:paraId="61104D12" w14:textId="77777777" w:rsidR="00FF222D" w:rsidRDefault="002F7615">
            <w:pPr>
              <w:rPr>
                <w:rFonts w:ascii="Arial" w:eastAsia="Arial" w:hAnsi="Arial" w:cs="Arial"/>
                <w:i/>
                <w:sz w:val="24"/>
                <w:szCs w:val="24"/>
              </w:rPr>
            </w:pPr>
            <w:r>
              <w:rPr>
                <w:rFonts w:ascii="Arial" w:eastAsia="Arial" w:hAnsi="Arial" w:cs="Arial"/>
                <w:i/>
                <w:sz w:val="24"/>
                <w:szCs w:val="24"/>
              </w:rPr>
              <w:t xml:space="preserve">processing is about </w:t>
            </w:r>
            <w:proofErr w:type="gramStart"/>
            <w:r>
              <w:rPr>
                <w:rFonts w:ascii="Arial" w:eastAsia="Arial" w:hAnsi="Arial" w:cs="Arial"/>
                <w:i/>
                <w:sz w:val="24"/>
                <w:szCs w:val="24"/>
              </w:rPr>
              <w:t>i.e.</w:t>
            </w:r>
            <w:proofErr w:type="gramEnd"/>
            <w:r>
              <w:rPr>
                <w:rFonts w:ascii="Arial" w:eastAsia="Arial" w:hAnsi="Arial" w:cs="Arial"/>
                <w:i/>
                <w:sz w:val="24"/>
                <w:szCs w:val="24"/>
              </w:rPr>
              <w:t xml:space="preserve"> its subject matter of the co</w:t>
            </w:r>
            <w:r>
              <w:rPr>
                <w:rFonts w:ascii="Arial" w:eastAsia="Arial" w:hAnsi="Arial" w:cs="Arial"/>
                <w:i/>
                <w:sz w:val="24"/>
                <w:szCs w:val="24"/>
              </w:rPr>
              <w:t>ntract.</w:t>
            </w:r>
          </w:p>
          <w:p w14:paraId="49699078" w14:textId="77777777" w:rsidR="00FF222D" w:rsidRDefault="00FF222D">
            <w:pPr>
              <w:rPr>
                <w:rFonts w:ascii="Arial" w:eastAsia="Arial" w:hAnsi="Arial" w:cs="Arial"/>
                <w:i/>
                <w:sz w:val="24"/>
                <w:szCs w:val="24"/>
              </w:rPr>
            </w:pPr>
          </w:p>
          <w:p w14:paraId="71D818C4" w14:textId="77777777" w:rsidR="00FF222D" w:rsidRDefault="002F7615">
            <w:pPr>
              <w:rPr>
                <w:rFonts w:ascii="Arial" w:eastAsia="Arial" w:hAnsi="Arial" w:cs="Arial"/>
                <w:i/>
                <w:sz w:val="24"/>
                <w:szCs w:val="24"/>
              </w:rPr>
            </w:pPr>
            <w:r>
              <w:rPr>
                <w:rFonts w:ascii="Arial" w:eastAsia="Arial" w:hAnsi="Arial" w:cs="Arial"/>
                <w:i/>
                <w:sz w:val="24"/>
                <w:szCs w:val="24"/>
              </w:rPr>
              <w:t>Example: The processing is needed in order to ensure that the</w:t>
            </w:r>
          </w:p>
          <w:p w14:paraId="0A3B1ADB" w14:textId="77777777" w:rsidR="00FF222D" w:rsidRDefault="002F7615">
            <w:pPr>
              <w:rPr>
                <w:rFonts w:ascii="Arial" w:eastAsia="Arial" w:hAnsi="Arial" w:cs="Arial"/>
                <w:i/>
                <w:sz w:val="24"/>
                <w:szCs w:val="24"/>
              </w:rPr>
            </w:pPr>
            <w:r>
              <w:rPr>
                <w:rFonts w:ascii="Arial" w:eastAsia="Arial" w:hAnsi="Arial" w:cs="Arial"/>
                <w:i/>
                <w:sz w:val="24"/>
                <w:szCs w:val="24"/>
              </w:rPr>
              <w:t>Processor can effectively deliver the contract to provide [insert</w:t>
            </w:r>
          </w:p>
          <w:p w14:paraId="1881FC95" w14:textId="77777777" w:rsidR="00FF222D" w:rsidRDefault="002F7615">
            <w:pPr>
              <w:rPr>
                <w:rFonts w:ascii="Arial" w:eastAsia="Arial" w:hAnsi="Arial" w:cs="Arial"/>
                <w:i/>
                <w:sz w:val="24"/>
                <w:szCs w:val="24"/>
              </w:rPr>
            </w:pPr>
            <w:r>
              <w:rPr>
                <w:rFonts w:ascii="Arial" w:eastAsia="Arial" w:hAnsi="Arial" w:cs="Arial"/>
                <w:i/>
                <w:sz w:val="24"/>
                <w:szCs w:val="24"/>
              </w:rPr>
              <w:t>description of relevant service].</w:t>
            </w:r>
          </w:p>
          <w:p w14:paraId="4DC39C5F" w14:textId="77777777" w:rsidR="00FF222D" w:rsidRDefault="00FF222D">
            <w:pPr>
              <w:rPr>
                <w:rFonts w:ascii="Arial" w:eastAsia="Arial" w:hAnsi="Arial" w:cs="Arial"/>
                <w:sz w:val="24"/>
                <w:szCs w:val="24"/>
              </w:rPr>
            </w:pPr>
          </w:p>
        </w:tc>
      </w:tr>
      <w:tr w:rsidR="00FF222D" w14:paraId="1DC59B6A" w14:textId="77777777">
        <w:trPr>
          <w:trHeight w:val="1460"/>
        </w:trPr>
        <w:tc>
          <w:tcPr>
            <w:tcW w:w="2263" w:type="dxa"/>
            <w:shd w:val="clear" w:color="auto" w:fill="auto"/>
          </w:tcPr>
          <w:p w14:paraId="563045C8" w14:textId="77777777" w:rsidR="00FF222D" w:rsidRDefault="002F7615">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4F1DD5B" w14:textId="77777777" w:rsidR="00FF222D" w:rsidRDefault="002F7615">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FF222D" w14:paraId="4276A421" w14:textId="77777777">
        <w:trPr>
          <w:trHeight w:val="1520"/>
        </w:trPr>
        <w:tc>
          <w:tcPr>
            <w:tcW w:w="2263" w:type="dxa"/>
            <w:shd w:val="clear" w:color="auto" w:fill="auto"/>
          </w:tcPr>
          <w:p w14:paraId="40E8038E" w14:textId="77777777" w:rsidR="00FF222D" w:rsidRDefault="002F7615">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FDD3475" w14:textId="77777777" w:rsidR="00FF222D" w:rsidRDefault="002F7615">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04322621" w14:textId="77777777" w:rsidR="00FF222D" w:rsidRDefault="00FF222D">
            <w:pPr>
              <w:rPr>
                <w:rFonts w:ascii="Arial" w:eastAsia="Arial" w:hAnsi="Arial" w:cs="Arial"/>
                <w:i/>
                <w:sz w:val="24"/>
                <w:szCs w:val="24"/>
              </w:rPr>
            </w:pPr>
          </w:p>
          <w:p w14:paraId="12ED6741" w14:textId="77777777" w:rsidR="00FF222D" w:rsidRDefault="002F7615">
            <w:pPr>
              <w:rPr>
                <w:rFonts w:ascii="Arial" w:eastAsia="Arial" w:hAnsi="Arial" w:cs="Arial"/>
                <w:i/>
                <w:sz w:val="24"/>
                <w:szCs w:val="24"/>
              </w:rPr>
            </w:pPr>
            <w:r>
              <w:rPr>
                <w:rFonts w:ascii="Arial" w:eastAsia="Arial" w:hAnsi="Arial" w:cs="Arial"/>
                <w:i/>
                <w:sz w:val="24"/>
                <w:szCs w:val="24"/>
              </w:rPr>
              <w:t>The nature of the Processing means any operation such as colle</w:t>
            </w:r>
            <w:r>
              <w:rPr>
                <w:rFonts w:ascii="Arial" w:eastAsia="Arial" w:hAnsi="Arial" w:cs="Arial"/>
                <w:i/>
                <w:sz w:val="24"/>
                <w:szCs w:val="24"/>
              </w:rPr>
              <w:t>ction, recording, organisation, structuring, storage, adaptation or alteration, retrieval, consultation, use, disclosure by transmission, dissemination or otherwise making available, alignment or combination, restriction, erasure or destruction of data (wh</w:t>
            </w:r>
            <w:r>
              <w:rPr>
                <w:rFonts w:ascii="Arial" w:eastAsia="Arial" w:hAnsi="Arial" w:cs="Arial"/>
                <w:i/>
                <w:sz w:val="24"/>
                <w:szCs w:val="24"/>
              </w:rPr>
              <w:t>ether or not by automated means) etc.</w:t>
            </w:r>
          </w:p>
          <w:p w14:paraId="389EE2FC" w14:textId="77777777" w:rsidR="00FF222D" w:rsidRDefault="002F7615">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FF222D" w14:paraId="5CC0A46C" w14:textId="77777777">
        <w:trPr>
          <w:trHeight w:val="1400"/>
        </w:trPr>
        <w:tc>
          <w:tcPr>
            <w:tcW w:w="2263" w:type="dxa"/>
            <w:shd w:val="clear" w:color="auto" w:fill="auto"/>
          </w:tcPr>
          <w:p w14:paraId="5C8363DF" w14:textId="77777777" w:rsidR="00FF222D" w:rsidRDefault="002F7615">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379B52B4" w14:textId="23C57E7B" w:rsidR="00FF222D" w:rsidRDefault="003C6422">
            <w:pPr>
              <w:rPr>
                <w:rFonts w:ascii="Arial" w:eastAsia="Arial" w:hAnsi="Arial" w:cs="Arial"/>
                <w:sz w:val="24"/>
                <w:szCs w:val="24"/>
              </w:rPr>
            </w:pPr>
            <w:r>
              <w:rPr>
                <w:rFonts w:ascii="Arial" w:eastAsia="Arial" w:hAnsi="Arial" w:cs="Arial"/>
                <w:color w:val="FF0000"/>
                <w:sz w:val="24"/>
                <w:szCs w:val="24"/>
              </w:rPr>
              <w:t>Redacted Text under FOIA section 40 – Personal Information</w:t>
            </w:r>
            <w:r>
              <w:rPr>
                <w:color w:val="FF0000"/>
              </w:rPr>
              <w:t xml:space="preserve">                                                </w:t>
            </w:r>
          </w:p>
        </w:tc>
      </w:tr>
      <w:tr w:rsidR="00FF222D" w14:paraId="39057938" w14:textId="77777777">
        <w:trPr>
          <w:trHeight w:val="1560"/>
        </w:trPr>
        <w:tc>
          <w:tcPr>
            <w:tcW w:w="2263" w:type="dxa"/>
            <w:shd w:val="clear" w:color="auto" w:fill="auto"/>
          </w:tcPr>
          <w:p w14:paraId="6570A5B0" w14:textId="77777777" w:rsidR="00FF222D" w:rsidRDefault="002F7615">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D9144B4" w14:textId="35274F08" w:rsidR="00FF222D" w:rsidRDefault="003C6422">
            <w:pPr>
              <w:rPr>
                <w:rFonts w:ascii="Arial" w:eastAsia="Arial" w:hAnsi="Arial" w:cs="Arial"/>
                <w:sz w:val="24"/>
                <w:szCs w:val="24"/>
              </w:rPr>
            </w:pPr>
            <w:r>
              <w:rPr>
                <w:rFonts w:ascii="Arial" w:eastAsia="Arial" w:hAnsi="Arial" w:cs="Arial"/>
                <w:color w:val="FF0000"/>
                <w:sz w:val="24"/>
                <w:szCs w:val="24"/>
              </w:rPr>
              <w:t>Redacted Text under FOIA section 40 – Personal Information</w:t>
            </w:r>
            <w:r>
              <w:rPr>
                <w:color w:val="FF0000"/>
              </w:rPr>
              <w:t xml:space="preserve">                                                </w:t>
            </w:r>
          </w:p>
        </w:tc>
      </w:tr>
      <w:tr w:rsidR="00FF222D" w14:paraId="18BBD020" w14:textId="77777777">
        <w:trPr>
          <w:trHeight w:val="1560"/>
        </w:trPr>
        <w:tc>
          <w:tcPr>
            <w:tcW w:w="2263" w:type="dxa"/>
            <w:shd w:val="clear" w:color="auto" w:fill="auto"/>
          </w:tcPr>
          <w:p w14:paraId="22082C4B" w14:textId="77777777" w:rsidR="00FF222D" w:rsidRDefault="002F7615">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39309B1F" w14:textId="7E4401A8" w:rsidR="00FF222D" w:rsidRDefault="003C6422">
            <w:pPr>
              <w:rPr>
                <w:rFonts w:ascii="Arial" w:eastAsia="Arial" w:hAnsi="Arial" w:cs="Arial"/>
                <w:i/>
                <w:sz w:val="24"/>
                <w:szCs w:val="24"/>
              </w:rPr>
            </w:pPr>
            <w:r>
              <w:rPr>
                <w:rFonts w:ascii="Arial" w:eastAsia="Arial" w:hAnsi="Arial" w:cs="Arial"/>
                <w:color w:val="FF0000"/>
                <w:sz w:val="24"/>
                <w:szCs w:val="24"/>
              </w:rPr>
              <w:t>Redacted Text under FOIA section 40 – Personal Information</w:t>
            </w:r>
            <w:r>
              <w:rPr>
                <w:color w:val="FF0000"/>
              </w:rPr>
              <w:t xml:space="preserve">                                                </w:t>
            </w:r>
          </w:p>
        </w:tc>
      </w:tr>
      <w:tr w:rsidR="00FF222D" w14:paraId="54CABEE3" w14:textId="77777777">
        <w:trPr>
          <w:trHeight w:val="1660"/>
        </w:trPr>
        <w:tc>
          <w:tcPr>
            <w:tcW w:w="2263" w:type="dxa"/>
            <w:shd w:val="clear" w:color="auto" w:fill="auto"/>
          </w:tcPr>
          <w:p w14:paraId="782C299F" w14:textId="77777777" w:rsidR="00FF222D" w:rsidRDefault="002F7615">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145BC56" w14:textId="77777777" w:rsidR="00FF222D" w:rsidRDefault="002F7615">
            <w:pPr>
              <w:rPr>
                <w:rFonts w:ascii="Arial" w:eastAsia="Arial" w:hAnsi="Arial" w:cs="Arial"/>
                <w:sz w:val="24"/>
                <w:szCs w:val="24"/>
              </w:rPr>
            </w:pPr>
            <w:r>
              <w:rPr>
                <w:rFonts w:ascii="Arial" w:eastAsia="Arial" w:hAnsi="Arial" w:cs="Arial"/>
                <w:sz w:val="24"/>
                <w:szCs w:val="24"/>
              </w:rPr>
              <w:t>UNLESS requiremen</w:t>
            </w:r>
            <w:r>
              <w:rPr>
                <w:rFonts w:ascii="Arial" w:eastAsia="Arial" w:hAnsi="Arial" w:cs="Arial"/>
                <w:sz w:val="24"/>
                <w:szCs w:val="24"/>
              </w:rPr>
              <w:t xml:space="preserve">t under Union or Member State law to </w:t>
            </w:r>
            <w:r>
              <w:rPr>
                <w:rFonts w:ascii="Arial" w:eastAsia="Arial" w:hAnsi="Arial" w:cs="Arial"/>
                <w:sz w:val="24"/>
                <w:szCs w:val="24"/>
              </w:rPr>
              <w:lastRenderedPageBreak/>
              <w:t>preserve that type of data</w:t>
            </w:r>
          </w:p>
        </w:tc>
        <w:tc>
          <w:tcPr>
            <w:tcW w:w="7423" w:type="dxa"/>
            <w:shd w:val="clear" w:color="auto" w:fill="auto"/>
          </w:tcPr>
          <w:p w14:paraId="7B570794" w14:textId="77777777" w:rsidR="00FF222D" w:rsidRDefault="002F7615">
            <w:pPr>
              <w:rPr>
                <w:rFonts w:ascii="Arial" w:eastAsia="Arial" w:hAnsi="Arial" w:cs="Arial"/>
                <w:sz w:val="24"/>
                <w:szCs w:val="24"/>
              </w:rPr>
            </w:pPr>
            <w:r>
              <w:rPr>
                <w:rFonts w:ascii="Arial" w:eastAsia="Arial" w:hAnsi="Arial" w:cs="Arial"/>
                <w:i/>
                <w:sz w:val="24"/>
                <w:szCs w:val="24"/>
              </w:rPr>
              <w:lastRenderedPageBreak/>
              <w:t>[Describe how long the data will be retained for, how it be returned or destroyed]</w:t>
            </w:r>
          </w:p>
        </w:tc>
      </w:tr>
    </w:tbl>
    <w:p w14:paraId="0109E9B4" w14:textId="77777777" w:rsidR="00FF222D" w:rsidRDefault="00FF222D">
      <w:pPr>
        <w:rPr>
          <w:rFonts w:ascii="Arial" w:eastAsia="Arial" w:hAnsi="Arial" w:cs="Arial"/>
          <w:b/>
          <w:sz w:val="24"/>
          <w:szCs w:val="24"/>
        </w:rPr>
      </w:pPr>
    </w:p>
    <w:p w14:paraId="74574CB2" w14:textId="77777777" w:rsidR="00FF222D" w:rsidRDefault="00FF222D">
      <w:pPr>
        <w:rPr>
          <w:rFonts w:ascii="Arial" w:eastAsia="Arial" w:hAnsi="Arial" w:cs="Arial"/>
          <w:b/>
          <w:sz w:val="24"/>
          <w:szCs w:val="24"/>
        </w:rPr>
      </w:pPr>
    </w:p>
    <w:p w14:paraId="54262C3E" w14:textId="77777777" w:rsidR="00FF222D" w:rsidRDefault="00FF222D">
      <w:pPr>
        <w:rPr>
          <w:rFonts w:ascii="Arial" w:eastAsia="Arial" w:hAnsi="Arial" w:cs="Arial"/>
          <w:b/>
          <w:sz w:val="24"/>
          <w:szCs w:val="24"/>
        </w:rPr>
      </w:pPr>
    </w:p>
    <w:p w14:paraId="577C3B56" w14:textId="77777777" w:rsidR="00FF222D" w:rsidRDefault="00FF222D">
      <w:pPr>
        <w:rPr>
          <w:rFonts w:ascii="Arial" w:eastAsia="Arial" w:hAnsi="Arial" w:cs="Arial"/>
          <w:b/>
          <w:sz w:val="24"/>
          <w:szCs w:val="24"/>
        </w:rPr>
      </w:pPr>
    </w:p>
    <w:p w14:paraId="53FD32E6" w14:textId="77777777" w:rsidR="00FF222D" w:rsidRDefault="00FF222D">
      <w:pPr>
        <w:rPr>
          <w:rFonts w:ascii="Arial" w:eastAsia="Arial" w:hAnsi="Arial" w:cs="Arial"/>
          <w:b/>
          <w:sz w:val="24"/>
          <w:szCs w:val="24"/>
        </w:rPr>
      </w:pPr>
    </w:p>
    <w:p w14:paraId="33968788" w14:textId="77777777" w:rsidR="00FF222D" w:rsidRDefault="00FF222D">
      <w:pPr>
        <w:rPr>
          <w:rFonts w:ascii="Arial" w:eastAsia="Arial" w:hAnsi="Arial" w:cs="Arial"/>
          <w:b/>
          <w:sz w:val="24"/>
          <w:szCs w:val="24"/>
        </w:rPr>
      </w:pPr>
    </w:p>
    <w:p w14:paraId="30DA4E6A" w14:textId="77777777" w:rsidR="00FF222D" w:rsidRDefault="00FF222D">
      <w:pPr>
        <w:rPr>
          <w:rFonts w:ascii="Arial" w:eastAsia="Arial" w:hAnsi="Arial" w:cs="Arial"/>
          <w:b/>
          <w:sz w:val="24"/>
          <w:szCs w:val="24"/>
        </w:rPr>
      </w:pPr>
    </w:p>
    <w:p w14:paraId="41FF0276" w14:textId="77777777" w:rsidR="00FF222D" w:rsidRDefault="00FF222D">
      <w:pPr>
        <w:rPr>
          <w:rFonts w:ascii="Arial" w:eastAsia="Arial" w:hAnsi="Arial" w:cs="Arial"/>
          <w:b/>
          <w:sz w:val="24"/>
          <w:szCs w:val="24"/>
        </w:rPr>
      </w:pPr>
    </w:p>
    <w:p w14:paraId="6F0E4D6B" w14:textId="77777777" w:rsidR="00FF222D" w:rsidRDefault="002F7615">
      <w:pPr>
        <w:pStyle w:val="Heading2"/>
        <w:spacing w:before="0" w:after="240"/>
        <w:ind w:left="709" w:hanging="709"/>
        <w:rPr>
          <w:rFonts w:ascii="Arial" w:eastAsia="Arial" w:hAnsi="Arial" w:cs="Arial"/>
          <w:b w:val="0"/>
          <w:sz w:val="24"/>
          <w:szCs w:val="24"/>
        </w:rPr>
      </w:pPr>
      <w:r>
        <w:rPr>
          <w:rFonts w:ascii="Arial" w:eastAsia="Arial" w:hAnsi="Arial" w:cs="Arial"/>
          <w:sz w:val="24"/>
          <w:szCs w:val="24"/>
        </w:rPr>
        <w:t>Annex 1 - Processing Personal Data (Lot 8 only Authority &amp; Supplier, Call-Off Contract)</w:t>
      </w:r>
    </w:p>
    <w:p w14:paraId="12BCF8EF" w14:textId="77777777" w:rsidR="00FF222D" w:rsidRDefault="002F7615">
      <w:pPr>
        <w:rPr>
          <w:rFonts w:ascii="Arial" w:eastAsia="Arial" w:hAnsi="Arial" w:cs="Arial"/>
          <w:sz w:val="24"/>
          <w:szCs w:val="24"/>
        </w:rPr>
      </w:pPr>
      <w:r>
        <w:rPr>
          <w:rFonts w:ascii="Arial" w:eastAsia="Arial" w:hAnsi="Arial" w:cs="Arial"/>
          <w:sz w:val="24"/>
          <w:szCs w:val="24"/>
        </w:rPr>
        <w:t>This Annex has been prepopulated in line with the digital award procedure for all Lot 8 Catalogue Call-Off Contracts. The final decision as to the content of this Annex</w:t>
      </w:r>
      <w:r>
        <w:rPr>
          <w:rFonts w:ascii="Arial" w:eastAsia="Arial" w:hAnsi="Arial" w:cs="Arial"/>
          <w:sz w:val="24"/>
          <w:szCs w:val="24"/>
        </w:rPr>
        <w:t xml:space="preserve"> shall be with the Relevant Authority at its absolute discretion. </w:t>
      </w:r>
    </w:p>
    <w:p w14:paraId="530E4F20" w14:textId="4CC4344E" w:rsidR="00FF222D" w:rsidRPr="003C6422" w:rsidRDefault="002F7615" w:rsidP="003C6422">
      <w:pPr>
        <w:keepNext/>
        <w:numPr>
          <w:ilvl w:val="3"/>
          <w:numId w:val="14"/>
        </w:numPr>
        <w:spacing w:after="0" w:line="240" w:lineRule="auto"/>
        <w:jc w:val="both"/>
        <w:rPr>
          <w:rFonts w:ascii="Arial" w:eastAsia="Arial" w:hAnsi="Arial" w:cs="Arial"/>
          <w:sz w:val="24"/>
          <w:szCs w:val="24"/>
        </w:rPr>
      </w:pPr>
      <w:r w:rsidRPr="003C6422">
        <w:rPr>
          <w:rFonts w:ascii="Arial" w:eastAsia="Arial" w:hAnsi="Arial" w:cs="Arial"/>
          <w:sz w:val="24"/>
          <w:szCs w:val="24"/>
        </w:rPr>
        <w:t xml:space="preserve">The contact details of the Relevant Authority’s Data Protection Officer are: </w:t>
      </w:r>
      <w:r w:rsidR="003C6422" w:rsidRPr="003C6422">
        <w:rPr>
          <w:rFonts w:ascii="Arial" w:eastAsia="Arial" w:hAnsi="Arial" w:cs="Arial"/>
          <w:color w:val="FF0000"/>
          <w:sz w:val="24"/>
          <w:szCs w:val="24"/>
        </w:rPr>
        <w:t>Redacted Text under FOIA section 40 – Personal Information</w:t>
      </w:r>
      <w:r w:rsidR="003C6422" w:rsidRPr="003C6422">
        <w:rPr>
          <w:color w:val="FF0000"/>
        </w:rPr>
        <w:t xml:space="preserve">                                                </w:t>
      </w:r>
      <w:r w:rsidRPr="003C6422">
        <w:rPr>
          <w:rFonts w:ascii="Arial" w:eastAsia="Arial" w:hAnsi="Arial" w:cs="Arial"/>
          <w:sz w:val="24"/>
          <w:szCs w:val="24"/>
        </w:rPr>
        <w:t>The contact details of the Supplier’s Data Protection Officer a</w:t>
      </w:r>
      <w:r w:rsidRPr="003C6422">
        <w:rPr>
          <w:rFonts w:ascii="Arial" w:eastAsia="Arial" w:hAnsi="Arial" w:cs="Arial"/>
          <w:sz w:val="24"/>
          <w:szCs w:val="24"/>
        </w:rPr>
        <w:t xml:space="preserve">re: </w:t>
      </w:r>
      <w:r w:rsidR="003C6422">
        <w:rPr>
          <w:rFonts w:ascii="Arial" w:eastAsia="Arial" w:hAnsi="Arial" w:cs="Arial"/>
          <w:color w:val="FF0000"/>
          <w:sz w:val="24"/>
          <w:szCs w:val="24"/>
        </w:rPr>
        <w:t>Redacted Text under FOIA section 40 – Personal Information</w:t>
      </w:r>
      <w:r w:rsidR="003C6422">
        <w:rPr>
          <w:color w:val="FF0000"/>
        </w:rPr>
        <w:t xml:space="preserve">                                                </w:t>
      </w:r>
      <w:proofErr w:type="gramStart"/>
      <w:r w:rsidRPr="003C6422">
        <w:rPr>
          <w:rFonts w:ascii="Arial" w:eastAsia="Arial" w:hAnsi="Arial" w:cs="Arial"/>
          <w:sz w:val="24"/>
          <w:szCs w:val="24"/>
        </w:rPr>
        <w:t>The</w:t>
      </w:r>
      <w:proofErr w:type="gramEnd"/>
      <w:r w:rsidRPr="003C6422">
        <w:rPr>
          <w:rFonts w:ascii="Arial" w:eastAsia="Arial" w:hAnsi="Arial" w:cs="Arial"/>
          <w:sz w:val="24"/>
          <w:szCs w:val="24"/>
        </w:rPr>
        <w:t xml:space="preserve"> Processor shall comply with any further written instructions with respect to Processing by the Controller.</w:t>
      </w:r>
    </w:p>
    <w:p w14:paraId="66FE5278" w14:textId="77777777" w:rsidR="00FF222D" w:rsidRDefault="002F7615">
      <w:pPr>
        <w:keepNext/>
        <w:numPr>
          <w:ilvl w:val="3"/>
          <w:numId w:val="1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7"/>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F222D" w14:paraId="047DDDB5" w14:textId="77777777">
        <w:trPr>
          <w:trHeight w:val="700"/>
        </w:trPr>
        <w:tc>
          <w:tcPr>
            <w:tcW w:w="2263" w:type="dxa"/>
            <w:shd w:val="clear" w:color="auto" w:fill="BFBFBF"/>
            <w:vAlign w:val="center"/>
          </w:tcPr>
          <w:p w14:paraId="45AEA940" w14:textId="77777777" w:rsidR="00FF222D" w:rsidRDefault="002F7615">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89FC60E" w14:textId="77777777" w:rsidR="00FF222D" w:rsidRDefault="002F7615">
            <w:pPr>
              <w:jc w:val="center"/>
              <w:rPr>
                <w:rFonts w:ascii="Arial" w:eastAsia="Arial" w:hAnsi="Arial" w:cs="Arial"/>
                <w:b/>
                <w:sz w:val="24"/>
                <w:szCs w:val="24"/>
              </w:rPr>
            </w:pPr>
            <w:r>
              <w:rPr>
                <w:rFonts w:ascii="Arial" w:eastAsia="Arial" w:hAnsi="Arial" w:cs="Arial"/>
                <w:b/>
                <w:sz w:val="24"/>
                <w:szCs w:val="24"/>
              </w:rPr>
              <w:t>Details</w:t>
            </w:r>
          </w:p>
        </w:tc>
      </w:tr>
      <w:tr w:rsidR="00FF222D" w14:paraId="2E51E836" w14:textId="77777777">
        <w:trPr>
          <w:trHeight w:val="1620"/>
        </w:trPr>
        <w:tc>
          <w:tcPr>
            <w:tcW w:w="2263" w:type="dxa"/>
            <w:shd w:val="clear" w:color="auto" w:fill="auto"/>
          </w:tcPr>
          <w:p w14:paraId="6BAF1B54" w14:textId="77777777" w:rsidR="00FF222D" w:rsidRDefault="002F7615">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7B856A8" w14:textId="77777777" w:rsidR="00FF222D" w:rsidRDefault="002F7615">
            <w:pPr>
              <w:rPr>
                <w:rFonts w:ascii="Arial" w:eastAsia="Arial" w:hAnsi="Arial" w:cs="Arial"/>
                <w:b/>
                <w:sz w:val="24"/>
                <w:szCs w:val="24"/>
              </w:rPr>
            </w:pPr>
            <w:r>
              <w:rPr>
                <w:rFonts w:ascii="Arial" w:eastAsia="Arial" w:hAnsi="Arial" w:cs="Arial"/>
                <w:b/>
                <w:sz w:val="24"/>
                <w:szCs w:val="24"/>
              </w:rPr>
              <w:t>The Relevant Authority is the Controller and the Supplier is the Processor</w:t>
            </w:r>
          </w:p>
          <w:p w14:paraId="35E14FA9" w14:textId="77777777" w:rsidR="00FF222D" w:rsidRDefault="002F7615">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w:t>
            </w:r>
            <w:r>
              <w:rPr>
                <w:rFonts w:ascii="Arial" w:eastAsia="Arial" w:hAnsi="Arial" w:cs="Arial"/>
                <w:sz w:val="24"/>
                <w:szCs w:val="24"/>
              </w:rPr>
              <w:t>islation, the Relevant Authority is the Controller and the Supplier is the Processor of the following Personal Data:</w:t>
            </w:r>
          </w:p>
          <w:p w14:paraId="1FB9DE10" w14:textId="77777777" w:rsidR="00FF222D" w:rsidRDefault="00FF222D">
            <w:pPr>
              <w:rPr>
                <w:rFonts w:ascii="Arial" w:eastAsia="Arial" w:hAnsi="Arial" w:cs="Arial"/>
                <w:sz w:val="24"/>
                <w:szCs w:val="24"/>
              </w:rPr>
            </w:pPr>
          </w:p>
          <w:p w14:paraId="3888D338" w14:textId="77777777" w:rsidR="00FF222D" w:rsidRDefault="002F7615">
            <w:pPr>
              <w:numPr>
                <w:ilvl w:val="0"/>
                <w:numId w:val="17"/>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 xml:space="preserve">Any Personal Data contained within the order/quote confirmation attachment provided to a Supplier for them to </w:t>
            </w:r>
            <w:r>
              <w:rPr>
                <w:rFonts w:ascii="Arial" w:eastAsia="Arial" w:hAnsi="Arial" w:cs="Arial"/>
                <w:sz w:val="24"/>
                <w:szCs w:val="24"/>
              </w:rPr>
              <w:lastRenderedPageBreak/>
              <w:t>fulfil an order under RM6098</w:t>
            </w:r>
            <w:r>
              <w:rPr>
                <w:rFonts w:ascii="Arial" w:eastAsia="Arial" w:hAnsi="Arial" w:cs="Arial"/>
                <w:sz w:val="24"/>
                <w:szCs w:val="24"/>
              </w:rPr>
              <w:t xml:space="preserve"> Technology Products and Associated Services 2 Lot 8 Catalogue. </w:t>
            </w:r>
          </w:p>
          <w:p w14:paraId="741BE927" w14:textId="77777777" w:rsidR="00FF222D" w:rsidRDefault="00FF222D">
            <w:pPr>
              <w:pBdr>
                <w:top w:val="nil"/>
                <w:left w:val="nil"/>
                <w:bottom w:val="nil"/>
                <w:right w:val="nil"/>
                <w:between w:val="nil"/>
              </w:pBdr>
              <w:spacing w:after="200" w:line="276" w:lineRule="auto"/>
              <w:ind w:left="360"/>
              <w:rPr>
                <w:rFonts w:ascii="Arial" w:eastAsia="Arial" w:hAnsi="Arial" w:cs="Arial"/>
                <w:sz w:val="24"/>
                <w:szCs w:val="24"/>
              </w:rPr>
            </w:pPr>
          </w:p>
          <w:p w14:paraId="6DCC66E4" w14:textId="77777777" w:rsidR="00FF222D" w:rsidRDefault="002F7615">
            <w:pPr>
              <w:numPr>
                <w:ilvl w:val="0"/>
                <w:numId w:val="17"/>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Any Personal Data for effective communication between the Authority and the Supplier.</w:t>
            </w:r>
          </w:p>
          <w:p w14:paraId="55941E0E" w14:textId="77777777" w:rsidR="00FF222D" w:rsidRDefault="002F7615">
            <w:pPr>
              <w:numPr>
                <w:ilvl w:val="0"/>
                <w:numId w:val="17"/>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Any Personal Data for maintaining full and accurate records of the Call-Off Contract.</w:t>
            </w:r>
          </w:p>
        </w:tc>
      </w:tr>
      <w:tr w:rsidR="00FF222D" w14:paraId="37668998" w14:textId="77777777">
        <w:trPr>
          <w:trHeight w:val="968"/>
        </w:trPr>
        <w:tc>
          <w:tcPr>
            <w:tcW w:w="2263" w:type="dxa"/>
            <w:shd w:val="clear" w:color="auto" w:fill="auto"/>
          </w:tcPr>
          <w:p w14:paraId="17463364" w14:textId="77777777" w:rsidR="00FF222D" w:rsidRDefault="002F7615">
            <w:pPr>
              <w:rPr>
                <w:rFonts w:ascii="Arial" w:eastAsia="Arial" w:hAnsi="Arial" w:cs="Arial"/>
                <w:sz w:val="24"/>
                <w:szCs w:val="24"/>
              </w:rPr>
            </w:pPr>
            <w:r>
              <w:rPr>
                <w:rFonts w:ascii="Arial" w:eastAsia="Arial" w:hAnsi="Arial" w:cs="Arial"/>
                <w:sz w:val="24"/>
                <w:szCs w:val="24"/>
              </w:rPr>
              <w:lastRenderedPageBreak/>
              <w:t>Subject matter of the Processing</w:t>
            </w:r>
          </w:p>
        </w:tc>
        <w:tc>
          <w:tcPr>
            <w:tcW w:w="7423" w:type="dxa"/>
            <w:shd w:val="clear" w:color="auto" w:fill="auto"/>
          </w:tcPr>
          <w:p w14:paraId="7B2E39A6" w14:textId="77777777" w:rsidR="00FF222D" w:rsidRDefault="002F7615">
            <w:pPr>
              <w:rPr>
                <w:rFonts w:ascii="Arial" w:eastAsia="Arial" w:hAnsi="Arial" w:cs="Arial"/>
                <w:sz w:val="24"/>
                <w:szCs w:val="24"/>
              </w:rPr>
            </w:pPr>
            <w:r>
              <w:rPr>
                <w:rFonts w:ascii="Arial" w:eastAsia="Arial" w:hAnsi="Arial" w:cs="Arial"/>
                <w:sz w:val="24"/>
                <w:szCs w:val="24"/>
              </w:rPr>
              <w:t>The processing is needed to ensure that the Processor can effectively deliver the relevant Lot 8 Catalogue Call-Off Contract</w:t>
            </w:r>
            <w:r>
              <w:rPr>
                <w:rFonts w:ascii="Arial" w:eastAsia="Arial" w:hAnsi="Arial" w:cs="Arial"/>
                <w:i/>
                <w:sz w:val="24"/>
                <w:szCs w:val="24"/>
              </w:rPr>
              <w:t>.</w:t>
            </w:r>
          </w:p>
        </w:tc>
      </w:tr>
      <w:tr w:rsidR="00FF222D" w14:paraId="55BBE70C" w14:textId="77777777">
        <w:trPr>
          <w:trHeight w:val="1460"/>
        </w:trPr>
        <w:tc>
          <w:tcPr>
            <w:tcW w:w="2263" w:type="dxa"/>
            <w:shd w:val="clear" w:color="auto" w:fill="auto"/>
          </w:tcPr>
          <w:p w14:paraId="73B96275" w14:textId="77777777" w:rsidR="00FF222D" w:rsidRDefault="002F7615">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2A032555" w14:textId="77777777" w:rsidR="00FF222D" w:rsidRDefault="002F7615">
            <w:pPr>
              <w:rPr>
                <w:rFonts w:ascii="Arial" w:eastAsia="Arial" w:hAnsi="Arial" w:cs="Arial"/>
                <w:sz w:val="24"/>
                <w:szCs w:val="24"/>
              </w:rPr>
            </w:pPr>
            <w:r>
              <w:rPr>
                <w:rFonts w:ascii="Arial" w:eastAsia="Arial" w:hAnsi="Arial" w:cs="Arial"/>
                <w:sz w:val="24"/>
                <w:szCs w:val="24"/>
              </w:rPr>
              <w:t>Up to 7 years after the expiry or termination of the Call-Off Contract unless longer retention is requ</w:t>
            </w:r>
            <w:r>
              <w:rPr>
                <w:rFonts w:ascii="Arial" w:eastAsia="Arial" w:hAnsi="Arial" w:cs="Arial"/>
                <w:sz w:val="24"/>
                <w:szCs w:val="24"/>
              </w:rPr>
              <w:t>ired by Law or the terms of any Call-Off Contract arising hereunder.</w:t>
            </w:r>
          </w:p>
        </w:tc>
      </w:tr>
      <w:tr w:rsidR="00FF222D" w14:paraId="26F56086" w14:textId="77777777">
        <w:trPr>
          <w:trHeight w:val="1520"/>
        </w:trPr>
        <w:tc>
          <w:tcPr>
            <w:tcW w:w="2263" w:type="dxa"/>
            <w:shd w:val="clear" w:color="auto" w:fill="auto"/>
          </w:tcPr>
          <w:p w14:paraId="249BA7E7" w14:textId="77777777" w:rsidR="00FF222D" w:rsidRDefault="002F7615">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2851C04" w14:textId="77777777" w:rsidR="00FF222D" w:rsidRDefault="002F7615">
            <w:pPr>
              <w:rPr>
                <w:rFonts w:ascii="Arial" w:eastAsia="Arial" w:hAnsi="Arial" w:cs="Arial"/>
                <w:sz w:val="24"/>
                <w:szCs w:val="24"/>
              </w:rPr>
            </w:pPr>
            <w:r>
              <w:rPr>
                <w:rFonts w:ascii="Arial" w:eastAsia="Arial" w:hAnsi="Arial" w:cs="Arial"/>
                <w:sz w:val="24"/>
                <w:szCs w:val="24"/>
              </w:rPr>
              <w:t>The Technology Products and Associated Services 2 Lot 8 Catalogue Platform is a digital catalogue used by Public Sector for ordering or retrieving quotations for technology products. To place an order or retrieve a quotation the Relevant Authority must pro</w:t>
            </w:r>
            <w:r>
              <w:rPr>
                <w:rFonts w:ascii="Arial" w:eastAsia="Arial" w:hAnsi="Arial" w:cs="Arial"/>
                <w:sz w:val="24"/>
                <w:szCs w:val="24"/>
              </w:rPr>
              <w:t>vide personal information which the Supplier will process to ensure order / quote obligations are fulfilled.</w:t>
            </w:r>
          </w:p>
          <w:p w14:paraId="479089CA" w14:textId="77777777" w:rsidR="00FF222D" w:rsidRDefault="00FF222D">
            <w:pPr>
              <w:rPr>
                <w:rFonts w:ascii="Arial" w:eastAsia="Arial" w:hAnsi="Arial" w:cs="Arial"/>
                <w:sz w:val="24"/>
                <w:szCs w:val="24"/>
              </w:rPr>
            </w:pPr>
          </w:p>
          <w:p w14:paraId="0F02D70A" w14:textId="77777777" w:rsidR="00FF222D" w:rsidRDefault="002F7615">
            <w:pPr>
              <w:rPr>
                <w:rFonts w:ascii="Arial" w:eastAsia="Arial" w:hAnsi="Arial" w:cs="Arial"/>
                <w:sz w:val="24"/>
                <w:szCs w:val="24"/>
              </w:rPr>
            </w:pPr>
            <w:r>
              <w:rPr>
                <w:rFonts w:ascii="Arial" w:eastAsia="Arial" w:hAnsi="Arial" w:cs="Arial"/>
                <w:sz w:val="24"/>
                <w:szCs w:val="24"/>
              </w:rPr>
              <w:t xml:space="preserve">The Personal Data will, </w:t>
            </w:r>
          </w:p>
          <w:p w14:paraId="7B005E24" w14:textId="77777777" w:rsidR="00FF222D" w:rsidRDefault="00FF222D">
            <w:pPr>
              <w:rPr>
                <w:rFonts w:ascii="Arial" w:eastAsia="Arial" w:hAnsi="Arial" w:cs="Arial"/>
                <w:sz w:val="24"/>
                <w:szCs w:val="24"/>
              </w:rPr>
            </w:pPr>
          </w:p>
          <w:p w14:paraId="58287E2B" w14:textId="77777777" w:rsidR="00FF222D" w:rsidRDefault="002F7615">
            <w:pPr>
              <w:numPr>
                <w:ilvl w:val="0"/>
                <w:numId w:val="16"/>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Ensure effective communication between the Authority and the Supplier.</w:t>
            </w:r>
          </w:p>
          <w:p w14:paraId="247D1176" w14:textId="77777777" w:rsidR="00FF222D" w:rsidRDefault="00FF222D">
            <w:pPr>
              <w:rPr>
                <w:rFonts w:ascii="Arial" w:eastAsia="Arial" w:hAnsi="Arial" w:cs="Arial"/>
                <w:sz w:val="24"/>
                <w:szCs w:val="24"/>
              </w:rPr>
            </w:pPr>
          </w:p>
          <w:p w14:paraId="6D13AD89" w14:textId="77777777" w:rsidR="00FF222D" w:rsidRDefault="002F7615">
            <w:pPr>
              <w:numPr>
                <w:ilvl w:val="0"/>
                <w:numId w:val="16"/>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Ensure accurate records of the Call-Off Contract</w:t>
            </w:r>
            <w:r>
              <w:rPr>
                <w:rFonts w:ascii="Arial" w:eastAsia="Arial" w:hAnsi="Arial" w:cs="Arial"/>
                <w:sz w:val="24"/>
                <w:szCs w:val="24"/>
              </w:rPr>
              <w:t xml:space="preserve"> are maintained.</w:t>
            </w:r>
          </w:p>
        </w:tc>
      </w:tr>
      <w:tr w:rsidR="00FF222D" w14:paraId="0BDA929F" w14:textId="77777777">
        <w:trPr>
          <w:trHeight w:val="1400"/>
        </w:trPr>
        <w:tc>
          <w:tcPr>
            <w:tcW w:w="2263" w:type="dxa"/>
            <w:shd w:val="clear" w:color="auto" w:fill="auto"/>
          </w:tcPr>
          <w:p w14:paraId="2E84C2FB" w14:textId="77777777" w:rsidR="00FF222D" w:rsidRDefault="002F7615">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3638E9E8" w14:textId="77777777" w:rsidR="00FF222D" w:rsidRDefault="002F7615">
            <w:pPr>
              <w:rPr>
                <w:rFonts w:ascii="Arial" w:eastAsia="Arial" w:hAnsi="Arial" w:cs="Arial"/>
                <w:sz w:val="24"/>
                <w:szCs w:val="24"/>
              </w:rPr>
            </w:pPr>
            <w:r>
              <w:rPr>
                <w:rFonts w:ascii="Arial" w:eastAsia="Arial" w:hAnsi="Arial" w:cs="Arial"/>
                <w:sz w:val="24"/>
                <w:szCs w:val="24"/>
              </w:rPr>
              <w:t xml:space="preserve">Includes: </w:t>
            </w:r>
          </w:p>
          <w:p w14:paraId="40723123" w14:textId="77777777" w:rsidR="00FF222D" w:rsidRDefault="00FF222D">
            <w:pPr>
              <w:rPr>
                <w:rFonts w:ascii="Arial" w:eastAsia="Arial" w:hAnsi="Arial" w:cs="Arial"/>
                <w:sz w:val="24"/>
                <w:szCs w:val="24"/>
              </w:rPr>
            </w:pPr>
          </w:p>
          <w:p w14:paraId="77D3ECF8" w14:textId="77777777" w:rsidR="00FF222D" w:rsidRDefault="002F7615">
            <w:pPr>
              <w:numPr>
                <w:ilvl w:val="0"/>
                <w:numId w:val="15"/>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 xml:space="preserve">Name, email address, telephone number, delivery address and communications with, Relevant Authority staff concerned with award and management of the Call-Off Contract awarded under Lot 8 Catalogue. </w:t>
            </w:r>
          </w:p>
          <w:p w14:paraId="1836DD75" w14:textId="77777777" w:rsidR="00FF222D" w:rsidRDefault="002F7615">
            <w:pPr>
              <w:numPr>
                <w:ilvl w:val="0"/>
                <w:numId w:val="15"/>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Name, email address, telephone number and communications with Supplier staff concerned with management of the Call-Off Contract awarded under Lot 8 Catalogue.</w:t>
            </w:r>
          </w:p>
        </w:tc>
      </w:tr>
      <w:tr w:rsidR="00FF222D" w14:paraId="66A4B617" w14:textId="77777777">
        <w:trPr>
          <w:trHeight w:val="1560"/>
        </w:trPr>
        <w:tc>
          <w:tcPr>
            <w:tcW w:w="2263" w:type="dxa"/>
            <w:shd w:val="clear" w:color="auto" w:fill="auto"/>
          </w:tcPr>
          <w:p w14:paraId="5B378B51" w14:textId="77777777" w:rsidR="00FF222D" w:rsidRDefault="002F7615">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7CE88D0C" w14:textId="77777777" w:rsidR="00FF222D" w:rsidRDefault="002F7615">
            <w:pPr>
              <w:spacing w:after="160" w:line="259" w:lineRule="auto"/>
              <w:rPr>
                <w:rFonts w:ascii="Arial" w:eastAsia="Arial" w:hAnsi="Arial" w:cs="Arial"/>
                <w:sz w:val="24"/>
                <w:szCs w:val="24"/>
              </w:rPr>
            </w:pPr>
            <w:r>
              <w:rPr>
                <w:rFonts w:ascii="Arial" w:eastAsia="Arial" w:hAnsi="Arial" w:cs="Arial"/>
                <w:sz w:val="24"/>
                <w:szCs w:val="24"/>
              </w:rPr>
              <w:t>Includes:</w:t>
            </w:r>
          </w:p>
          <w:p w14:paraId="0077F169" w14:textId="77777777" w:rsidR="00FF222D" w:rsidRDefault="002F7615">
            <w:pPr>
              <w:numPr>
                <w:ilvl w:val="0"/>
                <w:numId w:val="18"/>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Relevant Authority staff concerned with award and management of the Call-Off Contract awarded under Lot 8 Catalogue.</w:t>
            </w:r>
          </w:p>
          <w:p w14:paraId="1474F9ED" w14:textId="77777777" w:rsidR="00FF222D" w:rsidRDefault="002F7615">
            <w:pPr>
              <w:numPr>
                <w:ilvl w:val="0"/>
                <w:numId w:val="18"/>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Supplier staff concerned with fulfilment of the Supplier’s obligations arising under the Lot 8 Catalogue Call-Off Contract.</w:t>
            </w:r>
          </w:p>
        </w:tc>
      </w:tr>
      <w:tr w:rsidR="00FF222D" w14:paraId="61762A5F" w14:textId="77777777">
        <w:trPr>
          <w:trHeight w:val="1560"/>
        </w:trPr>
        <w:tc>
          <w:tcPr>
            <w:tcW w:w="2263" w:type="dxa"/>
            <w:shd w:val="clear" w:color="auto" w:fill="auto"/>
          </w:tcPr>
          <w:p w14:paraId="57EA7026" w14:textId="77777777" w:rsidR="00FF222D" w:rsidRDefault="002F7615">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57DD5797" w14:textId="77777777" w:rsidR="00FF222D" w:rsidRDefault="002F7615">
            <w:pPr>
              <w:rPr>
                <w:rFonts w:ascii="Arial" w:eastAsia="Arial" w:hAnsi="Arial" w:cs="Arial"/>
                <w:sz w:val="24"/>
                <w:szCs w:val="24"/>
              </w:rPr>
            </w:pPr>
            <w:r>
              <w:rPr>
                <w:rFonts w:ascii="Arial" w:eastAsia="Arial" w:hAnsi="Arial" w:cs="Arial"/>
                <w:sz w:val="24"/>
                <w:szCs w:val="24"/>
              </w:rPr>
              <w:t>The Supplier will not transfer any Personal Data outside of the European Economic Area (EEA) without the prior written consent of the Authority.</w:t>
            </w:r>
          </w:p>
        </w:tc>
      </w:tr>
      <w:tr w:rsidR="00FF222D" w14:paraId="191ED4DD" w14:textId="77777777">
        <w:trPr>
          <w:trHeight w:val="1660"/>
        </w:trPr>
        <w:tc>
          <w:tcPr>
            <w:tcW w:w="2263" w:type="dxa"/>
            <w:shd w:val="clear" w:color="auto" w:fill="auto"/>
          </w:tcPr>
          <w:p w14:paraId="0D447BA5" w14:textId="77777777" w:rsidR="00FF222D" w:rsidRDefault="002F7615">
            <w:pPr>
              <w:rPr>
                <w:rFonts w:ascii="Arial" w:eastAsia="Arial" w:hAnsi="Arial" w:cs="Arial"/>
                <w:sz w:val="24"/>
                <w:szCs w:val="24"/>
              </w:rPr>
            </w:pPr>
            <w:r>
              <w:rPr>
                <w:rFonts w:ascii="Arial" w:eastAsia="Arial" w:hAnsi="Arial" w:cs="Arial"/>
                <w:sz w:val="24"/>
                <w:szCs w:val="24"/>
              </w:rPr>
              <w:t>Plan for return and destruction of the data once the Processing is c</w:t>
            </w:r>
            <w:r>
              <w:rPr>
                <w:rFonts w:ascii="Arial" w:eastAsia="Arial" w:hAnsi="Arial" w:cs="Arial"/>
                <w:sz w:val="24"/>
                <w:szCs w:val="24"/>
              </w:rPr>
              <w:t>omplete</w:t>
            </w:r>
          </w:p>
          <w:p w14:paraId="17482975" w14:textId="77777777" w:rsidR="00FF222D" w:rsidRDefault="002F7615">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466B300A" w14:textId="77777777" w:rsidR="00FF222D" w:rsidRDefault="002F7615">
            <w:pPr>
              <w:rPr>
                <w:rFonts w:ascii="Arial" w:eastAsia="Arial" w:hAnsi="Arial" w:cs="Arial"/>
                <w:sz w:val="24"/>
                <w:szCs w:val="24"/>
              </w:rPr>
            </w:pPr>
            <w:r>
              <w:rPr>
                <w:rFonts w:ascii="Arial" w:eastAsia="Arial" w:hAnsi="Arial" w:cs="Arial"/>
                <w:sz w:val="24"/>
                <w:szCs w:val="24"/>
              </w:rPr>
              <w:t>All relevant data to be deleted 7 years after the expiry or termination of this Call-Off Contract unless longer retention is required by Law.</w:t>
            </w:r>
          </w:p>
        </w:tc>
      </w:tr>
    </w:tbl>
    <w:p w14:paraId="4ED8E4F9" w14:textId="77777777" w:rsidR="00FF222D" w:rsidRDefault="00FF222D">
      <w:pPr>
        <w:rPr>
          <w:rFonts w:ascii="Arial" w:eastAsia="Arial" w:hAnsi="Arial" w:cs="Arial"/>
          <w:b/>
          <w:sz w:val="24"/>
          <w:szCs w:val="24"/>
        </w:rPr>
      </w:pPr>
    </w:p>
    <w:p w14:paraId="71D4F141" w14:textId="77777777" w:rsidR="00FF222D" w:rsidRDefault="00FF222D"/>
    <w:p w14:paraId="113851C9" w14:textId="77777777" w:rsidR="00FF222D" w:rsidRDefault="00FF222D">
      <w:pPr>
        <w:rPr>
          <w:rFonts w:ascii="Arial" w:eastAsia="Arial" w:hAnsi="Arial" w:cs="Arial"/>
          <w:b/>
          <w:sz w:val="24"/>
          <w:szCs w:val="24"/>
        </w:rPr>
      </w:pPr>
    </w:p>
    <w:p w14:paraId="38A65992" w14:textId="77777777" w:rsidR="00FF222D" w:rsidRDefault="002F7615">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(CCS &amp; Supplier, Framework Contract)</w:t>
      </w: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F222D" w14:paraId="1871B7A5" w14:textId="77777777">
        <w:trPr>
          <w:trHeight w:val="700"/>
        </w:trPr>
        <w:tc>
          <w:tcPr>
            <w:tcW w:w="2263" w:type="dxa"/>
            <w:shd w:val="clear" w:color="auto" w:fill="BFBFBF"/>
            <w:vAlign w:val="center"/>
          </w:tcPr>
          <w:p w14:paraId="60C70FCD" w14:textId="77777777" w:rsidR="00FF222D" w:rsidRDefault="002F7615">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4FB61C8A" w14:textId="77777777" w:rsidR="00FF222D" w:rsidRDefault="002F7615">
            <w:pPr>
              <w:jc w:val="center"/>
              <w:rPr>
                <w:rFonts w:ascii="Arial" w:eastAsia="Arial" w:hAnsi="Arial" w:cs="Arial"/>
                <w:b/>
                <w:sz w:val="24"/>
                <w:szCs w:val="24"/>
              </w:rPr>
            </w:pPr>
            <w:r>
              <w:rPr>
                <w:rFonts w:ascii="Arial" w:eastAsia="Arial" w:hAnsi="Arial" w:cs="Arial"/>
                <w:b/>
                <w:sz w:val="24"/>
                <w:szCs w:val="24"/>
              </w:rPr>
              <w:t>Details</w:t>
            </w:r>
          </w:p>
        </w:tc>
      </w:tr>
      <w:tr w:rsidR="00FF222D" w14:paraId="2D50C0F0" w14:textId="77777777">
        <w:trPr>
          <w:trHeight w:val="1620"/>
        </w:trPr>
        <w:tc>
          <w:tcPr>
            <w:tcW w:w="2263" w:type="dxa"/>
            <w:shd w:val="clear" w:color="auto" w:fill="auto"/>
          </w:tcPr>
          <w:p w14:paraId="5D9F02CA" w14:textId="77777777" w:rsidR="00FF222D" w:rsidRDefault="002F7615">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83AF505" w14:textId="77777777" w:rsidR="00FF222D" w:rsidRDefault="002F7615">
            <w:pPr>
              <w:rPr>
                <w:rFonts w:ascii="Arial" w:eastAsia="Arial" w:hAnsi="Arial" w:cs="Arial"/>
                <w:b/>
                <w:sz w:val="24"/>
                <w:szCs w:val="24"/>
              </w:rPr>
            </w:pPr>
            <w:r>
              <w:rPr>
                <w:rFonts w:ascii="Arial" w:eastAsia="Arial" w:hAnsi="Arial" w:cs="Arial"/>
                <w:b/>
                <w:sz w:val="24"/>
                <w:szCs w:val="24"/>
              </w:rPr>
              <w:t>The Relevant Authority is Controller and the Supplier is the Processor</w:t>
            </w:r>
          </w:p>
          <w:p w14:paraId="48D6A166" w14:textId="77777777" w:rsidR="00FF222D" w:rsidRDefault="002F7615">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w:t>
            </w:r>
            <w:r>
              <w:rPr>
                <w:rFonts w:ascii="Arial" w:eastAsia="Arial" w:hAnsi="Arial" w:cs="Arial"/>
                <w:sz w:val="24"/>
                <w:szCs w:val="24"/>
              </w:rPr>
              <w:t>plier is the Processor of the following Personal Data:</w:t>
            </w:r>
          </w:p>
          <w:p w14:paraId="6CFAA510" w14:textId="77777777" w:rsidR="00FF222D" w:rsidRDefault="00FF222D">
            <w:pPr>
              <w:rPr>
                <w:rFonts w:ascii="Arial" w:eastAsia="Arial" w:hAnsi="Arial" w:cs="Arial"/>
                <w:sz w:val="24"/>
                <w:szCs w:val="24"/>
              </w:rPr>
            </w:pPr>
          </w:p>
          <w:p w14:paraId="669B3CF0" w14:textId="77777777" w:rsidR="00FF222D" w:rsidRDefault="002F7615">
            <w:pPr>
              <w:numPr>
                <w:ilvl w:val="0"/>
                <w:numId w:val="19"/>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Any Personal Data for effective communication between the Authority and the Supplier.</w:t>
            </w:r>
          </w:p>
          <w:p w14:paraId="6C7DB334" w14:textId="77777777" w:rsidR="00FF222D" w:rsidRDefault="002F7615">
            <w:pPr>
              <w:numPr>
                <w:ilvl w:val="0"/>
                <w:numId w:val="19"/>
              </w:numPr>
              <w:pBdr>
                <w:top w:val="nil"/>
                <w:left w:val="nil"/>
                <w:bottom w:val="nil"/>
                <w:right w:val="nil"/>
                <w:between w:val="nil"/>
              </w:pBdr>
              <w:spacing w:after="200" w:line="276" w:lineRule="auto"/>
              <w:jc w:val="both"/>
              <w:rPr>
                <w:rFonts w:ascii="Arial" w:eastAsia="Arial" w:hAnsi="Arial" w:cs="Arial"/>
                <w:i/>
                <w:sz w:val="24"/>
                <w:szCs w:val="24"/>
              </w:rPr>
            </w:pPr>
            <w:r>
              <w:rPr>
                <w:rFonts w:ascii="Arial" w:eastAsia="Arial" w:hAnsi="Arial" w:cs="Arial"/>
                <w:sz w:val="24"/>
                <w:szCs w:val="24"/>
              </w:rPr>
              <w:t>Any Personal Data for maintaining full and accurate records of the Framework Contract.</w:t>
            </w:r>
          </w:p>
        </w:tc>
      </w:tr>
      <w:tr w:rsidR="00FF222D" w14:paraId="598FEA63" w14:textId="77777777">
        <w:trPr>
          <w:trHeight w:val="1620"/>
        </w:trPr>
        <w:tc>
          <w:tcPr>
            <w:tcW w:w="2263" w:type="dxa"/>
            <w:shd w:val="clear" w:color="auto" w:fill="auto"/>
          </w:tcPr>
          <w:p w14:paraId="0E067229" w14:textId="77777777" w:rsidR="00FF222D" w:rsidRDefault="002F7615">
            <w:pPr>
              <w:rPr>
                <w:rFonts w:ascii="Arial" w:eastAsia="Arial" w:hAnsi="Arial" w:cs="Arial"/>
                <w:sz w:val="24"/>
                <w:szCs w:val="24"/>
              </w:rPr>
            </w:pPr>
            <w:r>
              <w:rPr>
                <w:rFonts w:ascii="Arial" w:eastAsia="Arial" w:hAnsi="Arial" w:cs="Arial"/>
                <w:sz w:val="24"/>
                <w:szCs w:val="24"/>
              </w:rPr>
              <w:lastRenderedPageBreak/>
              <w:t>Subject matter of the Processing</w:t>
            </w:r>
          </w:p>
        </w:tc>
        <w:tc>
          <w:tcPr>
            <w:tcW w:w="7423" w:type="dxa"/>
            <w:shd w:val="clear" w:color="auto" w:fill="auto"/>
          </w:tcPr>
          <w:p w14:paraId="28564080" w14:textId="77777777" w:rsidR="00FF222D" w:rsidRDefault="002F7615">
            <w:pPr>
              <w:rPr>
                <w:rFonts w:ascii="Arial" w:eastAsia="Arial" w:hAnsi="Arial" w:cs="Arial"/>
                <w:sz w:val="24"/>
                <w:szCs w:val="24"/>
              </w:rPr>
            </w:pPr>
            <w:r>
              <w:rPr>
                <w:rFonts w:ascii="Arial" w:eastAsia="Arial" w:hAnsi="Arial" w:cs="Arial"/>
                <w:sz w:val="24"/>
                <w:szCs w:val="24"/>
              </w:rPr>
              <w:t>The processing is needed in order to ensure that the</w:t>
            </w:r>
          </w:p>
          <w:p w14:paraId="0FF52B6C" w14:textId="77777777" w:rsidR="00FF222D" w:rsidRDefault="002F7615">
            <w:pPr>
              <w:rPr>
                <w:rFonts w:ascii="Arial" w:eastAsia="Arial" w:hAnsi="Arial" w:cs="Arial"/>
                <w:sz w:val="24"/>
                <w:szCs w:val="24"/>
              </w:rPr>
            </w:pPr>
            <w:r>
              <w:rPr>
                <w:rFonts w:ascii="Arial" w:eastAsia="Arial" w:hAnsi="Arial" w:cs="Arial"/>
                <w:sz w:val="24"/>
                <w:szCs w:val="24"/>
              </w:rPr>
              <w:t>Processor can effectively maintain and deliver its obligations under the Framework Contract.</w:t>
            </w:r>
          </w:p>
          <w:p w14:paraId="4B8F7532" w14:textId="77777777" w:rsidR="00FF222D" w:rsidRDefault="00FF222D">
            <w:pPr>
              <w:rPr>
                <w:rFonts w:ascii="Arial" w:eastAsia="Arial" w:hAnsi="Arial" w:cs="Arial"/>
                <w:sz w:val="24"/>
                <w:szCs w:val="24"/>
              </w:rPr>
            </w:pPr>
          </w:p>
        </w:tc>
      </w:tr>
      <w:tr w:rsidR="00FF222D" w14:paraId="5C80EFA9" w14:textId="77777777">
        <w:trPr>
          <w:trHeight w:val="1460"/>
        </w:trPr>
        <w:tc>
          <w:tcPr>
            <w:tcW w:w="2263" w:type="dxa"/>
            <w:shd w:val="clear" w:color="auto" w:fill="auto"/>
          </w:tcPr>
          <w:p w14:paraId="011FAF09" w14:textId="77777777" w:rsidR="00FF222D" w:rsidRDefault="002F7615">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378AA24B" w14:textId="77777777" w:rsidR="00FF222D" w:rsidRDefault="002F7615">
            <w:pPr>
              <w:rPr>
                <w:rFonts w:ascii="Arial" w:eastAsia="Arial" w:hAnsi="Arial" w:cs="Arial"/>
                <w:sz w:val="24"/>
                <w:szCs w:val="24"/>
                <w:highlight w:val="magenta"/>
              </w:rPr>
            </w:pPr>
            <w:r>
              <w:rPr>
                <w:rFonts w:ascii="Arial" w:eastAsia="Arial" w:hAnsi="Arial" w:cs="Arial"/>
                <w:sz w:val="24"/>
                <w:szCs w:val="24"/>
              </w:rPr>
              <w:t>Up to 7 years after the expiry or termination of</w:t>
            </w:r>
            <w:r>
              <w:rPr>
                <w:rFonts w:ascii="Arial" w:eastAsia="Arial" w:hAnsi="Arial" w:cs="Arial"/>
                <w:sz w:val="24"/>
                <w:szCs w:val="24"/>
              </w:rPr>
              <w:t xml:space="preserve"> the Framework Contract unless longer retention is required by Law or the terms of any Call-Off Contract arising hereunder.</w:t>
            </w:r>
          </w:p>
        </w:tc>
      </w:tr>
      <w:tr w:rsidR="00FF222D" w14:paraId="634E2D25" w14:textId="77777777">
        <w:trPr>
          <w:trHeight w:val="1520"/>
        </w:trPr>
        <w:tc>
          <w:tcPr>
            <w:tcW w:w="2263" w:type="dxa"/>
            <w:shd w:val="clear" w:color="auto" w:fill="auto"/>
          </w:tcPr>
          <w:p w14:paraId="59771896" w14:textId="77777777" w:rsidR="00FF222D" w:rsidRDefault="002F7615">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8F70570" w14:textId="77777777" w:rsidR="00FF222D" w:rsidRDefault="002F7615">
            <w:pPr>
              <w:rPr>
                <w:rFonts w:ascii="Arial" w:eastAsia="Arial" w:hAnsi="Arial" w:cs="Arial"/>
                <w:sz w:val="24"/>
                <w:szCs w:val="24"/>
              </w:rPr>
            </w:pPr>
            <w:r>
              <w:rPr>
                <w:rFonts w:ascii="Arial" w:eastAsia="Arial" w:hAnsi="Arial" w:cs="Arial"/>
                <w:sz w:val="24"/>
                <w:szCs w:val="24"/>
              </w:rPr>
              <w:t>To facilitate the fulfilment of the Supplier’s obligations arising under this Framework Contract including;</w:t>
            </w:r>
          </w:p>
          <w:p w14:paraId="47987673" w14:textId="77777777" w:rsidR="00FF222D" w:rsidRDefault="00FF222D">
            <w:pPr>
              <w:rPr>
                <w:rFonts w:ascii="Arial" w:eastAsia="Arial" w:hAnsi="Arial" w:cs="Arial"/>
                <w:sz w:val="24"/>
                <w:szCs w:val="24"/>
              </w:rPr>
            </w:pPr>
          </w:p>
          <w:p w14:paraId="3F04EEAC" w14:textId="77777777" w:rsidR="00FF222D" w:rsidRDefault="002F7615">
            <w:pPr>
              <w:numPr>
                <w:ilvl w:val="0"/>
                <w:numId w:val="9"/>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Ensuring effective communication between the Supplier and CSS.</w:t>
            </w:r>
          </w:p>
          <w:p w14:paraId="3B450E9B" w14:textId="77777777" w:rsidR="00FF222D" w:rsidRDefault="002F7615">
            <w:pPr>
              <w:numPr>
                <w:ilvl w:val="0"/>
                <w:numId w:val="9"/>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Maintaining full and accurate records of every Call-Off Contract arising under the Framework Contract in accordance with Core Terms Clause 6 (Record Keeping and Reporting).</w:t>
            </w:r>
          </w:p>
        </w:tc>
      </w:tr>
      <w:tr w:rsidR="00FF222D" w14:paraId="01CE6174" w14:textId="77777777">
        <w:trPr>
          <w:trHeight w:val="1400"/>
        </w:trPr>
        <w:tc>
          <w:tcPr>
            <w:tcW w:w="2263" w:type="dxa"/>
            <w:shd w:val="clear" w:color="auto" w:fill="auto"/>
          </w:tcPr>
          <w:p w14:paraId="4926C04E" w14:textId="77777777" w:rsidR="00FF222D" w:rsidRDefault="002F7615">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6EAC3E55" w14:textId="77777777" w:rsidR="00FF222D" w:rsidRDefault="002F7615">
            <w:pPr>
              <w:spacing w:after="160" w:line="259" w:lineRule="auto"/>
              <w:rPr>
                <w:rFonts w:ascii="Arial" w:eastAsia="Arial" w:hAnsi="Arial" w:cs="Arial"/>
                <w:sz w:val="24"/>
                <w:szCs w:val="24"/>
              </w:rPr>
            </w:pPr>
            <w:r>
              <w:rPr>
                <w:rFonts w:ascii="Arial" w:eastAsia="Arial" w:hAnsi="Arial" w:cs="Arial"/>
                <w:sz w:val="24"/>
                <w:szCs w:val="24"/>
              </w:rPr>
              <w:t>Includes:</w:t>
            </w:r>
          </w:p>
          <w:p w14:paraId="60E04674" w14:textId="77777777" w:rsidR="00FF222D" w:rsidRDefault="002F7615">
            <w:pPr>
              <w:numPr>
                <w:ilvl w:val="0"/>
                <w:numId w:val="10"/>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Names, email addresses, telephone numbers and communications with, CSS staff concerned with management of the Framework Contract.</w:t>
            </w:r>
          </w:p>
          <w:p w14:paraId="16FBA87C" w14:textId="77777777" w:rsidR="00FF222D" w:rsidRDefault="002F7615">
            <w:pPr>
              <w:numPr>
                <w:ilvl w:val="0"/>
                <w:numId w:val="10"/>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Names, email addresses, telephone numbers and communications with, Buyer staff concerned with award and management of Call-Off</w:t>
            </w:r>
            <w:r>
              <w:rPr>
                <w:rFonts w:ascii="Arial" w:eastAsia="Arial" w:hAnsi="Arial" w:cs="Arial"/>
                <w:sz w:val="24"/>
                <w:szCs w:val="24"/>
              </w:rPr>
              <w:t xml:space="preserve"> Contracts awarded under the Framework Contract.</w:t>
            </w:r>
          </w:p>
          <w:p w14:paraId="4F7B5671" w14:textId="77777777" w:rsidR="00FF222D" w:rsidRDefault="002F7615">
            <w:pPr>
              <w:numPr>
                <w:ilvl w:val="0"/>
                <w:numId w:val="10"/>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Names, email addresses, telephone numbers, and communications with, Sub-contractor staff concerned with fulfilment of the Supplier’s obligations arising from this Framework Contract.</w:t>
            </w:r>
          </w:p>
          <w:p w14:paraId="49B00C22" w14:textId="77777777" w:rsidR="00FF222D" w:rsidRDefault="002F7615">
            <w:pPr>
              <w:numPr>
                <w:ilvl w:val="0"/>
                <w:numId w:val="10"/>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 xml:space="preserve">Names, email addresses, </w:t>
            </w:r>
            <w:r>
              <w:rPr>
                <w:rFonts w:ascii="Arial" w:eastAsia="Arial" w:hAnsi="Arial" w:cs="Arial"/>
                <w:sz w:val="24"/>
                <w:szCs w:val="24"/>
              </w:rPr>
              <w:t>telephone numbers and communications with Supplier staff concerned with management of the Framework Contract.</w:t>
            </w:r>
          </w:p>
        </w:tc>
      </w:tr>
      <w:tr w:rsidR="00FF222D" w14:paraId="691C95F1" w14:textId="77777777">
        <w:trPr>
          <w:trHeight w:val="1560"/>
        </w:trPr>
        <w:tc>
          <w:tcPr>
            <w:tcW w:w="2263" w:type="dxa"/>
            <w:shd w:val="clear" w:color="auto" w:fill="auto"/>
          </w:tcPr>
          <w:p w14:paraId="657D3E3C" w14:textId="77777777" w:rsidR="00FF222D" w:rsidRDefault="002F7615">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0C96C41" w14:textId="77777777" w:rsidR="00FF222D" w:rsidRDefault="002F7615">
            <w:pPr>
              <w:spacing w:after="160" w:line="259" w:lineRule="auto"/>
              <w:rPr>
                <w:rFonts w:ascii="Arial" w:eastAsia="Arial" w:hAnsi="Arial" w:cs="Arial"/>
                <w:sz w:val="24"/>
                <w:szCs w:val="24"/>
              </w:rPr>
            </w:pPr>
            <w:r>
              <w:rPr>
                <w:rFonts w:ascii="Arial" w:eastAsia="Arial" w:hAnsi="Arial" w:cs="Arial"/>
                <w:sz w:val="24"/>
                <w:szCs w:val="24"/>
              </w:rPr>
              <w:t>Includes:</w:t>
            </w:r>
          </w:p>
          <w:p w14:paraId="1A4AA5AC" w14:textId="77777777" w:rsidR="00FF222D" w:rsidRDefault="002F7615">
            <w:pPr>
              <w:numPr>
                <w:ilvl w:val="0"/>
                <w:numId w:val="11"/>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CSS staff concerned with management of the Framework Contract.</w:t>
            </w:r>
          </w:p>
          <w:p w14:paraId="3CC289D5" w14:textId="77777777" w:rsidR="00FF222D" w:rsidRDefault="002F7615">
            <w:pPr>
              <w:numPr>
                <w:ilvl w:val="0"/>
                <w:numId w:val="11"/>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Buyer staff concerned with award and management of Call-Off Contracts awarded under the Framework Contract.</w:t>
            </w:r>
          </w:p>
          <w:p w14:paraId="0E2E7BC3" w14:textId="77777777" w:rsidR="00FF222D" w:rsidRDefault="002F7615">
            <w:pPr>
              <w:numPr>
                <w:ilvl w:val="0"/>
                <w:numId w:val="11"/>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lastRenderedPageBreak/>
              <w:t xml:space="preserve">Sub-contractor staff concerned with fulfilment of the Supplier’s obligations arising </w:t>
            </w:r>
            <w:r>
              <w:rPr>
                <w:rFonts w:ascii="Arial" w:eastAsia="Arial" w:hAnsi="Arial" w:cs="Arial"/>
                <w:sz w:val="24"/>
                <w:szCs w:val="24"/>
              </w:rPr>
              <w:t>from this Framework Contract.</w:t>
            </w:r>
          </w:p>
          <w:p w14:paraId="284E90FA" w14:textId="77777777" w:rsidR="00FF222D" w:rsidRDefault="002F7615">
            <w:pPr>
              <w:numPr>
                <w:ilvl w:val="0"/>
                <w:numId w:val="11"/>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Supplier staff concerned with fulfilment of the Supplier’s obligations arising under this Framework Contract.</w:t>
            </w:r>
          </w:p>
        </w:tc>
      </w:tr>
      <w:tr w:rsidR="00FF222D" w14:paraId="5D976DD7" w14:textId="77777777">
        <w:trPr>
          <w:trHeight w:val="1560"/>
        </w:trPr>
        <w:tc>
          <w:tcPr>
            <w:tcW w:w="2263" w:type="dxa"/>
            <w:shd w:val="clear" w:color="auto" w:fill="auto"/>
          </w:tcPr>
          <w:p w14:paraId="08B13790" w14:textId="77777777" w:rsidR="00FF222D" w:rsidRDefault="002F7615">
            <w:pPr>
              <w:rPr>
                <w:rFonts w:ascii="Arial" w:eastAsia="Arial" w:hAnsi="Arial" w:cs="Arial"/>
                <w:sz w:val="24"/>
                <w:szCs w:val="24"/>
              </w:rPr>
            </w:pPr>
            <w:r>
              <w:rPr>
                <w:rFonts w:ascii="Arial" w:eastAsia="Arial" w:hAnsi="Arial" w:cs="Arial"/>
                <w:sz w:val="24"/>
                <w:szCs w:val="24"/>
              </w:rPr>
              <w:lastRenderedPageBreak/>
              <w:t>International transfers and legal gateway</w:t>
            </w:r>
          </w:p>
        </w:tc>
        <w:tc>
          <w:tcPr>
            <w:tcW w:w="7423" w:type="dxa"/>
            <w:shd w:val="clear" w:color="auto" w:fill="auto"/>
          </w:tcPr>
          <w:p w14:paraId="11AD5034" w14:textId="77777777" w:rsidR="00FF222D" w:rsidRDefault="002F7615">
            <w:pPr>
              <w:numPr>
                <w:ilvl w:val="0"/>
                <w:numId w:val="12"/>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The Supplier shall provide CCS with a statement of the physical location where data will be stored, processed and managed.  </w:t>
            </w:r>
          </w:p>
          <w:p w14:paraId="40EA99E8" w14:textId="77777777" w:rsidR="00FF222D" w:rsidRDefault="002F7615">
            <w:pPr>
              <w:numPr>
                <w:ilvl w:val="0"/>
                <w:numId w:val="12"/>
              </w:numPr>
              <w:pBdr>
                <w:top w:val="nil"/>
                <w:left w:val="nil"/>
                <w:bottom w:val="nil"/>
                <w:right w:val="nil"/>
                <w:between w:val="nil"/>
              </w:pBdr>
              <w:spacing w:after="160" w:line="259" w:lineRule="auto"/>
              <w:rPr>
                <w:rFonts w:ascii="Arial" w:eastAsia="Arial" w:hAnsi="Arial" w:cs="Arial"/>
                <w:sz w:val="24"/>
                <w:szCs w:val="24"/>
              </w:rPr>
            </w:pPr>
            <w:r>
              <w:rPr>
                <w:rFonts w:ascii="Arial" w:eastAsia="Arial" w:hAnsi="Arial" w:cs="Arial"/>
                <w:sz w:val="24"/>
                <w:szCs w:val="24"/>
              </w:rPr>
              <w:t>The Supplier will not transfer any Personal Data outside of the European Economic Area (EEA) without the prior written consent of t</w:t>
            </w:r>
            <w:r>
              <w:rPr>
                <w:rFonts w:ascii="Arial" w:eastAsia="Arial" w:hAnsi="Arial" w:cs="Arial"/>
                <w:sz w:val="24"/>
                <w:szCs w:val="24"/>
              </w:rPr>
              <w:t>he Authority.</w:t>
            </w:r>
          </w:p>
          <w:p w14:paraId="031F29E8" w14:textId="77777777" w:rsidR="00FF222D" w:rsidRDefault="00FF222D">
            <w:pPr>
              <w:rPr>
                <w:rFonts w:ascii="Arial" w:eastAsia="Arial" w:hAnsi="Arial" w:cs="Arial"/>
                <w:i/>
                <w:sz w:val="24"/>
                <w:szCs w:val="24"/>
              </w:rPr>
            </w:pPr>
          </w:p>
        </w:tc>
      </w:tr>
      <w:tr w:rsidR="00FF222D" w14:paraId="3E29E3A5" w14:textId="77777777">
        <w:trPr>
          <w:trHeight w:val="1660"/>
        </w:trPr>
        <w:tc>
          <w:tcPr>
            <w:tcW w:w="2263" w:type="dxa"/>
            <w:shd w:val="clear" w:color="auto" w:fill="auto"/>
          </w:tcPr>
          <w:p w14:paraId="155DB2AB" w14:textId="77777777" w:rsidR="00FF222D" w:rsidRDefault="002F7615">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69C0145" w14:textId="77777777" w:rsidR="00FF222D" w:rsidRDefault="002F7615">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9E981EA" w14:textId="77777777" w:rsidR="00FF222D" w:rsidRDefault="002F7615">
            <w:pPr>
              <w:rPr>
                <w:rFonts w:ascii="Arial" w:eastAsia="Arial" w:hAnsi="Arial" w:cs="Arial"/>
                <w:sz w:val="24"/>
                <w:szCs w:val="24"/>
              </w:rPr>
            </w:pPr>
            <w:r>
              <w:rPr>
                <w:rFonts w:ascii="Arial" w:eastAsia="Arial" w:hAnsi="Arial" w:cs="Arial"/>
                <w:sz w:val="24"/>
                <w:szCs w:val="24"/>
              </w:rPr>
              <w:t>All relevant data to be deleted 7 years after the expiry or termination of this Fra</w:t>
            </w:r>
            <w:r>
              <w:rPr>
                <w:rFonts w:ascii="Arial" w:eastAsia="Arial" w:hAnsi="Arial" w:cs="Arial"/>
                <w:sz w:val="24"/>
                <w:szCs w:val="24"/>
              </w:rPr>
              <w:t>mework Contract unless longer retention is required by Law or the terms of any Call-Off Contract arising hereunder.</w:t>
            </w:r>
          </w:p>
        </w:tc>
      </w:tr>
    </w:tbl>
    <w:p w14:paraId="680F1186" w14:textId="77777777" w:rsidR="00FF222D" w:rsidRDefault="002F7615">
      <w:pPr>
        <w:rPr>
          <w:rFonts w:ascii="Arial" w:eastAsia="Arial" w:hAnsi="Arial" w:cs="Arial"/>
          <w:b/>
          <w:sz w:val="24"/>
          <w:szCs w:val="24"/>
        </w:rPr>
      </w:pPr>
      <w:r>
        <w:br w:type="page"/>
      </w:r>
    </w:p>
    <w:p w14:paraId="252020B1" w14:textId="77777777" w:rsidR="00FF222D" w:rsidRDefault="002F7615">
      <w:pPr>
        <w:rPr>
          <w:rFonts w:ascii="Arial" w:eastAsia="Arial" w:hAnsi="Arial" w:cs="Arial"/>
          <w:b/>
          <w:sz w:val="24"/>
          <w:szCs w:val="24"/>
        </w:rPr>
      </w:pPr>
      <w:r>
        <w:rPr>
          <w:rFonts w:ascii="Arial" w:eastAsia="Arial" w:hAnsi="Arial" w:cs="Arial"/>
          <w:b/>
          <w:sz w:val="24"/>
          <w:szCs w:val="24"/>
        </w:rPr>
        <w:lastRenderedPageBreak/>
        <w:t>Annex 2 – Security</w:t>
      </w:r>
    </w:p>
    <w:p w14:paraId="5C92E610" w14:textId="77777777" w:rsidR="00FF222D" w:rsidRDefault="002F7615">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w:t>
      </w:r>
      <w:r>
        <w:rPr>
          <w:rFonts w:ascii="Arial" w:eastAsia="Arial" w:hAnsi="Arial" w:cs="Arial"/>
          <w:color w:val="000000"/>
          <w:sz w:val="24"/>
          <w:szCs w:val="24"/>
        </w:rPr>
        <w:t>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w:t>
      </w:r>
      <w:r>
        <w:rPr>
          <w:rFonts w:ascii="Arial" w:eastAsia="Arial" w:hAnsi="Arial" w:cs="Arial"/>
          <w:color w:val="000000"/>
          <w:sz w:val="24"/>
          <w:szCs w:val="24"/>
        </w:rPr>
        <w:t xml:space="preserve">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w:t>
      </w:r>
      <w:r>
        <w:rPr>
          <w:rFonts w:ascii="Arial" w:eastAsia="Arial" w:hAnsi="Arial" w:cs="Arial"/>
          <w:color w:val="000000"/>
          <w:sz w:val="24"/>
          <w:szCs w:val="24"/>
        </w:rPr>
        <w:t>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14:paraId="0A90E3C2" w14:textId="77777777" w:rsidR="00FF222D" w:rsidRDefault="00FF222D">
      <w:pPr>
        <w:spacing w:after="0" w:line="240" w:lineRule="auto"/>
        <w:rPr>
          <w:rFonts w:ascii="Arial" w:eastAsia="Arial" w:hAnsi="Arial" w:cs="Arial"/>
          <w:color w:val="222222"/>
          <w:sz w:val="24"/>
          <w:szCs w:val="24"/>
        </w:rPr>
      </w:pPr>
    </w:p>
    <w:p w14:paraId="737E4B30"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w:t>
      </w:r>
      <w:proofErr w:type="gramStart"/>
      <w:r>
        <w:rPr>
          <w:rFonts w:ascii="Arial" w:eastAsia="Arial" w:hAnsi="Arial" w:cs="Arial"/>
          <w:b/>
          <w:color w:val="000000"/>
          <w:sz w:val="24"/>
          <w:szCs w:val="24"/>
        </w:rPr>
        <w:t>e.g.</w:t>
      </w:r>
      <w:proofErr w:type="gramEnd"/>
      <w:r>
        <w:rPr>
          <w:rFonts w:ascii="Arial" w:eastAsia="Arial" w:hAnsi="Arial" w:cs="Arial"/>
          <w:b/>
          <w:color w:val="000000"/>
          <w:sz w:val="24"/>
          <w:szCs w:val="24"/>
        </w:rPr>
        <w:t xml:space="preserve"> </w:t>
      </w:r>
      <w:r>
        <w:rPr>
          <w:rFonts w:ascii="Arial" w:eastAsia="Arial" w:hAnsi="Arial" w:cs="Arial"/>
          <w:color w:val="000000"/>
          <w:sz w:val="24"/>
          <w:szCs w:val="24"/>
        </w:rPr>
        <w:t>Buyers should ensure that Suppliers hold at least Cyber</w:t>
      </w:r>
    </w:p>
    <w:p w14:paraId="4F1755BD" w14:textId="77777777" w:rsidR="00FF222D" w:rsidRDefault="002F7615">
      <w:pPr>
        <w:spacing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Essentials</w:t>
      </w:r>
      <w:proofErr w:type="gramEnd"/>
      <w:r>
        <w:rPr>
          <w:rFonts w:ascii="Arial" w:eastAsia="Arial" w:hAnsi="Arial" w:cs="Arial"/>
          <w:color w:val="000000"/>
          <w:sz w:val="24"/>
          <w:szCs w:val="24"/>
        </w:rPr>
        <w:t xml:space="preserve"> certification and ISO 27001:2013 certification if proportionate to</w:t>
      </w:r>
      <w:r>
        <w:rPr>
          <w:rFonts w:ascii="Arial" w:eastAsia="Arial" w:hAnsi="Arial" w:cs="Arial"/>
          <w:color w:val="000000"/>
          <w:sz w:val="24"/>
          <w:szCs w:val="24"/>
        </w:rPr>
        <w:t xml:space="preserve"> the service being procured.</w:t>
      </w:r>
    </w:p>
    <w:p w14:paraId="4D4123AD" w14:textId="77777777" w:rsidR="00FF222D" w:rsidRDefault="00FF222D">
      <w:pPr>
        <w:spacing w:after="0" w:line="240" w:lineRule="auto"/>
        <w:rPr>
          <w:rFonts w:ascii="Arial" w:eastAsia="Arial" w:hAnsi="Arial" w:cs="Arial"/>
          <w:color w:val="000000"/>
          <w:sz w:val="24"/>
          <w:szCs w:val="24"/>
        </w:rPr>
      </w:pPr>
    </w:p>
    <w:p w14:paraId="570292E4"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w:t>
      </w:r>
      <w:proofErr w:type="gramStart"/>
      <w:r>
        <w:rPr>
          <w:rFonts w:ascii="Arial" w:eastAsia="Arial" w:hAnsi="Arial" w:cs="Arial"/>
          <w:b/>
          <w:color w:val="000000"/>
          <w:sz w:val="24"/>
          <w:szCs w:val="24"/>
        </w:rPr>
        <w:t>e.g.</w:t>
      </w:r>
      <w:proofErr w:type="gramEnd"/>
      <w:r>
        <w:rPr>
          <w:rFonts w:ascii="Arial" w:eastAsia="Arial" w:hAnsi="Arial" w:cs="Arial"/>
          <w:b/>
          <w:color w:val="000000"/>
          <w:sz w:val="24"/>
          <w:szCs w:val="24"/>
        </w:rPr>
        <w:t xml:space="preserve">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18CA1603" w14:textId="77777777" w:rsidR="00FF222D" w:rsidRDefault="00FF222D">
      <w:pPr>
        <w:spacing w:after="0" w:line="240" w:lineRule="auto"/>
        <w:rPr>
          <w:rFonts w:ascii="Arial" w:eastAsia="Arial" w:hAnsi="Arial" w:cs="Arial"/>
          <w:color w:val="000000"/>
          <w:sz w:val="24"/>
          <w:szCs w:val="24"/>
        </w:rPr>
      </w:pPr>
    </w:p>
    <w:p w14:paraId="1BBB3B1F"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Security Classification of Information</w:t>
      </w:r>
      <w:r>
        <w:rPr>
          <w:rFonts w:ascii="Arial" w:eastAsia="Arial" w:hAnsi="Arial" w:cs="Arial"/>
          <w:b/>
          <w:color w:val="000000"/>
          <w:sz w:val="24"/>
          <w:szCs w:val="24"/>
        </w:rPr>
        <w:t xml:space="preserve"> e.g. </w:t>
      </w:r>
      <w:r>
        <w:rPr>
          <w:rFonts w:ascii="Arial" w:eastAsia="Arial" w:hAnsi="Arial" w:cs="Arial"/>
          <w:color w:val="000000"/>
          <w:sz w:val="24"/>
          <w:szCs w:val="24"/>
        </w:rPr>
        <w:t xml:space="preserve">If the provision of the Services requires the Supplier to Process Authority/Buyer Data which is classified as </w:t>
      </w:r>
      <w:proofErr w:type="gramStart"/>
      <w:r>
        <w:rPr>
          <w:rFonts w:ascii="Arial" w:eastAsia="Arial" w:hAnsi="Arial" w:cs="Arial"/>
          <w:color w:val="000000"/>
          <w:sz w:val="24"/>
          <w:szCs w:val="24"/>
        </w:rPr>
        <w:t>OFFICIAL,OFFICIAL</w:t>
      </w:r>
      <w:proofErr w:type="gramEnd"/>
      <w:r>
        <w:rPr>
          <w:rFonts w:ascii="Arial" w:eastAsia="Arial" w:hAnsi="Arial" w:cs="Arial"/>
          <w:color w:val="000000"/>
          <w:sz w:val="24"/>
          <w:szCs w:val="24"/>
        </w:rPr>
        <w:t xml:space="preserve">-SENSITIVE or Personal Data, the Supplier shall implement such additional measures as agreed with the Authority/Buyer from </w:t>
      </w:r>
      <w:r>
        <w:rPr>
          <w:rFonts w:ascii="Arial" w:eastAsia="Arial" w:hAnsi="Arial" w:cs="Arial"/>
          <w:color w:val="000000"/>
          <w:sz w:val="24"/>
          <w:szCs w:val="24"/>
        </w:rPr>
        <w:t>time to time in order to ensure that such information is safeguarded in accordance with the applicable legislative and regulatory obligations.</w:t>
      </w:r>
    </w:p>
    <w:p w14:paraId="78D7D96B" w14:textId="77777777" w:rsidR="00FF222D" w:rsidRDefault="00FF222D">
      <w:pPr>
        <w:spacing w:after="0" w:line="240" w:lineRule="auto"/>
        <w:rPr>
          <w:rFonts w:ascii="Arial" w:eastAsia="Arial" w:hAnsi="Arial" w:cs="Arial"/>
          <w:color w:val="000000"/>
          <w:sz w:val="24"/>
          <w:szCs w:val="24"/>
        </w:rPr>
      </w:pPr>
    </w:p>
    <w:p w14:paraId="0BBCD0D1" w14:textId="77777777" w:rsidR="00FF222D" w:rsidRDefault="002F7615">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65A3879D" w14:textId="77777777" w:rsidR="00FF222D" w:rsidRDefault="002F7615">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w:t>
      </w:r>
      <w:r>
        <w:rPr>
          <w:rFonts w:ascii="Arial" w:eastAsia="Arial" w:hAnsi="Arial" w:cs="Arial"/>
          <w:color w:val="000000"/>
          <w:sz w:val="24"/>
          <w:szCs w:val="24"/>
        </w:rPr>
        <w:t>le or physically uncontrolled device is stored encrypted using a product or system component which has been formally assured through a recognised certification process agreed with the Authority/Buyer except where the Authority/Buyer has given its prior wri</w:t>
      </w:r>
      <w:r>
        <w:rPr>
          <w:rFonts w:ascii="Arial" w:eastAsia="Arial" w:hAnsi="Arial" w:cs="Arial"/>
          <w:color w:val="000000"/>
          <w:sz w:val="24"/>
          <w:szCs w:val="24"/>
        </w:rPr>
        <w:t>tten consent to an alternative arrangement.</w:t>
      </w:r>
    </w:p>
    <w:p w14:paraId="4D9679E3" w14:textId="77777777" w:rsidR="00FF222D" w:rsidRDefault="002F7615">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8">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20CEC9DD" w14:textId="77777777" w:rsidR="00FF222D" w:rsidRDefault="00FF222D">
      <w:pPr>
        <w:pBdr>
          <w:top w:val="nil"/>
          <w:left w:val="nil"/>
          <w:bottom w:val="nil"/>
          <w:right w:val="nil"/>
          <w:between w:val="nil"/>
        </w:pBdr>
        <w:spacing w:after="0" w:line="240" w:lineRule="auto"/>
        <w:ind w:left="720"/>
        <w:rPr>
          <w:rFonts w:ascii="Arial" w:eastAsia="Arial" w:hAnsi="Arial" w:cs="Arial"/>
          <w:color w:val="000000"/>
          <w:sz w:val="24"/>
          <w:szCs w:val="24"/>
        </w:rPr>
      </w:pPr>
    </w:p>
    <w:p w14:paraId="3822F94E"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w:t>
      </w:r>
      <w:r>
        <w:rPr>
          <w:rFonts w:ascii="Arial" w:eastAsia="Arial" w:hAnsi="Arial" w:cs="Arial"/>
          <w:color w:val="000000"/>
          <w:sz w:val="24"/>
          <w:szCs w:val="24"/>
        </w:rPr>
        <w:t>ty/Buyer to ensure it covers all the relevant parts of the system that processes, stores or hosts Authority/Buyer data.</w:t>
      </w:r>
    </w:p>
    <w:p w14:paraId="30C2ECE5" w14:textId="77777777" w:rsidR="00FF222D" w:rsidRDefault="00FF222D">
      <w:pPr>
        <w:spacing w:after="0" w:line="240" w:lineRule="auto"/>
        <w:rPr>
          <w:rFonts w:ascii="Arial" w:eastAsia="Arial" w:hAnsi="Arial" w:cs="Arial"/>
          <w:color w:val="000000"/>
          <w:sz w:val="24"/>
          <w:szCs w:val="24"/>
        </w:rPr>
      </w:pPr>
    </w:p>
    <w:p w14:paraId="4106D293"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The Supplier shall ensure that any Authority/Buyer Data which it causes to be transmitted over any public network (incl</w:t>
      </w:r>
      <w:r>
        <w:rPr>
          <w:rFonts w:ascii="Arial" w:eastAsia="Arial" w:hAnsi="Arial" w:cs="Arial"/>
          <w:color w:val="000000"/>
          <w:sz w:val="24"/>
          <w:szCs w:val="24"/>
        </w:rPr>
        <w:t xml:space="preserve">uding the Internet, mobile </w:t>
      </w:r>
      <w:r>
        <w:rPr>
          <w:rFonts w:ascii="Arial" w:eastAsia="Arial" w:hAnsi="Arial" w:cs="Arial"/>
          <w:color w:val="000000"/>
          <w:sz w:val="24"/>
          <w:szCs w:val="24"/>
        </w:rPr>
        <w:lastRenderedPageBreak/>
        <w:t>networks or un-protected enterprise network) or to a mobile device shall be encrypted when transmitted.</w:t>
      </w:r>
    </w:p>
    <w:p w14:paraId="3DC932E2" w14:textId="77777777" w:rsidR="00FF222D" w:rsidRDefault="00FF222D">
      <w:pPr>
        <w:spacing w:after="0" w:line="240" w:lineRule="auto"/>
        <w:rPr>
          <w:rFonts w:ascii="Arial" w:eastAsia="Arial" w:hAnsi="Arial" w:cs="Arial"/>
          <w:color w:val="000000"/>
          <w:sz w:val="24"/>
          <w:szCs w:val="24"/>
        </w:rPr>
      </w:pPr>
    </w:p>
    <w:p w14:paraId="6AB1EE00"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w:t>
      </w:r>
      <w:r>
        <w:rPr>
          <w:rFonts w:ascii="Arial" w:eastAsia="Arial" w:hAnsi="Arial" w:cs="Arial"/>
          <w:color w:val="000000"/>
          <w:sz w:val="24"/>
          <w:szCs w:val="24"/>
        </w:rPr>
        <w:t xml:space="preserve"> provision and or management of the Services. Such pre-employment checks must include all pre-employment checks which are required by the HMG Baseline Personnel Security Standard or equivalent including: verification of the individual's identity; verificat</w:t>
      </w:r>
      <w:r>
        <w:rPr>
          <w:rFonts w:ascii="Arial" w:eastAsia="Arial" w:hAnsi="Arial" w:cs="Arial"/>
          <w:color w:val="000000"/>
          <w:sz w:val="24"/>
          <w:szCs w:val="24"/>
        </w:rPr>
        <w:t>ion of the individual's nationality and immigration status; and,</w:t>
      </w:r>
    </w:p>
    <w:p w14:paraId="47047767" w14:textId="77777777" w:rsidR="00FF222D" w:rsidRDefault="002F7615">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1165787F" w14:textId="77777777" w:rsidR="00FF222D" w:rsidRDefault="00FF222D">
      <w:pPr>
        <w:spacing w:after="0" w:line="240" w:lineRule="auto"/>
        <w:rPr>
          <w:rFonts w:ascii="Arial" w:eastAsia="Arial" w:hAnsi="Arial" w:cs="Arial"/>
          <w:color w:val="000000"/>
          <w:sz w:val="24"/>
          <w:szCs w:val="24"/>
        </w:rPr>
      </w:pPr>
    </w:p>
    <w:p w14:paraId="7CCC5DF3"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Id</w:t>
      </w:r>
      <w:r>
        <w:rPr>
          <w:rFonts w:ascii="Arial" w:eastAsia="Arial" w:hAnsi="Arial" w:cs="Arial"/>
          <w:b/>
          <w:color w:val="000000"/>
          <w:sz w:val="24"/>
          <w:szCs w:val="24"/>
        </w:rPr>
        <w:t xml:space="preserve">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w:t>
      </w:r>
      <w:r>
        <w:rPr>
          <w:rFonts w:ascii="Arial" w:eastAsia="Arial" w:hAnsi="Arial" w:cs="Arial"/>
          <w:color w:val="000000"/>
          <w:sz w:val="24"/>
          <w:szCs w:val="24"/>
        </w:rPr>
        <w:t>nd to the service.</w:t>
      </w:r>
    </w:p>
    <w:p w14:paraId="473D2DDC" w14:textId="77777777" w:rsidR="00FF222D" w:rsidRDefault="00FF222D">
      <w:pPr>
        <w:spacing w:after="0" w:line="240" w:lineRule="auto"/>
        <w:rPr>
          <w:rFonts w:ascii="Arial" w:eastAsia="Arial" w:hAnsi="Arial" w:cs="Arial"/>
          <w:color w:val="000000"/>
          <w:sz w:val="24"/>
          <w:szCs w:val="24"/>
        </w:rPr>
      </w:pPr>
    </w:p>
    <w:p w14:paraId="1115310F"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w:t>
      </w:r>
      <w:r>
        <w:rPr>
          <w:rFonts w:ascii="Arial" w:eastAsia="Arial" w:hAnsi="Arial" w:cs="Arial"/>
          <w:color w:val="000000"/>
          <w:sz w:val="24"/>
          <w:szCs w:val="24"/>
        </w:rPr>
        <w:t>Buyer data has been stored and processed on.</w:t>
      </w:r>
    </w:p>
    <w:p w14:paraId="7507C1A5" w14:textId="77777777" w:rsidR="00FF222D" w:rsidRDefault="00FF222D">
      <w:pPr>
        <w:spacing w:after="0" w:line="240" w:lineRule="auto"/>
        <w:rPr>
          <w:rFonts w:ascii="Arial" w:eastAsia="Arial" w:hAnsi="Arial" w:cs="Arial"/>
          <w:b/>
          <w:color w:val="000000"/>
          <w:sz w:val="24"/>
          <w:szCs w:val="24"/>
        </w:rPr>
      </w:pPr>
    </w:p>
    <w:p w14:paraId="459CD5CC"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w:t>
      </w:r>
      <w:r>
        <w:rPr>
          <w:rFonts w:ascii="Arial" w:eastAsia="Arial" w:hAnsi="Arial" w:cs="Arial"/>
          <w:color w:val="000000"/>
          <w:sz w:val="24"/>
          <w:szCs w:val="24"/>
        </w:rPr>
        <w:t>n order to facilitate effective monitoring and forensic readiness such Supplier audit records should (as a minimum) include regular reports and alerts setting out details of access by users of the service, to enable the identification of (without limitatio</w:t>
      </w:r>
      <w:r>
        <w:rPr>
          <w:rFonts w:ascii="Arial" w:eastAsia="Arial" w:hAnsi="Arial" w:cs="Arial"/>
          <w:color w:val="000000"/>
          <w:sz w:val="24"/>
          <w:szCs w:val="24"/>
        </w:rPr>
        <w:t>n) changing access trends, any unusual patterns of usage and/or accounts accessing higher than average amounts of Authority/Buyer Data. The retention periods for audit records and event logs must be agreed with the Authority/Buyer and documented.</w:t>
      </w:r>
    </w:p>
    <w:p w14:paraId="2CC2BA84" w14:textId="77777777" w:rsidR="00FF222D" w:rsidRDefault="00FF222D">
      <w:pPr>
        <w:spacing w:after="0" w:line="240" w:lineRule="auto"/>
        <w:rPr>
          <w:rFonts w:ascii="Arial" w:eastAsia="Arial" w:hAnsi="Arial" w:cs="Arial"/>
          <w:color w:val="000000"/>
          <w:sz w:val="24"/>
          <w:szCs w:val="24"/>
        </w:rPr>
      </w:pPr>
    </w:p>
    <w:p w14:paraId="457A37C3"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Location</w:t>
      </w:r>
      <w:r>
        <w:rPr>
          <w:rFonts w:ascii="Arial" w:eastAsia="Arial" w:hAnsi="Arial" w:cs="Arial"/>
          <w:b/>
          <w:color w:val="000000"/>
          <w:sz w:val="24"/>
          <w:szCs w:val="24"/>
        </w:rPr>
        <w:t xml:space="preserve">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w:t>
      </w:r>
      <w:r>
        <w:rPr>
          <w:rFonts w:ascii="Arial" w:eastAsia="Arial" w:hAnsi="Arial" w:cs="Arial"/>
          <w:color w:val="000000"/>
          <w:sz w:val="24"/>
          <w:szCs w:val="24"/>
        </w:rPr>
        <w:t>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14:paraId="7CBA1D8F" w14:textId="77777777" w:rsidR="00FF222D" w:rsidRDefault="00FF222D">
      <w:pPr>
        <w:spacing w:after="0" w:line="240" w:lineRule="auto"/>
        <w:rPr>
          <w:rFonts w:ascii="Arial" w:eastAsia="Arial" w:hAnsi="Arial" w:cs="Arial"/>
          <w:color w:val="000000"/>
          <w:sz w:val="24"/>
          <w:szCs w:val="24"/>
        </w:rPr>
      </w:pPr>
    </w:p>
    <w:p w14:paraId="0B0D0278"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w:t>
      </w:r>
      <w:proofErr w:type="gramStart"/>
      <w:r>
        <w:rPr>
          <w:rFonts w:ascii="Arial" w:eastAsia="Arial" w:hAnsi="Arial" w:cs="Arial"/>
          <w:b/>
          <w:color w:val="000000"/>
          <w:sz w:val="24"/>
          <w:szCs w:val="24"/>
        </w:rPr>
        <w:t>e.g.</w:t>
      </w:r>
      <w:proofErr w:type="gramEnd"/>
      <w:r>
        <w:rPr>
          <w:rFonts w:ascii="Arial" w:eastAsia="Arial" w:hAnsi="Arial" w:cs="Arial"/>
          <w:b/>
          <w:color w:val="000000"/>
          <w:sz w:val="24"/>
          <w:szCs w:val="24"/>
        </w:rPr>
        <w:t xml:space="preserve">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0D247177" w14:textId="77777777" w:rsidR="00FF222D" w:rsidRDefault="00FF222D">
      <w:pPr>
        <w:spacing w:after="0" w:line="240" w:lineRule="auto"/>
        <w:rPr>
          <w:rFonts w:ascii="Arial" w:eastAsia="Arial" w:hAnsi="Arial" w:cs="Arial"/>
          <w:color w:val="000000"/>
          <w:sz w:val="24"/>
          <w:szCs w:val="24"/>
        </w:rPr>
      </w:pPr>
    </w:p>
    <w:p w14:paraId="4A219ABA" w14:textId="77777777" w:rsidR="00FF222D" w:rsidRDefault="002F7615">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w:t>
      </w:r>
      <w:r>
        <w:rPr>
          <w:rFonts w:ascii="Arial" w:eastAsia="Arial" w:hAnsi="Arial" w:cs="Arial"/>
          <w:color w:val="000000"/>
          <w:sz w:val="24"/>
          <w:szCs w:val="24"/>
        </w:rPr>
        <w:t>h that all Supplier COTS Software and Third Party COTS Software are always in mainstream support.</w:t>
      </w:r>
    </w:p>
    <w:p w14:paraId="0639A9C4" w14:textId="77777777" w:rsidR="00FF222D" w:rsidRDefault="00FF222D">
      <w:pPr>
        <w:spacing w:after="0" w:line="240" w:lineRule="auto"/>
        <w:rPr>
          <w:rFonts w:ascii="Arial" w:eastAsia="Arial" w:hAnsi="Arial" w:cs="Arial"/>
          <w:color w:val="000000"/>
          <w:sz w:val="24"/>
          <w:szCs w:val="24"/>
        </w:rPr>
      </w:pPr>
    </w:p>
    <w:p w14:paraId="6D326FA9" w14:textId="77777777" w:rsidR="00FF222D" w:rsidRDefault="002F7615">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w:t>
      </w:r>
      <w:proofErr w:type="gramStart"/>
      <w:r>
        <w:rPr>
          <w:rFonts w:ascii="Arial" w:eastAsia="Arial" w:hAnsi="Arial" w:cs="Arial"/>
          <w:b/>
          <w:color w:val="000000"/>
          <w:sz w:val="24"/>
          <w:szCs w:val="24"/>
        </w:rPr>
        <w:t>e.g.</w:t>
      </w:r>
      <w:proofErr w:type="gramEnd"/>
      <w:r>
        <w:rPr>
          <w:rFonts w:ascii="Arial" w:eastAsia="Arial" w:hAnsi="Arial" w:cs="Arial"/>
          <w:b/>
          <w:color w:val="000000"/>
          <w:sz w:val="24"/>
          <w:szCs w:val="24"/>
        </w:rPr>
        <w:t xml:space="preserve"> </w:t>
      </w:r>
      <w:r>
        <w:rPr>
          <w:rFonts w:ascii="Arial" w:eastAsia="Arial" w:hAnsi="Arial" w:cs="Arial"/>
          <w:color w:val="000000"/>
          <w:sz w:val="24"/>
          <w:szCs w:val="24"/>
        </w:rPr>
        <w:t>Suppliers should design the service in accordance with:</w:t>
      </w:r>
    </w:p>
    <w:p w14:paraId="42F28DB9" w14:textId="77777777" w:rsidR="00FF222D" w:rsidRDefault="002F7615">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6E33B843" w14:textId="77777777" w:rsidR="00FF222D" w:rsidRDefault="002F7615">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NCSC "</w:t>
      </w:r>
      <w:r>
        <w:rPr>
          <w:rFonts w:ascii="Arial" w:eastAsia="Arial" w:hAnsi="Arial" w:cs="Arial"/>
          <w:color w:val="1155CD"/>
          <w:sz w:val="24"/>
          <w:szCs w:val="24"/>
        </w:rPr>
        <w:t>Bulk Data Princ</w:t>
      </w:r>
      <w:r>
        <w:rPr>
          <w:rFonts w:ascii="Arial" w:eastAsia="Arial" w:hAnsi="Arial" w:cs="Arial"/>
          <w:color w:val="1155CD"/>
          <w:sz w:val="24"/>
          <w:szCs w:val="24"/>
        </w:rPr>
        <w:t>iples</w:t>
      </w:r>
      <w:r>
        <w:rPr>
          <w:rFonts w:ascii="Arial" w:eastAsia="Arial" w:hAnsi="Arial" w:cs="Arial"/>
          <w:color w:val="000000"/>
          <w:sz w:val="24"/>
          <w:szCs w:val="24"/>
        </w:rPr>
        <w:t>"</w:t>
      </w:r>
    </w:p>
    <w:p w14:paraId="5130DC2C" w14:textId="77777777" w:rsidR="00FF222D" w:rsidRDefault="002F7615">
      <w:pPr>
        <w:numPr>
          <w:ilvl w:val="0"/>
          <w:numId w:val="7"/>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5A7B6B4F" w14:textId="77777777" w:rsidR="00FF222D" w:rsidRDefault="00FF222D">
      <w:pPr>
        <w:rPr>
          <w:rFonts w:ascii="Arial" w:eastAsia="Arial" w:hAnsi="Arial" w:cs="Arial"/>
          <w:b/>
          <w:sz w:val="24"/>
          <w:szCs w:val="24"/>
        </w:rPr>
      </w:pPr>
    </w:p>
    <w:p w14:paraId="4BD0A20C" w14:textId="77777777" w:rsidR="00FF222D" w:rsidRDefault="00FF222D">
      <w:pPr>
        <w:rPr>
          <w:rFonts w:ascii="Arial" w:eastAsia="Arial" w:hAnsi="Arial" w:cs="Arial"/>
          <w:b/>
          <w:sz w:val="24"/>
          <w:szCs w:val="24"/>
        </w:rPr>
      </w:pPr>
    </w:p>
    <w:p w14:paraId="1DE572DD" w14:textId="77777777" w:rsidR="00FF222D" w:rsidRDefault="00FF222D">
      <w:pPr>
        <w:rPr>
          <w:rFonts w:ascii="Arial" w:eastAsia="Arial" w:hAnsi="Arial" w:cs="Arial"/>
          <w:b/>
          <w:sz w:val="24"/>
          <w:szCs w:val="24"/>
        </w:rPr>
      </w:pPr>
    </w:p>
    <w:p w14:paraId="06744D39" w14:textId="77777777" w:rsidR="00FF222D" w:rsidRDefault="00FF222D">
      <w:pPr>
        <w:rPr>
          <w:rFonts w:ascii="Arial" w:eastAsia="Arial" w:hAnsi="Arial" w:cs="Arial"/>
          <w:b/>
          <w:sz w:val="24"/>
          <w:szCs w:val="24"/>
        </w:rPr>
      </w:pPr>
    </w:p>
    <w:p w14:paraId="36C33B61" w14:textId="77777777" w:rsidR="00FF222D" w:rsidRDefault="00FF222D">
      <w:pPr>
        <w:rPr>
          <w:rFonts w:ascii="Arial" w:eastAsia="Arial" w:hAnsi="Arial" w:cs="Arial"/>
          <w:b/>
          <w:sz w:val="24"/>
          <w:szCs w:val="24"/>
        </w:rPr>
      </w:pPr>
    </w:p>
    <w:p w14:paraId="7AC9D080" w14:textId="77777777" w:rsidR="00FF222D" w:rsidRDefault="00FF222D">
      <w:pPr>
        <w:rPr>
          <w:rFonts w:ascii="Arial" w:eastAsia="Arial" w:hAnsi="Arial" w:cs="Arial"/>
          <w:b/>
          <w:sz w:val="24"/>
          <w:szCs w:val="24"/>
        </w:rPr>
      </w:pPr>
    </w:p>
    <w:p w14:paraId="2B50BDA8" w14:textId="77777777" w:rsidR="00FF222D" w:rsidRDefault="00FF222D">
      <w:pPr>
        <w:rPr>
          <w:rFonts w:ascii="Arial" w:eastAsia="Arial" w:hAnsi="Arial" w:cs="Arial"/>
          <w:b/>
          <w:sz w:val="24"/>
          <w:szCs w:val="24"/>
        </w:rPr>
      </w:pPr>
    </w:p>
    <w:p w14:paraId="538892F2" w14:textId="77777777" w:rsidR="00FF222D" w:rsidRDefault="00FF222D">
      <w:pPr>
        <w:rPr>
          <w:rFonts w:ascii="Arial" w:eastAsia="Arial" w:hAnsi="Arial" w:cs="Arial"/>
          <w:b/>
          <w:sz w:val="24"/>
          <w:szCs w:val="24"/>
        </w:rPr>
      </w:pPr>
    </w:p>
    <w:p w14:paraId="397A419B" w14:textId="77777777" w:rsidR="00FF222D" w:rsidRDefault="00FF222D">
      <w:pPr>
        <w:rPr>
          <w:rFonts w:ascii="Arial" w:eastAsia="Arial" w:hAnsi="Arial" w:cs="Arial"/>
          <w:b/>
          <w:sz w:val="24"/>
          <w:szCs w:val="24"/>
        </w:rPr>
      </w:pPr>
    </w:p>
    <w:p w14:paraId="22339C2B" w14:textId="77777777" w:rsidR="00FF222D" w:rsidRDefault="00FF222D">
      <w:pPr>
        <w:rPr>
          <w:rFonts w:ascii="Arial" w:eastAsia="Arial" w:hAnsi="Arial" w:cs="Arial"/>
          <w:b/>
          <w:sz w:val="24"/>
          <w:szCs w:val="24"/>
        </w:rPr>
      </w:pPr>
    </w:p>
    <w:p w14:paraId="30FAF4B0" w14:textId="77777777" w:rsidR="00FF222D" w:rsidRDefault="00FF222D">
      <w:pPr>
        <w:rPr>
          <w:rFonts w:ascii="Arial" w:eastAsia="Arial" w:hAnsi="Arial" w:cs="Arial"/>
          <w:b/>
          <w:sz w:val="24"/>
          <w:szCs w:val="24"/>
        </w:rPr>
      </w:pPr>
    </w:p>
    <w:p w14:paraId="2689E053" w14:textId="77777777" w:rsidR="00FF222D" w:rsidRDefault="00FF222D">
      <w:pPr>
        <w:rPr>
          <w:rFonts w:ascii="Arial" w:eastAsia="Arial" w:hAnsi="Arial" w:cs="Arial"/>
          <w:b/>
          <w:sz w:val="24"/>
          <w:szCs w:val="24"/>
        </w:rPr>
      </w:pPr>
    </w:p>
    <w:p w14:paraId="126FA892" w14:textId="77777777" w:rsidR="00FF222D" w:rsidRDefault="00FF222D">
      <w:pPr>
        <w:rPr>
          <w:rFonts w:ascii="Arial" w:eastAsia="Arial" w:hAnsi="Arial" w:cs="Arial"/>
          <w:b/>
          <w:sz w:val="24"/>
          <w:szCs w:val="24"/>
        </w:rPr>
      </w:pPr>
    </w:p>
    <w:p w14:paraId="60A2A967" w14:textId="77777777" w:rsidR="00FF222D" w:rsidRDefault="00FF222D">
      <w:pPr>
        <w:rPr>
          <w:rFonts w:ascii="Arial" w:eastAsia="Arial" w:hAnsi="Arial" w:cs="Arial"/>
          <w:b/>
          <w:sz w:val="24"/>
          <w:szCs w:val="24"/>
        </w:rPr>
      </w:pPr>
    </w:p>
    <w:p w14:paraId="5B49AF61" w14:textId="77777777" w:rsidR="00FF222D" w:rsidRDefault="00FF222D">
      <w:pPr>
        <w:rPr>
          <w:rFonts w:ascii="Arial" w:eastAsia="Arial" w:hAnsi="Arial" w:cs="Arial"/>
          <w:b/>
          <w:sz w:val="24"/>
          <w:szCs w:val="24"/>
        </w:rPr>
      </w:pPr>
    </w:p>
    <w:p w14:paraId="34DA09B6" w14:textId="77777777" w:rsidR="00FF222D" w:rsidRDefault="00FF222D">
      <w:pPr>
        <w:rPr>
          <w:rFonts w:ascii="Arial" w:eastAsia="Arial" w:hAnsi="Arial" w:cs="Arial"/>
          <w:b/>
          <w:sz w:val="24"/>
          <w:szCs w:val="24"/>
        </w:rPr>
      </w:pPr>
    </w:p>
    <w:p w14:paraId="2BB34D0E" w14:textId="77777777" w:rsidR="00FF222D" w:rsidRDefault="00FF222D">
      <w:pPr>
        <w:rPr>
          <w:rFonts w:ascii="Arial" w:eastAsia="Arial" w:hAnsi="Arial" w:cs="Arial"/>
          <w:b/>
          <w:sz w:val="24"/>
          <w:szCs w:val="24"/>
        </w:rPr>
      </w:pPr>
    </w:p>
    <w:p w14:paraId="189FE5EF" w14:textId="77777777" w:rsidR="00FF222D" w:rsidRDefault="00FF222D">
      <w:pPr>
        <w:rPr>
          <w:rFonts w:ascii="Arial" w:eastAsia="Arial" w:hAnsi="Arial" w:cs="Arial"/>
          <w:b/>
          <w:sz w:val="24"/>
          <w:szCs w:val="24"/>
        </w:rPr>
      </w:pPr>
    </w:p>
    <w:p w14:paraId="4944BF1E" w14:textId="77777777" w:rsidR="00FF222D" w:rsidRDefault="00FF222D">
      <w:pPr>
        <w:rPr>
          <w:rFonts w:ascii="Arial" w:eastAsia="Arial" w:hAnsi="Arial" w:cs="Arial"/>
          <w:b/>
          <w:sz w:val="24"/>
          <w:szCs w:val="24"/>
        </w:rPr>
      </w:pPr>
    </w:p>
    <w:p w14:paraId="6D64ABB3" w14:textId="77777777" w:rsidR="00FF222D" w:rsidRDefault="00FF222D">
      <w:pPr>
        <w:rPr>
          <w:rFonts w:ascii="Arial" w:eastAsia="Arial" w:hAnsi="Arial" w:cs="Arial"/>
          <w:b/>
          <w:sz w:val="24"/>
          <w:szCs w:val="24"/>
        </w:rPr>
      </w:pPr>
    </w:p>
    <w:p w14:paraId="4A1BEF02" w14:textId="77777777" w:rsidR="00FF222D" w:rsidRDefault="00FF222D">
      <w:pPr>
        <w:rPr>
          <w:rFonts w:ascii="Arial" w:eastAsia="Arial" w:hAnsi="Arial" w:cs="Arial"/>
          <w:b/>
          <w:sz w:val="24"/>
          <w:szCs w:val="24"/>
        </w:rPr>
      </w:pPr>
    </w:p>
    <w:p w14:paraId="2CACF8AB" w14:textId="77777777" w:rsidR="00FF222D" w:rsidRDefault="00FF222D">
      <w:pPr>
        <w:rPr>
          <w:rFonts w:ascii="Arial" w:eastAsia="Arial" w:hAnsi="Arial" w:cs="Arial"/>
          <w:b/>
          <w:sz w:val="24"/>
          <w:szCs w:val="24"/>
        </w:rPr>
      </w:pPr>
    </w:p>
    <w:p w14:paraId="02CC82E7" w14:textId="77777777" w:rsidR="00FF222D" w:rsidRDefault="00FF222D">
      <w:pPr>
        <w:rPr>
          <w:rFonts w:ascii="Arial" w:eastAsia="Arial" w:hAnsi="Arial" w:cs="Arial"/>
          <w:b/>
          <w:sz w:val="24"/>
          <w:szCs w:val="24"/>
        </w:rPr>
      </w:pPr>
    </w:p>
    <w:p w14:paraId="7AC69608" w14:textId="77777777" w:rsidR="00FF222D" w:rsidRDefault="00FF222D">
      <w:pPr>
        <w:rPr>
          <w:rFonts w:ascii="Arial" w:eastAsia="Arial" w:hAnsi="Arial" w:cs="Arial"/>
          <w:b/>
          <w:sz w:val="24"/>
          <w:szCs w:val="24"/>
        </w:rPr>
      </w:pPr>
    </w:p>
    <w:p w14:paraId="2F76A101" w14:textId="77777777" w:rsidR="00FF222D" w:rsidRDefault="002F7615">
      <w:pPr>
        <w:rPr>
          <w:rFonts w:ascii="Arial" w:eastAsia="Arial" w:hAnsi="Arial" w:cs="Arial"/>
          <w:sz w:val="24"/>
          <w:szCs w:val="24"/>
        </w:rPr>
      </w:pPr>
      <w:r>
        <w:rPr>
          <w:rFonts w:ascii="Arial" w:eastAsia="Arial" w:hAnsi="Arial" w:cs="Arial"/>
          <w:b/>
          <w:sz w:val="24"/>
          <w:szCs w:val="24"/>
        </w:rPr>
        <w:t>Annex 3 - Joint Controller Agreement</w:t>
      </w:r>
    </w:p>
    <w:p w14:paraId="750B63B9" w14:textId="77777777" w:rsidR="00FF222D" w:rsidRDefault="002F7615">
      <w:pPr>
        <w:keepNext/>
        <w:rPr>
          <w:rFonts w:ascii="Arial" w:eastAsia="Arial" w:hAnsi="Arial" w:cs="Arial"/>
          <w:b/>
          <w:sz w:val="24"/>
          <w:szCs w:val="24"/>
        </w:rPr>
      </w:pPr>
      <w:r>
        <w:rPr>
          <w:rFonts w:ascii="Arial" w:eastAsia="Arial" w:hAnsi="Arial" w:cs="Arial"/>
          <w:b/>
          <w:sz w:val="24"/>
          <w:szCs w:val="24"/>
        </w:rPr>
        <w:lastRenderedPageBreak/>
        <w:t xml:space="preserve">1. Joint Controller Status and Allocation of Responsibilities </w:t>
      </w:r>
    </w:p>
    <w:p w14:paraId="50FDB188" w14:textId="77777777" w:rsidR="00FF222D" w:rsidRDefault="002F7615">
      <w:pPr>
        <w:keepNext/>
        <w:rPr>
          <w:rFonts w:ascii="Arial" w:eastAsia="Arial" w:hAnsi="Arial" w:cs="Arial"/>
          <w:sz w:val="24"/>
          <w:szCs w:val="24"/>
        </w:rPr>
      </w:pPr>
      <w:bookmarkStart w:id="16" w:name="_heading=h.gjdgxs" w:colFirst="0" w:colLast="0"/>
      <w:bookmarkEnd w:id="16"/>
      <w:r>
        <w:rPr>
          <w:rFonts w:ascii="Arial" w:eastAsia="Arial" w:hAnsi="Arial" w:cs="Arial"/>
          <w:sz w:val="24"/>
          <w:szCs w:val="24"/>
        </w:rPr>
        <w:t>1.1</w:t>
      </w:r>
      <w:r>
        <w:rPr>
          <w:rFonts w:ascii="Arial" w:eastAsia="Arial" w:hAnsi="Arial" w:cs="Arial"/>
          <w:sz w:val="24"/>
          <w:szCs w:val="24"/>
        </w:rPr>
        <w:tab/>
      </w:r>
      <w:r>
        <w:rPr>
          <w:rFonts w:ascii="Arial" w:eastAsia="Arial" w:hAnsi="Arial" w:cs="Arial"/>
          <w:sz w:val="24"/>
          <w:szCs w:val="24"/>
        </w:rPr>
        <w:t>With respect to Personal Data under Joint Control of the Parties, the Parties envisage that they shall each be a Data Controller in respect of that Personal Data in accordance with the terms of this Annex 3 (Joint Controller Agreement) in replacement of pa</w:t>
      </w:r>
      <w:r>
        <w:rPr>
          <w:rFonts w:ascii="Arial" w:eastAsia="Arial" w:hAnsi="Arial" w:cs="Arial"/>
          <w:sz w:val="24"/>
          <w:szCs w:val="24"/>
        </w:rPr>
        <w:t xml:space="preserve">ragraphs 3-16 of Joint Schedule 11 (Where one Party is Controller and the other Party is Processor) and paragraphs 18-28 of Joint Schedule 11 (Independent Controllers of Personal Data). Accordingly, the Parties each undertake to comply with the applicable </w:t>
      </w:r>
      <w:r>
        <w:rPr>
          <w:rFonts w:ascii="Arial" w:eastAsia="Arial" w:hAnsi="Arial" w:cs="Arial"/>
          <w:sz w:val="24"/>
          <w:szCs w:val="24"/>
        </w:rPr>
        <w:t xml:space="preserve">Data Protection Legislation in respect of their Processing of such Personal Data as Data Controllers. </w:t>
      </w:r>
    </w:p>
    <w:p w14:paraId="2F909C07" w14:textId="77777777" w:rsidR="00FF222D" w:rsidRDefault="002F7615">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59BE886A" w14:textId="77777777" w:rsidR="00FF222D" w:rsidRDefault="002F7615">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w:t>
      </w:r>
      <w:r>
        <w:rPr>
          <w:rFonts w:ascii="Arial" w:eastAsia="Arial" w:hAnsi="Arial" w:cs="Arial"/>
          <w:sz w:val="24"/>
          <w:szCs w:val="24"/>
          <w:highlight w:val="white"/>
        </w:rPr>
        <w:t>sary to comply with the UK GDPR regarding the exercise by Data Subjects of their rights under the UK GDPR;</w:t>
      </w:r>
    </w:p>
    <w:p w14:paraId="7D843C78" w14:textId="77777777" w:rsidR="00FF222D" w:rsidRDefault="002F7615">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5510D25C" w14:textId="77777777" w:rsidR="00FF222D" w:rsidRDefault="002F7615">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w:t>
      </w:r>
      <w:r>
        <w:rPr>
          <w:rFonts w:ascii="Arial" w:eastAsia="Arial" w:hAnsi="Arial" w:cs="Arial"/>
          <w:sz w:val="24"/>
          <w:szCs w:val="24"/>
        </w:rPr>
        <w:t>iance with all duties to provide information to Data Subjects under Articles 13 and 14 of the UK GDPR;</w:t>
      </w:r>
    </w:p>
    <w:p w14:paraId="0162FC8D" w14:textId="77777777" w:rsidR="00FF222D" w:rsidRDefault="002F7615">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w:t>
      </w:r>
      <w:r>
        <w:rPr>
          <w:rFonts w:ascii="Arial" w:eastAsia="Arial" w:hAnsi="Arial" w:cs="Arial"/>
          <w:sz w:val="24"/>
          <w:szCs w:val="24"/>
        </w:rPr>
        <w:t>ere consent is the relevant legal basis for that Processing; and</w:t>
      </w:r>
    </w:p>
    <w:p w14:paraId="4D7F5AA1" w14:textId="77777777" w:rsidR="00FF222D" w:rsidRDefault="002F7615">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w:t>
      </w:r>
      <w:r>
        <w:rPr>
          <w:rFonts w:ascii="Arial" w:eastAsia="Arial" w:hAnsi="Arial" w:cs="Arial"/>
          <w:sz w:val="24"/>
          <w:szCs w:val="24"/>
        </w:rPr>
        <w:t xml:space="preserve">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w:t>
      </w:r>
      <w:r>
        <w:rPr>
          <w:rFonts w:ascii="Arial" w:eastAsia="Arial" w:hAnsi="Arial" w:cs="Arial"/>
          <w:sz w:val="24"/>
          <w:szCs w:val="24"/>
        </w:rPr>
        <w:t>ublic facing services and marketing).</w:t>
      </w:r>
    </w:p>
    <w:p w14:paraId="29C4AF2D" w14:textId="77777777" w:rsidR="00FF222D" w:rsidRDefault="002F7615">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9812ABC"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w:t>
      </w:r>
      <w:r>
        <w:rPr>
          <w:rFonts w:ascii="Arial" w:eastAsia="Arial" w:hAnsi="Arial" w:cs="Arial"/>
          <w:b/>
          <w:color w:val="000000"/>
          <w:sz w:val="24"/>
          <w:szCs w:val="24"/>
        </w:rPr>
        <w:t>ndertakings of both Parties</w:t>
      </w:r>
    </w:p>
    <w:p w14:paraId="6B5162E2"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2C4B6A38"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6436B265"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2166B48B"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requests from Data Subjects (or third parties on their behalf) to rectify, block or erase any Perso</w:t>
      </w:r>
      <w:r>
        <w:rPr>
          <w:rFonts w:ascii="Arial" w:eastAsia="Arial" w:hAnsi="Arial" w:cs="Arial"/>
          <w:sz w:val="24"/>
          <w:szCs w:val="24"/>
        </w:rPr>
        <w:t xml:space="preserve">nal Data; </w:t>
      </w:r>
    </w:p>
    <w:p w14:paraId="7C2908E4"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4D470F35"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w:t>
      </w:r>
      <w:r>
        <w:rPr>
          <w:rFonts w:ascii="Arial" w:eastAsia="Arial" w:hAnsi="Arial" w:cs="Arial"/>
          <w:sz w:val="24"/>
          <w:szCs w:val="24"/>
        </w:rPr>
        <w:t>r any other regulatory authority in connection with Personal Data; and</w:t>
      </w:r>
    </w:p>
    <w:p w14:paraId="3A1F522D"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5EA04DBB" w14:textId="77777777" w:rsidR="00FF222D" w:rsidRDefault="002F7615">
      <w:pPr>
        <w:ind w:left="720"/>
        <w:rPr>
          <w:rFonts w:ascii="Arial" w:eastAsia="Arial" w:hAnsi="Arial" w:cs="Arial"/>
          <w:sz w:val="24"/>
          <w:szCs w:val="24"/>
        </w:rPr>
      </w:pPr>
      <w:r>
        <w:rPr>
          <w:rFonts w:ascii="Arial" w:eastAsia="Arial" w:hAnsi="Arial" w:cs="Arial"/>
          <w:sz w:val="24"/>
          <w:szCs w:val="24"/>
        </w:rPr>
        <w:t xml:space="preserve">that it has received in relation to </w:t>
      </w:r>
      <w:r>
        <w:rPr>
          <w:rFonts w:ascii="Arial" w:eastAsia="Arial" w:hAnsi="Arial" w:cs="Arial"/>
          <w:sz w:val="24"/>
          <w:szCs w:val="24"/>
        </w:rPr>
        <w:t xml:space="preserve">the subject matter of the Contract during that period; </w:t>
      </w:r>
    </w:p>
    <w:p w14:paraId="46D2E06A"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22F8286A"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w:t>
      </w:r>
      <w:r>
        <w:rPr>
          <w:rFonts w:ascii="Arial" w:eastAsia="Arial" w:hAnsi="Arial" w:cs="Arial"/>
          <w:sz w:val="24"/>
          <w:szCs w:val="24"/>
        </w:rPr>
        <w:t>elation to any request, complaint or communication made as referred to in Clauses 2.1(a)(iii) to (v) to enable the other Party to comply with the relevant timescales set out in the Data Protection Legislation;</w:t>
      </w:r>
    </w:p>
    <w:p w14:paraId="25331F2F" w14:textId="77777777" w:rsidR="00FF222D" w:rsidRDefault="002F7615">
      <w:pPr>
        <w:numPr>
          <w:ilvl w:val="2"/>
          <w:numId w:val="24"/>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w:t>
      </w:r>
      <w:r>
        <w:rPr>
          <w:rFonts w:ascii="Arial" w:eastAsia="Arial" w:hAnsi="Arial" w:cs="Arial"/>
          <w:sz w:val="24"/>
          <w:szCs w:val="24"/>
        </w:rPr>
        <w:t xml:space="preserve"> under the Contract or is required by Law) ensure consent has been obtained from the Data Subject prior to disclosing or transferring the Personal Data to the third party. For the avoidance of doubt, the third party to which Personal Data is transferred mu</w:t>
      </w:r>
      <w:r>
        <w:rPr>
          <w:rFonts w:ascii="Arial" w:eastAsia="Arial" w:hAnsi="Arial" w:cs="Arial"/>
          <w:sz w:val="24"/>
          <w:szCs w:val="24"/>
        </w:rPr>
        <w:t>st be subject to equivalent obligations which are no less onerous than those set out in this Annex;</w:t>
      </w:r>
    </w:p>
    <w:p w14:paraId="35401C27"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w:t>
      </w:r>
      <w:r>
        <w:rPr>
          <w:rFonts w:ascii="Arial" w:eastAsia="Arial" w:hAnsi="Arial" w:cs="Arial"/>
          <w:sz w:val="24"/>
          <w:szCs w:val="24"/>
        </w:rPr>
        <w:t>ation;</w:t>
      </w:r>
    </w:p>
    <w:p w14:paraId="7784C1FB"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w:t>
      </w:r>
      <w:r>
        <w:rPr>
          <w:rFonts w:ascii="Arial" w:eastAsia="Arial" w:hAnsi="Arial" w:cs="Arial"/>
          <w:sz w:val="24"/>
          <w:szCs w:val="24"/>
        </w:rPr>
        <w:t>sure of or access to the Personal Data;</w:t>
      </w:r>
    </w:p>
    <w:p w14:paraId="3B12B4C4"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57ADA356"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aware of and comply with their duties under this Annex</w:t>
      </w:r>
      <w:r>
        <w:rPr>
          <w:rFonts w:ascii="Arial" w:eastAsia="Arial" w:hAnsi="Arial" w:cs="Arial"/>
          <w:sz w:val="24"/>
          <w:szCs w:val="24"/>
        </w:rPr>
        <w:t xml:space="preserve"> 3 (Joint Controller Agreement) and those in respect of Confidential Information; </w:t>
      </w:r>
    </w:p>
    <w:p w14:paraId="3B5FF5CE"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w:t>
      </w:r>
      <w:r>
        <w:rPr>
          <w:rFonts w:ascii="Arial" w:eastAsia="Arial" w:hAnsi="Arial" w:cs="Arial"/>
          <w:sz w:val="24"/>
          <w:szCs w:val="24"/>
        </w:rPr>
        <w:t>rsonal Data to any third party where the that Party would not be permitted to do so; and</w:t>
      </w:r>
    </w:p>
    <w:p w14:paraId="6B65B853"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385D35D9"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w:t>
      </w:r>
      <w:r>
        <w:rPr>
          <w:rFonts w:ascii="Arial" w:eastAsia="Arial" w:hAnsi="Arial" w:cs="Arial"/>
          <w:sz w:val="24"/>
          <w:szCs w:val="24"/>
        </w:rPr>
        <w:t>as in place Protective Measures as appropriate to protect against a Data Loss Event having taken account of the:</w:t>
      </w:r>
    </w:p>
    <w:p w14:paraId="6AE79CAC"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2726054"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08E65B73"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084EF198" w14:textId="77777777" w:rsidR="00FF222D" w:rsidRDefault="002F7615">
      <w:pPr>
        <w:numPr>
          <w:ilvl w:val="3"/>
          <w:numId w:val="2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57970B24"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w:t>
      </w:r>
      <w:r>
        <w:rPr>
          <w:rFonts w:ascii="Arial" w:eastAsia="Arial" w:hAnsi="Arial" w:cs="Arial"/>
          <w:sz w:val="24"/>
          <w:szCs w:val="24"/>
        </w:rPr>
        <w:t>ta Subject all the Personal Data relating to that Data Subject that it holds; and</w:t>
      </w:r>
    </w:p>
    <w:p w14:paraId="58934363" w14:textId="77777777" w:rsidR="00FF222D" w:rsidRDefault="002F7615">
      <w:pPr>
        <w:numPr>
          <w:ilvl w:val="2"/>
          <w:numId w:val="2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248D089B"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w:t>
      </w:r>
      <w:r>
        <w:rPr>
          <w:rFonts w:ascii="Arial" w:eastAsia="Arial" w:hAnsi="Arial" w:cs="Arial"/>
          <w:color w:val="000000"/>
          <w:sz w:val="24"/>
          <w:szCs w:val="24"/>
        </w:rPr>
        <w:t xml:space="preserve">oller to comply with any obligations under applicable Data Protection Legislation and shall not perform its obligations under this Annex in such a way as to cause the other Joint Controller to breach any of its obligations under applicable Data Protection </w:t>
      </w:r>
      <w:r>
        <w:rPr>
          <w:rFonts w:ascii="Arial" w:eastAsia="Arial" w:hAnsi="Arial" w:cs="Arial"/>
          <w:color w:val="000000"/>
          <w:sz w:val="24"/>
          <w:szCs w:val="24"/>
        </w:rPr>
        <w:t>Legislation to the extent it is aware, or ought reasonably to have been aware, that the same would be a breach of such obligations.</w:t>
      </w:r>
    </w:p>
    <w:p w14:paraId="518FDB67"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16E0E7FF"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w:t>
      </w:r>
      <w:r>
        <w:rPr>
          <w:rFonts w:ascii="Arial" w:eastAsia="Arial" w:hAnsi="Arial" w:cs="Arial"/>
          <w:color w:val="000000"/>
          <w:sz w:val="24"/>
          <w:szCs w:val="24"/>
        </w:rPr>
        <w:t>iding the other Party and its advisors with:</w:t>
      </w:r>
    </w:p>
    <w:p w14:paraId="4D30D27D" w14:textId="77777777" w:rsidR="00FF222D" w:rsidRDefault="002F7615">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Data Loss Event under the Data Protection Legislation; and</w:t>
      </w:r>
    </w:p>
    <w:p w14:paraId="6507EFBB" w14:textId="77777777" w:rsidR="00FF222D" w:rsidRDefault="002F7615">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7C84CF77" w14:textId="77777777" w:rsidR="00FF222D" w:rsidRDefault="002F761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14:paraId="0E181613" w14:textId="77777777" w:rsidR="00FF222D" w:rsidRDefault="002F761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w:t>
      </w:r>
      <w:r>
        <w:rPr>
          <w:rFonts w:ascii="Arial" w:eastAsia="Arial" w:hAnsi="Arial" w:cs="Arial"/>
          <w:sz w:val="24"/>
          <w:szCs w:val="24"/>
        </w:rPr>
        <w:t>ding taking such reasonable steps as are directed by the other Party to assist in the investigation, mitigation and remediation of a Data Loss Event;</w:t>
      </w:r>
    </w:p>
    <w:p w14:paraId="4D138489" w14:textId="77777777" w:rsidR="00FF222D" w:rsidRDefault="002F761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w:t>
      </w:r>
      <w:r>
        <w:rPr>
          <w:rFonts w:ascii="Arial" w:eastAsia="Arial" w:hAnsi="Arial" w:cs="Arial"/>
          <w:sz w:val="24"/>
          <w:szCs w:val="24"/>
        </w:rPr>
        <w:t>ting to the Data Loss Event; and/or</w:t>
      </w:r>
    </w:p>
    <w:p w14:paraId="00D04700" w14:textId="77777777" w:rsidR="00FF222D" w:rsidRDefault="002F761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w:t>
      </w:r>
      <w:r>
        <w:rPr>
          <w:rFonts w:ascii="Arial" w:eastAsia="Arial" w:hAnsi="Arial" w:cs="Arial"/>
          <w:sz w:val="24"/>
          <w:szCs w:val="24"/>
        </w:rPr>
        <w:t>ing, without limitation, the information set out in Clause 3.2.</w:t>
      </w:r>
    </w:p>
    <w:p w14:paraId="51408C90"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Party shall take all steps to restore, re-constitute and/or reconstruct any Personal Data where it has  lost, damaged, destroyed, altered or corrupted as a result of a Data Loss Event as </w:t>
      </w:r>
      <w:r>
        <w:rPr>
          <w:rFonts w:ascii="Arial" w:eastAsia="Arial" w:hAnsi="Arial" w:cs="Arial"/>
          <w:color w:val="000000"/>
          <w:sz w:val="24"/>
          <w:szCs w:val="24"/>
        </w:rPr>
        <w:t>it was  that Party’s own data at its own cost with all possible speed and shall provide the other Party with all reasonable assistance in respect of any such Data Loss Event, including providing the other Party, as soon as possible and within 48 hours of t</w:t>
      </w:r>
      <w:r>
        <w:rPr>
          <w:rFonts w:ascii="Arial" w:eastAsia="Arial" w:hAnsi="Arial" w:cs="Arial"/>
          <w:color w:val="000000"/>
          <w:sz w:val="24"/>
          <w:szCs w:val="24"/>
        </w:rPr>
        <w:t>he Data Loss Event relating to the Data Loss Event, in particular:</w:t>
      </w:r>
    </w:p>
    <w:p w14:paraId="345D47AE" w14:textId="77777777" w:rsidR="00FF222D" w:rsidRDefault="002F7615">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14:paraId="7993BB92" w14:textId="77777777" w:rsidR="00FF222D" w:rsidRDefault="002F7615">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338FB651" w14:textId="77777777" w:rsidR="00FF222D" w:rsidRDefault="002F7615">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2B521905" w14:textId="77777777" w:rsidR="00FF222D" w:rsidRDefault="002F7615">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w:t>
      </w:r>
      <w:r>
        <w:rPr>
          <w:rFonts w:ascii="Arial" w:eastAsia="Arial" w:hAnsi="Arial" w:cs="Arial"/>
          <w:sz w:val="24"/>
          <w:szCs w:val="24"/>
        </w:rPr>
        <w:t>n Officer or other relevant contact from whom more information may be obtained;</w:t>
      </w:r>
    </w:p>
    <w:p w14:paraId="07969542" w14:textId="77777777" w:rsidR="00FF222D" w:rsidRDefault="002F7615">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14:paraId="36E8C08C" w14:textId="77777777" w:rsidR="00FF222D" w:rsidRDefault="002F7615">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1A2F7DD9"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2AFBB025"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14A14BC4" w14:textId="77777777" w:rsidR="00FF222D" w:rsidRDefault="002F761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w:t>
      </w:r>
      <w:r>
        <w:rPr>
          <w:rFonts w:ascii="Arial" w:eastAsia="Arial" w:hAnsi="Arial" w:cs="Arial"/>
          <w:sz w:val="24"/>
          <w:szCs w:val="24"/>
        </w:rPr>
        <w:t>y procedures relating to Personal Data, its compliance with this Annex 3 and the Data Protection Legislation; and/or</w:t>
      </w:r>
    </w:p>
    <w:p w14:paraId="0AE46D42" w14:textId="77777777" w:rsidR="00FF222D" w:rsidRDefault="002F761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w:t>
      </w:r>
      <w:r>
        <w:rPr>
          <w:rFonts w:ascii="Arial" w:eastAsia="Arial" w:hAnsi="Arial" w:cs="Arial"/>
          <w:sz w:val="24"/>
          <w:szCs w:val="24"/>
        </w:rPr>
        <w:t xml:space="preserve">Data is accessible or at which it is able to inspect any relevant records, including the record maintained under Article 30 UK GDPR by the Supplier so far as relevant to the Contract, and procedures, including premises under the control of any third party </w:t>
      </w:r>
      <w:r>
        <w:rPr>
          <w:rFonts w:ascii="Arial" w:eastAsia="Arial" w:hAnsi="Arial" w:cs="Arial"/>
          <w:sz w:val="24"/>
          <w:szCs w:val="24"/>
        </w:rPr>
        <w:t xml:space="preserve">appointed by the Supplier to assist in the provision of the Deliverables. </w:t>
      </w:r>
    </w:p>
    <w:p w14:paraId="7840224A" w14:textId="77777777" w:rsidR="00FF222D" w:rsidRDefault="00FF222D">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F705C41"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w:t>
      </w:r>
      <w:r>
        <w:rPr>
          <w:rFonts w:ascii="Arial" w:eastAsia="Arial" w:hAnsi="Arial" w:cs="Arial"/>
          <w:color w:val="000000"/>
          <w:sz w:val="24"/>
          <w:szCs w:val="24"/>
        </w:rPr>
        <w:t>sment or inspection.</w:t>
      </w:r>
    </w:p>
    <w:p w14:paraId="24900EB2"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590776A"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5241F28D" w14:textId="77777777" w:rsidR="00FF222D" w:rsidRDefault="002F7615">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4702EB48" w14:textId="77777777" w:rsidR="00FF222D" w:rsidRDefault="00FF222D">
      <w:pPr>
        <w:pBdr>
          <w:top w:val="nil"/>
          <w:left w:val="nil"/>
          <w:bottom w:val="nil"/>
          <w:right w:val="nil"/>
          <w:between w:val="nil"/>
        </w:pBdr>
        <w:spacing w:after="80"/>
        <w:ind w:left="11"/>
        <w:rPr>
          <w:rFonts w:ascii="Arial" w:eastAsia="Arial" w:hAnsi="Arial" w:cs="Arial"/>
          <w:sz w:val="24"/>
          <w:szCs w:val="24"/>
        </w:rPr>
      </w:pPr>
    </w:p>
    <w:p w14:paraId="5608FDC0" w14:textId="77777777" w:rsidR="00FF222D" w:rsidRDefault="002F7615">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31FB8B5D" w14:textId="77777777" w:rsidR="00FF222D" w:rsidRDefault="00FF222D">
      <w:pPr>
        <w:keepNext/>
        <w:rPr>
          <w:rFonts w:ascii="Arial" w:eastAsia="Arial" w:hAnsi="Arial" w:cs="Arial"/>
          <w:sz w:val="24"/>
          <w:szCs w:val="24"/>
        </w:rPr>
      </w:pPr>
    </w:p>
    <w:p w14:paraId="1A1E35BF"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14009464" w14:textId="77777777" w:rsidR="00FF222D" w:rsidRDefault="002F7615">
      <w:pPr>
        <w:ind w:left="720"/>
        <w:rPr>
          <w:rFonts w:ascii="Arial" w:eastAsia="Arial" w:hAnsi="Arial" w:cs="Arial"/>
          <w:sz w:val="24"/>
          <w:szCs w:val="24"/>
        </w:rPr>
      </w:pPr>
      <w:r>
        <w:rPr>
          <w:rFonts w:ascii="Arial" w:eastAsia="Arial" w:hAnsi="Arial" w:cs="Arial"/>
          <w:sz w:val="24"/>
          <w:szCs w:val="24"/>
        </w:rPr>
        <w:t xml:space="preserve">The Parties agree to take account of any guidance issued by </w:t>
      </w:r>
      <w:r>
        <w:rPr>
          <w:rFonts w:ascii="Arial" w:eastAsia="Arial" w:hAnsi="Arial" w:cs="Arial"/>
          <w:sz w:val="24"/>
          <w:szCs w:val="24"/>
        </w:rPr>
        <w:t>the Information Commissioner and/or any relevant Central Government Body. The Relevant Authority may on not less than thirty (30) Working Days’ notice to the Supplier amend the Contract to ensure that it complies with any guidance issued by the Information</w:t>
      </w:r>
      <w:r>
        <w:rPr>
          <w:rFonts w:ascii="Arial" w:eastAsia="Arial" w:hAnsi="Arial" w:cs="Arial"/>
          <w:sz w:val="24"/>
          <w:szCs w:val="24"/>
        </w:rPr>
        <w:t xml:space="preserve"> Commissioner and/or any relevant Central Government Body.</w:t>
      </w:r>
    </w:p>
    <w:p w14:paraId="7549760C"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7FF1F855"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00D0D4B6" w14:textId="77777777" w:rsidR="00FF222D" w:rsidRDefault="002F7615">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if in the view of the Information Commissioner, the Relevant A</w:t>
      </w:r>
      <w:r>
        <w:rPr>
          <w:rFonts w:ascii="Arial" w:eastAsia="Arial" w:hAnsi="Arial" w:cs="Arial"/>
          <w:sz w:val="24"/>
          <w:szCs w:val="24"/>
        </w:rPr>
        <w:t>uthority is responsible for the Data Loss Event, in that it is caused as a result of the actions or inaction of the Relevant Authority, its employees, agents, contractors (other than the Supplier) or systems and procedures controlled by the Relevant Author</w:t>
      </w:r>
      <w:r>
        <w:rPr>
          <w:rFonts w:ascii="Arial" w:eastAsia="Arial" w:hAnsi="Arial" w:cs="Arial"/>
          <w:sz w:val="24"/>
          <w:szCs w:val="24"/>
        </w:rPr>
        <w:t xml:space="preserve">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w:t>
      </w:r>
      <w:r>
        <w:rPr>
          <w:rFonts w:ascii="Arial" w:eastAsia="Arial" w:hAnsi="Arial" w:cs="Arial"/>
          <w:sz w:val="24"/>
          <w:szCs w:val="24"/>
        </w:rPr>
        <w:t xml:space="preserve">n audit of any such Data Loss Event.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Data</w:t>
      </w:r>
      <w:r>
        <w:rPr>
          <w:rFonts w:ascii="Arial" w:eastAsia="Arial" w:hAnsi="Arial" w:cs="Arial"/>
          <w:sz w:val="24"/>
          <w:szCs w:val="24"/>
        </w:rPr>
        <w:t xml:space="preserve"> Loss Event; </w:t>
      </w:r>
    </w:p>
    <w:p w14:paraId="667CF918" w14:textId="77777777" w:rsidR="00FF222D" w:rsidRDefault="002F7615">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w:t>
      </w:r>
      <w:r>
        <w:rPr>
          <w:rFonts w:ascii="Arial" w:eastAsia="Arial" w:hAnsi="Arial" w:cs="Arial"/>
          <w:sz w:val="24"/>
          <w:szCs w:val="24"/>
        </w:rPr>
        <w:t xml:space="preserve"> these Financial Penalties. The Supplier will provide to the Relevant Authority and its auditors, on request and at the Supplier’s sole cost, full cooperation and access to conduct a thorough audit of such Data Loss Event; or</w:t>
      </w:r>
    </w:p>
    <w:p w14:paraId="636D09A6" w14:textId="77777777" w:rsidR="00FF222D" w:rsidRDefault="002F7615">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no view as to responsibilit</w:t>
      </w:r>
      <w:r>
        <w:rPr>
          <w:rFonts w:ascii="Arial" w:eastAsia="Arial" w:hAnsi="Arial" w:cs="Arial"/>
          <w:sz w:val="24"/>
          <w:szCs w:val="24"/>
        </w:rPr>
        <w:t>y is expressed by the Information Commissioner, then the Relevant Authority and the Supplier shall work together to investigate the relevant Data Loss Event and allocate responsibility for any Financial Penalties as outlined above, or by agreement to split</w:t>
      </w:r>
      <w:r>
        <w:rPr>
          <w:rFonts w:ascii="Arial" w:eastAsia="Arial" w:hAnsi="Arial" w:cs="Arial"/>
          <w:sz w:val="24"/>
          <w:szCs w:val="24"/>
        </w:rPr>
        <w:t xml:space="preserve"> any financial penalties equally if no responsibility for the Data Loss Event can be apportioned. In the event that the Parties do not agree such apportionment then such Dispute shall be referred to the Dispute Resolution Procedure set out in Clause 34 of </w:t>
      </w:r>
      <w:r>
        <w:rPr>
          <w:rFonts w:ascii="Arial" w:eastAsia="Arial" w:hAnsi="Arial" w:cs="Arial"/>
          <w:sz w:val="24"/>
          <w:szCs w:val="24"/>
        </w:rPr>
        <w:t xml:space="preserve">the Core Terms (Resolving disputes). </w:t>
      </w:r>
    </w:p>
    <w:p w14:paraId="69181B3D"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either the Relevant Authority or the Supplier is the defendant in a legal claim brought before a court of competent jurisdiction (“Court”) by a third party in respect of a Data Loss Event, then unless the Parties ot</w:t>
      </w:r>
      <w:r>
        <w:rPr>
          <w:rFonts w:ascii="Arial" w:eastAsia="Arial" w:hAnsi="Arial" w:cs="Arial"/>
          <w:color w:val="000000"/>
          <w:sz w:val="24"/>
          <w:szCs w:val="24"/>
        </w:rPr>
        <w:t>herwise agree, the Party that is determined by the final decision of the court to be responsible for the Data Loss Event shall be liable for the losses arising from such Data Loss Event. Where both Parties are liable, the liability will be apportioned betw</w:t>
      </w:r>
      <w:r>
        <w:rPr>
          <w:rFonts w:ascii="Arial" w:eastAsia="Arial" w:hAnsi="Arial" w:cs="Arial"/>
          <w:color w:val="000000"/>
          <w:sz w:val="24"/>
          <w:szCs w:val="24"/>
        </w:rPr>
        <w:t xml:space="preserve">een the Parties in accordance with the decision of the Court.  </w:t>
      </w:r>
    </w:p>
    <w:p w14:paraId="5CD9EF9D"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Data Loss Event (the “Claim Losses”):</w:t>
      </w:r>
    </w:p>
    <w:p w14:paraId="2FCA4EED" w14:textId="77777777" w:rsidR="00FF222D" w:rsidRDefault="002F7615">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w:t>
      </w:r>
      <w:r>
        <w:rPr>
          <w:rFonts w:ascii="Arial" w:eastAsia="Arial" w:hAnsi="Arial" w:cs="Arial"/>
          <w:sz w:val="24"/>
          <w:szCs w:val="24"/>
        </w:rPr>
        <w:t xml:space="preserve"> Loss Event, then the Relevant Authority shall be responsible for the Claim Losses;</w:t>
      </w:r>
    </w:p>
    <w:p w14:paraId="7F429B5B" w14:textId="77777777" w:rsidR="00FF222D" w:rsidRDefault="002F7615">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14:paraId="394EFA47" w14:textId="77777777" w:rsidR="00FF222D" w:rsidRDefault="002F7615">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responsibility for the relevant Data Lo</w:t>
      </w:r>
      <w:r>
        <w:rPr>
          <w:rFonts w:ascii="Arial" w:eastAsia="Arial" w:hAnsi="Arial" w:cs="Arial"/>
          <w:sz w:val="24"/>
          <w:szCs w:val="24"/>
        </w:rPr>
        <w:t xml:space="preserve">ss Event is unclear, then the Relevant Authority and the Supplier shall be responsible for the Claim Losses equally. </w:t>
      </w:r>
    </w:p>
    <w:p w14:paraId="25E45853" w14:textId="77777777" w:rsidR="00FF222D" w:rsidRDefault="00FF222D">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41D3C86"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w:t>
      </w:r>
      <w:r>
        <w:rPr>
          <w:rFonts w:ascii="Arial" w:eastAsia="Arial" w:hAnsi="Arial" w:cs="Arial"/>
          <w:color w:val="000000"/>
          <w:sz w:val="24"/>
          <w:szCs w:val="24"/>
        </w:rPr>
        <w:t>or any Claim Losses as a result of a Data Loss Event, having regard to all the circumstances of the Data Loss Event and the legal and financial obligations of the Relevant Authority.</w:t>
      </w:r>
    </w:p>
    <w:p w14:paraId="30A7A863"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AF3B149" w14:textId="77777777" w:rsidR="00FF222D" w:rsidRDefault="002F7615">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w:t>
      </w:r>
      <w:r>
        <w:rPr>
          <w:rFonts w:ascii="Arial" w:eastAsia="Arial" w:hAnsi="Arial" w:cs="Arial"/>
          <w:sz w:val="24"/>
          <w:szCs w:val="24"/>
        </w:rPr>
        <w:t>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61E516C2"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CA6F721" w14:textId="77777777" w:rsidR="00FF222D" w:rsidRDefault="002F7615">
      <w:pPr>
        <w:numPr>
          <w:ilvl w:val="3"/>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C6380FC" w14:textId="77777777" w:rsidR="00FF222D" w:rsidRDefault="002F7615">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w:t>
      </w:r>
      <w:r>
        <w:rPr>
          <w:rFonts w:ascii="Arial" w:eastAsia="Arial" w:hAnsi="Arial" w:cs="Arial"/>
          <w:sz w:val="24"/>
          <w:szCs w:val="24"/>
        </w:rPr>
        <w:t>quested; and</w:t>
      </w:r>
    </w:p>
    <w:p w14:paraId="30580EC7" w14:textId="77777777" w:rsidR="00FF222D" w:rsidRDefault="002F7615">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3D3BA9DB" w14:textId="77777777" w:rsidR="00FF222D" w:rsidRDefault="00FF222D">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4F00DED" w14:textId="77777777" w:rsidR="00FF222D" w:rsidRDefault="002F7615">
      <w:pPr>
        <w:numPr>
          <w:ilvl w:val="2"/>
          <w:numId w:val="2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78530EFE" w14:textId="77777777" w:rsidR="00FF222D" w:rsidRDefault="002F7615">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s="Arial"/>
          <w:color w:val="000000"/>
          <w:sz w:val="24"/>
          <w:szCs w:val="24"/>
        </w:rPr>
        <w:t>tion and their privacy policy (save to the extent (and for the limited period) that such information needs to be retained by the a Party for statutory compliance purposes or as otherwise required by the Contract), and taking all further actions as may be n</w:t>
      </w:r>
      <w:r>
        <w:rPr>
          <w:rFonts w:ascii="Arial" w:eastAsia="Arial" w:hAnsi="Arial" w:cs="Arial"/>
          <w:color w:val="000000"/>
          <w:sz w:val="24"/>
          <w:szCs w:val="24"/>
        </w:rPr>
        <w:t xml:space="preserve">ecessary to ensure its compliance with Data Protection Legislation and its privacy policy. </w:t>
      </w:r>
    </w:p>
    <w:p w14:paraId="25731492" w14:textId="77777777" w:rsidR="00FF222D" w:rsidRDefault="00FF222D">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4AE8E6E7" w14:textId="77777777" w:rsidR="00FF222D" w:rsidRDefault="00FF222D">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bookmark=id.1ksv4uv" w:colFirst="0" w:colLast="0"/>
      <w:bookmarkStart w:id="18" w:name="_heading=h.44sinio" w:colFirst="0" w:colLast="0"/>
      <w:bookmarkEnd w:id="17"/>
      <w:bookmarkEnd w:id="18"/>
    </w:p>
    <w:sectPr w:rsidR="00FF22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2E11" w14:textId="77777777" w:rsidR="002F7615" w:rsidRDefault="002F7615">
      <w:pPr>
        <w:spacing w:after="0" w:line="240" w:lineRule="auto"/>
      </w:pPr>
      <w:r>
        <w:separator/>
      </w:r>
    </w:p>
  </w:endnote>
  <w:endnote w:type="continuationSeparator" w:id="0">
    <w:p w14:paraId="1EDFC277" w14:textId="77777777" w:rsidR="002F7615" w:rsidRDefault="002F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802F" w14:textId="77777777" w:rsidR="00FF222D" w:rsidRDefault="00FF222D">
    <w:pPr>
      <w:pBdr>
        <w:top w:val="nil"/>
        <w:left w:val="nil"/>
        <w:bottom w:val="nil"/>
        <w:right w:val="nil"/>
        <w:between w:val="nil"/>
      </w:pBdr>
      <w:tabs>
        <w:tab w:val="center" w:pos="4513"/>
        <w:tab w:val="right" w:pos="9026"/>
      </w:tabs>
      <w:spacing w:after="0" w:line="240" w:lineRule="auto"/>
      <w:rPr>
        <w:color w:val="000000"/>
      </w:rPr>
    </w:pPr>
  </w:p>
  <w:p w14:paraId="10E472A1" w14:textId="77777777" w:rsidR="00FF222D" w:rsidRDefault="002F7615">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3C97" w14:textId="77777777" w:rsidR="00FF222D" w:rsidRDefault="002F7615">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19E55948" w14:textId="77777777" w:rsidR="00FF222D" w:rsidRDefault="002F76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C6422">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E9ECC44" w14:textId="77777777" w:rsidR="00FF222D" w:rsidRDefault="002F7615">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7D0F0D83" w14:textId="77777777" w:rsidR="00FF222D" w:rsidRDefault="00FF222D">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B5EF" w14:textId="77777777" w:rsidR="00FF222D" w:rsidRDefault="002F761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CBF6CF0" w14:textId="77777777" w:rsidR="00FF222D" w:rsidRDefault="002F76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66C3083B" w14:textId="77777777" w:rsidR="00FF222D" w:rsidRDefault="002F7615">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631F9F7D" w14:textId="77777777" w:rsidR="00FF222D" w:rsidRDefault="002F7615">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BE4E" w14:textId="77777777" w:rsidR="002F7615" w:rsidRDefault="002F7615">
      <w:pPr>
        <w:spacing w:after="0" w:line="240" w:lineRule="auto"/>
      </w:pPr>
      <w:r>
        <w:separator/>
      </w:r>
    </w:p>
  </w:footnote>
  <w:footnote w:type="continuationSeparator" w:id="0">
    <w:p w14:paraId="56DD3B4A" w14:textId="77777777" w:rsidR="002F7615" w:rsidRDefault="002F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C868" w14:textId="77777777" w:rsidR="00FF222D" w:rsidRDefault="00FF222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A76B" w14:textId="77777777" w:rsidR="00FF222D" w:rsidRDefault="002F761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49439A73" w14:textId="77777777" w:rsidR="00FF222D" w:rsidRDefault="002F76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4787" w14:textId="77777777" w:rsidR="00FF222D" w:rsidRDefault="002F761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3F9EACD" wp14:editId="45B16E8C">
          <wp:simplePos x="0" y="0"/>
          <wp:positionH relativeFrom="column">
            <wp:posOffset>5714365</wp:posOffset>
          </wp:positionH>
          <wp:positionV relativeFrom="paragraph">
            <wp:posOffset>-13328</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087"/>
    <w:multiLevelType w:val="multilevel"/>
    <w:tmpl w:val="B2F88C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A5F064B"/>
    <w:multiLevelType w:val="multilevel"/>
    <w:tmpl w:val="5B984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EC7BAC"/>
    <w:multiLevelType w:val="multilevel"/>
    <w:tmpl w:val="948640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4C32AE7"/>
    <w:multiLevelType w:val="multilevel"/>
    <w:tmpl w:val="2D8EF8A0"/>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6341B8"/>
    <w:multiLevelType w:val="multilevel"/>
    <w:tmpl w:val="02001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322219"/>
    <w:multiLevelType w:val="multilevel"/>
    <w:tmpl w:val="A5F40A8C"/>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CC23A8"/>
    <w:multiLevelType w:val="multilevel"/>
    <w:tmpl w:val="4A76F9D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2CDA731F"/>
    <w:multiLevelType w:val="multilevel"/>
    <w:tmpl w:val="74A44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53236C"/>
    <w:multiLevelType w:val="multilevel"/>
    <w:tmpl w:val="24541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TLTLevel3"/>
      <w:lvlText w:val="%3."/>
      <w:lvlJc w:val="right"/>
      <w:pPr>
        <w:ind w:left="2160" w:hanging="180"/>
      </w:pPr>
    </w:lvl>
    <w:lvl w:ilvl="3">
      <w:start w:val="1"/>
      <w:numFmt w:val="decimal"/>
      <w:pStyle w:val="TLTLevel4"/>
      <w:lvlText w:val="%4."/>
      <w:lvlJc w:val="left"/>
      <w:pPr>
        <w:ind w:left="2880" w:hanging="360"/>
      </w:pPr>
    </w:lvl>
    <w:lvl w:ilvl="4">
      <w:start w:val="1"/>
      <w:numFmt w:val="lowerLetter"/>
      <w:pStyle w:val="TLTLevel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21F37"/>
    <w:multiLevelType w:val="multilevel"/>
    <w:tmpl w:val="948C25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3A1D3C0E"/>
    <w:multiLevelType w:val="multilevel"/>
    <w:tmpl w:val="3C60805E"/>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087489"/>
    <w:multiLevelType w:val="multilevel"/>
    <w:tmpl w:val="117E4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8E40E0"/>
    <w:multiLevelType w:val="multilevel"/>
    <w:tmpl w:val="2FA40064"/>
    <w:lvl w:ilvl="0">
      <w:start w:val="1"/>
      <w:numFmt w:val="decimal"/>
      <w:pStyle w:val="ABackground"/>
      <w:lvlText w:val="Schedule %1"/>
      <w:lvlJc w:val="left"/>
      <w:pPr>
        <w:ind w:left="360" w:hanging="360"/>
      </w:pPr>
      <w:rPr>
        <w:color w:val="000000"/>
      </w:rPr>
    </w:lvl>
    <w:lvl w:ilvl="1">
      <w:start w:val="1"/>
      <w:numFmt w:val="decimal"/>
      <w:pStyle w:val="BackSubClause"/>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C93269"/>
    <w:multiLevelType w:val="multilevel"/>
    <w:tmpl w:val="6B82DC1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4FBE754C"/>
    <w:multiLevelType w:val="multilevel"/>
    <w:tmpl w:val="5546D5D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053100"/>
    <w:multiLevelType w:val="multilevel"/>
    <w:tmpl w:val="FB14C89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5F5807F2"/>
    <w:multiLevelType w:val="multilevel"/>
    <w:tmpl w:val="EEBC4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7E36C7"/>
    <w:multiLevelType w:val="multilevel"/>
    <w:tmpl w:val="782A6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0235BB"/>
    <w:multiLevelType w:val="multilevel"/>
    <w:tmpl w:val="FDDA42F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B74DA8"/>
    <w:multiLevelType w:val="multilevel"/>
    <w:tmpl w:val="BB9AA0D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676E4271"/>
    <w:multiLevelType w:val="multilevel"/>
    <w:tmpl w:val="459CC7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6DBA3540"/>
    <w:multiLevelType w:val="multilevel"/>
    <w:tmpl w:val="1F26643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6FD92C7E"/>
    <w:multiLevelType w:val="multilevel"/>
    <w:tmpl w:val="5358E816"/>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6C4FC6"/>
    <w:multiLevelType w:val="multilevel"/>
    <w:tmpl w:val="31B07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E11FB5"/>
    <w:multiLevelType w:val="multilevel"/>
    <w:tmpl w:val="372AC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0"/>
  </w:num>
  <w:num w:numId="3">
    <w:abstractNumId w:val="19"/>
  </w:num>
  <w:num w:numId="4">
    <w:abstractNumId w:val="15"/>
  </w:num>
  <w:num w:numId="5">
    <w:abstractNumId w:val="13"/>
  </w:num>
  <w:num w:numId="6">
    <w:abstractNumId w:val="17"/>
  </w:num>
  <w:num w:numId="7">
    <w:abstractNumId w:val="7"/>
  </w:num>
  <w:num w:numId="8">
    <w:abstractNumId w:val="20"/>
  </w:num>
  <w:num w:numId="9">
    <w:abstractNumId w:val="5"/>
  </w:num>
  <w:num w:numId="10">
    <w:abstractNumId w:val="22"/>
  </w:num>
  <w:num w:numId="11">
    <w:abstractNumId w:val="3"/>
  </w:num>
  <w:num w:numId="12">
    <w:abstractNumId w:val="18"/>
  </w:num>
  <w:num w:numId="13">
    <w:abstractNumId w:val="11"/>
  </w:num>
  <w:num w:numId="14">
    <w:abstractNumId w:val="12"/>
  </w:num>
  <w:num w:numId="15">
    <w:abstractNumId w:val="8"/>
  </w:num>
  <w:num w:numId="16">
    <w:abstractNumId w:val="16"/>
  </w:num>
  <w:num w:numId="17">
    <w:abstractNumId w:val="23"/>
  </w:num>
  <w:num w:numId="18">
    <w:abstractNumId w:val="10"/>
  </w:num>
  <w:num w:numId="19">
    <w:abstractNumId w:val="4"/>
  </w:num>
  <w:num w:numId="20">
    <w:abstractNumId w:val="24"/>
  </w:num>
  <w:num w:numId="21">
    <w:abstractNumId w:val="9"/>
  </w:num>
  <w:num w:numId="22">
    <w:abstractNumId w:val="14"/>
  </w:num>
  <w:num w:numId="23">
    <w:abstractNumId w:val="1"/>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2D"/>
    <w:rsid w:val="002F7615"/>
    <w:rsid w:val="003C6422"/>
    <w:rsid w:val="00FF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96CB"/>
  <w15:docId w15:val="{D7279E4F-F086-4409-981E-E532909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ListBullet">
    <w:name w:val="List Bullet"/>
    <w:basedOn w:val="Normal"/>
    <w:rsid w:val="0040071A"/>
    <w:pPr>
      <w:numPr>
        <w:numId w:val="18"/>
      </w:numPr>
      <w:overflowPunct w:val="0"/>
      <w:autoSpaceDE w:val="0"/>
      <w:spacing w:after="240" w:line="360" w:lineRule="auto"/>
      <w:jc w:val="both"/>
    </w:pPr>
    <w:rPr>
      <w:rFonts w:ascii="Times New Roman" w:eastAsia="Times New Roman" w:hAnsi="Times New Roman" w:cs="Arial"/>
      <w:szCs w:val="20"/>
      <w:lang w:eastAsia="en-US"/>
    </w:r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sc.gov.uk/guidance/end-user-device-secur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f/61ghOpIhZjTTB3lP8k8QYtw==">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ExUFQxUGRpeTBFMWdybWhpX0JHODJ2MjlMdnpvTDlJ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7369</Words>
  <Characters>42004</Characters>
  <Application>Microsoft Office Word</Application>
  <DocSecurity>0</DocSecurity>
  <Lines>350</Lines>
  <Paragraphs>98</Paragraphs>
  <ScaleCrop>false</ScaleCrop>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Jennifer Thomas</cp:lastModifiedBy>
  <cp:revision>2</cp:revision>
  <dcterms:created xsi:type="dcterms:W3CDTF">2025-07-30T12:30:00Z</dcterms:created>
  <dcterms:modified xsi:type="dcterms:W3CDTF">2025-07-30T12:30:00Z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y fmtid="{D5CDD505-2E9C-101B-9397-08002B2CF9AE}" pid="4" name="ContentTypeId">
    <vt:lpwstr>0x0101001A5543AA336A8944841E64200F020D5E</vt:lpwstr>
  </property>
</Properties>
</file>