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C9" w:rsidRPr="00601152" w:rsidRDefault="001927D0" w:rsidP="009E14C9">
      <w:r>
        <w:rPr>
          <w:b/>
        </w:rPr>
        <w:t xml:space="preserve">Project Brief: Preparation of a </w:t>
      </w:r>
      <w:r w:rsidR="008C4D58">
        <w:rPr>
          <w:b/>
        </w:rPr>
        <w:t xml:space="preserve">Strategic Masterplan Framework </w:t>
      </w:r>
      <w:r w:rsidR="009E14C9">
        <w:rPr>
          <w:b/>
        </w:rPr>
        <w:t xml:space="preserve">for </w:t>
      </w:r>
      <w:r w:rsidR="00655438">
        <w:rPr>
          <w:b/>
        </w:rPr>
        <w:t xml:space="preserve">the </w:t>
      </w:r>
      <w:r w:rsidR="009E14C9">
        <w:rPr>
          <w:b/>
        </w:rPr>
        <w:t xml:space="preserve">Maldon </w:t>
      </w:r>
      <w:r w:rsidR="00655438">
        <w:rPr>
          <w:b/>
        </w:rPr>
        <w:t>and Heybridge Central Area</w:t>
      </w:r>
      <w:r w:rsidR="009E14C9">
        <w:rPr>
          <w:b/>
        </w:rPr>
        <w:t xml:space="preserve"> </w:t>
      </w:r>
    </w:p>
    <w:p w:rsidR="001927D0" w:rsidRDefault="001927D0" w:rsidP="009E14C9">
      <w:pPr>
        <w:rPr>
          <w:rFonts w:cs="Arial"/>
          <w:b/>
          <w:sz w:val="22"/>
          <w:szCs w:val="22"/>
        </w:rPr>
      </w:pPr>
    </w:p>
    <w:p w:rsidR="003D6AAC" w:rsidRDefault="003D6AAC" w:rsidP="00E529BB">
      <w:pPr>
        <w:rPr>
          <w:rFonts w:cs="Arial"/>
          <w:b/>
          <w:sz w:val="22"/>
          <w:szCs w:val="22"/>
        </w:rPr>
      </w:pPr>
    </w:p>
    <w:p w:rsidR="009E14C9" w:rsidRPr="00E529BB" w:rsidRDefault="00E529BB" w:rsidP="00E529BB">
      <w:pPr>
        <w:rPr>
          <w:rFonts w:cs="Arial"/>
          <w:b/>
          <w:sz w:val="22"/>
          <w:szCs w:val="22"/>
        </w:rPr>
      </w:pPr>
      <w:r>
        <w:rPr>
          <w:rFonts w:cs="Arial"/>
          <w:b/>
          <w:sz w:val="22"/>
          <w:szCs w:val="22"/>
        </w:rPr>
        <w:t xml:space="preserve">1.0 </w:t>
      </w:r>
      <w:r w:rsidR="009E14C9" w:rsidRPr="00E529BB">
        <w:rPr>
          <w:rFonts w:cs="Arial"/>
          <w:b/>
          <w:sz w:val="22"/>
          <w:szCs w:val="22"/>
        </w:rPr>
        <w:t>Introduction</w:t>
      </w:r>
    </w:p>
    <w:p w:rsidR="009E14C9" w:rsidRPr="001927D0" w:rsidRDefault="00144C85" w:rsidP="009E14C9">
      <w:pPr>
        <w:ind w:firstLine="360"/>
        <w:rPr>
          <w:rFonts w:cs="Arial"/>
          <w:sz w:val="22"/>
          <w:szCs w:val="22"/>
        </w:rPr>
      </w:pPr>
      <w:r>
        <w:rPr>
          <w:rFonts w:cs="Arial"/>
          <w:sz w:val="22"/>
          <w:szCs w:val="22"/>
        </w:rPr>
        <w:t xml:space="preserve"> </w:t>
      </w:r>
    </w:p>
    <w:p w:rsidR="00DC3084" w:rsidRPr="00655438" w:rsidRDefault="00622E73" w:rsidP="00655438">
      <w:pPr>
        <w:pStyle w:val="ListParagraph"/>
        <w:numPr>
          <w:ilvl w:val="1"/>
          <w:numId w:val="23"/>
        </w:numPr>
        <w:rPr>
          <w:rFonts w:cs="Arial"/>
          <w:sz w:val="22"/>
          <w:szCs w:val="22"/>
        </w:rPr>
      </w:pPr>
      <w:r>
        <w:rPr>
          <w:rFonts w:cs="Arial"/>
          <w:sz w:val="22"/>
          <w:szCs w:val="22"/>
        </w:rPr>
        <w:t>T</w:t>
      </w:r>
      <w:r w:rsidRPr="00622E73">
        <w:rPr>
          <w:rFonts w:cs="Arial"/>
          <w:sz w:val="22"/>
          <w:szCs w:val="22"/>
        </w:rPr>
        <w:t xml:space="preserve">he character, vitality and cultural importance of the Maldon and Heybridge Central Area </w:t>
      </w:r>
      <w:r w:rsidR="00433D76">
        <w:rPr>
          <w:rFonts w:cs="Arial"/>
          <w:sz w:val="22"/>
          <w:szCs w:val="22"/>
        </w:rPr>
        <w:t>are</w:t>
      </w:r>
      <w:r w:rsidRPr="00622E73">
        <w:rPr>
          <w:rFonts w:cs="Arial"/>
          <w:sz w:val="22"/>
          <w:szCs w:val="22"/>
        </w:rPr>
        <w:t xml:space="preserve"> critical to the prosperity of Maldon </w:t>
      </w:r>
      <w:r w:rsidR="00144C85">
        <w:rPr>
          <w:rFonts w:cs="Arial"/>
          <w:sz w:val="22"/>
          <w:szCs w:val="22"/>
        </w:rPr>
        <w:t>District</w:t>
      </w:r>
      <w:r w:rsidRPr="00622E73">
        <w:rPr>
          <w:rFonts w:cs="Arial"/>
          <w:sz w:val="22"/>
          <w:szCs w:val="22"/>
        </w:rPr>
        <w:t xml:space="preserve"> and to</w:t>
      </w:r>
      <w:r>
        <w:rPr>
          <w:rFonts w:cs="Arial"/>
          <w:sz w:val="22"/>
          <w:szCs w:val="22"/>
        </w:rPr>
        <w:t xml:space="preserve"> the quality of life of the people who live there and the experience it offers to visitors. </w:t>
      </w:r>
      <w:r w:rsidR="008C4D58">
        <w:rPr>
          <w:rFonts w:cs="Arial"/>
          <w:sz w:val="22"/>
          <w:szCs w:val="22"/>
        </w:rPr>
        <w:t xml:space="preserve">The </w:t>
      </w:r>
      <w:r w:rsidR="004C469E">
        <w:rPr>
          <w:rFonts w:cs="Arial"/>
          <w:sz w:val="22"/>
          <w:szCs w:val="22"/>
        </w:rPr>
        <w:t xml:space="preserve">Maldon and Heybridge </w:t>
      </w:r>
      <w:r w:rsidR="008C4D58">
        <w:rPr>
          <w:rFonts w:cs="Arial"/>
          <w:sz w:val="22"/>
          <w:szCs w:val="22"/>
        </w:rPr>
        <w:t xml:space="preserve">Central Area incorporates Maldon Central, the Causeway Regeneration Area and the </w:t>
      </w:r>
      <w:r w:rsidR="005B3A92">
        <w:rPr>
          <w:rFonts w:cs="Arial"/>
          <w:sz w:val="22"/>
          <w:szCs w:val="22"/>
        </w:rPr>
        <w:t>L</w:t>
      </w:r>
      <w:r w:rsidR="008C4D58">
        <w:rPr>
          <w:rFonts w:cs="Arial"/>
          <w:sz w:val="22"/>
          <w:szCs w:val="22"/>
        </w:rPr>
        <w:t>eisure Quarter and forms</w:t>
      </w:r>
      <w:r>
        <w:rPr>
          <w:rFonts w:cs="Arial"/>
          <w:sz w:val="22"/>
          <w:szCs w:val="22"/>
        </w:rPr>
        <w:t xml:space="preserve"> the </w:t>
      </w:r>
      <w:r w:rsidR="00144C85">
        <w:rPr>
          <w:rFonts w:cs="Arial"/>
          <w:sz w:val="22"/>
          <w:szCs w:val="22"/>
        </w:rPr>
        <w:t>District</w:t>
      </w:r>
      <w:r>
        <w:rPr>
          <w:rFonts w:cs="Arial"/>
          <w:sz w:val="22"/>
          <w:szCs w:val="22"/>
        </w:rPr>
        <w:t>’s focus for employment, retail</w:t>
      </w:r>
      <w:r w:rsidR="00E3163D">
        <w:rPr>
          <w:rFonts w:cs="Arial"/>
          <w:sz w:val="22"/>
          <w:szCs w:val="22"/>
        </w:rPr>
        <w:t xml:space="preserve">, </w:t>
      </w:r>
      <w:r>
        <w:rPr>
          <w:rFonts w:cs="Arial"/>
          <w:sz w:val="22"/>
          <w:szCs w:val="22"/>
        </w:rPr>
        <w:t xml:space="preserve">community </w:t>
      </w:r>
      <w:r w:rsidR="00E3163D">
        <w:rPr>
          <w:rFonts w:cs="Arial"/>
          <w:sz w:val="22"/>
          <w:szCs w:val="22"/>
        </w:rPr>
        <w:t xml:space="preserve">and tourism </w:t>
      </w:r>
      <w:r>
        <w:rPr>
          <w:rFonts w:cs="Arial"/>
          <w:sz w:val="22"/>
          <w:szCs w:val="22"/>
        </w:rPr>
        <w:t>facilities</w:t>
      </w:r>
      <w:r w:rsidR="00655438">
        <w:rPr>
          <w:rFonts w:cs="Arial"/>
          <w:sz w:val="22"/>
          <w:szCs w:val="22"/>
        </w:rPr>
        <w:t>.</w:t>
      </w:r>
      <w:r w:rsidR="00144C85">
        <w:rPr>
          <w:rFonts w:cs="Arial"/>
          <w:sz w:val="22"/>
          <w:szCs w:val="22"/>
        </w:rPr>
        <w:t xml:space="preserve"> </w:t>
      </w:r>
    </w:p>
    <w:p w:rsidR="00622E73" w:rsidRPr="00622E73" w:rsidRDefault="00622E73" w:rsidP="00622E73">
      <w:pPr>
        <w:rPr>
          <w:rFonts w:ascii="ArialMT" w:hAnsi="ArialMT" w:cs="ArialMT"/>
          <w:sz w:val="22"/>
          <w:szCs w:val="22"/>
        </w:rPr>
      </w:pPr>
    </w:p>
    <w:p w:rsidR="00EA5842" w:rsidRDefault="00DC3084" w:rsidP="00DC3084">
      <w:pPr>
        <w:ind w:left="284" w:hanging="397"/>
        <w:rPr>
          <w:rFonts w:cs="Arial"/>
          <w:sz w:val="22"/>
          <w:szCs w:val="22"/>
        </w:rPr>
      </w:pPr>
      <w:r>
        <w:rPr>
          <w:rFonts w:ascii="ArialMT" w:hAnsi="ArialMT" w:cs="ArialMT"/>
          <w:sz w:val="22"/>
          <w:szCs w:val="22"/>
        </w:rPr>
        <w:t xml:space="preserve">1.2 </w:t>
      </w:r>
      <w:r w:rsidR="00D60715">
        <w:rPr>
          <w:rFonts w:ascii="ArialMT" w:hAnsi="ArialMT" w:cs="ArialMT"/>
          <w:sz w:val="22"/>
          <w:szCs w:val="22"/>
        </w:rPr>
        <w:t xml:space="preserve">A significant amount of development is expected to take place in Maldon </w:t>
      </w:r>
      <w:r w:rsidR="00144C85">
        <w:rPr>
          <w:rFonts w:ascii="ArialMT" w:hAnsi="ArialMT" w:cs="ArialMT"/>
          <w:sz w:val="22"/>
          <w:szCs w:val="22"/>
        </w:rPr>
        <w:t>District</w:t>
      </w:r>
      <w:r w:rsidR="00D60715">
        <w:rPr>
          <w:rFonts w:ascii="ArialMT" w:hAnsi="ArialMT" w:cs="ArialMT"/>
          <w:sz w:val="22"/>
          <w:szCs w:val="22"/>
        </w:rPr>
        <w:t xml:space="preserve"> over the next 15 years and </w:t>
      </w:r>
      <w:r w:rsidR="00622E73">
        <w:rPr>
          <w:rFonts w:ascii="ArialMT" w:hAnsi="ArialMT" w:cs="ArialMT"/>
          <w:sz w:val="22"/>
          <w:szCs w:val="22"/>
        </w:rPr>
        <w:t>the Maldon and Heybridge Central Area</w:t>
      </w:r>
      <w:r w:rsidR="004C469E">
        <w:rPr>
          <w:rStyle w:val="FootnoteReference"/>
          <w:rFonts w:ascii="ArialMT" w:hAnsi="ArialMT" w:cs="ArialMT"/>
          <w:sz w:val="22"/>
          <w:szCs w:val="22"/>
        </w:rPr>
        <w:footnoteReference w:id="1"/>
      </w:r>
      <w:r w:rsidR="00622E73">
        <w:rPr>
          <w:rFonts w:ascii="ArialMT" w:hAnsi="ArialMT" w:cs="ArialMT"/>
          <w:sz w:val="22"/>
          <w:szCs w:val="22"/>
        </w:rPr>
        <w:t xml:space="preserve"> will be required to meet the needs of a growing population. </w:t>
      </w:r>
      <w:r w:rsidR="00E3163D">
        <w:rPr>
          <w:rFonts w:ascii="ArialMT" w:hAnsi="ArialMT" w:cs="ArialMT"/>
          <w:sz w:val="22"/>
          <w:szCs w:val="22"/>
        </w:rPr>
        <w:t>It will be a thriving and vibrant destination that has strong connections wit</w:t>
      </w:r>
      <w:r w:rsidR="00DB1295">
        <w:rPr>
          <w:rFonts w:ascii="ArialMT" w:hAnsi="ArialMT" w:cs="ArialMT"/>
          <w:sz w:val="22"/>
          <w:szCs w:val="22"/>
        </w:rPr>
        <w:t>h</w:t>
      </w:r>
      <w:r w:rsidR="00E3163D">
        <w:rPr>
          <w:rFonts w:ascii="ArialMT" w:hAnsi="ArialMT" w:cs="ArialMT"/>
          <w:sz w:val="22"/>
          <w:szCs w:val="22"/>
        </w:rPr>
        <w:t xml:space="preserve"> surrounding areas </w:t>
      </w:r>
      <w:r w:rsidR="00DB1295">
        <w:rPr>
          <w:rFonts w:ascii="ArialMT" w:hAnsi="ArialMT" w:cs="ArialMT"/>
          <w:sz w:val="22"/>
          <w:szCs w:val="22"/>
        </w:rPr>
        <w:t xml:space="preserve">and is supported by its heritage assets, waterways and green spaces. </w:t>
      </w:r>
      <w:r w:rsidR="00622E73">
        <w:rPr>
          <w:rFonts w:ascii="ArialMT" w:hAnsi="ArialMT" w:cs="ArialMT"/>
          <w:sz w:val="22"/>
          <w:szCs w:val="22"/>
        </w:rPr>
        <w:t>It will need to support an increase in the number of employed people and a more diversified thriving economy in order to deliver a successful future</w:t>
      </w:r>
      <w:r w:rsidR="00E3163D">
        <w:rPr>
          <w:rFonts w:ascii="ArialMT" w:hAnsi="ArialMT" w:cs="ArialMT"/>
          <w:sz w:val="22"/>
          <w:szCs w:val="22"/>
        </w:rPr>
        <w:t xml:space="preserve"> </w:t>
      </w:r>
      <w:r w:rsidR="00B72ACD">
        <w:rPr>
          <w:rFonts w:ascii="ArialMT" w:hAnsi="ArialMT" w:cs="ArialMT"/>
          <w:sz w:val="22"/>
          <w:szCs w:val="22"/>
        </w:rPr>
        <w:t xml:space="preserve">with </w:t>
      </w:r>
      <w:r w:rsidR="00E3163D">
        <w:rPr>
          <w:rFonts w:ascii="ArialMT" w:hAnsi="ArialMT" w:cs="ArialMT"/>
          <w:sz w:val="22"/>
          <w:szCs w:val="22"/>
        </w:rPr>
        <w:t xml:space="preserve">its role as a tourism and leisure destination </w:t>
      </w:r>
      <w:r w:rsidR="00B72ACD">
        <w:rPr>
          <w:rFonts w:ascii="ArialMT" w:hAnsi="ArialMT" w:cs="ArialMT"/>
          <w:sz w:val="22"/>
          <w:szCs w:val="22"/>
        </w:rPr>
        <w:t>strengthened</w:t>
      </w:r>
      <w:r w:rsidR="00B72ACD">
        <w:rPr>
          <w:rFonts w:cs="Arial"/>
          <w:sz w:val="22"/>
          <w:szCs w:val="22"/>
        </w:rPr>
        <w:t xml:space="preserve"> in relation to the natural beauty and ecology of the Blackwater estuary.</w:t>
      </w:r>
      <w:r w:rsidRPr="001927D0">
        <w:rPr>
          <w:rFonts w:cs="Arial"/>
          <w:sz w:val="22"/>
          <w:szCs w:val="22"/>
        </w:rPr>
        <w:t xml:space="preserve"> </w:t>
      </w:r>
    </w:p>
    <w:p w:rsidR="00EA5842" w:rsidRDefault="00EA5842" w:rsidP="00DC3084">
      <w:pPr>
        <w:ind w:left="284" w:hanging="397"/>
        <w:rPr>
          <w:rFonts w:cs="Arial"/>
          <w:sz w:val="22"/>
          <w:szCs w:val="22"/>
        </w:rPr>
      </w:pPr>
    </w:p>
    <w:p w:rsidR="001224BD" w:rsidRDefault="001927D0" w:rsidP="00E37456">
      <w:pPr>
        <w:ind w:left="284" w:hanging="397"/>
        <w:rPr>
          <w:rFonts w:cs="Arial"/>
          <w:sz w:val="22"/>
          <w:szCs w:val="22"/>
        </w:rPr>
      </w:pPr>
      <w:r>
        <w:rPr>
          <w:rFonts w:cs="Arial"/>
          <w:sz w:val="22"/>
          <w:szCs w:val="22"/>
        </w:rPr>
        <w:t>1.</w:t>
      </w:r>
      <w:r w:rsidR="00655438">
        <w:rPr>
          <w:rFonts w:cs="Arial"/>
          <w:sz w:val="22"/>
          <w:szCs w:val="22"/>
        </w:rPr>
        <w:t>3</w:t>
      </w:r>
      <w:r>
        <w:rPr>
          <w:rFonts w:cs="Arial"/>
          <w:sz w:val="22"/>
          <w:szCs w:val="22"/>
        </w:rPr>
        <w:t xml:space="preserve"> </w:t>
      </w:r>
      <w:r w:rsidR="007125A3">
        <w:rPr>
          <w:rFonts w:cs="Arial"/>
          <w:sz w:val="22"/>
          <w:szCs w:val="22"/>
        </w:rPr>
        <w:t xml:space="preserve">The LDP </w:t>
      </w:r>
      <w:r w:rsidR="008C4D58">
        <w:rPr>
          <w:rFonts w:cs="Arial"/>
          <w:sz w:val="22"/>
          <w:szCs w:val="22"/>
        </w:rPr>
        <w:t xml:space="preserve">provides </w:t>
      </w:r>
      <w:r w:rsidR="007125A3">
        <w:rPr>
          <w:rFonts w:cs="Arial"/>
          <w:sz w:val="22"/>
          <w:szCs w:val="22"/>
        </w:rPr>
        <w:t>the planning strategy for future growth over the next 15 years</w:t>
      </w:r>
      <w:r w:rsidR="008C4D58">
        <w:rPr>
          <w:rFonts w:cs="Arial"/>
          <w:sz w:val="22"/>
          <w:szCs w:val="22"/>
        </w:rPr>
        <w:t xml:space="preserve"> and sets out the key</w:t>
      </w:r>
      <w:r w:rsidR="008C4D58">
        <w:rPr>
          <w:rFonts w:ascii="ArialMT" w:eastAsiaTheme="minorHAnsi" w:hAnsi="ArialMT" w:cs="ArialMT"/>
          <w:sz w:val="22"/>
          <w:szCs w:val="22"/>
        </w:rPr>
        <w:t xml:space="preserve"> principles f</w:t>
      </w:r>
      <w:r w:rsidR="00433D76">
        <w:rPr>
          <w:rFonts w:cs="Arial"/>
          <w:sz w:val="22"/>
          <w:szCs w:val="22"/>
        </w:rPr>
        <w:t xml:space="preserve">or </w:t>
      </w:r>
      <w:r w:rsidR="00DB1295">
        <w:rPr>
          <w:rFonts w:cs="Arial"/>
          <w:sz w:val="22"/>
          <w:szCs w:val="22"/>
        </w:rPr>
        <w:t xml:space="preserve">development and regeneration </w:t>
      </w:r>
      <w:r w:rsidR="00433D76">
        <w:rPr>
          <w:rFonts w:cs="Arial"/>
          <w:sz w:val="22"/>
          <w:szCs w:val="22"/>
        </w:rPr>
        <w:t xml:space="preserve">in </w:t>
      </w:r>
      <w:r w:rsidR="00DB1295">
        <w:rPr>
          <w:rFonts w:cs="Arial"/>
          <w:sz w:val="22"/>
          <w:szCs w:val="22"/>
        </w:rPr>
        <w:t>the Central Area</w:t>
      </w:r>
      <w:r w:rsidR="008C4D58">
        <w:rPr>
          <w:rFonts w:cs="Arial"/>
          <w:sz w:val="22"/>
          <w:szCs w:val="22"/>
        </w:rPr>
        <w:t>. Policy S5 states that:</w:t>
      </w:r>
    </w:p>
    <w:p w:rsidR="008C4D58" w:rsidRDefault="008C4D58" w:rsidP="00E37456">
      <w:pPr>
        <w:ind w:left="284" w:hanging="397"/>
        <w:rPr>
          <w:rFonts w:cs="Arial"/>
          <w:sz w:val="22"/>
          <w:szCs w:val="22"/>
        </w:rPr>
      </w:pPr>
    </w:p>
    <w:p w:rsidR="008C4D58" w:rsidRPr="008C4D58" w:rsidRDefault="008C4D58" w:rsidP="008C4D58">
      <w:pPr>
        <w:autoSpaceDE w:val="0"/>
        <w:autoSpaceDN w:val="0"/>
        <w:adjustRightInd w:val="0"/>
        <w:ind w:left="284"/>
        <w:rPr>
          <w:rFonts w:ascii="ArialMT" w:eastAsiaTheme="minorHAnsi" w:hAnsi="ArialMT" w:cs="ArialMT"/>
          <w:i/>
          <w:sz w:val="22"/>
          <w:szCs w:val="22"/>
        </w:rPr>
      </w:pPr>
      <w:r w:rsidRPr="008C4D58">
        <w:rPr>
          <w:rFonts w:ascii="ArialMT" w:eastAsiaTheme="minorHAnsi" w:hAnsi="ArialMT" w:cs="ArialMT"/>
          <w:i/>
          <w:sz w:val="22"/>
          <w:szCs w:val="22"/>
        </w:rPr>
        <w:t xml:space="preserve">‘The Central Area will continue to act as the focal point within the </w:t>
      </w:r>
      <w:r w:rsidR="00144C85">
        <w:rPr>
          <w:rFonts w:ascii="ArialMT" w:eastAsiaTheme="minorHAnsi" w:hAnsi="ArialMT" w:cs="ArialMT"/>
          <w:i/>
          <w:sz w:val="22"/>
          <w:szCs w:val="22"/>
        </w:rPr>
        <w:t>District</w:t>
      </w:r>
      <w:r w:rsidRPr="008C4D58">
        <w:rPr>
          <w:rFonts w:ascii="ArialMT" w:eastAsiaTheme="minorHAnsi" w:hAnsi="ArialMT" w:cs="ArialMT"/>
          <w:i/>
          <w:sz w:val="22"/>
          <w:szCs w:val="22"/>
        </w:rPr>
        <w:t xml:space="preserve"> for retail, commercial, industrial, community and tourism activities. It will be a thriving and vibrant destination that has strong connections with surrounding areas and is supported by its heritage assets, waterways and green spaces. The development and regeneration strategy for the Central Area comprises the following:</w:t>
      </w:r>
    </w:p>
    <w:p w:rsidR="008C4D58" w:rsidRPr="008C4D58" w:rsidRDefault="008C4D58" w:rsidP="008C4D58">
      <w:pPr>
        <w:autoSpaceDE w:val="0"/>
        <w:autoSpaceDN w:val="0"/>
        <w:adjustRightInd w:val="0"/>
        <w:rPr>
          <w:rFonts w:ascii="ArialMT" w:eastAsiaTheme="minorHAnsi" w:hAnsi="ArialMT" w:cs="ArialMT"/>
          <w:i/>
          <w:sz w:val="22"/>
          <w:szCs w:val="22"/>
        </w:rPr>
      </w:pPr>
    </w:p>
    <w:p w:rsidR="008C4D58" w:rsidRPr="008C4D58" w:rsidRDefault="008C4D58" w:rsidP="008C4D58">
      <w:pPr>
        <w:numPr>
          <w:ilvl w:val="0"/>
          <w:numId w:val="24"/>
        </w:numPr>
        <w:tabs>
          <w:tab w:val="left" w:pos="551"/>
        </w:tabs>
        <w:autoSpaceDE w:val="0"/>
        <w:autoSpaceDN w:val="0"/>
        <w:adjustRightInd w:val="0"/>
        <w:ind w:left="567"/>
        <w:contextualSpacing/>
        <w:rPr>
          <w:rFonts w:ascii="ArialMT" w:eastAsiaTheme="minorHAnsi" w:hAnsi="ArialMT" w:cs="ArialMT"/>
          <w:i/>
          <w:sz w:val="22"/>
          <w:szCs w:val="22"/>
        </w:rPr>
      </w:pPr>
      <w:r w:rsidRPr="008C4D58">
        <w:rPr>
          <w:rFonts w:ascii="ArialMT" w:eastAsiaTheme="minorHAnsi" w:hAnsi="ArialMT" w:cs="ArialMT"/>
          <w:i/>
          <w:sz w:val="22"/>
          <w:szCs w:val="22"/>
        </w:rPr>
        <w:t xml:space="preserve">Development and regeneration will take place in accordance with a masterplan endorsed by the </w:t>
      </w:r>
      <w:r w:rsidR="00E6488D">
        <w:rPr>
          <w:rFonts w:ascii="ArialMT" w:eastAsiaTheme="minorHAnsi" w:hAnsi="ArialMT" w:cs="ArialMT"/>
          <w:i/>
          <w:sz w:val="22"/>
          <w:szCs w:val="22"/>
        </w:rPr>
        <w:t>Council</w:t>
      </w:r>
      <w:r w:rsidRPr="008C4D58">
        <w:rPr>
          <w:rFonts w:ascii="ArialMT" w:eastAsiaTheme="minorHAnsi" w:hAnsi="ArialMT" w:cs="ArialMT"/>
          <w:i/>
          <w:sz w:val="22"/>
          <w:szCs w:val="22"/>
        </w:rPr>
        <w:t>;</w:t>
      </w:r>
    </w:p>
    <w:p w:rsidR="008C4D58" w:rsidRPr="008C4D58" w:rsidRDefault="008C4D58" w:rsidP="008C4D58">
      <w:pPr>
        <w:numPr>
          <w:ilvl w:val="0"/>
          <w:numId w:val="24"/>
        </w:numPr>
        <w:autoSpaceDE w:val="0"/>
        <w:autoSpaceDN w:val="0"/>
        <w:adjustRightInd w:val="0"/>
        <w:ind w:left="567"/>
        <w:contextualSpacing/>
        <w:rPr>
          <w:rFonts w:ascii="ArialMT" w:eastAsiaTheme="minorHAnsi" w:hAnsi="ArialMT" w:cs="ArialMT"/>
          <w:i/>
          <w:sz w:val="22"/>
          <w:szCs w:val="22"/>
        </w:rPr>
      </w:pPr>
      <w:r w:rsidRPr="008C4D58">
        <w:rPr>
          <w:rFonts w:ascii="ArialMT" w:eastAsiaTheme="minorHAnsi" w:hAnsi="ArialMT" w:cs="ArialMT"/>
          <w:i/>
          <w:sz w:val="22"/>
          <w:szCs w:val="22"/>
        </w:rPr>
        <w:t>Maldon Town Centre will be promoted as a market town that serves a wider rural catchment area. Proposals for retail, office, housing, community, leisure uses and other town centre uses will be supported where they contribute to regeneration and diversification of the centre. The provision of a high quality market will be encouraged and supported;</w:t>
      </w:r>
    </w:p>
    <w:p w:rsidR="008C4D58" w:rsidRPr="008C4D58" w:rsidRDefault="008C4D58" w:rsidP="008C4D58">
      <w:pPr>
        <w:numPr>
          <w:ilvl w:val="0"/>
          <w:numId w:val="24"/>
        </w:numPr>
        <w:autoSpaceDE w:val="0"/>
        <w:autoSpaceDN w:val="0"/>
        <w:adjustRightInd w:val="0"/>
        <w:ind w:left="567"/>
        <w:contextualSpacing/>
        <w:rPr>
          <w:rFonts w:eastAsiaTheme="minorHAnsi" w:cs="Arial"/>
          <w:i/>
          <w:sz w:val="22"/>
          <w:szCs w:val="22"/>
        </w:rPr>
      </w:pPr>
      <w:r w:rsidRPr="008C4D58">
        <w:rPr>
          <w:rFonts w:ascii="ArialMT" w:eastAsiaTheme="minorHAnsi" w:hAnsi="ArialMT" w:cs="ArialMT"/>
          <w:i/>
          <w:sz w:val="22"/>
          <w:szCs w:val="22"/>
        </w:rPr>
        <w:t xml:space="preserve">Renewal of the Causeway Regeneration Area to improve the supply of high quality Use Class B </w:t>
      </w:r>
      <w:proofErr w:type="spellStart"/>
      <w:r w:rsidRPr="008C4D58">
        <w:rPr>
          <w:rFonts w:ascii="ArialMT" w:eastAsiaTheme="minorHAnsi" w:hAnsi="ArialMT" w:cs="ArialMT"/>
          <w:i/>
          <w:sz w:val="22"/>
          <w:szCs w:val="22"/>
        </w:rPr>
        <w:t>floorspace</w:t>
      </w:r>
      <w:proofErr w:type="spellEnd"/>
      <w:r w:rsidRPr="008C4D58">
        <w:rPr>
          <w:rFonts w:ascii="ArialMT" w:eastAsiaTheme="minorHAnsi" w:hAnsi="ArialMT" w:cs="ArialMT"/>
          <w:i/>
          <w:sz w:val="22"/>
          <w:szCs w:val="22"/>
        </w:rPr>
        <w:t xml:space="preserve"> (commercial and industrial), and increase employment. This will include the provision of: modern workspaces suitable for small and medium sized enterprises; start-up units; support for existing businesses that are seeking to expand and mixed-use developments which enable significant numbers of jobs to be created.</w:t>
      </w:r>
    </w:p>
    <w:p w:rsidR="008C4D58" w:rsidRPr="008C4D58" w:rsidRDefault="008C4D58" w:rsidP="008C4D58">
      <w:pPr>
        <w:numPr>
          <w:ilvl w:val="0"/>
          <w:numId w:val="24"/>
        </w:numPr>
        <w:autoSpaceDE w:val="0"/>
        <w:autoSpaceDN w:val="0"/>
        <w:adjustRightInd w:val="0"/>
        <w:ind w:left="567"/>
        <w:contextualSpacing/>
        <w:rPr>
          <w:rFonts w:eastAsiaTheme="minorHAnsi" w:cs="Arial"/>
          <w:i/>
          <w:sz w:val="22"/>
          <w:szCs w:val="22"/>
        </w:rPr>
      </w:pPr>
      <w:r w:rsidRPr="008C4D58">
        <w:rPr>
          <w:rFonts w:ascii="ArialMT" w:eastAsiaTheme="minorHAnsi" w:hAnsi="ArialMT" w:cs="ArialMT"/>
          <w:i/>
          <w:sz w:val="22"/>
          <w:szCs w:val="22"/>
        </w:rPr>
        <w:t>Retain the role of the Central Area as a tourist, arts and cultural centre, offering a range of accommodation and visitor attractions and facilities;</w:t>
      </w:r>
    </w:p>
    <w:p w:rsidR="008C4D58" w:rsidRPr="008C4D58" w:rsidRDefault="008C4D58" w:rsidP="008C4D58">
      <w:pPr>
        <w:numPr>
          <w:ilvl w:val="0"/>
          <w:numId w:val="24"/>
        </w:numPr>
        <w:autoSpaceDE w:val="0"/>
        <w:autoSpaceDN w:val="0"/>
        <w:adjustRightInd w:val="0"/>
        <w:ind w:left="567"/>
        <w:contextualSpacing/>
        <w:rPr>
          <w:rFonts w:ascii="ArialMT" w:eastAsiaTheme="minorHAnsi" w:hAnsi="ArialMT" w:cs="ArialMT"/>
          <w:i/>
          <w:sz w:val="22"/>
          <w:szCs w:val="22"/>
        </w:rPr>
      </w:pPr>
      <w:r w:rsidRPr="008C4D58">
        <w:rPr>
          <w:rFonts w:ascii="ArialMT" w:eastAsiaTheme="minorHAnsi" w:hAnsi="ArialMT" w:cs="ArialMT"/>
          <w:i/>
          <w:sz w:val="22"/>
          <w:szCs w:val="22"/>
        </w:rPr>
        <w:t>Increase public access next to, and enhance the setting of the riverside to create a vibrant environment that incorporates a range of uses;</w:t>
      </w:r>
    </w:p>
    <w:p w:rsidR="008C4D58" w:rsidRPr="008C4D58" w:rsidRDefault="008C4D58" w:rsidP="008C4D58">
      <w:pPr>
        <w:numPr>
          <w:ilvl w:val="0"/>
          <w:numId w:val="24"/>
        </w:numPr>
        <w:autoSpaceDE w:val="0"/>
        <w:autoSpaceDN w:val="0"/>
        <w:adjustRightInd w:val="0"/>
        <w:ind w:left="567"/>
        <w:contextualSpacing/>
        <w:rPr>
          <w:rFonts w:eastAsiaTheme="minorHAnsi" w:cs="Arial"/>
          <w:i/>
          <w:sz w:val="22"/>
          <w:szCs w:val="22"/>
        </w:rPr>
      </w:pPr>
      <w:r w:rsidRPr="008C4D58">
        <w:rPr>
          <w:rFonts w:ascii="ArialMT" w:eastAsiaTheme="minorHAnsi" w:hAnsi="ArialMT" w:cs="ArialMT"/>
          <w:i/>
          <w:sz w:val="22"/>
          <w:szCs w:val="22"/>
        </w:rPr>
        <w:lastRenderedPageBreak/>
        <w:t>Maintain and encourage the wider use of walking and cycling across the area through an improved public realm and improved linkages and connectivity between the town centre, the Causeway, the Hythe, and the Leisure Quarter and other key attractions;</w:t>
      </w:r>
    </w:p>
    <w:p w:rsidR="008C4D58" w:rsidRPr="008C4D58" w:rsidRDefault="008C4D58" w:rsidP="008C4D58">
      <w:pPr>
        <w:numPr>
          <w:ilvl w:val="0"/>
          <w:numId w:val="24"/>
        </w:numPr>
        <w:autoSpaceDE w:val="0"/>
        <w:autoSpaceDN w:val="0"/>
        <w:adjustRightInd w:val="0"/>
        <w:ind w:left="567"/>
        <w:contextualSpacing/>
        <w:rPr>
          <w:rFonts w:eastAsiaTheme="minorHAnsi" w:cs="Arial"/>
          <w:i/>
          <w:sz w:val="22"/>
          <w:szCs w:val="22"/>
        </w:rPr>
      </w:pPr>
      <w:r w:rsidRPr="008C4D58">
        <w:rPr>
          <w:rFonts w:ascii="ArialMT" w:eastAsiaTheme="minorHAnsi" w:hAnsi="ArialMT" w:cs="ArialMT"/>
          <w:i/>
          <w:sz w:val="22"/>
          <w:szCs w:val="22"/>
        </w:rPr>
        <w:t>Preserve and enhance the quality of the historic character including the built environment, archaeology and historic skyline within the context of its riverside, estuarine and rural location;</w:t>
      </w:r>
    </w:p>
    <w:p w:rsidR="008C4D58" w:rsidRPr="00B65DAE" w:rsidRDefault="008C4D58" w:rsidP="00B27BE2">
      <w:pPr>
        <w:numPr>
          <w:ilvl w:val="0"/>
          <w:numId w:val="24"/>
        </w:numPr>
        <w:autoSpaceDE w:val="0"/>
        <w:autoSpaceDN w:val="0"/>
        <w:adjustRightInd w:val="0"/>
        <w:ind w:left="567"/>
        <w:contextualSpacing/>
        <w:rPr>
          <w:rFonts w:ascii="ArialMT" w:eastAsiaTheme="minorHAnsi" w:hAnsi="ArialMT" w:cs="ArialMT"/>
          <w:i/>
          <w:sz w:val="22"/>
          <w:szCs w:val="22"/>
        </w:rPr>
      </w:pPr>
      <w:r w:rsidRPr="00B65DAE">
        <w:rPr>
          <w:rFonts w:ascii="ArialMT" w:eastAsiaTheme="minorHAnsi" w:hAnsi="ArialMT" w:cs="ArialMT"/>
          <w:i/>
          <w:sz w:val="22"/>
          <w:szCs w:val="22"/>
        </w:rPr>
        <w:t>Actively manage traffic and visitors to the town and surrounding area through enhanced</w:t>
      </w:r>
      <w:r w:rsidR="00B65DAE">
        <w:rPr>
          <w:rFonts w:ascii="ArialMT" w:eastAsiaTheme="minorHAnsi" w:hAnsi="ArialMT" w:cs="ArialMT"/>
          <w:i/>
          <w:sz w:val="22"/>
          <w:szCs w:val="22"/>
        </w:rPr>
        <w:t xml:space="preserve"> </w:t>
      </w:r>
      <w:r w:rsidRPr="00B65DAE">
        <w:rPr>
          <w:rFonts w:ascii="ArialMT" w:eastAsiaTheme="minorHAnsi" w:hAnsi="ArialMT" w:cs="ArialMT"/>
          <w:i/>
          <w:sz w:val="22"/>
          <w:szCs w:val="22"/>
        </w:rPr>
        <w:t>public transport provision and the use of effective car park management;</w:t>
      </w:r>
    </w:p>
    <w:p w:rsidR="008C4D58" w:rsidRPr="008C4D58" w:rsidRDefault="008C4D58" w:rsidP="008C4D58">
      <w:pPr>
        <w:numPr>
          <w:ilvl w:val="0"/>
          <w:numId w:val="24"/>
        </w:numPr>
        <w:autoSpaceDE w:val="0"/>
        <w:autoSpaceDN w:val="0"/>
        <w:adjustRightInd w:val="0"/>
        <w:ind w:left="567"/>
        <w:contextualSpacing/>
        <w:rPr>
          <w:rFonts w:ascii="ArialMT" w:eastAsiaTheme="minorHAnsi" w:hAnsi="ArialMT" w:cs="ArialMT"/>
          <w:i/>
          <w:sz w:val="22"/>
          <w:szCs w:val="22"/>
        </w:rPr>
      </w:pPr>
      <w:r w:rsidRPr="008C4D58">
        <w:rPr>
          <w:rFonts w:ascii="ArialMT" w:eastAsiaTheme="minorHAnsi" w:hAnsi="ArialMT" w:cs="ArialMT"/>
          <w:i/>
          <w:sz w:val="22"/>
          <w:szCs w:val="22"/>
        </w:rPr>
        <w:t>Protect the sensitive environmental relationship between the Central Area and the adjacent environmentally designated areas including the River Blackwater and Chelmer and Blackwater Navigation; and</w:t>
      </w:r>
    </w:p>
    <w:p w:rsidR="008C4D58" w:rsidRPr="008C4D58" w:rsidRDefault="008C4D58" w:rsidP="008C4D58">
      <w:pPr>
        <w:numPr>
          <w:ilvl w:val="0"/>
          <w:numId w:val="24"/>
        </w:numPr>
        <w:autoSpaceDE w:val="0"/>
        <w:autoSpaceDN w:val="0"/>
        <w:adjustRightInd w:val="0"/>
        <w:ind w:left="567"/>
        <w:contextualSpacing/>
        <w:rPr>
          <w:rFonts w:ascii="ArialMT" w:eastAsiaTheme="minorHAnsi" w:hAnsi="ArialMT" w:cs="ArialMT"/>
          <w:i/>
          <w:sz w:val="22"/>
          <w:szCs w:val="22"/>
        </w:rPr>
      </w:pPr>
      <w:r w:rsidRPr="008C4D58">
        <w:rPr>
          <w:rFonts w:ascii="ArialMT" w:eastAsiaTheme="minorHAnsi" w:hAnsi="ArialMT" w:cs="ArialMT"/>
          <w:i/>
          <w:sz w:val="22"/>
          <w:szCs w:val="22"/>
        </w:rPr>
        <w:t>Minimise all forms of flood risk and ensure that flood infrastructure are effectively</w:t>
      </w:r>
    </w:p>
    <w:p w:rsidR="008C4D58" w:rsidRPr="008C4D58" w:rsidRDefault="008C4D58" w:rsidP="008C4D58">
      <w:pPr>
        <w:ind w:left="964" w:hanging="397"/>
        <w:rPr>
          <w:rFonts w:cs="Arial"/>
          <w:i/>
          <w:sz w:val="22"/>
          <w:szCs w:val="22"/>
        </w:rPr>
      </w:pPr>
      <w:proofErr w:type="gramStart"/>
      <w:r w:rsidRPr="008C4D58">
        <w:rPr>
          <w:rFonts w:ascii="ArialMT" w:eastAsiaTheme="minorHAnsi" w:hAnsi="ArialMT" w:cs="ArialMT"/>
          <w:i/>
          <w:sz w:val="22"/>
          <w:szCs w:val="22"/>
        </w:rPr>
        <w:t>managed</w:t>
      </w:r>
      <w:proofErr w:type="gramEnd"/>
      <w:r w:rsidRPr="008C4D58">
        <w:rPr>
          <w:rFonts w:ascii="ArialMT" w:eastAsiaTheme="minorHAnsi" w:hAnsi="ArialMT" w:cs="ArialMT"/>
          <w:i/>
          <w:sz w:val="22"/>
          <w:szCs w:val="22"/>
        </w:rPr>
        <w:t>.</w:t>
      </w:r>
    </w:p>
    <w:p w:rsidR="001224BD" w:rsidRDefault="001224BD" w:rsidP="001224BD">
      <w:pPr>
        <w:pStyle w:val="ListParagraph"/>
        <w:rPr>
          <w:rFonts w:cs="Arial"/>
          <w:szCs w:val="24"/>
        </w:rPr>
      </w:pPr>
    </w:p>
    <w:p w:rsidR="009E14C9" w:rsidRPr="00233589" w:rsidRDefault="00233589" w:rsidP="00233589">
      <w:pPr>
        <w:ind w:left="284" w:hanging="397"/>
        <w:rPr>
          <w:rFonts w:cs="Arial"/>
          <w:sz w:val="22"/>
          <w:szCs w:val="22"/>
        </w:rPr>
      </w:pPr>
      <w:r>
        <w:rPr>
          <w:rFonts w:cs="Arial"/>
          <w:sz w:val="22"/>
          <w:szCs w:val="22"/>
        </w:rPr>
        <w:t>1.</w:t>
      </w:r>
      <w:r w:rsidR="00655438">
        <w:rPr>
          <w:rFonts w:cs="Arial"/>
          <w:sz w:val="22"/>
          <w:szCs w:val="22"/>
        </w:rPr>
        <w:t xml:space="preserve">4 The </w:t>
      </w:r>
      <w:r w:rsidR="00E6488D">
        <w:rPr>
          <w:rFonts w:cs="Arial"/>
          <w:sz w:val="22"/>
          <w:szCs w:val="22"/>
        </w:rPr>
        <w:t>Council</w:t>
      </w:r>
      <w:r w:rsidR="00655438">
        <w:rPr>
          <w:rFonts w:cs="Arial"/>
          <w:sz w:val="22"/>
          <w:szCs w:val="22"/>
        </w:rPr>
        <w:t xml:space="preserve"> wishes to promote a coordinated approach to development and regeneration of the Central Area </w:t>
      </w:r>
      <w:r w:rsidR="005B3A92">
        <w:rPr>
          <w:rFonts w:cs="Arial"/>
          <w:sz w:val="22"/>
          <w:szCs w:val="22"/>
        </w:rPr>
        <w:t>which builds upon work undertaken in connection with the LDP. I</w:t>
      </w:r>
      <w:r w:rsidR="001927D0" w:rsidRPr="001927D0">
        <w:rPr>
          <w:rFonts w:cs="Arial"/>
          <w:sz w:val="22"/>
          <w:szCs w:val="22"/>
        </w:rPr>
        <w:t xml:space="preserve">n order to promote the objectives set out in Policy </w:t>
      </w:r>
      <w:r w:rsidR="00655438">
        <w:rPr>
          <w:rFonts w:cs="Arial"/>
          <w:sz w:val="22"/>
          <w:szCs w:val="22"/>
        </w:rPr>
        <w:t xml:space="preserve">S5, </w:t>
      </w:r>
      <w:r w:rsidR="005B3A92">
        <w:rPr>
          <w:rFonts w:cs="Arial"/>
          <w:sz w:val="22"/>
          <w:szCs w:val="22"/>
        </w:rPr>
        <w:t xml:space="preserve">the </w:t>
      </w:r>
      <w:r w:rsidR="00E6488D">
        <w:rPr>
          <w:rFonts w:cs="Arial"/>
          <w:sz w:val="22"/>
          <w:szCs w:val="22"/>
        </w:rPr>
        <w:t>Council</w:t>
      </w:r>
      <w:r w:rsidR="005B3A92">
        <w:rPr>
          <w:rFonts w:cs="Arial"/>
          <w:sz w:val="22"/>
          <w:szCs w:val="22"/>
        </w:rPr>
        <w:t xml:space="preserve"> </w:t>
      </w:r>
      <w:r w:rsidR="00655438" w:rsidRPr="001927D0">
        <w:rPr>
          <w:rFonts w:cs="Arial"/>
          <w:sz w:val="22"/>
          <w:szCs w:val="22"/>
        </w:rPr>
        <w:t>is seeking to appoint suitably qualified consultants with relevant experience to prepare a</w:t>
      </w:r>
      <w:r w:rsidR="00655438">
        <w:rPr>
          <w:rFonts w:cs="Arial"/>
          <w:sz w:val="22"/>
          <w:szCs w:val="22"/>
        </w:rPr>
        <w:t xml:space="preserve"> Strategic</w:t>
      </w:r>
      <w:r w:rsidR="00655438" w:rsidRPr="001927D0">
        <w:rPr>
          <w:rFonts w:cs="Arial"/>
          <w:sz w:val="22"/>
          <w:szCs w:val="22"/>
        </w:rPr>
        <w:t xml:space="preserve"> </w:t>
      </w:r>
      <w:r w:rsidR="00655438">
        <w:rPr>
          <w:rFonts w:cs="Arial"/>
          <w:sz w:val="22"/>
          <w:szCs w:val="22"/>
        </w:rPr>
        <w:t>Masterplan Framework and Action Plan to guide future development and area improvements</w:t>
      </w:r>
      <w:r w:rsidR="00655438" w:rsidRPr="00233589">
        <w:rPr>
          <w:rFonts w:cs="Arial"/>
          <w:sz w:val="22"/>
          <w:szCs w:val="22"/>
        </w:rPr>
        <w:t xml:space="preserve"> </w:t>
      </w:r>
      <w:r w:rsidR="00655438">
        <w:rPr>
          <w:rFonts w:cs="Arial"/>
          <w:sz w:val="22"/>
          <w:szCs w:val="22"/>
        </w:rPr>
        <w:t xml:space="preserve">within the Maldon and Heybridge Central Area. </w:t>
      </w:r>
    </w:p>
    <w:p w:rsidR="009E14C9" w:rsidRDefault="009E14C9" w:rsidP="009E14C9">
      <w:pPr>
        <w:pStyle w:val="ListParagraph"/>
        <w:ind w:left="0"/>
        <w:rPr>
          <w:rFonts w:cs="Arial"/>
          <w:szCs w:val="24"/>
        </w:rPr>
      </w:pPr>
    </w:p>
    <w:p w:rsidR="009E14C9" w:rsidRPr="00E529BB" w:rsidRDefault="00E529BB" w:rsidP="00E529BB">
      <w:pPr>
        <w:ind w:left="-113"/>
        <w:rPr>
          <w:rFonts w:cs="Arial"/>
          <w:b/>
          <w:sz w:val="22"/>
          <w:szCs w:val="22"/>
        </w:rPr>
      </w:pPr>
      <w:r>
        <w:rPr>
          <w:rFonts w:cs="Arial"/>
          <w:b/>
          <w:sz w:val="22"/>
          <w:szCs w:val="22"/>
        </w:rPr>
        <w:t xml:space="preserve">2.0 </w:t>
      </w:r>
      <w:r w:rsidR="009E14C9" w:rsidRPr="00E529BB">
        <w:rPr>
          <w:rFonts w:cs="Arial"/>
          <w:b/>
          <w:sz w:val="22"/>
          <w:szCs w:val="22"/>
        </w:rPr>
        <w:t>Aim</w:t>
      </w:r>
      <w:r w:rsidR="00233589" w:rsidRPr="00E529BB">
        <w:rPr>
          <w:rFonts w:cs="Arial"/>
          <w:b/>
          <w:sz w:val="22"/>
          <w:szCs w:val="22"/>
        </w:rPr>
        <w:t>s</w:t>
      </w:r>
    </w:p>
    <w:p w:rsidR="009E14C9" w:rsidRPr="005F32D2" w:rsidRDefault="009E14C9" w:rsidP="009E14C9">
      <w:pPr>
        <w:rPr>
          <w:rFonts w:cs="Arial"/>
          <w:b/>
          <w:szCs w:val="24"/>
        </w:rPr>
      </w:pPr>
    </w:p>
    <w:p w:rsidR="00017AC2" w:rsidRDefault="00FE238C" w:rsidP="00B941F8">
      <w:pPr>
        <w:ind w:left="284" w:hanging="397"/>
        <w:rPr>
          <w:rFonts w:cs="Arial"/>
          <w:sz w:val="22"/>
          <w:szCs w:val="22"/>
        </w:rPr>
      </w:pPr>
      <w:r>
        <w:rPr>
          <w:rFonts w:cs="Arial"/>
          <w:sz w:val="22"/>
          <w:szCs w:val="22"/>
        </w:rPr>
        <w:t xml:space="preserve">2.1 </w:t>
      </w:r>
      <w:r w:rsidR="00017AC2">
        <w:rPr>
          <w:rFonts w:cs="Arial"/>
          <w:sz w:val="22"/>
          <w:szCs w:val="22"/>
        </w:rPr>
        <w:t>The purpose of the Strategic Masterplan Framework is to:</w:t>
      </w:r>
    </w:p>
    <w:p w:rsidR="00017AC2" w:rsidRDefault="00017AC2" w:rsidP="00B941F8">
      <w:pPr>
        <w:ind w:left="284" w:hanging="397"/>
        <w:rPr>
          <w:rFonts w:cs="Arial"/>
          <w:sz w:val="22"/>
          <w:szCs w:val="22"/>
        </w:rPr>
      </w:pPr>
    </w:p>
    <w:p w:rsidR="00017AC2" w:rsidRDefault="00017AC2" w:rsidP="00017AC2">
      <w:pPr>
        <w:pStyle w:val="ListParagraph"/>
        <w:numPr>
          <w:ilvl w:val="0"/>
          <w:numId w:val="28"/>
        </w:numPr>
        <w:rPr>
          <w:rFonts w:cs="Arial"/>
          <w:sz w:val="22"/>
          <w:szCs w:val="22"/>
        </w:rPr>
      </w:pPr>
      <w:r>
        <w:rPr>
          <w:rFonts w:cs="Arial"/>
          <w:sz w:val="22"/>
          <w:szCs w:val="22"/>
        </w:rPr>
        <w:t>Set out a spatial framework for the development and regeneration of the Central Area</w:t>
      </w:r>
      <w:r w:rsidR="00BE6554">
        <w:rPr>
          <w:rFonts w:cs="Arial"/>
          <w:sz w:val="22"/>
          <w:szCs w:val="22"/>
        </w:rPr>
        <w:t>;</w:t>
      </w:r>
    </w:p>
    <w:p w:rsidR="00BE6554" w:rsidRDefault="00BE6554" w:rsidP="00017AC2">
      <w:pPr>
        <w:pStyle w:val="ListParagraph"/>
        <w:numPr>
          <w:ilvl w:val="0"/>
          <w:numId w:val="28"/>
        </w:numPr>
        <w:rPr>
          <w:rFonts w:cs="Arial"/>
          <w:sz w:val="22"/>
          <w:szCs w:val="22"/>
        </w:rPr>
      </w:pPr>
      <w:r>
        <w:rPr>
          <w:rFonts w:cs="Arial"/>
          <w:sz w:val="22"/>
          <w:szCs w:val="22"/>
        </w:rPr>
        <w:t>Develop recommendations on the location, mix, scale and design of new development and the treatment of the public realm and landscape setting which reflects the distinctive character and heritage of the Maldon and Heybridge Central Area;</w:t>
      </w:r>
      <w:r w:rsidR="00144C85">
        <w:rPr>
          <w:rFonts w:cs="Arial"/>
          <w:sz w:val="22"/>
          <w:szCs w:val="22"/>
        </w:rPr>
        <w:t xml:space="preserve"> </w:t>
      </w:r>
    </w:p>
    <w:p w:rsidR="00BE6554" w:rsidRDefault="00BE6554" w:rsidP="00BE6554">
      <w:pPr>
        <w:pStyle w:val="ListParagraph"/>
        <w:numPr>
          <w:ilvl w:val="0"/>
          <w:numId w:val="28"/>
        </w:numPr>
        <w:rPr>
          <w:rFonts w:cs="Arial"/>
          <w:sz w:val="22"/>
          <w:szCs w:val="22"/>
        </w:rPr>
      </w:pPr>
      <w:r>
        <w:rPr>
          <w:rFonts w:cs="Arial"/>
          <w:sz w:val="22"/>
          <w:szCs w:val="22"/>
        </w:rPr>
        <w:t>Identify opportunities f</w:t>
      </w:r>
      <w:r w:rsidR="005B3A92">
        <w:rPr>
          <w:rFonts w:cs="Arial"/>
          <w:sz w:val="22"/>
          <w:szCs w:val="22"/>
        </w:rPr>
        <w:t>o</w:t>
      </w:r>
      <w:r>
        <w:rPr>
          <w:rFonts w:cs="Arial"/>
          <w:sz w:val="22"/>
          <w:szCs w:val="22"/>
        </w:rPr>
        <w:t>r the delivery of key projects</w:t>
      </w:r>
      <w:r w:rsidR="00583E41">
        <w:rPr>
          <w:rFonts w:cs="Arial"/>
          <w:sz w:val="22"/>
          <w:szCs w:val="22"/>
        </w:rPr>
        <w:t xml:space="preserve"> identified in Policy S5</w:t>
      </w:r>
      <w:r>
        <w:rPr>
          <w:rFonts w:cs="Arial"/>
          <w:sz w:val="22"/>
          <w:szCs w:val="22"/>
        </w:rPr>
        <w:t xml:space="preserve">; </w:t>
      </w:r>
    </w:p>
    <w:p w:rsidR="00BE6554" w:rsidRDefault="00BE6554" w:rsidP="00BE6554">
      <w:pPr>
        <w:pStyle w:val="ListParagraph"/>
        <w:numPr>
          <w:ilvl w:val="0"/>
          <w:numId w:val="28"/>
        </w:numPr>
        <w:rPr>
          <w:rFonts w:cs="Arial"/>
          <w:sz w:val="22"/>
          <w:szCs w:val="22"/>
        </w:rPr>
      </w:pPr>
      <w:r>
        <w:rPr>
          <w:rFonts w:cs="Arial"/>
          <w:sz w:val="22"/>
          <w:szCs w:val="22"/>
        </w:rPr>
        <w:t>Advise on an appropriate approach to transport and car parking management;</w:t>
      </w:r>
    </w:p>
    <w:p w:rsidR="00BE6554" w:rsidRPr="00017AC2" w:rsidRDefault="00BE6554" w:rsidP="00017AC2">
      <w:pPr>
        <w:pStyle w:val="ListParagraph"/>
        <w:numPr>
          <w:ilvl w:val="0"/>
          <w:numId w:val="28"/>
        </w:numPr>
        <w:rPr>
          <w:rFonts w:cs="Arial"/>
          <w:sz w:val="22"/>
          <w:szCs w:val="22"/>
        </w:rPr>
      </w:pPr>
      <w:r>
        <w:rPr>
          <w:rFonts w:cs="Arial"/>
          <w:sz w:val="22"/>
          <w:szCs w:val="22"/>
        </w:rPr>
        <w:t xml:space="preserve">Prepare an Action Plan for the delivery of key projects and interventions </w:t>
      </w:r>
    </w:p>
    <w:p w:rsidR="00017AC2" w:rsidRDefault="00017AC2" w:rsidP="00B941F8">
      <w:pPr>
        <w:ind w:left="284" w:hanging="397"/>
        <w:rPr>
          <w:rFonts w:cs="Arial"/>
          <w:sz w:val="22"/>
          <w:szCs w:val="22"/>
        </w:rPr>
      </w:pPr>
    </w:p>
    <w:p w:rsidR="00017AC2" w:rsidRDefault="00017AC2" w:rsidP="00B941F8">
      <w:pPr>
        <w:ind w:left="284" w:hanging="397"/>
        <w:rPr>
          <w:rFonts w:cs="Arial"/>
          <w:sz w:val="22"/>
          <w:szCs w:val="22"/>
        </w:rPr>
      </w:pPr>
    </w:p>
    <w:p w:rsidR="00B941F8" w:rsidRPr="00B941F8" w:rsidRDefault="00BE6554" w:rsidP="00B941F8">
      <w:pPr>
        <w:ind w:left="284" w:hanging="397"/>
        <w:rPr>
          <w:rFonts w:cs="Arial"/>
          <w:sz w:val="22"/>
          <w:szCs w:val="22"/>
        </w:rPr>
      </w:pPr>
      <w:r>
        <w:rPr>
          <w:rFonts w:cs="Arial"/>
          <w:sz w:val="22"/>
          <w:szCs w:val="22"/>
        </w:rPr>
        <w:t>2.2</w:t>
      </w:r>
      <w:r>
        <w:rPr>
          <w:rFonts w:cs="Arial"/>
          <w:sz w:val="22"/>
          <w:szCs w:val="22"/>
        </w:rPr>
        <w:tab/>
      </w:r>
      <w:r w:rsidR="00B941F8" w:rsidRPr="00B941F8">
        <w:rPr>
          <w:rFonts w:cs="Arial"/>
          <w:sz w:val="22"/>
          <w:szCs w:val="22"/>
        </w:rPr>
        <w:t xml:space="preserve">The Masterplan </w:t>
      </w:r>
      <w:r w:rsidR="00583E41">
        <w:rPr>
          <w:rFonts w:cs="Arial"/>
          <w:sz w:val="22"/>
          <w:szCs w:val="22"/>
        </w:rPr>
        <w:t>is required to</w:t>
      </w:r>
      <w:r w:rsidR="00B941F8" w:rsidRPr="00B941F8">
        <w:rPr>
          <w:rFonts w:cs="Arial"/>
          <w:sz w:val="22"/>
          <w:szCs w:val="22"/>
        </w:rPr>
        <w:t xml:space="preserve"> align with the Policy S5 requirements and the key projects </w:t>
      </w:r>
      <w:r w:rsidR="00583E41">
        <w:rPr>
          <w:rFonts w:cs="Arial"/>
          <w:sz w:val="22"/>
          <w:szCs w:val="22"/>
        </w:rPr>
        <w:t xml:space="preserve">which are required </w:t>
      </w:r>
      <w:r w:rsidR="00B941F8" w:rsidRPr="00B941F8">
        <w:rPr>
          <w:rFonts w:cs="Arial"/>
          <w:sz w:val="22"/>
          <w:szCs w:val="22"/>
        </w:rPr>
        <w:t>to reinforce the existing land uses to create jobs and ensure a skilled employment base, attract inward investment, maintain a unique and vibrant High Street, improve connectivity throughout the area to the wider community and take the opportunities presented by the waterfront for regeneration, diversification and cultural attractions for leisure and recreation whilst being resilient to flood risk. With a focus on economic and physical regeneration, the Masterplan will incorporate three sub-areas:</w:t>
      </w:r>
    </w:p>
    <w:p w:rsidR="00B941F8" w:rsidRPr="00B941F8" w:rsidRDefault="00B941F8" w:rsidP="00B941F8">
      <w:pPr>
        <w:rPr>
          <w:rFonts w:eastAsiaTheme="minorHAnsi" w:cs="Arial"/>
          <w:sz w:val="22"/>
          <w:szCs w:val="22"/>
        </w:rPr>
      </w:pPr>
    </w:p>
    <w:p w:rsidR="00B941F8" w:rsidRPr="00B941F8" w:rsidRDefault="00B941F8" w:rsidP="00B941F8">
      <w:pPr>
        <w:numPr>
          <w:ilvl w:val="0"/>
          <w:numId w:val="25"/>
        </w:numPr>
        <w:spacing w:after="200" w:line="276" w:lineRule="auto"/>
        <w:rPr>
          <w:rFonts w:eastAsiaTheme="minorHAnsi" w:cs="Arial"/>
          <w:sz w:val="22"/>
          <w:szCs w:val="22"/>
        </w:rPr>
      </w:pPr>
      <w:r w:rsidRPr="00B941F8">
        <w:rPr>
          <w:rFonts w:eastAsiaTheme="minorHAnsi" w:cs="Arial"/>
          <w:b/>
          <w:sz w:val="22"/>
          <w:szCs w:val="22"/>
        </w:rPr>
        <w:t>The Causeway Regeneration Area-</w:t>
      </w:r>
      <w:r>
        <w:rPr>
          <w:rFonts w:eastAsiaTheme="minorHAnsi" w:cs="Arial"/>
          <w:sz w:val="22"/>
          <w:szCs w:val="22"/>
        </w:rPr>
        <w:t xml:space="preserve"> a predominantly industrial and large format retail area including a 24 hour </w:t>
      </w:r>
      <w:r w:rsidR="00B65DAE">
        <w:rPr>
          <w:rFonts w:eastAsiaTheme="minorHAnsi" w:cs="Arial"/>
          <w:sz w:val="22"/>
          <w:szCs w:val="22"/>
        </w:rPr>
        <w:t>T</w:t>
      </w:r>
      <w:r>
        <w:rPr>
          <w:rFonts w:eastAsiaTheme="minorHAnsi" w:cs="Arial"/>
          <w:sz w:val="22"/>
          <w:szCs w:val="22"/>
        </w:rPr>
        <w:t xml:space="preserve">esco Extra supermarket, </w:t>
      </w:r>
      <w:proofErr w:type="spellStart"/>
      <w:r>
        <w:rPr>
          <w:rFonts w:eastAsiaTheme="minorHAnsi" w:cs="Arial"/>
          <w:sz w:val="22"/>
          <w:szCs w:val="22"/>
        </w:rPr>
        <w:t>Carr’s</w:t>
      </w:r>
      <w:proofErr w:type="spellEnd"/>
      <w:r>
        <w:rPr>
          <w:rFonts w:eastAsiaTheme="minorHAnsi" w:cs="Arial"/>
          <w:sz w:val="22"/>
          <w:szCs w:val="22"/>
        </w:rPr>
        <w:t xml:space="preserve"> Flour Mills and </w:t>
      </w:r>
      <w:proofErr w:type="spellStart"/>
      <w:r>
        <w:rPr>
          <w:rFonts w:eastAsiaTheme="minorHAnsi" w:cs="Arial"/>
          <w:sz w:val="22"/>
          <w:szCs w:val="22"/>
        </w:rPr>
        <w:t>Bentalls</w:t>
      </w:r>
      <w:proofErr w:type="spellEnd"/>
      <w:r>
        <w:rPr>
          <w:rFonts w:eastAsiaTheme="minorHAnsi" w:cs="Arial"/>
          <w:sz w:val="22"/>
          <w:szCs w:val="22"/>
        </w:rPr>
        <w:t xml:space="preserve"> shopping centre. This area also includes Heybridge Centre. </w:t>
      </w:r>
    </w:p>
    <w:p w:rsidR="00B941F8" w:rsidRPr="00B941F8" w:rsidRDefault="00B941F8" w:rsidP="00B941F8">
      <w:pPr>
        <w:numPr>
          <w:ilvl w:val="0"/>
          <w:numId w:val="25"/>
        </w:numPr>
        <w:spacing w:after="200" w:line="276" w:lineRule="auto"/>
        <w:rPr>
          <w:rFonts w:eastAsiaTheme="minorHAnsi" w:cs="Arial"/>
          <w:sz w:val="22"/>
          <w:szCs w:val="22"/>
        </w:rPr>
      </w:pPr>
      <w:r w:rsidRPr="00B941F8">
        <w:rPr>
          <w:rFonts w:eastAsiaTheme="minorHAnsi" w:cs="Arial"/>
          <w:b/>
          <w:sz w:val="22"/>
          <w:szCs w:val="22"/>
        </w:rPr>
        <w:lastRenderedPageBreak/>
        <w:t xml:space="preserve">Maldon Central Area- </w:t>
      </w:r>
      <w:r>
        <w:rPr>
          <w:rFonts w:eastAsiaTheme="minorHAnsi" w:cs="Arial"/>
          <w:sz w:val="22"/>
          <w:szCs w:val="22"/>
        </w:rPr>
        <w:t>the historic centre of Maldon and principal focus for commercial activity. It includes a traditional, linear high street with 86 listed buildings</w:t>
      </w:r>
      <w:r w:rsidR="00144C85">
        <w:rPr>
          <w:rFonts w:eastAsiaTheme="minorHAnsi" w:cs="Arial"/>
          <w:sz w:val="22"/>
          <w:szCs w:val="22"/>
        </w:rPr>
        <w:t xml:space="preserve"> </w:t>
      </w:r>
    </w:p>
    <w:p w:rsidR="007125A3" w:rsidRPr="00B941F8" w:rsidRDefault="00B941F8" w:rsidP="00B941F8">
      <w:pPr>
        <w:pStyle w:val="ListParagraph"/>
        <w:numPr>
          <w:ilvl w:val="0"/>
          <w:numId w:val="25"/>
        </w:numPr>
        <w:rPr>
          <w:rFonts w:cs="Arial"/>
          <w:b/>
          <w:sz w:val="22"/>
          <w:szCs w:val="22"/>
        </w:rPr>
      </w:pPr>
      <w:r w:rsidRPr="00B941F8">
        <w:rPr>
          <w:rFonts w:eastAsiaTheme="minorHAnsi" w:cs="Arial"/>
          <w:b/>
          <w:sz w:val="22"/>
          <w:szCs w:val="22"/>
        </w:rPr>
        <w:t>The Leisure Quarter</w:t>
      </w:r>
      <w:r>
        <w:rPr>
          <w:rFonts w:eastAsiaTheme="minorHAnsi" w:cs="Arial"/>
          <w:b/>
          <w:sz w:val="22"/>
          <w:szCs w:val="22"/>
        </w:rPr>
        <w:t xml:space="preserve">- </w:t>
      </w:r>
      <w:r>
        <w:rPr>
          <w:rFonts w:eastAsiaTheme="minorHAnsi" w:cs="Arial"/>
          <w:sz w:val="22"/>
          <w:szCs w:val="22"/>
        </w:rPr>
        <w:t xml:space="preserve">the Leisure Quarter provides high quality, open space within the town centre running alongside the Blackwater estuary. It is a regional tourist attraction with walks along the estuary, Promenade Park and Hythe Quay. The area also contains the principal leisure centre in the </w:t>
      </w:r>
      <w:r w:rsidR="00144C85">
        <w:rPr>
          <w:rFonts w:eastAsiaTheme="minorHAnsi" w:cs="Arial"/>
          <w:sz w:val="22"/>
          <w:szCs w:val="22"/>
        </w:rPr>
        <w:t>District</w:t>
      </w:r>
      <w:r>
        <w:rPr>
          <w:rFonts w:eastAsiaTheme="minorHAnsi" w:cs="Arial"/>
          <w:sz w:val="22"/>
          <w:szCs w:val="22"/>
        </w:rPr>
        <w:t xml:space="preserve"> and other leisure facilities.</w:t>
      </w:r>
      <w:r w:rsidR="00144C85">
        <w:rPr>
          <w:rFonts w:eastAsiaTheme="minorHAnsi" w:cs="Arial"/>
          <w:sz w:val="22"/>
          <w:szCs w:val="22"/>
        </w:rPr>
        <w:t xml:space="preserve"> </w:t>
      </w:r>
      <w:r w:rsidR="000522CE">
        <w:rPr>
          <w:rFonts w:eastAsiaTheme="minorHAnsi" w:cs="Arial"/>
          <w:sz w:val="22"/>
          <w:szCs w:val="22"/>
        </w:rPr>
        <w:t>The Battle of Maldon site is a short walk from the eastern side of Promenade Park and although of national significance it is largely unrecognised.</w:t>
      </w:r>
      <w:r w:rsidR="00144C85">
        <w:rPr>
          <w:rFonts w:eastAsiaTheme="minorHAnsi" w:cs="Arial"/>
          <w:sz w:val="22"/>
          <w:szCs w:val="22"/>
        </w:rPr>
        <w:t xml:space="preserve"> </w:t>
      </w:r>
    </w:p>
    <w:p w:rsidR="00B941F8" w:rsidRDefault="00B941F8" w:rsidP="00B941F8">
      <w:pPr>
        <w:rPr>
          <w:rFonts w:cs="Arial"/>
          <w:b/>
          <w:sz w:val="22"/>
          <w:szCs w:val="22"/>
        </w:rPr>
      </w:pPr>
    </w:p>
    <w:p w:rsidR="00BE6554" w:rsidRPr="00BE6554" w:rsidRDefault="00BE6554" w:rsidP="00BE6554">
      <w:pPr>
        <w:ind w:left="284" w:hanging="397"/>
        <w:rPr>
          <w:rFonts w:cs="Arial"/>
          <w:sz w:val="22"/>
          <w:szCs w:val="22"/>
        </w:rPr>
      </w:pPr>
      <w:r>
        <w:rPr>
          <w:rFonts w:cs="Arial"/>
          <w:sz w:val="22"/>
          <w:szCs w:val="22"/>
        </w:rPr>
        <w:t>2.3</w:t>
      </w:r>
      <w:r>
        <w:rPr>
          <w:rFonts w:cs="Arial"/>
          <w:sz w:val="22"/>
          <w:szCs w:val="22"/>
        </w:rPr>
        <w:tab/>
      </w:r>
      <w:r w:rsidRPr="00BE6554">
        <w:rPr>
          <w:rFonts w:cs="Arial"/>
          <w:sz w:val="22"/>
          <w:szCs w:val="22"/>
        </w:rPr>
        <w:t xml:space="preserve">The Maldon and Heybridge Central Area will need to support an increase in the number of employed people and a more diversified thriving economy in order to deliver a successful future. In particular this area will need to support existing businesses and their future accommodation needs and will facilitate managed economic growth through the renewal and regeneration of its key employment areas, such as the Causeway </w:t>
      </w:r>
      <w:r w:rsidR="00B65DAE">
        <w:rPr>
          <w:rFonts w:cs="Arial"/>
          <w:sz w:val="22"/>
          <w:szCs w:val="22"/>
        </w:rPr>
        <w:t>A</w:t>
      </w:r>
      <w:r w:rsidRPr="00BE6554">
        <w:rPr>
          <w:rFonts w:cs="Arial"/>
          <w:sz w:val="22"/>
          <w:szCs w:val="22"/>
        </w:rPr>
        <w:t xml:space="preserve">rea. Business support is essential to maintain or enhance current economic levels in the </w:t>
      </w:r>
      <w:r w:rsidR="00144C85">
        <w:rPr>
          <w:rFonts w:cs="Arial"/>
          <w:sz w:val="22"/>
          <w:szCs w:val="22"/>
        </w:rPr>
        <w:t>District</w:t>
      </w:r>
      <w:r w:rsidRPr="00BE6554">
        <w:rPr>
          <w:rFonts w:cs="Arial"/>
          <w:sz w:val="22"/>
          <w:szCs w:val="22"/>
        </w:rPr>
        <w:t xml:space="preserve"> and to encourage further growth through newly formed businesses. The focus will be on the provision of modern commercial </w:t>
      </w:r>
      <w:proofErr w:type="spellStart"/>
      <w:r w:rsidRPr="00BE6554">
        <w:rPr>
          <w:rFonts w:cs="Arial"/>
          <w:sz w:val="22"/>
          <w:szCs w:val="22"/>
        </w:rPr>
        <w:t>floorspace</w:t>
      </w:r>
      <w:proofErr w:type="spellEnd"/>
      <w:r w:rsidRPr="00BE6554">
        <w:rPr>
          <w:rFonts w:cs="Arial"/>
          <w:sz w:val="22"/>
          <w:szCs w:val="22"/>
        </w:rPr>
        <w:t xml:space="preserve"> that supports a range of emerging economic sectors, including the provision of accommodation for small and medium sized enterprises, such as incubation units, to support the </w:t>
      </w:r>
      <w:r w:rsidR="00144C85">
        <w:rPr>
          <w:rFonts w:cs="Arial"/>
          <w:sz w:val="22"/>
          <w:szCs w:val="22"/>
        </w:rPr>
        <w:t>District</w:t>
      </w:r>
      <w:r w:rsidRPr="00BE6554">
        <w:rPr>
          <w:rFonts w:cs="Arial"/>
          <w:sz w:val="22"/>
          <w:szCs w:val="22"/>
        </w:rPr>
        <w:t>’s entrepreneurial base.</w:t>
      </w:r>
    </w:p>
    <w:p w:rsidR="00BE6554" w:rsidRPr="009053E8" w:rsidRDefault="00BE6554" w:rsidP="00BE6554">
      <w:pPr>
        <w:autoSpaceDE w:val="0"/>
        <w:autoSpaceDN w:val="0"/>
        <w:adjustRightInd w:val="0"/>
        <w:ind w:left="720" w:hanging="720"/>
        <w:rPr>
          <w:rFonts w:ascii="ArialMT" w:eastAsiaTheme="minorHAnsi" w:hAnsi="ArialMT" w:cs="ArialMT"/>
          <w:sz w:val="22"/>
          <w:szCs w:val="22"/>
        </w:rPr>
      </w:pPr>
    </w:p>
    <w:p w:rsidR="00BE6554" w:rsidRPr="00BE6554" w:rsidRDefault="00BE6554" w:rsidP="00BE6554">
      <w:pPr>
        <w:ind w:left="284" w:hanging="397"/>
        <w:rPr>
          <w:rFonts w:cs="Arial"/>
          <w:sz w:val="22"/>
          <w:szCs w:val="22"/>
        </w:rPr>
      </w:pPr>
      <w:r w:rsidRPr="00BE6554">
        <w:rPr>
          <w:rFonts w:cs="Arial"/>
          <w:sz w:val="22"/>
          <w:szCs w:val="22"/>
        </w:rPr>
        <w:t>2.</w:t>
      </w:r>
      <w:r>
        <w:rPr>
          <w:rFonts w:cs="Arial"/>
          <w:sz w:val="22"/>
          <w:szCs w:val="22"/>
        </w:rPr>
        <w:t>4</w:t>
      </w:r>
      <w:r w:rsidRPr="00BE6554">
        <w:rPr>
          <w:rFonts w:cs="Arial"/>
          <w:sz w:val="22"/>
          <w:szCs w:val="22"/>
        </w:rPr>
        <w:tab/>
        <w:t>The key assets within the area should be well connected to form a single leisure and tourism destination. Tourism is an important part of the local economy due to the proximity to the coast and distance from London, and will be supported and encouraged throughout the Central Area. As such, key tourism infrastructure, including visitor accommodation and visitor attractions, will be concentrated within this area. There is a need to grasp new opportunities to ensure that the needs of the more demanding visitors are catered for. To enhance the tourism offer and experience, it will be necessary to improve access and links between the main areas. This will be developed through improved signage arrangements, new art works, tourist trails and green infrastructure which could help to make a more legible Central Area. Improved access and links would help ‘the visitor experience’ as well as having a positiv</w:t>
      </w:r>
      <w:r w:rsidR="000522CE">
        <w:rPr>
          <w:rFonts w:cs="Arial"/>
          <w:sz w:val="22"/>
          <w:szCs w:val="22"/>
        </w:rPr>
        <w:t xml:space="preserve">e impact on the local community and their understanding of the heritage of the Maldon </w:t>
      </w:r>
      <w:r w:rsidR="00144C85">
        <w:rPr>
          <w:rFonts w:cs="Arial"/>
          <w:sz w:val="22"/>
          <w:szCs w:val="22"/>
        </w:rPr>
        <w:t>District</w:t>
      </w:r>
      <w:r w:rsidR="000522CE">
        <w:rPr>
          <w:rFonts w:cs="Arial"/>
          <w:sz w:val="22"/>
          <w:szCs w:val="22"/>
        </w:rPr>
        <w:t>.</w:t>
      </w:r>
    </w:p>
    <w:p w:rsidR="00BE6554" w:rsidRPr="00BE6554" w:rsidRDefault="00BE6554" w:rsidP="00BE6554">
      <w:pPr>
        <w:ind w:left="284" w:hanging="397"/>
        <w:rPr>
          <w:rFonts w:cs="Arial"/>
          <w:sz w:val="22"/>
          <w:szCs w:val="22"/>
        </w:rPr>
      </w:pPr>
    </w:p>
    <w:p w:rsidR="00BE6554" w:rsidRPr="00BE6554" w:rsidRDefault="00BE6554" w:rsidP="00BE6554">
      <w:pPr>
        <w:ind w:left="284" w:hanging="397"/>
        <w:rPr>
          <w:rFonts w:cs="Arial"/>
          <w:sz w:val="22"/>
          <w:szCs w:val="22"/>
        </w:rPr>
      </w:pPr>
      <w:r w:rsidRPr="00BE6554">
        <w:rPr>
          <w:rFonts w:cs="Arial"/>
          <w:sz w:val="22"/>
          <w:szCs w:val="22"/>
        </w:rPr>
        <w:t>2.</w:t>
      </w:r>
      <w:r>
        <w:rPr>
          <w:rFonts w:cs="Arial"/>
          <w:sz w:val="22"/>
          <w:szCs w:val="22"/>
        </w:rPr>
        <w:t>5</w:t>
      </w:r>
      <w:r w:rsidRPr="00BE6554">
        <w:rPr>
          <w:rFonts w:cs="Arial"/>
          <w:sz w:val="22"/>
          <w:szCs w:val="22"/>
        </w:rPr>
        <w:tab/>
      </w:r>
      <w:r w:rsidRPr="00CE7623">
        <w:rPr>
          <w:rFonts w:cs="Arial"/>
          <w:sz w:val="22"/>
          <w:szCs w:val="22"/>
        </w:rPr>
        <w:t xml:space="preserve">The </w:t>
      </w:r>
      <w:r>
        <w:rPr>
          <w:rFonts w:cs="Arial"/>
          <w:sz w:val="22"/>
          <w:szCs w:val="22"/>
        </w:rPr>
        <w:t xml:space="preserve">extent of the </w:t>
      </w:r>
      <w:r w:rsidRPr="00CE7623">
        <w:rPr>
          <w:rFonts w:cs="Arial"/>
          <w:sz w:val="22"/>
          <w:szCs w:val="22"/>
        </w:rPr>
        <w:t>study area is illustrated on the following plan</w:t>
      </w:r>
      <w:r>
        <w:rPr>
          <w:rFonts w:cs="Arial"/>
          <w:sz w:val="22"/>
          <w:szCs w:val="22"/>
        </w:rPr>
        <w:t>.</w:t>
      </w:r>
    </w:p>
    <w:p w:rsidR="00BE6554" w:rsidRDefault="00BE6554" w:rsidP="00BE6554">
      <w:pPr>
        <w:tabs>
          <w:tab w:val="left" w:pos="709"/>
        </w:tabs>
        <w:autoSpaceDE w:val="0"/>
        <w:autoSpaceDN w:val="0"/>
        <w:adjustRightInd w:val="0"/>
        <w:ind w:left="709" w:hanging="709"/>
        <w:rPr>
          <w:rFonts w:ascii="ArialMT" w:eastAsiaTheme="minorHAnsi" w:hAnsi="ArialMT" w:cs="ArialMT"/>
          <w:sz w:val="22"/>
          <w:szCs w:val="22"/>
        </w:rPr>
      </w:pPr>
    </w:p>
    <w:p w:rsidR="00CE7623" w:rsidRPr="00CE7623" w:rsidRDefault="00CE7623" w:rsidP="00CE7623">
      <w:pPr>
        <w:ind w:left="284"/>
        <w:rPr>
          <w:rFonts w:cs="Arial"/>
          <w:sz w:val="22"/>
          <w:szCs w:val="22"/>
        </w:rPr>
      </w:pPr>
    </w:p>
    <w:p w:rsidR="00FE238C" w:rsidRDefault="00FE238C" w:rsidP="00FE238C">
      <w:pPr>
        <w:ind w:left="284" w:hanging="397"/>
        <w:rPr>
          <w:rFonts w:cs="Arial"/>
          <w:sz w:val="22"/>
          <w:szCs w:val="22"/>
        </w:rPr>
      </w:pPr>
    </w:p>
    <w:p w:rsidR="007125A3" w:rsidRDefault="00144C85" w:rsidP="00CE7623">
      <w:pPr>
        <w:rPr>
          <w:rFonts w:cs="Arial"/>
          <w:sz w:val="22"/>
          <w:szCs w:val="22"/>
        </w:rPr>
      </w:pPr>
      <w:r>
        <w:rPr>
          <w:i/>
          <w:noProof/>
          <w:lang w:eastAsia="en-GB"/>
        </w:rPr>
        <w:t xml:space="preserve"> </w:t>
      </w:r>
      <w:r w:rsidR="00CE7623">
        <w:rPr>
          <w:i/>
          <w:noProof/>
          <w:lang w:eastAsia="en-GB"/>
        </w:rPr>
        <w:drawing>
          <wp:inline distT="0" distB="0" distL="0" distR="0" wp14:anchorId="366709C3" wp14:editId="29EE4001">
            <wp:extent cx="5218344" cy="7467600"/>
            <wp:effectExtent l="0" t="0" r="1905" b="0"/>
            <wp:docPr id="1" name="Picture 3" descr="Description: \\fs1\policy\Local Development Framework\DPD - Dev Plan Doc\Local Development Plan\Preferred Options Document\Images for Limehouse\Key Diagrams\Central Area Key Diagram_rev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s1\policy\Local Development Framework\DPD - Dev Plan Doc\Local Development Plan\Preferred Options Document\Images for Limehouse\Key Diagrams\Central Area Key Diagram_rev 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7522" cy="7480733"/>
                    </a:xfrm>
                    <a:prstGeom prst="rect">
                      <a:avLst/>
                    </a:prstGeom>
                    <a:noFill/>
                    <a:ln>
                      <a:noFill/>
                    </a:ln>
                  </pic:spPr>
                </pic:pic>
              </a:graphicData>
            </a:graphic>
          </wp:inline>
        </w:drawing>
      </w:r>
    </w:p>
    <w:p w:rsidR="00CE7623" w:rsidRDefault="00CE7623" w:rsidP="00CE7623">
      <w:pPr>
        <w:rPr>
          <w:rFonts w:cs="Arial"/>
          <w:sz w:val="22"/>
          <w:szCs w:val="22"/>
        </w:rPr>
      </w:pPr>
    </w:p>
    <w:p w:rsidR="00CE7623" w:rsidRDefault="00CE7623" w:rsidP="00CE7623">
      <w:pPr>
        <w:rPr>
          <w:rFonts w:cs="Arial"/>
          <w:sz w:val="22"/>
          <w:szCs w:val="22"/>
        </w:rPr>
      </w:pPr>
    </w:p>
    <w:p w:rsidR="00CE7623" w:rsidRDefault="00CE7623" w:rsidP="00CE7623">
      <w:pPr>
        <w:rPr>
          <w:rFonts w:cs="Arial"/>
          <w:sz w:val="22"/>
          <w:szCs w:val="22"/>
        </w:rPr>
      </w:pPr>
    </w:p>
    <w:p w:rsidR="00CE7623" w:rsidRDefault="00CE7623" w:rsidP="00CE7623">
      <w:pPr>
        <w:rPr>
          <w:rFonts w:cs="Arial"/>
          <w:sz w:val="22"/>
          <w:szCs w:val="22"/>
        </w:rPr>
      </w:pPr>
    </w:p>
    <w:p w:rsidR="00BE6554" w:rsidRPr="00BE6554" w:rsidRDefault="009053E8" w:rsidP="00BE6554">
      <w:pPr>
        <w:ind w:left="284" w:hanging="397"/>
        <w:rPr>
          <w:rFonts w:cs="Arial"/>
          <w:sz w:val="22"/>
          <w:szCs w:val="22"/>
        </w:rPr>
      </w:pPr>
      <w:r w:rsidRPr="00BE6554">
        <w:rPr>
          <w:rFonts w:cs="Arial"/>
          <w:sz w:val="22"/>
          <w:szCs w:val="22"/>
        </w:rPr>
        <w:t>2.2</w:t>
      </w:r>
      <w:r w:rsidRPr="00BE6554">
        <w:rPr>
          <w:rFonts w:cs="Arial"/>
          <w:sz w:val="22"/>
          <w:szCs w:val="22"/>
        </w:rPr>
        <w:tab/>
      </w:r>
      <w:r w:rsidR="00BE6554" w:rsidRPr="00BE6554">
        <w:rPr>
          <w:rFonts w:cs="Arial"/>
          <w:sz w:val="22"/>
          <w:szCs w:val="22"/>
        </w:rPr>
        <w:t>The public realm will need to be improved to enhance the quality of the Central Area and allow visitors to easily access the historic and tourist locations by foot. Care will be required to minimise conflicts between road users and pedestrians. Car parking spaces should be retained in the Central Area to enable visitors and tourists alike to take advantage of the key assets. Creating a well ordered public realm which reduces congestion is critical to the future success of the Central Area as a destination.</w:t>
      </w:r>
    </w:p>
    <w:p w:rsidR="00BE6554" w:rsidRPr="00BE6554" w:rsidRDefault="00BE6554" w:rsidP="00BE6554">
      <w:pPr>
        <w:ind w:left="284" w:hanging="397"/>
        <w:rPr>
          <w:rFonts w:cs="Arial"/>
          <w:sz w:val="22"/>
          <w:szCs w:val="22"/>
        </w:rPr>
      </w:pPr>
    </w:p>
    <w:p w:rsidR="00BE6554" w:rsidRPr="00BE6554" w:rsidRDefault="00BE6554" w:rsidP="00BE6554">
      <w:pPr>
        <w:ind w:left="284" w:hanging="397"/>
        <w:rPr>
          <w:rFonts w:cs="Arial"/>
          <w:sz w:val="22"/>
          <w:szCs w:val="22"/>
        </w:rPr>
      </w:pPr>
      <w:r w:rsidRPr="00BE6554">
        <w:rPr>
          <w:rFonts w:cs="Arial"/>
          <w:sz w:val="22"/>
          <w:szCs w:val="22"/>
        </w:rPr>
        <w:t>2.4</w:t>
      </w:r>
      <w:r w:rsidRPr="00BE6554">
        <w:rPr>
          <w:rFonts w:cs="Arial"/>
          <w:sz w:val="22"/>
          <w:szCs w:val="22"/>
        </w:rPr>
        <w:tab/>
      </w:r>
      <w:r w:rsidR="004C469E">
        <w:rPr>
          <w:rFonts w:cs="Arial"/>
          <w:sz w:val="22"/>
          <w:szCs w:val="22"/>
        </w:rPr>
        <w:t>The evolution of Maldon and Heybridge in terms of heritage, local character and economy is a direct function of its situation on the Blackwater estuary and the navigation.</w:t>
      </w:r>
      <w:r w:rsidR="00144C85">
        <w:rPr>
          <w:rFonts w:cs="Arial"/>
          <w:sz w:val="22"/>
          <w:szCs w:val="22"/>
        </w:rPr>
        <w:t xml:space="preserve"> </w:t>
      </w:r>
      <w:r w:rsidR="004C469E">
        <w:rPr>
          <w:rFonts w:cs="Arial"/>
          <w:sz w:val="22"/>
          <w:szCs w:val="22"/>
        </w:rPr>
        <w:t>Maldon geography has therefore been central in informing its character and sense of place.</w:t>
      </w:r>
      <w:r w:rsidR="00144C85">
        <w:rPr>
          <w:rFonts w:cs="Arial"/>
          <w:sz w:val="22"/>
          <w:szCs w:val="22"/>
        </w:rPr>
        <w:t xml:space="preserve"> </w:t>
      </w:r>
      <w:r w:rsidRPr="00BE6554">
        <w:rPr>
          <w:rFonts w:cs="Arial"/>
          <w:sz w:val="22"/>
          <w:szCs w:val="22"/>
        </w:rPr>
        <w:t>The natural and built environments are both key assets for the Central Area. The high quality built environment with its unique buildings and physical features, such as the Hythe, make it the place it is and why people want to visit. The built environment and the public places, such as the Promenade Park, contain many key cultural and heritage features which are a major draw and make the place unique and interesting.</w:t>
      </w:r>
    </w:p>
    <w:p w:rsidR="00BE6554" w:rsidRPr="00BE6554" w:rsidRDefault="00BE6554" w:rsidP="00BE6554">
      <w:pPr>
        <w:ind w:left="284" w:hanging="397"/>
        <w:rPr>
          <w:rFonts w:cs="Arial"/>
          <w:sz w:val="22"/>
          <w:szCs w:val="22"/>
        </w:rPr>
      </w:pPr>
    </w:p>
    <w:p w:rsidR="009053E8" w:rsidRPr="00BE6554" w:rsidRDefault="00BE6554" w:rsidP="00BE6554">
      <w:pPr>
        <w:ind w:left="284" w:hanging="397"/>
        <w:rPr>
          <w:rFonts w:cs="Arial"/>
          <w:sz w:val="22"/>
          <w:szCs w:val="22"/>
        </w:rPr>
      </w:pPr>
      <w:r w:rsidRPr="00BE6554">
        <w:rPr>
          <w:rFonts w:cs="Arial"/>
          <w:sz w:val="22"/>
          <w:szCs w:val="22"/>
        </w:rPr>
        <w:t>2.5</w:t>
      </w:r>
      <w:r w:rsidRPr="00BE6554">
        <w:rPr>
          <w:rFonts w:cs="Arial"/>
          <w:sz w:val="22"/>
          <w:szCs w:val="22"/>
        </w:rPr>
        <w:tab/>
        <w:t>The lower end of the High Street has potential for improvement. This part of the Town Centre has relatively low footfall compared to the rest of the High Street, which suggests that the area is isolated from key assets around it including the Hythe, the middle and upper High Street and other areas such as the Leisure Quarter. The lower end of the High Street is a critical part of the Central Area, as it connects and links to the Hythe, the Leisure Quarter and the middle and upper sections of the High Street.</w:t>
      </w:r>
    </w:p>
    <w:p w:rsidR="009053E8" w:rsidRPr="00BE6554" w:rsidRDefault="009053E8" w:rsidP="00BE6554">
      <w:pPr>
        <w:ind w:left="284" w:hanging="397"/>
        <w:rPr>
          <w:rFonts w:cs="Arial"/>
          <w:sz w:val="22"/>
          <w:szCs w:val="22"/>
        </w:rPr>
      </w:pPr>
    </w:p>
    <w:p w:rsidR="009053E8" w:rsidRPr="007125A3" w:rsidRDefault="009053E8" w:rsidP="00BE6554">
      <w:pPr>
        <w:ind w:left="284" w:hanging="397"/>
        <w:rPr>
          <w:rFonts w:cs="Arial"/>
          <w:sz w:val="22"/>
          <w:szCs w:val="22"/>
        </w:rPr>
      </w:pPr>
      <w:r>
        <w:rPr>
          <w:rFonts w:cs="Arial"/>
          <w:sz w:val="22"/>
          <w:szCs w:val="22"/>
        </w:rPr>
        <w:t>2.6</w:t>
      </w:r>
      <w:r>
        <w:rPr>
          <w:rFonts w:cs="Arial"/>
          <w:sz w:val="22"/>
          <w:szCs w:val="22"/>
        </w:rPr>
        <w:tab/>
      </w:r>
      <w:r w:rsidR="00BE6554">
        <w:rPr>
          <w:rFonts w:cs="Arial"/>
          <w:sz w:val="22"/>
          <w:szCs w:val="22"/>
        </w:rPr>
        <w:t>I</w:t>
      </w:r>
      <w:r w:rsidRPr="007125A3">
        <w:rPr>
          <w:rFonts w:cs="Arial"/>
          <w:sz w:val="22"/>
          <w:szCs w:val="22"/>
        </w:rPr>
        <w:t xml:space="preserve">t is intended that the </w:t>
      </w:r>
      <w:r w:rsidR="005D5179">
        <w:rPr>
          <w:rFonts w:cs="Arial"/>
          <w:sz w:val="22"/>
          <w:szCs w:val="22"/>
        </w:rPr>
        <w:t>Strategic Masterplan Framework</w:t>
      </w:r>
      <w:r w:rsidRPr="007125A3">
        <w:rPr>
          <w:rFonts w:cs="Arial"/>
          <w:sz w:val="22"/>
          <w:szCs w:val="22"/>
        </w:rPr>
        <w:t xml:space="preserve"> will be adopted as a Supplementary Planning Document.</w:t>
      </w:r>
    </w:p>
    <w:p w:rsidR="009053E8" w:rsidRPr="00BE6554" w:rsidRDefault="009053E8" w:rsidP="00BE6554">
      <w:pPr>
        <w:ind w:left="284" w:hanging="397"/>
        <w:rPr>
          <w:rFonts w:cs="Arial"/>
          <w:sz w:val="22"/>
          <w:szCs w:val="22"/>
        </w:rPr>
      </w:pPr>
    </w:p>
    <w:p w:rsidR="009E14C9" w:rsidRDefault="009E14C9" w:rsidP="009E14C9"/>
    <w:p w:rsidR="009E14C9" w:rsidRPr="00E529BB" w:rsidRDefault="00E529BB" w:rsidP="00BC5843">
      <w:pPr>
        <w:ind w:left="-113"/>
        <w:rPr>
          <w:rFonts w:cs="Arial"/>
          <w:b/>
          <w:sz w:val="22"/>
          <w:szCs w:val="22"/>
        </w:rPr>
      </w:pPr>
      <w:r>
        <w:rPr>
          <w:rFonts w:cs="Arial"/>
          <w:b/>
          <w:sz w:val="22"/>
          <w:szCs w:val="22"/>
        </w:rPr>
        <w:t>3.0</w:t>
      </w:r>
      <w:r w:rsidR="00144C85">
        <w:rPr>
          <w:rFonts w:cs="Arial"/>
          <w:b/>
          <w:sz w:val="22"/>
          <w:szCs w:val="22"/>
        </w:rPr>
        <w:t xml:space="preserve"> </w:t>
      </w:r>
      <w:r w:rsidR="00017AC2">
        <w:rPr>
          <w:rFonts w:cs="Arial"/>
          <w:b/>
          <w:sz w:val="22"/>
          <w:szCs w:val="22"/>
        </w:rPr>
        <w:t>P</w:t>
      </w:r>
      <w:r w:rsidR="009053E8">
        <w:rPr>
          <w:rFonts w:cs="Arial"/>
          <w:b/>
          <w:sz w:val="22"/>
          <w:szCs w:val="22"/>
        </w:rPr>
        <w:t xml:space="preserve">roject </w:t>
      </w:r>
      <w:r w:rsidR="00BC5843">
        <w:rPr>
          <w:rFonts w:cs="Arial"/>
          <w:b/>
          <w:sz w:val="22"/>
          <w:szCs w:val="22"/>
        </w:rPr>
        <w:t>B</w:t>
      </w:r>
      <w:r w:rsidR="009053E8">
        <w:rPr>
          <w:rFonts w:cs="Arial"/>
          <w:b/>
          <w:sz w:val="22"/>
          <w:szCs w:val="22"/>
        </w:rPr>
        <w:t>rief</w:t>
      </w:r>
    </w:p>
    <w:p w:rsidR="009E14C9" w:rsidRDefault="009E14C9" w:rsidP="009E14C9">
      <w:pPr>
        <w:rPr>
          <w:rFonts w:cs="Arial"/>
          <w:szCs w:val="24"/>
        </w:rPr>
      </w:pPr>
    </w:p>
    <w:p w:rsidR="009053E8" w:rsidRPr="00554517" w:rsidRDefault="006F3F7E" w:rsidP="00BE6554">
      <w:pPr>
        <w:ind w:left="284" w:hanging="397"/>
        <w:rPr>
          <w:rFonts w:cs="Arial"/>
          <w:sz w:val="22"/>
          <w:szCs w:val="22"/>
        </w:rPr>
      </w:pPr>
      <w:r w:rsidRPr="00BE6554">
        <w:rPr>
          <w:rFonts w:cs="Arial"/>
          <w:sz w:val="22"/>
          <w:szCs w:val="22"/>
        </w:rPr>
        <w:t xml:space="preserve">3.1 </w:t>
      </w:r>
      <w:r w:rsidR="00017AC2" w:rsidRPr="00BE6554">
        <w:rPr>
          <w:rFonts w:cs="Arial"/>
          <w:sz w:val="22"/>
          <w:szCs w:val="22"/>
        </w:rPr>
        <w:tab/>
      </w:r>
      <w:r w:rsidR="009053E8" w:rsidRPr="00554517">
        <w:rPr>
          <w:rFonts w:cs="Arial"/>
          <w:sz w:val="22"/>
          <w:szCs w:val="22"/>
        </w:rPr>
        <w:t>A significant amount of work has already been undertaken which will inform the preparation of the Central Area Masterplan including:</w:t>
      </w:r>
    </w:p>
    <w:p w:rsidR="009053E8" w:rsidRPr="00554517" w:rsidRDefault="009053E8" w:rsidP="00017AC2">
      <w:pPr>
        <w:tabs>
          <w:tab w:val="left" w:pos="709"/>
        </w:tabs>
        <w:autoSpaceDE w:val="0"/>
        <w:autoSpaceDN w:val="0"/>
        <w:adjustRightInd w:val="0"/>
        <w:ind w:left="709" w:hanging="709"/>
        <w:rPr>
          <w:rFonts w:ascii="ArialMT" w:eastAsiaTheme="minorHAnsi" w:hAnsi="ArialMT" w:cs="ArialMT"/>
          <w:sz w:val="22"/>
          <w:szCs w:val="22"/>
        </w:rPr>
      </w:pPr>
    </w:p>
    <w:p w:rsidR="000260CE" w:rsidRPr="000260CE" w:rsidRDefault="0031415E" w:rsidP="000260CE">
      <w:pPr>
        <w:pStyle w:val="NoSpacing"/>
        <w:numPr>
          <w:ilvl w:val="0"/>
          <w:numId w:val="27"/>
        </w:numPr>
        <w:rPr>
          <w:rFonts w:ascii="Arial" w:hAnsi="Arial" w:cs="Arial"/>
        </w:rPr>
      </w:pPr>
      <w:hyperlink r:id="rId10" w:history="1">
        <w:r w:rsidR="000260CE">
          <w:rPr>
            <w:rStyle w:val="Hyperlink"/>
            <w:rFonts w:ascii="Arial" w:hAnsi="Arial" w:cs="Arial"/>
            <w:b/>
          </w:rPr>
          <w:t>The Maldon and Heybridge Central Area Contextual Study (Allies and Morrison, June 2012)</w:t>
        </w:r>
      </w:hyperlink>
    </w:p>
    <w:p w:rsidR="009053E8" w:rsidRDefault="00273972" w:rsidP="000260CE">
      <w:pPr>
        <w:pStyle w:val="NoSpacing"/>
        <w:ind w:left="720"/>
        <w:rPr>
          <w:rFonts w:ascii="Arial" w:hAnsi="Arial" w:cs="Arial"/>
        </w:rPr>
      </w:pPr>
      <w:r w:rsidRPr="00554517">
        <w:rPr>
          <w:rFonts w:ascii="Arial" w:hAnsi="Arial" w:cs="Arial"/>
        </w:rPr>
        <w:t>Th</w:t>
      </w:r>
      <w:r w:rsidR="00017AC2" w:rsidRPr="00554517">
        <w:rPr>
          <w:rFonts w:ascii="Arial" w:hAnsi="Arial" w:cs="Arial"/>
        </w:rPr>
        <w:t>is</w:t>
      </w:r>
      <w:r w:rsidRPr="00554517">
        <w:rPr>
          <w:rFonts w:ascii="Arial" w:hAnsi="Arial" w:cs="Arial"/>
        </w:rPr>
        <w:t xml:space="preserve"> Study</w:t>
      </w:r>
      <w:r w:rsidR="00017AC2" w:rsidRPr="00554517">
        <w:rPr>
          <w:rFonts w:ascii="Arial" w:hAnsi="Arial" w:cs="Arial"/>
        </w:rPr>
        <w:t xml:space="preserve"> </w:t>
      </w:r>
      <w:r w:rsidRPr="00554517">
        <w:rPr>
          <w:rFonts w:ascii="Arial" w:hAnsi="Arial" w:cs="Arial"/>
        </w:rPr>
        <w:t>provides an urban analysis of the area and</w:t>
      </w:r>
      <w:r w:rsidR="00017AC2" w:rsidRPr="00554517">
        <w:rPr>
          <w:rFonts w:ascii="Arial" w:hAnsi="Arial" w:cs="Arial"/>
        </w:rPr>
        <w:t xml:space="preserve"> </w:t>
      </w:r>
      <w:r w:rsidRPr="00554517">
        <w:rPr>
          <w:rFonts w:ascii="Arial" w:hAnsi="Arial" w:cs="Arial"/>
        </w:rPr>
        <w:t xml:space="preserve">outlines opportunities for improvement. </w:t>
      </w:r>
    </w:p>
    <w:p w:rsidR="000260CE" w:rsidRPr="00554517" w:rsidRDefault="000260CE" w:rsidP="000260CE">
      <w:pPr>
        <w:pStyle w:val="NoSpacing"/>
        <w:ind w:left="720"/>
        <w:rPr>
          <w:rFonts w:ascii="Arial" w:hAnsi="Arial" w:cs="Arial"/>
        </w:rPr>
      </w:pPr>
    </w:p>
    <w:p w:rsidR="000260CE" w:rsidRPr="000260CE" w:rsidRDefault="0031415E" w:rsidP="000260CE">
      <w:pPr>
        <w:pStyle w:val="NoSpacing"/>
        <w:numPr>
          <w:ilvl w:val="0"/>
          <w:numId w:val="27"/>
        </w:numPr>
        <w:rPr>
          <w:rFonts w:ascii="Arial" w:hAnsi="Arial" w:cs="Arial"/>
        </w:rPr>
      </w:pPr>
      <w:hyperlink r:id="rId11" w:history="1">
        <w:r w:rsidR="000260CE">
          <w:rPr>
            <w:rStyle w:val="Hyperlink"/>
            <w:rFonts w:ascii="Arial" w:hAnsi="Arial" w:cs="Arial"/>
            <w:b/>
          </w:rPr>
          <w:t xml:space="preserve">The Maldon and Heybridge Central Area Intermediate Study (Allies and Morrison, August 2014) </w:t>
        </w:r>
      </w:hyperlink>
    </w:p>
    <w:p w:rsidR="009053E8" w:rsidRDefault="00273972" w:rsidP="000260CE">
      <w:pPr>
        <w:pStyle w:val="NoSpacing"/>
        <w:ind w:left="720"/>
        <w:rPr>
          <w:rFonts w:ascii="Arial" w:hAnsi="Arial" w:cs="Arial"/>
        </w:rPr>
      </w:pPr>
      <w:r w:rsidRPr="00554517">
        <w:rPr>
          <w:rFonts w:ascii="Arial" w:hAnsi="Arial" w:cs="Arial"/>
        </w:rPr>
        <w:t>This Study follows on from the Contextual Study. It further analyses the Maldon and Heybridge Central Area, sets out possible area strategies for The Causeway Regeneration Area, Maldon Central and the Leisure Quarter and recommendations for key opportunity sites. It also incorporates details of the vision workshop and test and review session undertaken with key stakeholders.</w:t>
      </w:r>
    </w:p>
    <w:p w:rsidR="000260CE" w:rsidRPr="00554517" w:rsidRDefault="000260CE" w:rsidP="000260CE">
      <w:pPr>
        <w:pStyle w:val="NoSpacing"/>
        <w:ind w:left="720"/>
        <w:rPr>
          <w:rFonts w:ascii="Arial" w:hAnsi="Arial" w:cs="Arial"/>
        </w:rPr>
      </w:pPr>
    </w:p>
    <w:p w:rsidR="000260CE" w:rsidRPr="000260CE" w:rsidRDefault="0031415E" w:rsidP="000260CE">
      <w:pPr>
        <w:pStyle w:val="NoSpacing"/>
        <w:numPr>
          <w:ilvl w:val="0"/>
          <w:numId w:val="27"/>
        </w:numPr>
        <w:rPr>
          <w:rFonts w:ascii="Arial" w:hAnsi="Arial" w:cs="Arial"/>
        </w:rPr>
      </w:pPr>
      <w:hyperlink r:id="rId12" w:history="1">
        <w:r w:rsidR="000260CE">
          <w:rPr>
            <w:rStyle w:val="Hyperlink"/>
            <w:rFonts w:ascii="Arial" w:hAnsi="Arial" w:cs="Arial"/>
            <w:b/>
          </w:rPr>
          <w:t xml:space="preserve">The Causeway Regeneration Area Development and Improvement Plan, (BBP Regeneration, August 2015) </w:t>
        </w:r>
      </w:hyperlink>
    </w:p>
    <w:p w:rsidR="009053E8" w:rsidRPr="00554517" w:rsidRDefault="00273972" w:rsidP="000260CE">
      <w:pPr>
        <w:pStyle w:val="NoSpacing"/>
        <w:ind w:left="720"/>
        <w:rPr>
          <w:rFonts w:ascii="Arial" w:hAnsi="Arial" w:cs="Arial"/>
        </w:rPr>
      </w:pPr>
      <w:r w:rsidRPr="00554517">
        <w:rPr>
          <w:rFonts w:ascii="Arial" w:hAnsi="Arial" w:cs="Arial"/>
        </w:rPr>
        <w:t xml:space="preserve">This report focusses on the issues that are holding the Causeway Regeneration Area back and devises practical and deliverable solutions to help the area fulfil its economic development potential. The Development and Improvement Plan takes account of the Maldon </w:t>
      </w:r>
      <w:r w:rsidR="00144C85">
        <w:rPr>
          <w:rFonts w:ascii="Arial" w:hAnsi="Arial" w:cs="Arial"/>
        </w:rPr>
        <w:t>District</w:t>
      </w:r>
      <w:r w:rsidRPr="00554517">
        <w:rPr>
          <w:rFonts w:ascii="Arial" w:hAnsi="Arial" w:cs="Arial"/>
        </w:rPr>
        <w:t xml:space="preserve"> Economic Prosperity Strategy that articulates a high-level vision for the development of the local economy over the next 15 years and corresponds with the priorities of the Essex Growth Strategy and Integrated County Strategy.</w:t>
      </w:r>
    </w:p>
    <w:p w:rsidR="00273972" w:rsidRPr="00554517" w:rsidRDefault="00273972" w:rsidP="006F3F7E">
      <w:pPr>
        <w:ind w:left="284" w:hanging="397"/>
        <w:rPr>
          <w:rFonts w:cs="Arial"/>
          <w:sz w:val="22"/>
          <w:szCs w:val="22"/>
        </w:rPr>
      </w:pPr>
    </w:p>
    <w:p w:rsidR="00FF14BA" w:rsidRDefault="00554517" w:rsidP="00554517">
      <w:pPr>
        <w:ind w:left="284" w:hanging="397"/>
        <w:rPr>
          <w:rFonts w:cs="Arial"/>
          <w:sz w:val="22"/>
          <w:szCs w:val="22"/>
        </w:rPr>
      </w:pPr>
      <w:r>
        <w:rPr>
          <w:rFonts w:cs="Arial"/>
          <w:sz w:val="22"/>
          <w:szCs w:val="22"/>
        </w:rPr>
        <w:t>3.2</w:t>
      </w:r>
      <w:r>
        <w:rPr>
          <w:rFonts w:cs="Arial"/>
          <w:sz w:val="22"/>
          <w:szCs w:val="22"/>
        </w:rPr>
        <w:tab/>
      </w:r>
      <w:r w:rsidRPr="00554517">
        <w:rPr>
          <w:rFonts w:cs="Arial"/>
          <w:sz w:val="22"/>
          <w:szCs w:val="22"/>
        </w:rPr>
        <w:t xml:space="preserve">The Masterplan should build directly on the guidance contained in the Maldon and Heybridge Central Area Intermediate Study and the Causeway Regeneration Area Development and Improvement Plan. In particular, it should be specific on where new investment should be directed and where the preparation of more detailed guidance will be required. </w:t>
      </w:r>
    </w:p>
    <w:p w:rsidR="00554517" w:rsidRPr="00554517" w:rsidRDefault="00554517" w:rsidP="00554517">
      <w:pPr>
        <w:ind w:left="284"/>
        <w:rPr>
          <w:rFonts w:cs="Arial"/>
          <w:sz w:val="22"/>
          <w:szCs w:val="22"/>
        </w:rPr>
      </w:pPr>
    </w:p>
    <w:p w:rsidR="00583E41" w:rsidRPr="00583E41" w:rsidRDefault="00FF14BA" w:rsidP="00583E41">
      <w:pPr>
        <w:ind w:left="284" w:hanging="397"/>
        <w:rPr>
          <w:sz w:val="22"/>
          <w:szCs w:val="22"/>
        </w:rPr>
      </w:pPr>
      <w:r>
        <w:rPr>
          <w:rFonts w:cs="Arial"/>
          <w:sz w:val="22"/>
          <w:szCs w:val="22"/>
        </w:rPr>
        <w:t>3.</w:t>
      </w:r>
      <w:r w:rsidR="00554517">
        <w:rPr>
          <w:rFonts w:cs="Arial"/>
          <w:sz w:val="22"/>
          <w:szCs w:val="22"/>
        </w:rPr>
        <w:t>3</w:t>
      </w:r>
      <w:r>
        <w:rPr>
          <w:rFonts w:cs="Arial"/>
          <w:sz w:val="22"/>
          <w:szCs w:val="22"/>
        </w:rPr>
        <w:tab/>
      </w:r>
      <w:r w:rsidR="00017AC2" w:rsidRPr="00BE6554">
        <w:rPr>
          <w:rFonts w:cs="Arial"/>
          <w:sz w:val="22"/>
          <w:szCs w:val="22"/>
        </w:rPr>
        <w:t xml:space="preserve">The appointed consultant will be required to review and build upon the existing evidence base and work undertaken to date in preparing the Strategic Masterplan Framework. </w:t>
      </w:r>
      <w:r>
        <w:rPr>
          <w:rFonts w:cs="Arial"/>
          <w:sz w:val="22"/>
          <w:szCs w:val="22"/>
        </w:rPr>
        <w:t xml:space="preserve">All documents are available on the </w:t>
      </w:r>
      <w:r w:rsidR="00E6488D">
        <w:rPr>
          <w:rFonts w:cs="Arial"/>
          <w:sz w:val="22"/>
          <w:szCs w:val="22"/>
        </w:rPr>
        <w:t>Council</w:t>
      </w:r>
      <w:r>
        <w:rPr>
          <w:rFonts w:cs="Arial"/>
          <w:sz w:val="22"/>
          <w:szCs w:val="22"/>
        </w:rPr>
        <w:t xml:space="preserve">’s web site: </w:t>
      </w:r>
      <w:hyperlink r:id="rId13" w:history="1">
        <w:r w:rsidR="00583E41" w:rsidRPr="00270771">
          <w:rPr>
            <w:rStyle w:val="Hyperlink"/>
            <w:sz w:val="22"/>
            <w:szCs w:val="22"/>
          </w:rPr>
          <w:t xml:space="preserve">http://www.maldon.gov.uk/info/856/local_development_plan/422/pre- </w:t>
        </w:r>
        <w:proofErr w:type="spellStart"/>
        <w:r w:rsidR="00583E41" w:rsidRPr="00270771">
          <w:rPr>
            <w:rStyle w:val="Hyperlink"/>
            <w:sz w:val="22"/>
            <w:szCs w:val="22"/>
          </w:rPr>
          <w:t>submission_local_development_plan_evidence_base</w:t>
        </w:r>
        <w:proofErr w:type="spellEnd"/>
      </w:hyperlink>
      <w:r w:rsidR="00583E41">
        <w:rPr>
          <w:rStyle w:val="Hyperlink"/>
          <w:rFonts w:cs="Arial"/>
          <w:sz w:val="22"/>
          <w:szCs w:val="22"/>
        </w:rPr>
        <w:t xml:space="preserve">. </w:t>
      </w:r>
      <w:r w:rsidR="00583E41" w:rsidRPr="00583E41">
        <w:rPr>
          <w:rStyle w:val="Hyperlink"/>
          <w:rFonts w:cs="Arial"/>
          <w:color w:val="auto"/>
          <w:sz w:val="22"/>
          <w:szCs w:val="22"/>
          <w:u w:val="none"/>
        </w:rPr>
        <w:t xml:space="preserve">The consultant will also be expected to </w:t>
      </w:r>
      <w:r w:rsidR="00583E41" w:rsidRPr="00583E41">
        <w:rPr>
          <w:sz w:val="22"/>
          <w:szCs w:val="22"/>
        </w:rPr>
        <w:t xml:space="preserve">review: </w:t>
      </w:r>
    </w:p>
    <w:p w:rsidR="00583E41" w:rsidRDefault="00583E41" w:rsidP="00583E41">
      <w:pPr>
        <w:pStyle w:val="Default"/>
        <w:rPr>
          <w:sz w:val="22"/>
          <w:szCs w:val="22"/>
        </w:rPr>
      </w:pPr>
    </w:p>
    <w:p w:rsidR="00583E41" w:rsidRPr="00554517" w:rsidRDefault="00583E41" w:rsidP="00554517">
      <w:pPr>
        <w:pStyle w:val="NoSpacing"/>
        <w:numPr>
          <w:ilvl w:val="0"/>
          <w:numId w:val="27"/>
        </w:numPr>
        <w:rPr>
          <w:rFonts w:ascii="Arial" w:hAnsi="Arial" w:cs="Arial"/>
        </w:rPr>
      </w:pPr>
      <w:r w:rsidRPr="00554517">
        <w:rPr>
          <w:rFonts w:ascii="Arial" w:hAnsi="Arial" w:cs="Arial"/>
        </w:rPr>
        <w:t>Relevant National and Local planning policy guidance including LDP Policies;</w:t>
      </w:r>
    </w:p>
    <w:p w:rsidR="00583E41" w:rsidRPr="00554517" w:rsidRDefault="00583E41" w:rsidP="00554517">
      <w:pPr>
        <w:pStyle w:val="NoSpacing"/>
        <w:numPr>
          <w:ilvl w:val="0"/>
          <w:numId w:val="27"/>
        </w:numPr>
        <w:rPr>
          <w:rFonts w:ascii="Arial" w:hAnsi="Arial" w:cs="Arial"/>
        </w:rPr>
      </w:pPr>
      <w:r w:rsidRPr="00554517">
        <w:rPr>
          <w:rFonts w:ascii="Arial" w:hAnsi="Arial" w:cs="Arial"/>
        </w:rPr>
        <w:t>Previous studies relating to the Maldon and Heybridge Central Area referred to in Section 3</w:t>
      </w:r>
    </w:p>
    <w:p w:rsidR="00583E41" w:rsidRDefault="00583E41" w:rsidP="00554517">
      <w:pPr>
        <w:pStyle w:val="NoSpacing"/>
        <w:numPr>
          <w:ilvl w:val="0"/>
          <w:numId w:val="27"/>
        </w:numPr>
        <w:rPr>
          <w:rFonts w:ascii="Arial" w:hAnsi="Arial" w:cs="Arial"/>
        </w:rPr>
      </w:pPr>
      <w:r w:rsidRPr="00554517">
        <w:rPr>
          <w:rFonts w:ascii="Arial" w:hAnsi="Arial" w:cs="Arial"/>
        </w:rPr>
        <w:t>Relevant evidence base documents including the Maldon Retail Study (White Young Green, July 2015) and the Employment Evidence and Policy Update (</w:t>
      </w:r>
      <w:proofErr w:type="spellStart"/>
      <w:r w:rsidRPr="00554517">
        <w:rPr>
          <w:rFonts w:ascii="Arial" w:hAnsi="Arial" w:cs="Arial"/>
        </w:rPr>
        <w:t>Hardisty</w:t>
      </w:r>
      <w:proofErr w:type="spellEnd"/>
      <w:r w:rsidRPr="00554517">
        <w:rPr>
          <w:rFonts w:ascii="Arial" w:hAnsi="Arial" w:cs="Arial"/>
        </w:rPr>
        <w:t xml:space="preserve"> Jones, July 2015)</w:t>
      </w:r>
    </w:p>
    <w:p w:rsidR="00583E41" w:rsidRPr="00554517" w:rsidRDefault="00583E41" w:rsidP="00554517">
      <w:pPr>
        <w:pStyle w:val="NoSpacing"/>
        <w:numPr>
          <w:ilvl w:val="0"/>
          <w:numId w:val="27"/>
        </w:numPr>
        <w:rPr>
          <w:rFonts w:ascii="Arial" w:hAnsi="Arial" w:cs="Arial"/>
        </w:rPr>
      </w:pPr>
      <w:r w:rsidRPr="00554517">
        <w:rPr>
          <w:rFonts w:ascii="Arial" w:hAnsi="Arial" w:cs="Arial"/>
        </w:rPr>
        <w:t>Relevant SPDs</w:t>
      </w:r>
    </w:p>
    <w:p w:rsidR="00583E41" w:rsidRPr="00554517" w:rsidRDefault="00583E41" w:rsidP="00554517">
      <w:pPr>
        <w:pStyle w:val="NoSpacing"/>
        <w:numPr>
          <w:ilvl w:val="0"/>
          <w:numId w:val="27"/>
        </w:numPr>
        <w:rPr>
          <w:rFonts w:ascii="Arial" w:hAnsi="Arial" w:cs="Arial"/>
        </w:rPr>
      </w:pPr>
      <w:r w:rsidRPr="00554517">
        <w:rPr>
          <w:rFonts w:ascii="Arial" w:hAnsi="Arial" w:cs="Arial"/>
        </w:rPr>
        <w:t xml:space="preserve">Recent Planning Applications including Lidl, Aquila/Aldi, The Moorings on Causeway, </w:t>
      </w:r>
      <w:proofErr w:type="spellStart"/>
      <w:r w:rsidRPr="00554517">
        <w:rPr>
          <w:rFonts w:ascii="Arial" w:hAnsi="Arial" w:cs="Arial"/>
        </w:rPr>
        <w:t>Orths</w:t>
      </w:r>
      <w:proofErr w:type="spellEnd"/>
      <w:r w:rsidRPr="00554517">
        <w:rPr>
          <w:rFonts w:ascii="Arial" w:hAnsi="Arial" w:cs="Arial"/>
        </w:rPr>
        <w:t xml:space="preserve"> Garage Site and White Horse Lane Car Park, Maldon Town Centre</w:t>
      </w:r>
    </w:p>
    <w:p w:rsidR="00583E41" w:rsidRDefault="00583E41" w:rsidP="00554517">
      <w:pPr>
        <w:pStyle w:val="NoSpacing"/>
        <w:numPr>
          <w:ilvl w:val="0"/>
          <w:numId w:val="27"/>
        </w:numPr>
        <w:rPr>
          <w:rFonts w:ascii="Arial" w:hAnsi="Arial" w:cs="Arial"/>
        </w:rPr>
      </w:pPr>
      <w:r w:rsidRPr="00554517">
        <w:rPr>
          <w:rFonts w:ascii="Arial" w:hAnsi="Arial" w:cs="Arial"/>
        </w:rPr>
        <w:t xml:space="preserve">Hythe Quay improvements and links with </w:t>
      </w:r>
      <w:proofErr w:type="spellStart"/>
      <w:r w:rsidRPr="00554517">
        <w:rPr>
          <w:rFonts w:ascii="Arial" w:hAnsi="Arial" w:cs="Arial"/>
        </w:rPr>
        <w:t>Northey</w:t>
      </w:r>
      <w:proofErr w:type="spellEnd"/>
      <w:r w:rsidRPr="00554517">
        <w:rPr>
          <w:rFonts w:ascii="Arial" w:hAnsi="Arial" w:cs="Arial"/>
        </w:rPr>
        <w:t xml:space="preserve"> Island </w:t>
      </w:r>
      <w:r w:rsidR="000522CE">
        <w:rPr>
          <w:rFonts w:ascii="Arial" w:hAnsi="Arial" w:cs="Arial"/>
        </w:rPr>
        <w:t>and the Battle of Maldon site</w:t>
      </w:r>
      <w:r w:rsidR="000522CE" w:rsidRPr="00554517">
        <w:rPr>
          <w:rFonts w:ascii="Arial" w:hAnsi="Arial" w:cs="Arial"/>
        </w:rPr>
        <w:t xml:space="preserve"> </w:t>
      </w:r>
      <w:r w:rsidRPr="00554517">
        <w:rPr>
          <w:rFonts w:ascii="Arial" w:hAnsi="Arial" w:cs="Arial"/>
        </w:rPr>
        <w:t>– Coastal Revival Funding – Leisure Quarter</w:t>
      </w:r>
    </w:p>
    <w:p w:rsidR="00B72ACD" w:rsidRPr="00B72ACD" w:rsidRDefault="00B72ACD" w:rsidP="00B72ACD">
      <w:pPr>
        <w:pStyle w:val="NoSpacing"/>
        <w:numPr>
          <w:ilvl w:val="0"/>
          <w:numId w:val="27"/>
        </w:numPr>
        <w:rPr>
          <w:rFonts w:ascii="Arial" w:hAnsi="Arial" w:cs="Arial"/>
        </w:rPr>
      </w:pPr>
      <w:r>
        <w:rPr>
          <w:rFonts w:ascii="Arial" w:hAnsi="Arial" w:cs="Arial"/>
        </w:rPr>
        <w:t>Key environmental initiatives such as the proposed Green Infrastructure network and t</w:t>
      </w:r>
      <w:r w:rsidRPr="00AB71DE">
        <w:rPr>
          <w:rFonts w:ascii="Arial" w:hAnsi="Arial" w:cs="Arial"/>
        </w:rPr>
        <w:t xml:space="preserve">he role of Promenade Park as the </w:t>
      </w:r>
      <w:r>
        <w:rPr>
          <w:rFonts w:ascii="Arial" w:hAnsi="Arial" w:cs="Arial"/>
        </w:rPr>
        <w:t>central</w:t>
      </w:r>
      <w:r w:rsidRPr="00AB71DE">
        <w:rPr>
          <w:rFonts w:ascii="Arial" w:hAnsi="Arial" w:cs="Arial"/>
        </w:rPr>
        <w:t xml:space="preserve"> greenspace</w:t>
      </w:r>
      <w:r>
        <w:rPr>
          <w:rFonts w:ascii="Arial" w:hAnsi="Arial" w:cs="Arial"/>
        </w:rPr>
        <w:t xml:space="preserve"> in the </w:t>
      </w:r>
      <w:r w:rsidR="00144C85">
        <w:rPr>
          <w:rFonts w:ascii="Arial" w:hAnsi="Arial" w:cs="Arial"/>
        </w:rPr>
        <w:t>District</w:t>
      </w:r>
    </w:p>
    <w:p w:rsidR="00017AC2" w:rsidRDefault="00017AC2" w:rsidP="00FF14BA">
      <w:pPr>
        <w:ind w:left="284"/>
        <w:rPr>
          <w:rStyle w:val="Hyperlink"/>
          <w:rFonts w:cs="Arial"/>
          <w:sz w:val="22"/>
          <w:szCs w:val="22"/>
        </w:rPr>
      </w:pPr>
    </w:p>
    <w:p w:rsidR="00017AC2" w:rsidRPr="00FF14BA" w:rsidRDefault="00017AC2" w:rsidP="00BE6554">
      <w:pPr>
        <w:ind w:left="284" w:hanging="397"/>
        <w:rPr>
          <w:rFonts w:ascii="ArialMT" w:eastAsiaTheme="minorHAnsi" w:hAnsi="ArialMT" w:cs="ArialMT"/>
          <w:sz w:val="22"/>
          <w:szCs w:val="22"/>
        </w:rPr>
      </w:pPr>
      <w:r w:rsidRPr="00FF14BA">
        <w:rPr>
          <w:rFonts w:cs="Arial"/>
          <w:sz w:val="22"/>
          <w:szCs w:val="22"/>
        </w:rPr>
        <w:t>3.</w:t>
      </w:r>
      <w:r w:rsidR="00FF14BA">
        <w:rPr>
          <w:rFonts w:cs="Arial"/>
          <w:sz w:val="22"/>
          <w:szCs w:val="22"/>
        </w:rPr>
        <w:t>4</w:t>
      </w:r>
      <w:r w:rsidRPr="00FF14BA">
        <w:rPr>
          <w:rFonts w:cs="Arial"/>
          <w:sz w:val="22"/>
          <w:szCs w:val="22"/>
        </w:rPr>
        <w:tab/>
        <w:t>In accordance with Policy S5, the Strategic Masterplan Framework will be required to incorporate a number of key projects that will contribute to the delivery of the development strategy for the Central Area. These projects are identified in the following table and will be delivered alongside other programmes and projects through the Central Area Masterplan.</w:t>
      </w:r>
    </w:p>
    <w:p w:rsidR="00017AC2" w:rsidRPr="00017AC2" w:rsidRDefault="00017AC2" w:rsidP="00017AC2">
      <w:pPr>
        <w:ind w:left="284" w:hanging="397"/>
        <w:rPr>
          <w:rFonts w:cs="Arial"/>
          <w:sz w:val="22"/>
          <w:szCs w:val="22"/>
        </w:rPr>
      </w:pPr>
    </w:p>
    <w:tbl>
      <w:tblPr>
        <w:tblStyle w:val="TableGrid"/>
        <w:tblW w:w="9072" w:type="dxa"/>
        <w:tblInd w:w="250" w:type="dxa"/>
        <w:tblLook w:val="04A0" w:firstRow="1" w:lastRow="0" w:firstColumn="1" w:lastColumn="0" w:noHBand="0" w:noVBand="1"/>
      </w:tblPr>
      <w:tblGrid>
        <w:gridCol w:w="2126"/>
        <w:gridCol w:w="1985"/>
        <w:gridCol w:w="4961"/>
      </w:tblGrid>
      <w:tr w:rsidR="00017AC2" w:rsidRPr="009053E8" w:rsidTr="00BC5843">
        <w:tc>
          <w:tcPr>
            <w:tcW w:w="2126" w:type="dxa"/>
            <w:shd w:val="clear" w:color="auto" w:fill="F2F2F2" w:themeFill="background1" w:themeFillShade="F2"/>
          </w:tcPr>
          <w:p w:rsidR="00017AC2" w:rsidRPr="00BC5843" w:rsidRDefault="00017AC2" w:rsidP="00812144">
            <w:pPr>
              <w:tabs>
                <w:tab w:val="left" w:pos="709"/>
              </w:tabs>
              <w:autoSpaceDE w:val="0"/>
              <w:autoSpaceDN w:val="0"/>
              <w:adjustRightInd w:val="0"/>
              <w:rPr>
                <w:rFonts w:eastAsiaTheme="minorHAnsi" w:cs="Arial"/>
                <w:b/>
                <w:sz w:val="22"/>
                <w:szCs w:val="22"/>
              </w:rPr>
            </w:pPr>
            <w:r w:rsidRPr="00BC5843">
              <w:rPr>
                <w:rFonts w:eastAsiaTheme="minorHAnsi" w:cs="Arial"/>
                <w:b/>
                <w:sz w:val="22"/>
                <w:szCs w:val="22"/>
              </w:rPr>
              <w:t>AREA</w:t>
            </w:r>
          </w:p>
        </w:tc>
        <w:tc>
          <w:tcPr>
            <w:tcW w:w="1985" w:type="dxa"/>
            <w:shd w:val="clear" w:color="auto" w:fill="F2F2F2" w:themeFill="background1" w:themeFillShade="F2"/>
          </w:tcPr>
          <w:p w:rsidR="00017AC2" w:rsidRPr="00BC5843" w:rsidRDefault="00017AC2" w:rsidP="00812144">
            <w:pPr>
              <w:tabs>
                <w:tab w:val="left" w:pos="709"/>
              </w:tabs>
              <w:autoSpaceDE w:val="0"/>
              <w:autoSpaceDN w:val="0"/>
              <w:adjustRightInd w:val="0"/>
              <w:rPr>
                <w:rFonts w:eastAsiaTheme="minorHAnsi" w:cs="Arial"/>
                <w:b/>
                <w:sz w:val="22"/>
                <w:szCs w:val="22"/>
              </w:rPr>
            </w:pPr>
            <w:r w:rsidRPr="00BC5843">
              <w:rPr>
                <w:rFonts w:eastAsiaTheme="minorHAnsi" w:cs="Arial"/>
                <w:b/>
                <w:sz w:val="22"/>
                <w:szCs w:val="22"/>
              </w:rPr>
              <w:t>KEY PRODUCTS</w:t>
            </w:r>
          </w:p>
        </w:tc>
        <w:tc>
          <w:tcPr>
            <w:tcW w:w="4961" w:type="dxa"/>
            <w:shd w:val="clear" w:color="auto" w:fill="F2F2F2" w:themeFill="background1" w:themeFillShade="F2"/>
          </w:tcPr>
          <w:p w:rsidR="00017AC2" w:rsidRPr="00BC5843" w:rsidRDefault="00017AC2" w:rsidP="00812144">
            <w:pPr>
              <w:tabs>
                <w:tab w:val="left" w:pos="709"/>
              </w:tabs>
              <w:autoSpaceDE w:val="0"/>
              <w:autoSpaceDN w:val="0"/>
              <w:adjustRightInd w:val="0"/>
              <w:rPr>
                <w:rFonts w:eastAsiaTheme="minorHAnsi" w:cs="Arial"/>
                <w:b/>
                <w:sz w:val="22"/>
                <w:szCs w:val="22"/>
              </w:rPr>
            </w:pPr>
            <w:r w:rsidRPr="00BC5843">
              <w:rPr>
                <w:rFonts w:eastAsiaTheme="minorHAnsi" w:cs="Arial"/>
                <w:b/>
                <w:sz w:val="22"/>
                <w:szCs w:val="22"/>
              </w:rPr>
              <w:t>OBJECTIVE</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Entire Central Area</w:t>
            </w:r>
          </w:p>
        </w:tc>
        <w:tc>
          <w:tcPr>
            <w:tcW w:w="1985"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Improved</w:t>
            </w:r>
          </w:p>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connectivity</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 xml:space="preserve">Improve the links between </w:t>
            </w:r>
            <w:r w:rsidR="00AD67A6">
              <w:rPr>
                <w:rFonts w:ascii="ArialMT" w:eastAsiaTheme="minorHAnsi" w:hAnsi="ArialMT" w:cs="ArialMT"/>
                <w:sz w:val="22"/>
                <w:szCs w:val="22"/>
              </w:rPr>
              <w:t xml:space="preserve">and within </w:t>
            </w:r>
            <w:r w:rsidRPr="009053E8">
              <w:rPr>
                <w:rFonts w:ascii="ArialMT" w:eastAsiaTheme="minorHAnsi" w:hAnsi="ArialMT" w:cs="ArialMT"/>
                <w:sz w:val="22"/>
                <w:szCs w:val="22"/>
              </w:rPr>
              <w:t>Promenade Park and the town centres of Maldon, Heybridge and surrounding areas through a programme of public realm enhancements</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Entire Central Area</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Riverside access</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Where possible ensure public access along the river is delivered and improved</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Entire Central Area</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Museums</w:t>
            </w:r>
          </w:p>
        </w:tc>
        <w:tc>
          <w:tcPr>
            <w:tcW w:w="4961"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Improved and complimentary museum provision</w:t>
            </w:r>
            <w:r w:rsidR="00AD67A6">
              <w:rPr>
                <w:rFonts w:ascii="ArialMT" w:eastAsiaTheme="minorHAnsi" w:hAnsi="ArialMT" w:cs="ArialMT"/>
                <w:sz w:val="22"/>
                <w:szCs w:val="22"/>
              </w:rPr>
              <w:t xml:space="preserve"> including interpretation of the battle of Maldon</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Entire Central Area</w:t>
            </w:r>
          </w:p>
        </w:tc>
        <w:tc>
          <w:tcPr>
            <w:tcW w:w="1985"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Vocational training</w:t>
            </w:r>
          </w:p>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and skills</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Investigate feasibility of increased and improved education/training provision</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Maldon Central</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Town Market</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Provision for a permanent high quality town centre market</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Maldon Central</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Lower High Street</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To explore the feasibility of a street market and/or promotion of a local food and drink quarter</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Maldon Central</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Car park review</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Effective town centre car park management and usage</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Maldon Central</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The Hythe (1)</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Increased leisure provision e.g. café/restaurant facility and associated retail use</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Maldon Central</w:t>
            </w:r>
          </w:p>
        </w:tc>
        <w:tc>
          <w:tcPr>
            <w:tcW w:w="1985"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The Hythe (2)</w:t>
            </w:r>
          </w:p>
        </w:tc>
        <w:tc>
          <w:tcPr>
            <w:tcW w:w="4961" w:type="dxa"/>
          </w:tcPr>
          <w:p w:rsidR="00017AC2" w:rsidRPr="009053E8" w:rsidRDefault="00017AC2" w:rsidP="00812144">
            <w:pPr>
              <w:tabs>
                <w:tab w:val="left" w:pos="709"/>
              </w:tabs>
              <w:autoSpaceDE w:val="0"/>
              <w:autoSpaceDN w:val="0"/>
              <w:adjustRightInd w:val="0"/>
              <w:rPr>
                <w:rFonts w:eastAsiaTheme="minorHAnsi" w:cs="Arial"/>
                <w:sz w:val="22"/>
                <w:szCs w:val="22"/>
              </w:rPr>
            </w:pPr>
            <w:r w:rsidRPr="009053E8">
              <w:rPr>
                <w:rFonts w:ascii="ArialMT" w:eastAsiaTheme="minorHAnsi" w:hAnsi="ArialMT" w:cs="ArialMT"/>
                <w:sz w:val="22"/>
                <w:szCs w:val="22"/>
              </w:rPr>
              <w:t>Improved boating access and mooring facilities</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Leisure Quarter</w:t>
            </w:r>
          </w:p>
        </w:tc>
        <w:tc>
          <w:tcPr>
            <w:tcW w:w="1985" w:type="dxa"/>
          </w:tcPr>
          <w:p w:rsidR="00017AC2" w:rsidRPr="000522CE" w:rsidRDefault="00017AC2" w:rsidP="000522CE">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Promenade Park</w:t>
            </w:r>
            <w:r w:rsidR="000522CE">
              <w:rPr>
                <w:rFonts w:ascii="ArialMT" w:eastAsiaTheme="minorHAnsi" w:hAnsi="ArialMT" w:cs="ArialMT"/>
                <w:sz w:val="22"/>
                <w:szCs w:val="22"/>
              </w:rPr>
              <w:t xml:space="preserve"> / Upper Blackwater </w:t>
            </w:r>
            <w:r w:rsidRPr="009053E8">
              <w:rPr>
                <w:rFonts w:ascii="ArialMT" w:eastAsiaTheme="minorHAnsi" w:hAnsi="ArialMT" w:cs="ArialMT"/>
                <w:sz w:val="22"/>
                <w:szCs w:val="22"/>
              </w:rPr>
              <w:t>visitor centre</w:t>
            </w:r>
          </w:p>
        </w:tc>
        <w:tc>
          <w:tcPr>
            <w:tcW w:w="4961" w:type="dxa"/>
          </w:tcPr>
          <w:p w:rsidR="00017AC2" w:rsidRPr="009053E8" w:rsidRDefault="00017AC2" w:rsidP="00812144">
            <w:pPr>
              <w:autoSpaceDE w:val="0"/>
              <w:autoSpaceDN w:val="0"/>
              <w:adjustRightInd w:val="0"/>
              <w:rPr>
                <w:rFonts w:eastAsiaTheme="minorHAnsi" w:cs="Arial"/>
                <w:sz w:val="22"/>
                <w:szCs w:val="22"/>
              </w:rPr>
            </w:pPr>
            <w:r w:rsidRPr="009053E8">
              <w:rPr>
                <w:rFonts w:ascii="ArialMT" w:eastAsiaTheme="minorHAnsi" w:hAnsi="ArialMT" w:cs="ArialMT"/>
                <w:sz w:val="22"/>
                <w:szCs w:val="22"/>
              </w:rPr>
              <w:t>Provision of a multi-use hub in the park to include: exhibition and conference space; café / restaurant facility; park rangers office space; associated retail; evening uses; and other community functions</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Leisure Quarter</w:t>
            </w:r>
          </w:p>
        </w:tc>
        <w:tc>
          <w:tcPr>
            <w:tcW w:w="1985"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Leisure Quarter (1)</w:t>
            </w:r>
          </w:p>
        </w:tc>
        <w:tc>
          <w:tcPr>
            <w:tcW w:w="4961"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Increased leisure uses with associated retail use</w:t>
            </w:r>
          </w:p>
        </w:tc>
      </w:tr>
      <w:tr w:rsidR="00017AC2" w:rsidRPr="009053E8" w:rsidTr="00FF14BA">
        <w:tc>
          <w:tcPr>
            <w:tcW w:w="2126" w:type="dxa"/>
          </w:tcPr>
          <w:p w:rsidR="00017AC2" w:rsidRPr="009053E8" w:rsidRDefault="00017AC2" w:rsidP="00812144">
            <w:pPr>
              <w:tabs>
                <w:tab w:val="left" w:pos="709"/>
              </w:tabs>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Leisure Quarter</w:t>
            </w:r>
          </w:p>
        </w:tc>
        <w:tc>
          <w:tcPr>
            <w:tcW w:w="1985"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Leisure Quarter (2)</w:t>
            </w:r>
          </w:p>
        </w:tc>
        <w:tc>
          <w:tcPr>
            <w:tcW w:w="4961"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Investigate feasibility of a park and ride facility to improve public transport connectivity between the town centre and leisure quarter</w:t>
            </w:r>
          </w:p>
        </w:tc>
      </w:tr>
      <w:tr w:rsidR="00017AC2" w:rsidRPr="009053E8" w:rsidTr="00FF14BA">
        <w:tc>
          <w:tcPr>
            <w:tcW w:w="2126"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Causeway</w:t>
            </w:r>
          </w:p>
          <w:p w:rsidR="00017AC2" w:rsidRPr="009053E8" w:rsidRDefault="00017AC2" w:rsidP="00812144">
            <w:pPr>
              <w:tabs>
                <w:tab w:val="left" w:pos="709"/>
              </w:tabs>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Regeneration Area</w:t>
            </w:r>
          </w:p>
        </w:tc>
        <w:tc>
          <w:tcPr>
            <w:tcW w:w="1985"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The Causeway and</w:t>
            </w:r>
          </w:p>
          <w:p w:rsidR="00017AC2" w:rsidRPr="009053E8" w:rsidRDefault="00017AC2" w:rsidP="00812144">
            <w:pPr>
              <w:autoSpaceDE w:val="0"/>
              <w:autoSpaceDN w:val="0"/>
              <w:adjustRightInd w:val="0"/>
              <w:rPr>
                <w:rFonts w:ascii="ArialMT" w:eastAsiaTheme="minorHAnsi" w:hAnsi="ArialMT" w:cs="ArialMT"/>
                <w:sz w:val="22"/>
                <w:szCs w:val="22"/>
              </w:rPr>
            </w:pPr>
            <w:proofErr w:type="spellStart"/>
            <w:r w:rsidRPr="009053E8">
              <w:rPr>
                <w:rFonts w:ascii="ArialMT" w:eastAsiaTheme="minorHAnsi" w:hAnsi="ArialMT" w:cs="ArialMT"/>
                <w:sz w:val="22"/>
                <w:szCs w:val="22"/>
              </w:rPr>
              <w:t>Sadd’s</w:t>
            </w:r>
            <w:proofErr w:type="spellEnd"/>
            <w:r w:rsidRPr="009053E8">
              <w:rPr>
                <w:rFonts w:ascii="ArialMT" w:eastAsiaTheme="minorHAnsi" w:hAnsi="ArialMT" w:cs="ArialMT"/>
                <w:sz w:val="22"/>
                <w:szCs w:val="22"/>
              </w:rPr>
              <w:t xml:space="preserve"> Wharf</w:t>
            </w:r>
          </w:p>
        </w:tc>
        <w:tc>
          <w:tcPr>
            <w:tcW w:w="4961" w:type="dxa"/>
          </w:tcPr>
          <w:p w:rsidR="00017AC2" w:rsidRPr="009053E8" w:rsidRDefault="00017AC2" w:rsidP="00812144">
            <w:pPr>
              <w:autoSpaceDE w:val="0"/>
              <w:autoSpaceDN w:val="0"/>
              <w:adjustRightInd w:val="0"/>
              <w:rPr>
                <w:rFonts w:ascii="ArialMT" w:eastAsiaTheme="minorHAnsi" w:hAnsi="ArialMT" w:cs="ArialMT"/>
                <w:sz w:val="22"/>
                <w:szCs w:val="22"/>
              </w:rPr>
            </w:pPr>
            <w:r w:rsidRPr="009053E8">
              <w:rPr>
                <w:rFonts w:ascii="ArialMT" w:eastAsiaTheme="minorHAnsi" w:hAnsi="ArialMT" w:cs="ArialMT"/>
                <w:sz w:val="22"/>
                <w:szCs w:val="22"/>
              </w:rPr>
              <w:t>In line with other plan policies, employment-led mixed-use development incorporating a range of employment generating uses, such as: leisure; recreation; retail; hotel accommodation; and modern office space</w:t>
            </w:r>
          </w:p>
        </w:tc>
      </w:tr>
    </w:tbl>
    <w:p w:rsidR="00017AC2" w:rsidRPr="009053E8" w:rsidRDefault="00017AC2" w:rsidP="00017AC2">
      <w:pPr>
        <w:tabs>
          <w:tab w:val="left" w:pos="709"/>
        </w:tabs>
        <w:autoSpaceDE w:val="0"/>
        <w:autoSpaceDN w:val="0"/>
        <w:adjustRightInd w:val="0"/>
        <w:rPr>
          <w:rFonts w:eastAsiaTheme="minorHAnsi" w:cs="Arial"/>
          <w:sz w:val="22"/>
          <w:szCs w:val="22"/>
        </w:rPr>
      </w:pPr>
    </w:p>
    <w:p w:rsidR="00EE034C" w:rsidRDefault="00EE034C" w:rsidP="006F3F7E">
      <w:pPr>
        <w:ind w:left="284" w:hanging="397"/>
        <w:rPr>
          <w:rFonts w:cs="Arial"/>
          <w:sz w:val="22"/>
          <w:szCs w:val="22"/>
        </w:rPr>
      </w:pPr>
    </w:p>
    <w:p w:rsidR="00FF14BA" w:rsidRDefault="00EE034C" w:rsidP="006F3F7E">
      <w:pPr>
        <w:ind w:left="284" w:hanging="397"/>
        <w:rPr>
          <w:rFonts w:cs="Arial"/>
          <w:sz w:val="22"/>
          <w:szCs w:val="22"/>
        </w:rPr>
      </w:pPr>
      <w:r>
        <w:rPr>
          <w:rFonts w:cs="Arial"/>
          <w:sz w:val="22"/>
          <w:szCs w:val="22"/>
        </w:rPr>
        <w:t xml:space="preserve"> </w:t>
      </w:r>
      <w:r w:rsidR="006F3F7E">
        <w:rPr>
          <w:rFonts w:cs="Arial"/>
          <w:sz w:val="22"/>
          <w:szCs w:val="22"/>
        </w:rPr>
        <w:t>3.</w:t>
      </w:r>
      <w:r w:rsidR="00583E41">
        <w:rPr>
          <w:rFonts w:cs="Arial"/>
          <w:sz w:val="22"/>
          <w:szCs w:val="22"/>
        </w:rPr>
        <w:t>5</w:t>
      </w:r>
      <w:r w:rsidR="006F3F7E">
        <w:rPr>
          <w:rFonts w:cs="Arial"/>
          <w:sz w:val="22"/>
          <w:szCs w:val="22"/>
        </w:rPr>
        <w:t xml:space="preserve"> </w:t>
      </w:r>
      <w:r w:rsidR="00FF14BA">
        <w:rPr>
          <w:rFonts w:cs="Arial"/>
          <w:sz w:val="22"/>
          <w:szCs w:val="22"/>
        </w:rPr>
        <w:t xml:space="preserve">The </w:t>
      </w:r>
      <w:r w:rsidR="00E6488D">
        <w:rPr>
          <w:rFonts w:cs="Arial"/>
          <w:sz w:val="22"/>
          <w:szCs w:val="22"/>
        </w:rPr>
        <w:t>Council</w:t>
      </w:r>
      <w:r w:rsidR="00FF14BA">
        <w:rPr>
          <w:rFonts w:cs="Arial"/>
          <w:sz w:val="22"/>
          <w:szCs w:val="22"/>
        </w:rPr>
        <w:t xml:space="preserve"> expects the Strategic Masterplan Framework to contain the following main elements:</w:t>
      </w:r>
    </w:p>
    <w:p w:rsidR="00FF14BA" w:rsidRDefault="00FF14BA" w:rsidP="006F3F7E">
      <w:pPr>
        <w:ind w:left="284" w:hanging="397"/>
        <w:rPr>
          <w:rFonts w:cs="Arial"/>
          <w:sz w:val="22"/>
          <w:szCs w:val="22"/>
        </w:rPr>
      </w:pPr>
    </w:p>
    <w:p w:rsidR="00FF14BA" w:rsidRDefault="00FF14BA" w:rsidP="00FF14BA">
      <w:pPr>
        <w:pStyle w:val="ListParagraph"/>
        <w:numPr>
          <w:ilvl w:val="0"/>
          <w:numId w:val="29"/>
        </w:numPr>
        <w:rPr>
          <w:rFonts w:cs="Arial"/>
          <w:sz w:val="22"/>
          <w:szCs w:val="22"/>
        </w:rPr>
      </w:pPr>
      <w:r>
        <w:rPr>
          <w:rFonts w:cs="Arial"/>
          <w:sz w:val="22"/>
          <w:szCs w:val="22"/>
        </w:rPr>
        <w:t>A spatial framework setting out land use, design and management principles and development proposals for different sub-areas of the Central Area;</w:t>
      </w:r>
    </w:p>
    <w:p w:rsidR="00FF14BA" w:rsidRDefault="00FF14BA" w:rsidP="00FF14BA">
      <w:pPr>
        <w:pStyle w:val="ListParagraph"/>
        <w:numPr>
          <w:ilvl w:val="0"/>
          <w:numId w:val="29"/>
        </w:numPr>
        <w:rPr>
          <w:rFonts w:cs="Arial"/>
          <w:sz w:val="22"/>
          <w:szCs w:val="22"/>
        </w:rPr>
      </w:pPr>
      <w:r>
        <w:rPr>
          <w:rFonts w:cs="Arial"/>
          <w:sz w:val="22"/>
          <w:szCs w:val="22"/>
        </w:rPr>
        <w:t>A transport and movement framework including a strategy for pedestrians and cyclists and a parking strategy;</w:t>
      </w:r>
    </w:p>
    <w:p w:rsidR="00FF14BA" w:rsidRDefault="00FF14BA" w:rsidP="00FF14BA">
      <w:pPr>
        <w:pStyle w:val="ListParagraph"/>
        <w:numPr>
          <w:ilvl w:val="0"/>
          <w:numId w:val="29"/>
        </w:numPr>
        <w:rPr>
          <w:rFonts w:cs="Arial"/>
          <w:sz w:val="22"/>
          <w:szCs w:val="22"/>
        </w:rPr>
      </w:pPr>
      <w:r>
        <w:rPr>
          <w:rFonts w:cs="Arial"/>
          <w:sz w:val="22"/>
          <w:szCs w:val="22"/>
        </w:rPr>
        <w:t>The identification of a prioritised list of key projects including priority projects for early delivery;</w:t>
      </w:r>
    </w:p>
    <w:p w:rsidR="00FF14BA" w:rsidRPr="00FF14BA" w:rsidRDefault="00FF14BA" w:rsidP="00FF14BA">
      <w:pPr>
        <w:pStyle w:val="ListParagraph"/>
        <w:numPr>
          <w:ilvl w:val="0"/>
          <w:numId w:val="29"/>
        </w:numPr>
        <w:rPr>
          <w:rFonts w:cs="Arial"/>
          <w:sz w:val="22"/>
          <w:szCs w:val="22"/>
        </w:rPr>
      </w:pPr>
      <w:r>
        <w:rPr>
          <w:rFonts w:cs="Arial"/>
          <w:sz w:val="22"/>
          <w:szCs w:val="22"/>
        </w:rPr>
        <w:t>An Action Plan setting out the key steps necessary to deliver key projects including identification of key partners and funding sources</w:t>
      </w:r>
      <w:r w:rsidR="00144C85">
        <w:rPr>
          <w:rFonts w:cs="Arial"/>
          <w:sz w:val="22"/>
          <w:szCs w:val="22"/>
        </w:rPr>
        <w:t xml:space="preserve"> </w:t>
      </w:r>
    </w:p>
    <w:p w:rsidR="00FF14BA" w:rsidRDefault="00FF14BA" w:rsidP="006F3F7E">
      <w:pPr>
        <w:ind w:left="284" w:hanging="397"/>
        <w:rPr>
          <w:rFonts w:cs="Arial"/>
          <w:sz w:val="22"/>
          <w:szCs w:val="22"/>
        </w:rPr>
      </w:pPr>
    </w:p>
    <w:p w:rsidR="009E14C9" w:rsidRPr="00E37456" w:rsidRDefault="009E14C9" w:rsidP="00E37456">
      <w:pPr>
        <w:ind w:left="284" w:hanging="397"/>
        <w:rPr>
          <w:rFonts w:cs="Arial"/>
          <w:sz w:val="22"/>
          <w:szCs w:val="22"/>
        </w:rPr>
      </w:pPr>
    </w:p>
    <w:p w:rsidR="00296F26" w:rsidRPr="00296F26" w:rsidRDefault="00583E41" w:rsidP="00583E41">
      <w:pPr>
        <w:pStyle w:val="Default"/>
        <w:ind w:left="426" w:hanging="427"/>
        <w:jc w:val="both"/>
        <w:rPr>
          <w:iCs/>
          <w:sz w:val="22"/>
          <w:szCs w:val="22"/>
        </w:rPr>
      </w:pPr>
      <w:r>
        <w:rPr>
          <w:sz w:val="22"/>
          <w:szCs w:val="22"/>
        </w:rPr>
        <w:t>3</w:t>
      </w:r>
      <w:r w:rsidR="00296F26">
        <w:rPr>
          <w:sz w:val="22"/>
          <w:szCs w:val="22"/>
        </w:rPr>
        <w:t xml:space="preserve">.6 </w:t>
      </w:r>
      <w:r w:rsidR="00BC5843">
        <w:rPr>
          <w:sz w:val="22"/>
          <w:szCs w:val="22"/>
        </w:rPr>
        <w:t>T</w:t>
      </w:r>
      <w:r>
        <w:rPr>
          <w:sz w:val="22"/>
          <w:szCs w:val="22"/>
        </w:rPr>
        <w:t xml:space="preserve">he consultants will be required to </w:t>
      </w:r>
      <w:r w:rsidR="00BC5843">
        <w:rPr>
          <w:sz w:val="22"/>
          <w:szCs w:val="22"/>
        </w:rPr>
        <w:t xml:space="preserve">work closely with the </w:t>
      </w:r>
      <w:r w:rsidR="00E6488D">
        <w:rPr>
          <w:sz w:val="22"/>
          <w:szCs w:val="22"/>
        </w:rPr>
        <w:t>Council</w:t>
      </w:r>
      <w:r w:rsidR="00BC5843">
        <w:rPr>
          <w:sz w:val="22"/>
          <w:szCs w:val="22"/>
        </w:rPr>
        <w:t xml:space="preserve">’s Steering Group and to </w:t>
      </w:r>
      <w:r>
        <w:rPr>
          <w:sz w:val="22"/>
          <w:szCs w:val="22"/>
        </w:rPr>
        <w:t>facilitate a stakeholder workshop on masterplan options</w:t>
      </w:r>
      <w:r w:rsidR="00BC5843">
        <w:rPr>
          <w:sz w:val="22"/>
          <w:szCs w:val="22"/>
        </w:rPr>
        <w:t xml:space="preserve"> prior to preparation of the Draft Strategic Masterplan Framework. The draft Strategic Masterplan Framework will be the subject of public consultation and the consultants will be required t</w:t>
      </w:r>
      <w:r>
        <w:rPr>
          <w:sz w:val="22"/>
          <w:szCs w:val="22"/>
        </w:rPr>
        <w:t xml:space="preserve">o </w:t>
      </w:r>
      <w:r w:rsidR="00296F26">
        <w:rPr>
          <w:sz w:val="22"/>
          <w:szCs w:val="22"/>
        </w:rPr>
        <w:t xml:space="preserve">prepare material for public consultation and </w:t>
      </w:r>
      <w:r w:rsidR="00BC5843">
        <w:rPr>
          <w:sz w:val="22"/>
          <w:szCs w:val="22"/>
        </w:rPr>
        <w:t xml:space="preserve">to </w:t>
      </w:r>
      <w:r w:rsidR="00296F26">
        <w:rPr>
          <w:sz w:val="22"/>
          <w:szCs w:val="22"/>
        </w:rPr>
        <w:t xml:space="preserve">assist the </w:t>
      </w:r>
      <w:r w:rsidR="00E6488D">
        <w:rPr>
          <w:sz w:val="22"/>
          <w:szCs w:val="22"/>
        </w:rPr>
        <w:t>Council</w:t>
      </w:r>
      <w:r w:rsidR="00296F26">
        <w:rPr>
          <w:sz w:val="22"/>
          <w:szCs w:val="22"/>
        </w:rPr>
        <w:t xml:space="preserve"> as required in undertaking public consultation</w:t>
      </w:r>
      <w:r>
        <w:rPr>
          <w:sz w:val="22"/>
          <w:szCs w:val="22"/>
        </w:rPr>
        <w:t xml:space="preserve">. </w:t>
      </w:r>
    </w:p>
    <w:p w:rsidR="000247E7" w:rsidRPr="00296F26" w:rsidRDefault="000247E7" w:rsidP="00296F26">
      <w:pPr>
        <w:pStyle w:val="Default"/>
        <w:jc w:val="both"/>
        <w:rPr>
          <w:iCs/>
          <w:sz w:val="22"/>
          <w:szCs w:val="22"/>
        </w:rPr>
      </w:pPr>
    </w:p>
    <w:p w:rsidR="00805507" w:rsidRDefault="00554517" w:rsidP="00805507">
      <w:pPr>
        <w:pStyle w:val="Default"/>
        <w:ind w:left="390" w:hanging="390"/>
        <w:jc w:val="both"/>
        <w:rPr>
          <w:b/>
          <w:bCs/>
          <w:sz w:val="22"/>
          <w:szCs w:val="22"/>
        </w:rPr>
      </w:pPr>
      <w:r>
        <w:rPr>
          <w:b/>
          <w:bCs/>
          <w:sz w:val="22"/>
          <w:szCs w:val="22"/>
        </w:rPr>
        <w:t>4</w:t>
      </w:r>
      <w:r w:rsidR="00805507" w:rsidRPr="00C33FDE">
        <w:rPr>
          <w:b/>
          <w:bCs/>
          <w:sz w:val="22"/>
          <w:szCs w:val="22"/>
        </w:rPr>
        <w:t xml:space="preserve">.0 </w:t>
      </w:r>
      <w:r w:rsidR="00805507">
        <w:rPr>
          <w:b/>
          <w:bCs/>
          <w:sz w:val="22"/>
          <w:szCs w:val="22"/>
        </w:rPr>
        <w:t>Expertise Required</w:t>
      </w:r>
    </w:p>
    <w:p w:rsidR="00554517" w:rsidRDefault="00554517" w:rsidP="00554517">
      <w:pPr>
        <w:pStyle w:val="Default"/>
        <w:ind w:left="426" w:hanging="427"/>
        <w:jc w:val="both"/>
        <w:rPr>
          <w:sz w:val="22"/>
          <w:szCs w:val="22"/>
        </w:rPr>
      </w:pPr>
    </w:p>
    <w:p w:rsidR="00805507" w:rsidRDefault="00554517" w:rsidP="00554517">
      <w:pPr>
        <w:pStyle w:val="Default"/>
        <w:ind w:left="426" w:hanging="427"/>
        <w:jc w:val="both"/>
        <w:rPr>
          <w:sz w:val="22"/>
          <w:szCs w:val="22"/>
        </w:rPr>
      </w:pPr>
      <w:r>
        <w:rPr>
          <w:sz w:val="22"/>
          <w:szCs w:val="22"/>
        </w:rPr>
        <w:t>4</w:t>
      </w:r>
      <w:r w:rsidR="00805507" w:rsidRPr="00554517">
        <w:rPr>
          <w:sz w:val="22"/>
          <w:szCs w:val="22"/>
        </w:rPr>
        <w:t>.1 Submissions are invited from consultants who are able to demonstrate expertise in the following areas:</w:t>
      </w:r>
    </w:p>
    <w:p w:rsidR="00554517" w:rsidRPr="00554517" w:rsidRDefault="00554517" w:rsidP="00554517">
      <w:pPr>
        <w:pStyle w:val="Default"/>
        <w:ind w:left="426" w:hanging="427"/>
        <w:jc w:val="both"/>
        <w:rPr>
          <w:sz w:val="22"/>
          <w:szCs w:val="22"/>
        </w:rPr>
      </w:pPr>
    </w:p>
    <w:p w:rsidR="00805507" w:rsidRPr="00554517" w:rsidRDefault="00805507" w:rsidP="00554517">
      <w:pPr>
        <w:pStyle w:val="NoSpacing"/>
        <w:numPr>
          <w:ilvl w:val="0"/>
          <w:numId w:val="27"/>
        </w:numPr>
        <w:rPr>
          <w:rFonts w:ascii="Arial" w:hAnsi="Arial" w:cs="Arial"/>
        </w:rPr>
      </w:pPr>
      <w:r w:rsidRPr="00554517">
        <w:rPr>
          <w:rFonts w:ascii="Arial" w:hAnsi="Arial" w:cs="Arial"/>
        </w:rPr>
        <w:t>Urban design</w:t>
      </w:r>
    </w:p>
    <w:p w:rsidR="00554517" w:rsidRPr="00554517" w:rsidRDefault="00554517" w:rsidP="00554517">
      <w:pPr>
        <w:pStyle w:val="NoSpacing"/>
        <w:numPr>
          <w:ilvl w:val="0"/>
          <w:numId w:val="27"/>
        </w:numPr>
        <w:rPr>
          <w:rFonts w:ascii="Arial" w:hAnsi="Arial" w:cs="Arial"/>
        </w:rPr>
      </w:pPr>
      <w:r w:rsidRPr="00554517">
        <w:rPr>
          <w:rFonts w:ascii="Arial" w:hAnsi="Arial" w:cs="Arial"/>
        </w:rPr>
        <w:t>Landscape and public realm design</w:t>
      </w:r>
    </w:p>
    <w:p w:rsidR="00805507" w:rsidRPr="00554517" w:rsidRDefault="00805507" w:rsidP="00554517">
      <w:pPr>
        <w:pStyle w:val="NoSpacing"/>
        <w:numPr>
          <w:ilvl w:val="0"/>
          <w:numId w:val="27"/>
        </w:numPr>
        <w:rPr>
          <w:rFonts w:ascii="Arial" w:hAnsi="Arial" w:cs="Arial"/>
        </w:rPr>
      </w:pPr>
      <w:r w:rsidRPr="00554517">
        <w:rPr>
          <w:rFonts w:ascii="Arial" w:hAnsi="Arial" w:cs="Arial"/>
        </w:rPr>
        <w:t xml:space="preserve">Town centre </w:t>
      </w:r>
      <w:r w:rsidR="00554517" w:rsidRPr="00554517">
        <w:rPr>
          <w:rFonts w:ascii="Arial" w:hAnsi="Arial" w:cs="Arial"/>
        </w:rPr>
        <w:t xml:space="preserve">development and </w:t>
      </w:r>
      <w:r w:rsidRPr="00554517">
        <w:rPr>
          <w:rFonts w:ascii="Arial" w:hAnsi="Arial" w:cs="Arial"/>
        </w:rPr>
        <w:t>regeneration</w:t>
      </w:r>
    </w:p>
    <w:p w:rsidR="00805507" w:rsidRPr="00554517" w:rsidRDefault="00805507" w:rsidP="00554517">
      <w:pPr>
        <w:pStyle w:val="NoSpacing"/>
        <w:numPr>
          <w:ilvl w:val="0"/>
          <w:numId w:val="27"/>
        </w:numPr>
        <w:rPr>
          <w:rFonts w:ascii="Arial" w:hAnsi="Arial" w:cs="Arial"/>
        </w:rPr>
      </w:pPr>
      <w:r w:rsidRPr="00554517">
        <w:rPr>
          <w:rFonts w:ascii="Arial" w:hAnsi="Arial" w:cs="Arial"/>
        </w:rPr>
        <w:t>Heritage and historic townscape</w:t>
      </w:r>
    </w:p>
    <w:p w:rsidR="00805507" w:rsidRPr="00554517" w:rsidRDefault="00805507" w:rsidP="00554517">
      <w:pPr>
        <w:pStyle w:val="NoSpacing"/>
        <w:numPr>
          <w:ilvl w:val="0"/>
          <w:numId w:val="27"/>
        </w:numPr>
        <w:rPr>
          <w:rFonts w:ascii="Arial" w:hAnsi="Arial" w:cs="Arial"/>
        </w:rPr>
      </w:pPr>
      <w:r w:rsidRPr="00554517">
        <w:rPr>
          <w:rFonts w:ascii="Arial" w:hAnsi="Arial" w:cs="Arial"/>
        </w:rPr>
        <w:t>Traffic and parking management</w:t>
      </w:r>
    </w:p>
    <w:p w:rsidR="00554517" w:rsidRPr="00554517" w:rsidRDefault="00554517" w:rsidP="00554517">
      <w:pPr>
        <w:pStyle w:val="NoSpacing"/>
        <w:numPr>
          <w:ilvl w:val="0"/>
          <w:numId w:val="27"/>
        </w:numPr>
        <w:rPr>
          <w:rFonts w:cs="Arial"/>
          <w:iCs/>
          <w:color w:val="000000"/>
        </w:rPr>
      </w:pPr>
      <w:r w:rsidRPr="00554517">
        <w:rPr>
          <w:rFonts w:ascii="Arial" w:hAnsi="Arial" w:cs="Arial"/>
        </w:rPr>
        <w:t>Community and stakeholder engagement</w:t>
      </w:r>
    </w:p>
    <w:p w:rsidR="00554517" w:rsidRDefault="00554517" w:rsidP="00554517">
      <w:pPr>
        <w:pStyle w:val="NoSpacing"/>
        <w:rPr>
          <w:rFonts w:ascii="Arial" w:hAnsi="Arial" w:cs="Arial"/>
        </w:rPr>
      </w:pPr>
    </w:p>
    <w:p w:rsidR="00554517" w:rsidRDefault="00554517" w:rsidP="00296F26">
      <w:pPr>
        <w:pStyle w:val="Default"/>
        <w:jc w:val="both"/>
        <w:rPr>
          <w:b/>
          <w:iCs/>
          <w:sz w:val="22"/>
          <w:szCs w:val="22"/>
        </w:rPr>
      </w:pPr>
    </w:p>
    <w:p w:rsidR="000247E7" w:rsidRPr="00296F26" w:rsidRDefault="00554517" w:rsidP="00296F26">
      <w:pPr>
        <w:pStyle w:val="Default"/>
        <w:jc w:val="both"/>
        <w:rPr>
          <w:b/>
          <w:iCs/>
          <w:sz w:val="22"/>
          <w:szCs w:val="22"/>
        </w:rPr>
      </w:pPr>
      <w:r>
        <w:rPr>
          <w:b/>
          <w:iCs/>
          <w:sz w:val="22"/>
          <w:szCs w:val="22"/>
        </w:rPr>
        <w:t>5</w:t>
      </w:r>
      <w:r w:rsidR="000247E7" w:rsidRPr="00296F26">
        <w:rPr>
          <w:b/>
          <w:iCs/>
          <w:sz w:val="22"/>
          <w:szCs w:val="22"/>
        </w:rPr>
        <w:t xml:space="preserve">.0 Submission Requirements and Assessment </w:t>
      </w:r>
    </w:p>
    <w:p w:rsidR="000247E7" w:rsidRPr="00296F26" w:rsidRDefault="000247E7" w:rsidP="00296F26">
      <w:pPr>
        <w:pStyle w:val="Default"/>
        <w:jc w:val="both"/>
        <w:rPr>
          <w:b/>
          <w:iCs/>
          <w:sz w:val="22"/>
          <w:szCs w:val="22"/>
        </w:rPr>
      </w:pPr>
    </w:p>
    <w:p w:rsidR="000247E7" w:rsidRDefault="00554517" w:rsidP="000247E7">
      <w:pPr>
        <w:pStyle w:val="Default"/>
        <w:ind w:left="426" w:hanging="427"/>
        <w:jc w:val="both"/>
        <w:rPr>
          <w:sz w:val="22"/>
          <w:szCs w:val="22"/>
        </w:rPr>
      </w:pPr>
      <w:r>
        <w:rPr>
          <w:sz w:val="22"/>
          <w:szCs w:val="22"/>
        </w:rPr>
        <w:t>5</w:t>
      </w:r>
      <w:r w:rsidR="000247E7">
        <w:rPr>
          <w:sz w:val="22"/>
          <w:szCs w:val="22"/>
        </w:rPr>
        <w:t xml:space="preserve">.1 In response to </w:t>
      </w:r>
      <w:proofErr w:type="gramStart"/>
      <w:r w:rsidR="000247E7">
        <w:rPr>
          <w:sz w:val="22"/>
          <w:szCs w:val="22"/>
        </w:rPr>
        <w:t>this</w:t>
      </w:r>
      <w:proofErr w:type="gramEnd"/>
      <w:r w:rsidR="000247E7">
        <w:rPr>
          <w:sz w:val="22"/>
          <w:szCs w:val="22"/>
        </w:rPr>
        <w:t xml:space="preserve"> brief, tenderers are required to provide: </w:t>
      </w:r>
    </w:p>
    <w:p w:rsidR="000247E7" w:rsidRDefault="000247E7" w:rsidP="000247E7">
      <w:pPr>
        <w:pStyle w:val="Default"/>
        <w:rPr>
          <w:sz w:val="22"/>
          <w:szCs w:val="22"/>
        </w:rPr>
      </w:pPr>
    </w:p>
    <w:p w:rsidR="00673FA1" w:rsidRDefault="000247E7" w:rsidP="00673FA1">
      <w:pPr>
        <w:pStyle w:val="Default"/>
        <w:numPr>
          <w:ilvl w:val="0"/>
          <w:numId w:val="31"/>
        </w:numPr>
        <w:jc w:val="both"/>
        <w:rPr>
          <w:sz w:val="22"/>
          <w:szCs w:val="22"/>
        </w:rPr>
      </w:pPr>
      <w:r>
        <w:rPr>
          <w:sz w:val="22"/>
          <w:szCs w:val="22"/>
        </w:rPr>
        <w:t xml:space="preserve">Details of proposed approach and how you propose to comply with the project brief within the defined timescale; </w:t>
      </w:r>
    </w:p>
    <w:p w:rsidR="00673FA1" w:rsidRDefault="000247E7" w:rsidP="00673FA1">
      <w:pPr>
        <w:pStyle w:val="Default"/>
        <w:numPr>
          <w:ilvl w:val="0"/>
          <w:numId w:val="31"/>
        </w:numPr>
        <w:jc w:val="both"/>
        <w:rPr>
          <w:sz w:val="22"/>
          <w:szCs w:val="22"/>
        </w:rPr>
      </w:pPr>
      <w:r w:rsidRPr="00673FA1">
        <w:rPr>
          <w:sz w:val="22"/>
          <w:szCs w:val="22"/>
        </w:rPr>
        <w:t xml:space="preserve">Indicative work programme; </w:t>
      </w:r>
    </w:p>
    <w:p w:rsidR="00673FA1" w:rsidRDefault="00296F26" w:rsidP="00673FA1">
      <w:pPr>
        <w:pStyle w:val="Default"/>
        <w:numPr>
          <w:ilvl w:val="0"/>
          <w:numId w:val="31"/>
        </w:numPr>
        <w:jc w:val="both"/>
        <w:rPr>
          <w:sz w:val="22"/>
          <w:szCs w:val="22"/>
        </w:rPr>
      </w:pPr>
      <w:r w:rsidRPr="00673FA1">
        <w:rPr>
          <w:sz w:val="22"/>
          <w:szCs w:val="22"/>
        </w:rPr>
        <w:t xml:space="preserve">A fixed price quotation </w:t>
      </w:r>
      <w:r w:rsidR="000247E7" w:rsidRPr="00673FA1">
        <w:rPr>
          <w:sz w:val="22"/>
          <w:szCs w:val="22"/>
        </w:rPr>
        <w:t xml:space="preserve">for undertaking the work outlined in the submission including number of days for each named personnel (time and expenses); </w:t>
      </w:r>
    </w:p>
    <w:p w:rsidR="00673FA1" w:rsidRDefault="000247E7" w:rsidP="00673FA1">
      <w:pPr>
        <w:pStyle w:val="Default"/>
        <w:numPr>
          <w:ilvl w:val="0"/>
          <w:numId w:val="31"/>
        </w:numPr>
        <w:jc w:val="both"/>
        <w:rPr>
          <w:sz w:val="22"/>
          <w:szCs w:val="22"/>
        </w:rPr>
      </w:pPr>
      <w:r w:rsidRPr="00673FA1">
        <w:rPr>
          <w:sz w:val="22"/>
          <w:szCs w:val="22"/>
        </w:rPr>
        <w:t xml:space="preserve">Examples of similar commissions involving the preparation </w:t>
      </w:r>
      <w:r w:rsidR="00BC5843" w:rsidRPr="00673FA1">
        <w:rPr>
          <w:sz w:val="22"/>
          <w:szCs w:val="22"/>
        </w:rPr>
        <w:t xml:space="preserve">Town Centre masterplans and regeneration strategies </w:t>
      </w:r>
      <w:r w:rsidRPr="00673FA1">
        <w:rPr>
          <w:sz w:val="22"/>
          <w:szCs w:val="22"/>
        </w:rPr>
        <w:t>including demonstration of subsequent outcomes;</w:t>
      </w:r>
    </w:p>
    <w:p w:rsidR="00673FA1" w:rsidRDefault="000247E7" w:rsidP="00673FA1">
      <w:pPr>
        <w:pStyle w:val="Default"/>
        <w:numPr>
          <w:ilvl w:val="0"/>
          <w:numId w:val="31"/>
        </w:numPr>
        <w:jc w:val="both"/>
        <w:rPr>
          <w:sz w:val="22"/>
          <w:szCs w:val="22"/>
        </w:rPr>
      </w:pPr>
      <w:r w:rsidRPr="00673FA1">
        <w:rPr>
          <w:sz w:val="22"/>
          <w:szCs w:val="22"/>
        </w:rPr>
        <w:t xml:space="preserve">CVs of named personnel and their proposed role in the project including details of relevant experience in preparation of Design </w:t>
      </w:r>
      <w:r w:rsidR="00296F26" w:rsidRPr="00673FA1">
        <w:rPr>
          <w:sz w:val="22"/>
          <w:szCs w:val="22"/>
        </w:rPr>
        <w:t>Guides</w:t>
      </w:r>
      <w:r w:rsidRPr="00673FA1">
        <w:rPr>
          <w:sz w:val="22"/>
          <w:szCs w:val="22"/>
        </w:rPr>
        <w:t xml:space="preserve">; </w:t>
      </w:r>
    </w:p>
    <w:p w:rsidR="00673FA1" w:rsidRDefault="000247E7" w:rsidP="00673FA1">
      <w:pPr>
        <w:pStyle w:val="Default"/>
        <w:numPr>
          <w:ilvl w:val="0"/>
          <w:numId w:val="31"/>
        </w:numPr>
        <w:jc w:val="both"/>
        <w:rPr>
          <w:sz w:val="22"/>
          <w:szCs w:val="22"/>
        </w:rPr>
      </w:pPr>
      <w:r w:rsidRPr="00673FA1">
        <w:rPr>
          <w:sz w:val="22"/>
          <w:szCs w:val="22"/>
        </w:rPr>
        <w:t xml:space="preserve">Details of your professional liability insurance; </w:t>
      </w:r>
    </w:p>
    <w:p w:rsidR="000247E7" w:rsidRPr="00673FA1" w:rsidRDefault="000247E7" w:rsidP="00673FA1">
      <w:pPr>
        <w:pStyle w:val="Default"/>
        <w:numPr>
          <w:ilvl w:val="0"/>
          <w:numId w:val="31"/>
        </w:numPr>
        <w:jc w:val="both"/>
        <w:rPr>
          <w:sz w:val="22"/>
          <w:szCs w:val="22"/>
        </w:rPr>
      </w:pPr>
      <w:r w:rsidRPr="00673FA1">
        <w:rPr>
          <w:sz w:val="22"/>
          <w:szCs w:val="22"/>
        </w:rPr>
        <w:t xml:space="preserve">Contact details of two referees. </w:t>
      </w:r>
    </w:p>
    <w:p w:rsidR="000247E7" w:rsidRDefault="000247E7" w:rsidP="000247E7">
      <w:pPr>
        <w:pStyle w:val="Default"/>
        <w:rPr>
          <w:sz w:val="22"/>
          <w:szCs w:val="22"/>
        </w:rPr>
      </w:pPr>
    </w:p>
    <w:p w:rsidR="000247E7" w:rsidRDefault="00554517" w:rsidP="000247E7">
      <w:pPr>
        <w:pStyle w:val="Default"/>
        <w:ind w:left="426" w:hanging="427"/>
        <w:jc w:val="both"/>
        <w:rPr>
          <w:sz w:val="22"/>
          <w:szCs w:val="22"/>
        </w:rPr>
      </w:pPr>
      <w:r>
        <w:rPr>
          <w:sz w:val="22"/>
          <w:szCs w:val="22"/>
        </w:rPr>
        <w:t>5</w:t>
      </w:r>
      <w:r w:rsidR="000247E7">
        <w:rPr>
          <w:sz w:val="22"/>
          <w:szCs w:val="22"/>
        </w:rPr>
        <w:t xml:space="preserve">.2 Please confirm within your submission any conflicts of interest which should be considered in relation to other current or future work being undertaken by your company. </w:t>
      </w:r>
    </w:p>
    <w:p w:rsidR="00343EF0" w:rsidRDefault="00343EF0" w:rsidP="000247E7">
      <w:pPr>
        <w:pStyle w:val="Default"/>
        <w:ind w:left="426" w:hanging="427"/>
        <w:jc w:val="both"/>
        <w:rPr>
          <w:sz w:val="22"/>
          <w:szCs w:val="22"/>
        </w:rPr>
      </w:pPr>
    </w:p>
    <w:p w:rsidR="00EC03D5" w:rsidRDefault="00EC03D5" w:rsidP="000247E7">
      <w:pPr>
        <w:pStyle w:val="Default"/>
        <w:ind w:left="426" w:hanging="427"/>
        <w:jc w:val="both"/>
        <w:rPr>
          <w:sz w:val="22"/>
          <w:szCs w:val="22"/>
        </w:rPr>
      </w:pPr>
    </w:p>
    <w:p w:rsidR="00343EF0" w:rsidRDefault="00EC03D5" w:rsidP="00343EF0">
      <w:pPr>
        <w:pStyle w:val="Default"/>
        <w:ind w:left="390" w:hanging="390"/>
        <w:jc w:val="both"/>
        <w:rPr>
          <w:sz w:val="22"/>
          <w:szCs w:val="22"/>
        </w:rPr>
      </w:pPr>
      <w:r>
        <w:rPr>
          <w:b/>
          <w:bCs/>
          <w:sz w:val="22"/>
          <w:szCs w:val="22"/>
        </w:rPr>
        <w:t xml:space="preserve">6.0 </w:t>
      </w:r>
      <w:r w:rsidR="00343EF0">
        <w:rPr>
          <w:b/>
          <w:bCs/>
          <w:sz w:val="22"/>
          <w:szCs w:val="22"/>
        </w:rPr>
        <w:t xml:space="preserve">Budget </w:t>
      </w:r>
    </w:p>
    <w:p w:rsidR="00343EF0" w:rsidRDefault="00343EF0" w:rsidP="00343EF0">
      <w:pPr>
        <w:pStyle w:val="Default"/>
        <w:rPr>
          <w:sz w:val="22"/>
          <w:szCs w:val="22"/>
        </w:rPr>
      </w:pPr>
    </w:p>
    <w:p w:rsidR="00343EF0" w:rsidRPr="00673FA1" w:rsidRDefault="00343EF0" w:rsidP="00673FA1">
      <w:pPr>
        <w:pStyle w:val="Default"/>
        <w:ind w:left="426" w:hanging="427"/>
        <w:jc w:val="both"/>
        <w:rPr>
          <w:bCs/>
          <w:sz w:val="22"/>
          <w:szCs w:val="22"/>
        </w:rPr>
      </w:pPr>
      <w:r>
        <w:rPr>
          <w:sz w:val="22"/>
          <w:szCs w:val="22"/>
        </w:rPr>
        <w:t xml:space="preserve">6.1 The maximum budget for this project is </w:t>
      </w:r>
      <w:r w:rsidRPr="001179B2">
        <w:rPr>
          <w:bCs/>
          <w:sz w:val="22"/>
          <w:szCs w:val="22"/>
        </w:rPr>
        <w:t>£</w:t>
      </w:r>
      <w:r w:rsidR="0040283C">
        <w:rPr>
          <w:bCs/>
          <w:sz w:val="22"/>
          <w:szCs w:val="22"/>
        </w:rPr>
        <w:t>40</w:t>
      </w:r>
      <w:r w:rsidRPr="001179B2">
        <w:rPr>
          <w:bCs/>
          <w:sz w:val="22"/>
          <w:szCs w:val="22"/>
        </w:rPr>
        <w:t>,000 (excluding VAT but inclusive of expenses).</w:t>
      </w:r>
      <w:r w:rsidR="00144C85">
        <w:rPr>
          <w:bCs/>
          <w:sz w:val="22"/>
          <w:szCs w:val="22"/>
        </w:rPr>
        <w:t xml:space="preserve"> </w:t>
      </w:r>
    </w:p>
    <w:p w:rsidR="000247E7" w:rsidRDefault="000247E7" w:rsidP="000247E7">
      <w:pPr>
        <w:pStyle w:val="Default"/>
        <w:ind w:left="426" w:hanging="427"/>
        <w:jc w:val="both"/>
        <w:rPr>
          <w:sz w:val="22"/>
          <w:szCs w:val="22"/>
        </w:rPr>
      </w:pPr>
    </w:p>
    <w:p w:rsidR="009E14C9" w:rsidRDefault="009E14C9" w:rsidP="009E14C9">
      <w:pPr>
        <w:rPr>
          <w:rFonts w:cs="Arial"/>
          <w:szCs w:val="24"/>
        </w:rPr>
      </w:pPr>
    </w:p>
    <w:p w:rsidR="00296F26" w:rsidRDefault="00EC03D5" w:rsidP="00296F26">
      <w:pPr>
        <w:pStyle w:val="Default"/>
        <w:ind w:left="390" w:hanging="390"/>
        <w:jc w:val="both"/>
        <w:rPr>
          <w:sz w:val="22"/>
          <w:szCs w:val="22"/>
        </w:rPr>
      </w:pPr>
      <w:r>
        <w:rPr>
          <w:b/>
          <w:bCs/>
          <w:sz w:val="22"/>
          <w:szCs w:val="22"/>
        </w:rPr>
        <w:t>7</w:t>
      </w:r>
      <w:r w:rsidR="00296F26">
        <w:rPr>
          <w:b/>
          <w:bCs/>
          <w:sz w:val="22"/>
          <w:szCs w:val="22"/>
        </w:rPr>
        <w:t xml:space="preserve">.0 Timescales </w:t>
      </w:r>
    </w:p>
    <w:p w:rsidR="00296F26" w:rsidRDefault="00296F26" w:rsidP="00296F26">
      <w:pPr>
        <w:pStyle w:val="Default"/>
        <w:rPr>
          <w:sz w:val="22"/>
          <w:szCs w:val="22"/>
        </w:rPr>
      </w:pPr>
    </w:p>
    <w:p w:rsidR="00296F26" w:rsidRDefault="00EC03D5" w:rsidP="00296F26">
      <w:pPr>
        <w:pStyle w:val="Default"/>
        <w:ind w:left="426" w:hanging="427"/>
        <w:jc w:val="both"/>
        <w:rPr>
          <w:sz w:val="22"/>
          <w:szCs w:val="22"/>
        </w:rPr>
      </w:pPr>
      <w:r>
        <w:rPr>
          <w:sz w:val="22"/>
          <w:szCs w:val="22"/>
        </w:rPr>
        <w:t>7</w:t>
      </w:r>
      <w:r w:rsidR="00296F26">
        <w:rPr>
          <w:sz w:val="22"/>
          <w:szCs w:val="22"/>
        </w:rPr>
        <w:t>.1</w:t>
      </w:r>
      <w:r w:rsidR="0040283C">
        <w:rPr>
          <w:sz w:val="22"/>
          <w:szCs w:val="22"/>
        </w:rPr>
        <w:t xml:space="preserve"> </w:t>
      </w:r>
      <w:r w:rsidR="00296F26">
        <w:rPr>
          <w:sz w:val="22"/>
          <w:szCs w:val="22"/>
        </w:rPr>
        <w:t xml:space="preserve">The </w:t>
      </w:r>
      <w:r w:rsidR="002F67C2">
        <w:rPr>
          <w:sz w:val="22"/>
          <w:szCs w:val="22"/>
        </w:rPr>
        <w:t xml:space="preserve">indicative </w:t>
      </w:r>
      <w:r w:rsidR="00296F26">
        <w:rPr>
          <w:sz w:val="22"/>
          <w:szCs w:val="22"/>
        </w:rPr>
        <w:t xml:space="preserve">timetable for the award of the contract is as follows. </w:t>
      </w:r>
    </w:p>
    <w:p w:rsidR="00296F26" w:rsidRDefault="00296F26" w:rsidP="00296F26">
      <w:pPr>
        <w:pStyle w:val="Default"/>
        <w:rPr>
          <w:sz w:val="22"/>
          <w:szCs w:val="22"/>
        </w:rPr>
      </w:pPr>
    </w:p>
    <w:p w:rsidR="00296F26" w:rsidRDefault="00A14ECF" w:rsidP="00296F26">
      <w:pPr>
        <w:pStyle w:val="Default"/>
        <w:ind w:left="720" w:hanging="360"/>
        <w:jc w:val="both"/>
        <w:rPr>
          <w:sz w:val="22"/>
          <w:szCs w:val="22"/>
        </w:rPr>
      </w:pPr>
      <w:r>
        <w:rPr>
          <w:sz w:val="22"/>
          <w:szCs w:val="22"/>
        </w:rPr>
        <w:t>1</w:t>
      </w:r>
      <w:r w:rsidR="00A911C9">
        <w:rPr>
          <w:sz w:val="22"/>
          <w:szCs w:val="22"/>
        </w:rPr>
        <w:t xml:space="preserve">) </w:t>
      </w:r>
      <w:r w:rsidR="00296F26">
        <w:rPr>
          <w:sz w:val="22"/>
          <w:szCs w:val="22"/>
        </w:rPr>
        <w:t xml:space="preserve">Deadline for Return of Quotation: </w:t>
      </w:r>
      <w:r w:rsidR="0031415E">
        <w:rPr>
          <w:sz w:val="22"/>
          <w:szCs w:val="22"/>
        </w:rPr>
        <w:t xml:space="preserve">12 noon Monday </w:t>
      </w:r>
      <w:r w:rsidR="00EC0D7F">
        <w:rPr>
          <w:sz w:val="22"/>
          <w:szCs w:val="22"/>
        </w:rPr>
        <w:t>2</w:t>
      </w:r>
      <w:r w:rsidR="0031415E">
        <w:rPr>
          <w:sz w:val="22"/>
          <w:szCs w:val="22"/>
        </w:rPr>
        <w:t>9</w:t>
      </w:r>
      <w:r w:rsidR="00EC0D7F" w:rsidRPr="00EC0D7F">
        <w:rPr>
          <w:sz w:val="22"/>
          <w:szCs w:val="22"/>
          <w:vertAlign w:val="superscript"/>
        </w:rPr>
        <w:t>th</w:t>
      </w:r>
      <w:r w:rsidR="00EC0D7F">
        <w:rPr>
          <w:sz w:val="22"/>
          <w:szCs w:val="22"/>
        </w:rPr>
        <w:t xml:space="preserve"> </w:t>
      </w:r>
      <w:r w:rsidR="00B261D8">
        <w:rPr>
          <w:sz w:val="22"/>
          <w:szCs w:val="22"/>
        </w:rPr>
        <w:t>February</w:t>
      </w:r>
      <w:r w:rsidR="00296F26">
        <w:rPr>
          <w:sz w:val="22"/>
          <w:szCs w:val="22"/>
        </w:rPr>
        <w:t xml:space="preserve"> 201</w:t>
      </w:r>
      <w:r>
        <w:rPr>
          <w:sz w:val="22"/>
          <w:szCs w:val="22"/>
        </w:rPr>
        <w:t>6</w:t>
      </w:r>
      <w:r w:rsidR="00296F26">
        <w:rPr>
          <w:sz w:val="22"/>
          <w:szCs w:val="22"/>
        </w:rPr>
        <w:t xml:space="preserve"> </w:t>
      </w:r>
    </w:p>
    <w:p w:rsidR="00A14ECF" w:rsidRDefault="00A14ECF" w:rsidP="00296F26">
      <w:pPr>
        <w:pStyle w:val="Default"/>
        <w:ind w:left="720" w:hanging="360"/>
        <w:jc w:val="both"/>
        <w:rPr>
          <w:sz w:val="22"/>
          <w:szCs w:val="22"/>
        </w:rPr>
      </w:pPr>
      <w:r>
        <w:rPr>
          <w:sz w:val="22"/>
          <w:szCs w:val="22"/>
        </w:rPr>
        <w:t>2</w:t>
      </w:r>
      <w:r w:rsidR="00A911C9">
        <w:rPr>
          <w:sz w:val="22"/>
          <w:szCs w:val="22"/>
        </w:rPr>
        <w:t xml:space="preserve">) Interviews </w:t>
      </w:r>
      <w:r w:rsidR="00E6488D">
        <w:rPr>
          <w:sz w:val="22"/>
          <w:szCs w:val="22"/>
        </w:rPr>
        <w:t>w/c</w:t>
      </w:r>
      <w:r w:rsidR="00A911C9">
        <w:rPr>
          <w:sz w:val="22"/>
          <w:szCs w:val="22"/>
        </w:rPr>
        <w:t xml:space="preserve"> </w:t>
      </w:r>
      <w:r w:rsidR="00EC0D7F">
        <w:rPr>
          <w:sz w:val="22"/>
          <w:szCs w:val="22"/>
        </w:rPr>
        <w:t>7</w:t>
      </w:r>
      <w:r w:rsidR="00EC0D7F" w:rsidRPr="00EC0D7F">
        <w:rPr>
          <w:sz w:val="22"/>
          <w:szCs w:val="22"/>
          <w:vertAlign w:val="superscript"/>
        </w:rPr>
        <w:t>th</w:t>
      </w:r>
      <w:r w:rsidR="00EC0D7F">
        <w:rPr>
          <w:sz w:val="22"/>
          <w:szCs w:val="22"/>
        </w:rPr>
        <w:t xml:space="preserve"> March </w:t>
      </w:r>
      <w:r>
        <w:rPr>
          <w:sz w:val="22"/>
          <w:szCs w:val="22"/>
        </w:rPr>
        <w:t>2016</w:t>
      </w:r>
      <w:r w:rsidR="00A911C9">
        <w:rPr>
          <w:sz w:val="22"/>
          <w:szCs w:val="22"/>
        </w:rPr>
        <w:t xml:space="preserve"> </w:t>
      </w:r>
      <w:bookmarkStart w:id="0" w:name="_GoBack"/>
      <w:bookmarkEnd w:id="0"/>
    </w:p>
    <w:p w:rsidR="00296F26" w:rsidRDefault="00A14ECF" w:rsidP="00296F26">
      <w:pPr>
        <w:pStyle w:val="Default"/>
        <w:ind w:left="720" w:hanging="360"/>
        <w:jc w:val="both"/>
        <w:rPr>
          <w:sz w:val="22"/>
          <w:szCs w:val="22"/>
        </w:rPr>
      </w:pPr>
      <w:r>
        <w:rPr>
          <w:sz w:val="22"/>
          <w:szCs w:val="22"/>
        </w:rPr>
        <w:t>3</w:t>
      </w:r>
      <w:r w:rsidR="00296F26">
        <w:rPr>
          <w:sz w:val="22"/>
          <w:szCs w:val="22"/>
        </w:rPr>
        <w:t xml:space="preserve">) </w:t>
      </w:r>
      <w:r w:rsidR="00A911C9">
        <w:rPr>
          <w:sz w:val="22"/>
          <w:szCs w:val="22"/>
        </w:rPr>
        <w:t>Appointment of consultants</w:t>
      </w:r>
      <w:r w:rsidR="00296F26">
        <w:rPr>
          <w:sz w:val="22"/>
          <w:szCs w:val="22"/>
        </w:rPr>
        <w:t xml:space="preserve">: </w:t>
      </w:r>
      <w:r w:rsidR="00EC0D7F">
        <w:rPr>
          <w:sz w:val="22"/>
          <w:szCs w:val="22"/>
        </w:rPr>
        <w:t>w/c 7</w:t>
      </w:r>
      <w:r w:rsidR="00EC0D7F" w:rsidRPr="00EC0D7F">
        <w:rPr>
          <w:sz w:val="22"/>
          <w:szCs w:val="22"/>
          <w:vertAlign w:val="superscript"/>
        </w:rPr>
        <w:t>th</w:t>
      </w:r>
      <w:r w:rsidR="00EC0D7F">
        <w:rPr>
          <w:sz w:val="22"/>
          <w:szCs w:val="22"/>
        </w:rPr>
        <w:t xml:space="preserve"> March </w:t>
      </w:r>
      <w:r w:rsidR="00296F26">
        <w:rPr>
          <w:sz w:val="22"/>
          <w:szCs w:val="22"/>
        </w:rPr>
        <w:t>201</w:t>
      </w:r>
      <w:r>
        <w:rPr>
          <w:sz w:val="22"/>
          <w:szCs w:val="22"/>
        </w:rPr>
        <w:t>6</w:t>
      </w:r>
      <w:r w:rsidR="00296F26">
        <w:rPr>
          <w:sz w:val="22"/>
          <w:szCs w:val="22"/>
        </w:rPr>
        <w:t xml:space="preserve"> </w:t>
      </w:r>
    </w:p>
    <w:p w:rsidR="00296F26" w:rsidRDefault="00A14ECF" w:rsidP="00296F26">
      <w:pPr>
        <w:pStyle w:val="Default"/>
        <w:ind w:left="720" w:hanging="360"/>
        <w:jc w:val="both"/>
        <w:rPr>
          <w:sz w:val="22"/>
          <w:szCs w:val="22"/>
        </w:rPr>
      </w:pPr>
      <w:r>
        <w:rPr>
          <w:sz w:val="22"/>
          <w:szCs w:val="22"/>
        </w:rPr>
        <w:t>4</w:t>
      </w:r>
      <w:r w:rsidR="00296F26">
        <w:rPr>
          <w:sz w:val="22"/>
          <w:szCs w:val="22"/>
        </w:rPr>
        <w:t xml:space="preserve">) Inception Meeting: w/c </w:t>
      </w:r>
      <w:r w:rsidR="00EC0D7F">
        <w:rPr>
          <w:sz w:val="22"/>
          <w:szCs w:val="22"/>
        </w:rPr>
        <w:t>14</w:t>
      </w:r>
      <w:r w:rsidR="00EC0D7F" w:rsidRPr="00EC0D7F">
        <w:rPr>
          <w:sz w:val="22"/>
          <w:szCs w:val="22"/>
          <w:vertAlign w:val="superscript"/>
        </w:rPr>
        <w:t>th</w:t>
      </w:r>
      <w:r w:rsidR="00EC0D7F">
        <w:rPr>
          <w:sz w:val="22"/>
          <w:szCs w:val="22"/>
        </w:rPr>
        <w:t xml:space="preserve"> March</w:t>
      </w:r>
      <w:r w:rsidR="00296F26">
        <w:rPr>
          <w:sz w:val="22"/>
          <w:szCs w:val="22"/>
        </w:rPr>
        <w:t xml:space="preserve"> 201</w:t>
      </w:r>
      <w:r>
        <w:rPr>
          <w:sz w:val="22"/>
          <w:szCs w:val="22"/>
        </w:rPr>
        <w:t>6</w:t>
      </w:r>
      <w:r w:rsidR="00296F26">
        <w:rPr>
          <w:sz w:val="22"/>
          <w:szCs w:val="22"/>
        </w:rPr>
        <w:t xml:space="preserve"> </w:t>
      </w:r>
    </w:p>
    <w:p w:rsidR="0040283C" w:rsidRDefault="00A14ECF" w:rsidP="0040283C">
      <w:pPr>
        <w:pStyle w:val="Default"/>
        <w:ind w:left="720" w:hanging="360"/>
        <w:jc w:val="both"/>
        <w:rPr>
          <w:sz w:val="22"/>
          <w:szCs w:val="22"/>
        </w:rPr>
      </w:pPr>
      <w:r>
        <w:rPr>
          <w:sz w:val="22"/>
          <w:szCs w:val="22"/>
        </w:rPr>
        <w:t>5</w:t>
      </w:r>
      <w:r w:rsidR="00296F26">
        <w:rPr>
          <w:sz w:val="22"/>
          <w:szCs w:val="22"/>
        </w:rPr>
        <w:t xml:space="preserve">) </w:t>
      </w:r>
      <w:r>
        <w:rPr>
          <w:sz w:val="22"/>
          <w:szCs w:val="22"/>
        </w:rPr>
        <w:t>C</w:t>
      </w:r>
      <w:r w:rsidR="00296F26">
        <w:rPr>
          <w:sz w:val="22"/>
          <w:szCs w:val="22"/>
        </w:rPr>
        <w:t xml:space="preserve">ompletion of </w:t>
      </w:r>
      <w:r>
        <w:rPr>
          <w:sz w:val="22"/>
          <w:szCs w:val="22"/>
        </w:rPr>
        <w:t>Draft Masterplan:</w:t>
      </w:r>
      <w:r w:rsidR="00144C85">
        <w:rPr>
          <w:sz w:val="22"/>
          <w:szCs w:val="22"/>
        </w:rPr>
        <w:t xml:space="preserve"> </w:t>
      </w:r>
      <w:r w:rsidR="00A767D8">
        <w:rPr>
          <w:sz w:val="22"/>
          <w:szCs w:val="22"/>
        </w:rPr>
        <w:t>10</w:t>
      </w:r>
      <w:r w:rsidR="00A767D8" w:rsidRPr="00A767D8">
        <w:rPr>
          <w:sz w:val="22"/>
          <w:szCs w:val="22"/>
          <w:vertAlign w:val="superscript"/>
        </w:rPr>
        <w:t>th</w:t>
      </w:r>
      <w:r w:rsidR="00A767D8">
        <w:rPr>
          <w:sz w:val="22"/>
          <w:szCs w:val="22"/>
        </w:rPr>
        <w:t xml:space="preserve"> </w:t>
      </w:r>
      <w:r w:rsidR="00EC0D7F">
        <w:rPr>
          <w:sz w:val="22"/>
          <w:szCs w:val="22"/>
        </w:rPr>
        <w:t>June</w:t>
      </w:r>
      <w:r w:rsidR="00805507">
        <w:rPr>
          <w:sz w:val="22"/>
          <w:szCs w:val="22"/>
        </w:rPr>
        <w:t xml:space="preserve"> </w:t>
      </w:r>
      <w:r>
        <w:rPr>
          <w:sz w:val="22"/>
          <w:szCs w:val="22"/>
        </w:rPr>
        <w:t>2016</w:t>
      </w:r>
    </w:p>
    <w:p w:rsidR="00A14ECF" w:rsidRDefault="0040283C" w:rsidP="0040283C">
      <w:pPr>
        <w:pStyle w:val="Default"/>
        <w:ind w:left="720" w:hanging="360"/>
        <w:jc w:val="both"/>
        <w:rPr>
          <w:sz w:val="22"/>
          <w:szCs w:val="22"/>
        </w:rPr>
      </w:pPr>
      <w:r>
        <w:rPr>
          <w:sz w:val="22"/>
          <w:szCs w:val="22"/>
        </w:rPr>
        <w:t>6</w:t>
      </w:r>
      <w:r w:rsidR="00A14ECF">
        <w:rPr>
          <w:sz w:val="22"/>
          <w:szCs w:val="22"/>
        </w:rPr>
        <w:t xml:space="preserve">) Public consultation: </w:t>
      </w:r>
      <w:r w:rsidR="00B261D8">
        <w:rPr>
          <w:sz w:val="22"/>
          <w:szCs w:val="22"/>
        </w:rPr>
        <w:t>July</w:t>
      </w:r>
      <w:r w:rsidR="00A767D8">
        <w:rPr>
          <w:sz w:val="22"/>
          <w:szCs w:val="22"/>
        </w:rPr>
        <w:t xml:space="preserve"> / August</w:t>
      </w:r>
      <w:r w:rsidR="00A14ECF">
        <w:rPr>
          <w:sz w:val="22"/>
          <w:szCs w:val="22"/>
        </w:rPr>
        <w:t xml:space="preserve"> 2016</w:t>
      </w:r>
    </w:p>
    <w:p w:rsidR="00296F26" w:rsidRDefault="0040283C" w:rsidP="00296F26">
      <w:pPr>
        <w:pStyle w:val="Default"/>
        <w:ind w:left="720" w:hanging="360"/>
        <w:jc w:val="both"/>
        <w:rPr>
          <w:sz w:val="22"/>
          <w:szCs w:val="22"/>
        </w:rPr>
      </w:pPr>
      <w:r>
        <w:rPr>
          <w:sz w:val="22"/>
          <w:szCs w:val="22"/>
        </w:rPr>
        <w:t>7</w:t>
      </w:r>
      <w:r w:rsidR="00296F26">
        <w:rPr>
          <w:sz w:val="22"/>
          <w:szCs w:val="22"/>
        </w:rPr>
        <w:t xml:space="preserve">) </w:t>
      </w:r>
      <w:r w:rsidR="00A911C9">
        <w:rPr>
          <w:sz w:val="22"/>
          <w:szCs w:val="22"/>
        </w:rPr>
        <w:t>Final</w:t>
      </w:r>
      <w:r w:rsidR="00A14ECF">
        <w:rPr>
          <w:sz w:val="22"/>
          <w:szCs w:val="22"/>
        </w:rPr>
        <w:t xml:space="preserve"> Masterplan</w:t>
      </w:r>
      <w:r w:rsidR="002F67C2">
        <w:rPr>
          <w:sz w:val="22"/>
          <w:szCs w:val="22"/>
        </w:rPr>
        <w:t>:</w:t>
      </w:r>
      <w:r w:rsidR="00A911C9">
        <w:rPr>
          <w:sz w:val="22"/>
          <w:szCs w:val="22"/>
        </w:rPr>
        <w:t xml:space="preserve"> </w:t>
      </w:r>
      <w:r w:rsidR="00A767D8">
        <w:rPr>
          <w:sz w:val="22"/>
          <w:szCs w:val="22"/>
        </w:rPr>
        <w:t>7</w:t>
      </w:r>
      <w:r w:rsidR="00A767D8" w:rsidRPr="00A767D8">
        <w:rPr>
          <w:sz w:val="22"/>
          <w:szCs w:val="22"/>
          <w:vertAlign w:val="superscript"/>
        </w:rPr>
        <w:t>th</w:t>
      </w:r>
      <w:r w:rsidR="00A767D8">
        <w:rPr>
          <w:sz w:val="22"/>
          <w:szCs w:val="22"/>
        </w:rPr>
        <w:t xml:space="preserve"> October </w:t>
      </w:r>
      <w:r w:rsidR="00805507">
        <w:rPr>
          <w:sz w:val="22"/>
          <w:szCs w:val="22"/>
        </w:rPr>
        <w:t>2016</w:t>
      </w:r>
    </w:p>
    <w:p w:rsidR="00805507" w:rsidRDefault="00805507" w:rsidP="00296F26">
      <w:pPr>
        <w:pStyle w:val="Default"/>
        <w:ind w:left="720" w:hanging="360"/>
        <w:jc w:val="both"/>
        <w:rPr>
          <w:sz w:val="22"/>
          <w:szCs w:val="22"/>
        </w:rPr>
      </w:pPr>
    </w:p>
    <w:p w:rsidR="00805507" w:rsidRDefault="00805507" w:rsidP="00296F26">
      <w:pPr>
        <w:pStyle w:val="Default"/>
        <w:ind w:left="720" w:hanging="360"/>
        <w:jc w:val="both"/>
        <w:rPr>
          <w:sz w:val="22"/>
          <w:szCs w:val="22"/>
        </w:rPr>
      </w:pPr>
    </w:p>
    <w:p w:rsidR="009E14C9" w:rsidRDefault="00EC03D5" w:rsidP="00C33FDE">
      <w:pPr>
        <w:pStyle w:val="Default"/>
        <w:ind w:left="390" w:hanging="390"/>
        <w:jc w:val="both"/>
        <w:rPr>
          <w:b/>
          <w:bCs/>
          <w:sz w:val="22"/>
          <w:szCs w:val="22"/>
        </w:rPr>
      </w:pPr>
      <w:r>
        <w:rPr>
          <w:b/>
          <w:bCs/>
          <w:sz w:val="22"/>
          <w:szCs w:val="22"/>
        </w:rPr>
        <w:t>8</w:t>
      </w:r>
      <w:r w:rsidR="002F67C2" w:rsidRPr="00C33FDE">
        <w:rPr>
          <w:b/>
          <w:bCs/>
          <w:sz w:val="22"/>
          <w:szCs w:val="22"/>
        </w:rPr>
        <w:t xml:space="preserve">.0 </w:t>
      </w:r>
      <w:r w:rsidR="009E14C9" w:rsidRPr="00C33FDE">
        <w:rPr>
          <w:b/>
          <w:bCs/>
          <w:sz w:val="22"/>
          <w:szCs w:val="22"/>
        </w:rPr>
        <w:t>Reporting and project management arrangements</w:t>
      </w:r>
    </w:p>
    <w:p w:rsidR="00805507" w:rsidRPr="00C33FDE" w:rsidRDefault="00805507" w:rsidP="00C33FDE">
      <w:pPr>
        <w:pStyle w:val="Default"/>
        <w:ind w:left="390" w:hanging="390"/>
        <w:jc w:val="both"/>
        <w:rPr>
          <w:b/>
          <w:bCs/>
          <w:sz w:val="22"/>
          <w:szCs w:val="22"/>
        </w:rPr>
      </w:pPr>
    </w:p>
    <w:p w:rsidR="009E14C9" w:rsidRPr="00C33FDE" w:rsidRDefault="00EC03D5" w:rsidP="00C33FDE">
      <w:pPr>
        <w:pStyle w:val="Default"/>
        <w:ind w:left="426" w:hanging="427"/>
        <w:jc w:val="both"/>
        <w:rPr>
          <w:sz w:val="22"/>
          <w:szCs w:val="22"/>
        </w:rPr>
      </w:pPr>
      <w:r>
        <w:rPr>
          <w:sz w:val="22"/>
          <w:szCs w:val="22"/>
        </w:rPr>
        <w:t>8</w:t>
      </w:r>
      <w:r w:rsidR="002F67C2" w:rsidRPr="00C33FDE">
        <w:rPr>
          <w:sz w:val="22"/>
          <w:szCs w:val="22"/>
        </w:rPr>
        <w:t xml:space="preserve">.1 </w:t>
      </w:r>
      <w:r w:rsidR="009E14C9" w:rsidRPr="00C33FDE">
        <w:rPr>
          <w:sz w:val="22"/>
          <w:szCs w:val="22"/>
        </w:rPr>
        <w:t>The consult</w:t>
      </w:r>
      <w:r w:rsidR="00E6488D">
        <w:rPr>
          <w:sz w:val="22"/>
          <w:szCs w:val="22"/>
        </w:rPr>
        <w:t>ant will work closely with the Council</w:t>
      </w:r>
      <w:r w:rsidR="009E14C9" w:rsidRPr="00C33FDE">
        <w:rPr>
          <w:sz w:val="22"/>
          <w:szCs w:val="22"/>
        </w:rPr>
        <w:t xml:space="preserve"> to ensure that agreed services are being executed and delivered to the highest standards according to critical timings and best practice.</w:t>
      </w:r>
      <w:r w:rsidR="00C33FDE">
        <w:rPr>
          <w:sz w:val="22"/>
          <w:szCs w:val="22"/>
        </w:rPr>
        <w:t xml:space="preserve"> </w:t>
      </w:r>
      <w:r w:rsidR="00C33FDE" w:rsidRPr="00C33FDE">
        <w:rPr>
          <w:sz w:val="22"/>
          <w:szCs w:val="22"/>
        </w:rPr>
        <w:t xml:space="preserve">The </w:t>
      </w:r>
      <w:r w:rsidR="00E6488D">
        <w:rPr>
          <w:sz w:val="22"/>
          <w:szCs w:val="22"/>
        </w:rPr>
        <w:t>Council</w:t>
      </w:r>
      <w:r w:rsidR="00C33FDE" w:rsidRPr="00C33FDE">
        <w:rPr>
          <w:sz w:val="22"/>
          <w:szCs w:val="22"/>
        </w:rPr>
        <w:t xml:space="preserve"> will be able to supply OS base maps.</w:t>
      </w:r>
    </w:p>
    <w:p w:rsidR="009E14C9" w:rsidRPr="00C33FDE" w:rsidRDefault="009E14C9" w:rsidP="00C33FDE">
      <w:pPr>
        <w:pStyle w:val="Default"/>
        <w:ind w:left="426" w:hanging="427"/>
        <w:jc w:val="both"/>
        <w:rPr>
          <w:sz w:val="22"/>
          <w:szCs w:val="22"/>
        </w:rPr>
      </w:pPr>
    </w:p>
    <w:p w:rsidR="009E14C9" w:rsidRPr="00C33FDE" w:rsidRDefault="00EC03D5" w:rsidP="00C33FDE">
      <w:pPr>
        <w:pStyle w:val="Default"/>
        <w:ind w:left="426" w:hanging="427"/>
        <w:jc w:val="both"/>
        <w:rPr>
          <w:sz w:val="22"/>
          <w:szCs w:val="22"/>
        </w:rPr>
      </w:pPr>
      <w:r>
        <w:rPr>
          <w:sz w:val="22"/>
          <w:szCs w:val="22"/>
        </w:rPr>
        <w:t>8</w:t>
      </w:r>
      <w:r w:rsidR="002F67C2" w:rsidRPr="00C33FDE">
        <w:rPr>
          <w:sz w:val="22"/>
          <w:szCs w:val="22"/>
        </w:rPr>
        <w:t xml:space="preserve">.2 </w:t>
      </w:r>
      <w:r w:rsidR="009E14C9" w:rsidRPr="00C33FDE">
        <w:rPr>
          <w:sz w:val="22"/>
          <w:szCs w:val="22"/>
        </w:rPr>
        <w:t xml:space="preserve">Your point of contact at the </w:t>
      </w:r>
      <w:r w:rsidR="00E6488D">
        <w:rPr>
          <w:sz w:val="22"/>
          <w:szCs w:val="22"/>
        </w:rPr>
        <w:t>Council</w:t>
      </w:r>
      <w:r w:rsidR="009E14C9" w:rsidRPr="00C33FDE">
        <w:rPr>
          <w:sz w:val="22"/>
          <w:szCs w:val="22"/>
        </w:rPr>
        <w:t xml:space="preserve"> will be </w:t>
      </w:r>
      <w:r w:rsidR="00673FA1">
        <w:rPr>
          <w:sz w:val="22"/>
          <w:szCs w:val="22"/>
        </w:rPr>
        <w:t>Tim Parton</w:t>
      </w:r>
      <w:r w:rsidR="002F67C2">
        <w:rPr>
          <w:sz w:val="22"/>
          <w:szCs w:val="22"/>
        </w:rPr>
        <w:t xml:space="preserve">, </w:t>
      </w:r>
      <w:r w:rsidR="00673FA1">
        <w:rPr>
          <w:sz w:val="22"/>
          <w:szCs w:val="22"/>
        </w:rPr>
        <w:t>Spatial Planning Team Leader</w:t>
      </w:r>
      <w:r w:rsidR="002F67C2">
        <w:rPr>
          <w:sz w:val="22"/>
          <w:szCs w:val="22"/>
        </w:rPr>
        <w:t xml:space="preserve">. </w:t>
      </w:r>
      <w:r w:rsidR="009E14C9" w:rsidRPr="00C33FDE">
        <w:rPr>
          <w:sz w:val="22"/>
          <w:szCs w:val="22"/>
        </w:rPr>
        <w:t>You should nominate one person from your company to manage the brief through to completion and act as the primary contact.</w:t>
      </w:r>
      <w:r w:rsidR="00805507">
        <w:rPr>
          <w:sz w:val="22"/>
          <w:szCs w:val="22"/>
        </w:rPr>
        <w:t xml:space="preserve"> A Steering Group has been established of key officers within the </w:t>
      </w:r>
      <w:r w:rsidR="00E6488D">
        <w:rPr>
          <w:sz w:val="22"/>
          <w:szCs w:val="22"/>
        </w:rPr>
        <w:t>Council</w:t>
      </w:r>
      <w:r w:rsidR="00805507">
        <w:rPr>
          <w:sz w:val="22"/>
          <w:szCs w:val="22"/>
        </w:rPr>
        <w:t xml:space="preserve"> and consultants should allow for three meetings with the steering group during the course of the project. </w:t>
      </w:r>
    </w:p>
    <w:p w:rsidR="009E14C9" w:rsidRPr="00C33FDE" w:rsidRDefault="009E14C9" w:rsidP="00C33FDE">
      <w:pPr>
        <w:pStyle w:val="Default"/>
        <w:ind w:left="426" w:hanging="427"/>
        <w:jc w:val="both"/>
        <w:rPr>
          <w:sz w:val="22"/>
          <w:szCs w:val="22"/>
        </w:rPr>
      </w:pPr>
    </w:p>
    <w:p w:rsidR="009E14C9" w:rsidRPr="00C33FDE" w:rsidRDefault="00EC03D5" w:rsidP="00C33FDE">
      <w:pPr>
        <w:pStyle w:val="Default"/>
        <w:ind w:left="426" w:hanging="427"/>
        <w:jc w:val="both"/>
        <w:rPr>
          <w:sz w:val="22"/>
          <w:szCs w:val="22"/>
        </w:rPr>
      </w:pPr>
      <w:r>
        <w:rPr>
          <w:sz w:val="22"/>
          <w:szCs w:val="22"/>
        </w:rPr>
        <w:t>8</w:t>
      </w:r>
      <w:r w:rsidR="00C33FDE">
        <w:rPr>
          <w:sz w:val="22"/>
          <w:szCs w:val="22"/>
        </w:rPr>
        <w:t xml:space="preserve">.3 </w:t>
      </w:r>
      <w:r w:rsidR="009E14C9" w:rsidRPr="00C33FDE">
        <w:rPr>
          <w:sz w:val="22"/>
          <w:szCs w:val="22"/>
        </w:rPr>
        <w:t xml:space="preserve">The project will be administered by email and telephone wherever practicable with project meetings </w:t>
      </w:r>
      <w:r w:rsidR="002F67C2" w:rsidRPr="00C33FDE">
        <w:rPr>
          <w:sz w:val="22"/>
          <w:szCs w:val="22"/>
        </w:rPr>
        <w:t xml:space="preserve">and workshops </w:t>
      </w:r>
      <w:r w:rsidR="009E14C9" w:rsidRPr="00C33FDE">
        <w:rPr>
          <w:sz w:val="22"/>
          <w:szCs w:val="22"/>
        </w:rPr>
        <w:t xml:space="preserve">at </w:t>
      </w:r>
      <w:r w:rsidR="002F67C2" w:rsidRPr="00C33FDE">
        <w:rPr>
          <w:sz w:val="22"/>
          <w:szCs w:val="22"/>
        </w:rPr>
        <w:t xml:space="preserve">the </w:t>
      </w:r>
      <w:r w:rsidR="00E6488D">
        <w:rPr>
          <w:sz w:val="22"/>
          <w:szCs w:val="22"/>
        </w:rPr>
        <w:t>Council</w:t>
      </w:r>
      <w:r w:rsidR="002F67C2" w:rsidRPr="00C33FDE">
        <w:rPr>
          <w:sz w:val="22"/>
          <w:szCs w:val="22"/>
        </w:rPr>
        <w:t xml:space="preserve"> offices </w:t>
      </w:r>
      <w:r w:rsidR="009E14C9" w:rsidRPr="00C33FDE">
        <w:rPr>
          <w:sz w:val="22"/>
          <w:szCs w:val="22"/>
        </w:rPr>
        <w:t>at inception and draft report stage.</w:t>
      </w:r>
    </w:p>
    <w:p w:rsidR="009E14C9" w:rsidRDefault="009E14C9" w:rsidP="009E14C9">
      <w:pPr>
        <w:rPr>
          <w:rFonts w:cs="Arial"/>
          <w:szCs w:val="24"/>
        </w:rPr>
      </w:pPr>
    </w:p>
    <w:p w:rsidR="00AA3474" w:rsidRDefault="00AA3474" w:rsidP="009E14C9">
      <w:pPr>
        <w:rPr>
          <w:rFonts w:cs="Arial"/>
          <w:szCs w:val="24"/>
        </w:rPr>
      </w:pPr>
    </w:p>
    <w:p w:rsidR="00AA3474" w:rsidRDefault="00AA3474" w:rsidP="00AA3474">
      <w:pPr>
        <w:pStyle w:val="Default"/>
        <w:ind w:left="390" w:hanging="390"/>
        <w:jc w:val="both"/>
        <w:rPr>
          <w:b/>
          <w:bCs/>
          <w:sz w:val="22"/>
          <w:szCs w:val="22"/>
        </w:rPr>
      </w:pPr>
      <w:r>
        <w:rPr>
          <w:b/>
          <w:bCs/>
          <w:sz w:val="22"/>
          <w:szCs w:val="22"/>
        </w:rPr>
        <w:t>9.0 Performance Indicators</w:t>
      </w:r>
    </w:p>
    <w:p w:rsidR="00AA3474" w:rsidRDefault="00AA3474" w:rsidP="00AA3474">
      <w:pPr>
        <w:pStyle w:val="Default"/>
        <w:ind w:left="390" w:hanging="390"/>
        <w:jc w:val="both"/>
        <w:rPr>
          <w:b/>
          <w:bCs/>
          <w:sz w:val="22"/>
          <w:szCs w:val="22"/>
        </w:rPr>
      </w:pPr>
    </w:p>
    <w:p w:rsidR="00AA3474" w:rsidRDefault="00AA3474" w:rsidP="00AA3474">
      <w:pPr>
        <w:pStyle w:val="Default"/>
        <w:ind w:left="390" w:hanging="390"/>
        <w:jc w:val="both"/>
        <w:rPr>
          <w:bCs/>
          <w:sz w:val="22"/>
          <w:szCs w:val="22"/>
        </w:rPr>
      </w:pPr>
      <w:r>
        <w:rPr>
          <w:bCs/>
          <w:sz w:val="22"/>
          <w:szCs w:val="22"/>
        </w:rPr>
        <w:t xml:space="preserve">9.1 In addition to the timescales set out in section 7 above, the </w:t>
      </w:r>
      <w:r w:rsidR="00E6488D">
        <w:rPr>
          <w:bCs/>
          <w:sz w:val="22"/>
          <w:szCs w:val="22"/>
        </w:rPr>
        <w:t>Council</w:t>
      </w:r>
      <w:r>
        <w:rPr>
          <w:bCs/>
          <w:sz w:val="22"/>
          <w:szCs w:val="22"/>
        </w:rPr>
        <w:t xml:space="preserve"> will also require the following: </w:t>
      </w:r>
    </w:p>
    <w:p w:rsidR="00AA3474" w:rsidRDefault="00AA3474" w:rsidP="00AA3474">
      <w:pPr>
        <w:pStyle w:val="Default"/>
        <w:numPr>
          <w:ilvl w:val="0"/>
          <w:numId w:val="32"/>
        </w:numPr>
        <w:jc w:val="both"/>
        <w:rPr>
          <w:bCs/>
          <w:sz w:val="22"/>
          <w:szCs w:val="22"/>
        </w:rPr>
      </w:pPr>
      <w:r>
        <w:rPr>
          <w:bCs/>
          <w:sz w:val="22"/>
          <w:szCs w:val="22"/>
        </w:rPr>
        <w:t xml:space="preserve">Regular updates on the progression of the work will be provided to the </w:t>
      </w:r>
      <w:r w:rsidR="00E6488D">
        <w:rPr>
          <w:bCs/>
          <w:sz w:val="22"/>
          <w:szCs w:val="22"/>
        </w:rPr>
        <w:t>Council</w:t>
      </w:r>
      <w:r>
        <w:rPr>
          <w:bCs/>
          <w:sz w:val="22"/>
          <w:szCs w:val="22"/>
        </w:rPr>
        <w:t xml:space="preserve"> every two weeks;</w:t>
      </w:r>
    </w:p>
    <w:p w:rsidR="00AA3474" w:rsidRDefault="00AA3474" w:rsidP="00AA3474">
      <w:pPr>
        <w:pStyle w:val="Default"/>
        <w:numPr>
          <w:ilvl w:val="0"/>
          <w:numId w:val="32"/>
        </w:numPr>
        <w:jc w:val="both"/>
        <w:rPr>
          <w:bCs/>
          <w:sz w:val="22"/>
          <w:szCs w:val="22"/>
        </w:rPr>
      </w:pPr>
      <w:r>
        <w:rPr>
          <w:bCs/>
          <w:sz w:val="22"/>
          <w:szCs w:val="22"/>
        </w:rPr>
        <w:t xml:space="preserve">Responses to email and telephone correspondence from the </w:t>
      </w:r>
      <w:r w:rsidR="00E6488D">
        <w:rPr>
          <w:bCs/>
          <w:sz w:val="22"/>
          <w:szCs w:val="22"/>
        </w:rPr>
        <w:t>Council</w:t>
      </w:r>
      <w:r>
        <w:rPr>
          <w:bCs/>
          <w:sz w:val="22"/>
          <w:szCs w:val="22"/>
        </w:rPr>
        <w:t xml:space="preserve"> within two days;</w:t>
      </w:r>
    </w:p>
    <w:p w:rsidR="00554517" w:rsidRDefault="00554517" w:rsidP="00C33FDE">
      <w:pPr>
        <w:pStyle w:val="Default"/>
        <w:ind w:left="390" w:hanging="390"/>
        <w:jc w:val="both"/>
        <w:rPr>
          <w:b/>
          <w:bCs/>
          <w:sz w:val="22"/>
          <w:szCs w:val="22"/>
        </w:rPr>
      </w:pPr>
    </w:p>
    <w:p w:rsidR="00AA3474" w:rsidRDefault="00AA3474" w:rsidP="00C33FDE">
      <w:pPr>
        <w:pStyle w:val="Default"/>
        <w:ind w:left="390" w:hanging="390"/>
        <w:jc w:val="both"/>
        <w:rPr>
          <w:b/>
          <w:bCs/>
          <w:sz w:val="22"/>
          <w:szCs w:val="22"/>
        </w:rPr>
      </w:pPr>
    </w:p>
    <w:p w:rsidR="009E14C9" w:rsidRDefault="00AA3474" w:rsidP="00C33FDE">
      <w:pPr>
        <w:pStyle w:val="Default"/>
        <w:ind w:left="390" w:hanging="390"/>
        <w:jc w:val="both"/>
        <w:rPr>
          <w:b/>
          <w:bCs/>
          <w:sz w:val="22"/>
          <w:szCs w:val="22"/>
        </w:rPr>
      </w:pPr>
      <w:r>
        <w:rPr>
          <w:b/>
          <w:bCs/>
          <w:sz w:val="22"/>
          <w:szCs w:val="22"/>
        </w:rPr>
        <w:t>10</w:t>
      </w:r>
      <w:r w:rsidR="00C33FDE" w:rsidRPr="00C33FDE">
        <w:rPr>
          <w:b/>
          <w:bCs/>
          <w:sz w:val="22"/>
          <w:szCs w:val="22"/>
        </w:rPr>
        <w:t xml:space="preserve">.0 </w:t>
      </w:r>
      <w:r w:rsidR="009E14C9" w:rsidRPr="00C33FDE">
        <w:rPr>
          <w:b/>
          <w:bCs/>
          <w:sz w:val="22"/>
          <w:szCs w:val="22"/>
        </w:rPr>
        <w:t>Questions and further information</w:t>
      </w:r>
    </w:p>
    <w:p w:rsidR="00C33FDE" w:rsidRPr="00C33FDE" w:rsidRDefault="00C33FDE" w:rsidP="00C33FDE">
      <w:pPr>
        <w:pStyle w:val="Default"/>
        <w:ind w:left="390" w:hanging="390"/>
        <w:jc w:val="both"/>
        <w:rPr>
          <w:b/>
          <w:bCs/>
          <w:sz w:val="22"/>
          <w:szCs w:val="22"/>
        </w:rPr>
      </w:pPr>
    </w:p>
    <w:p w:rsidR="00C33FDE" w:rsidRDefault="00AA3474" w:rsidP="00E6488D">
      <w:pPr>
        <w:pStyle w:val="Default"/>
        <w:ind w:left="567" w:hanging="568"/>
        <w:jc w:val="both"/>
        <w:rPr>
          <w:sz w:val="22"/>
          <w:szCs w:val="22"/>
        </w:rPr>
      </w:pPr>
      <w:r>
        <w:rPr>
          <w:sz w:val="22"/>
          <w:szCs w:val="22"/>
        </w:rPr>
        <w:t>10</w:t>
      </w:r>
      <w:r w:rsidR="00C33FDE">
        <w:rPr>
          <w:sz w:val="22"/>
          <w:szCs w:val="22"/>
        </w:rPr>
        <w:t>.1 Please send your submission to the following contact details (submissions by email are preferred)</w:t>
      </w:r>
    </w:p>
    <w:p w:rsidR="00C33FDE" w:rsidRDefault="00C33FDE" w:rsidP="00E6488D">
      <w:pPr>
        <w:pStyle w:val="Default"/>
        <w:ind w:left="567" w:hanging="568"/>
        <w:jc w:val="both"/>
        <w:rPr>
          <w:sz w:val="22"/>
          <w:szCs w:val="22"/>
        </w:rPr>
      </w:pPr>
      <w:r>
        <w:rPr>
          <w:sz w:val="22"/>
          <w:szCs w:val="22"/>
        </w:rPr>
        <w:t xml:space="preserve"> </w:t>
      </w:r>
    </w:p>
    <w:p w:rsidR="00C33FDE" w:rsidRDefault="00673FA1" w:rsidP="00E6488D">
      <w:pPr>
        <w:pStyle w:val="Default"/>
        <w:ind w:left="567" w:hanging="568"/>
        <w:jc w:val="both"/>
        <w:rPr>
          <w:sz w:val="22"/>
          <w:szCs w:val="22"/>
          <w:u w:val="single"/>
        </w:rPr>
      </w:pPr>
      <w:r>
        <w:rPr>
          <w:sz w:val="22"/>
          <w:szCs w:val="22"/>
        </w:rPr>
        <w:t>E</w:t>
      </w:r>
      <w:r w:rsidR="00C33FDE">
        <w:rPr>
          <w:sz w:val="22"/>
          <w:szCs w:val="22"/>
        </w:rPr>
        <w:t xml:space="preserve">mail: </w:t>
      </w:r>
      <w:r w:rsidR="00343EF0">
        <w:rPr>
          <w:sz w:val="22"/>
          <w:szCs w:val="22"/>
          <w:u w:val="single"/>
        </w:rPr>
        <w:t>tim.parton</w:t>
      </w:r>
      <w:r w:rsidR="00C33FDE">
        <w:rPr>
          <w:sz w:val="22"/>
          <w:szCs w:val="22"/>
          <w:u w:val="single"/>
        </w:rPr>
        <w:t xml:space="preserve">@maldon.gov.uk </w:t>
      </w:r>
    </w:p>
    <w:p w:rsidR="00C33FDE" w:rsidRDefault="00C33FDE" w:rsidP="00E6488D">
      <w:pPr>
        <w:pStyle w:val="Default"/>
        <w:ind w:left="567" w:hanging="568"/>
        <w:jc w:val="both"/>
        <w:rPr>
          <w:sz w:val="22"/>
          <w:szCs w:val="22"/>
        </w:rPr>
      </w:pPr>
    </w:p>
    <w:p w:rsidR="00C33FDE" w:rsidRDefault="00AA3474" w:rsidP="00E6488D">
      <w:pPr>
        <w:pStyle w:val="Default"/>
        <w:ind w:left="567" w:hanging="568"/>
        <w:jc w:val="both"/>
        <w:rPr>
          <w:sz w:val="22"/>
          <w:szCs w:val="22"/>
        </w:rPr>
      </w:pPr>
      <w:r>
        <w:rPr>
          <w:sz w:val="22"/>
          <w:szCs w:val="22"/>
        </w:rPr>
        <w:t>10</w:t>
      </w:r>
      <w:r w:rsidR="00C33FDE">
        <w:rPr>
          <w:sz w:val="22"/>
          <w:szCs w:val="22"/>
        </w:rPr>
        <w:t xml:space="preserve">.2 </w:t>
      </w:r>
      <w:r w:rsidR="00E6488D">
        <w:rPr>
          <w:sz w:val="22"/>
          <w:szCs w:val="22"/>
        </w:rPr>
        <w:tab/>
      </w:r>
      <w:r w:rsidR="00C33FDE">
        <w:rPr>
          <w:sz w:val="22"/>
          <w:szCs w:val="22"/>
        </w:rPr>
        <w:t xml:space="preserve">Postal: </w:t>
      </w:r>
      <w:r w:rsidR="00343EF0">
        <w:rPr>
          <w:sz w:val="22"/>
          <w:szCs w:val="22"/>
        </w:rPr>
        <w:t>Tim Parton, Spatial Planning Team Leader</w:t>
      </w:r>
      <w:r w:rsidR="00C33FDE">
        <w:rPr>
          <w:sz w:val="22"/>
          <w:szCs w:val="22"/>
        </w:rPr>
        <w:t xml:space="preserve">, Maldon </w:t>
      </w:r>
      <w:r w:rsidR="00144C85">
        <w:rPr>
          <w:sz w:val="22"/>
          <w:szCs w:val="22"/>
        </w:rPr>
        <w:t>District</w:t>
      </w:r>
      <w:r w:rsidR="00C33FDE">
        <w:rPr>
          <w:sz w:val="22"/>
          <w:szCs w:val="22"/>
        </w:rPr>
        <w:t xml:space="preserve"> </w:t>
      </w:r>
      <w:r w:rsidR="00E6488D">
        <w:rPr>
          <w:sz w:val="22"/>
          <w:szCs w:val="22"/>
        </w:rPr>
        <w:t>Council</w:t>
      </w:r>
      <w:r w:rsidR="00C33FDE">
        <w:rPr>
          <w:sz w:val="22"/>
          <w:szCs w:val="22"/>
        </w:rPr>
        <w:t xml:space="preserve">, </w:t>
      </w:r>
      <w:r w:rsidR="00E6488D">
        <w:rPr>
          <w:sz w:val="22"/>
          <w:szCs w:val="22"/>
        </w:rPr>
        <w:t>Council</w:t>
      </w:r>
      <w:r w:rsidR="00C33FDE">
        <w:rPr>
          <w:sz w:val="22"/>
          <w:szCs w:val="22"/>
        </w:rPr>
        <w:t xml:space="preserve"> Offices, Princes Road, Maldon, Essex CM9 5DL </w:t>
      </w:r>
    </w:p>
    <w:p w:rsidR="00C33FDE" w:rsidRDefault="00C33FDE" w:rsidP="00E6488D">
      <w:pPr>
        <w:pStyle w:val="Default"/>
        <w:ind w:left="567" w:hanging="568"/>
        <w:jc w:val="both"/>
        <w:rPr>
          <w:sz w:val="22"/>
          <w:szCs w:val="22"/>
        </w:rPr>
      </w:pPr>
    </w:p>
    <w:p w:rsidR="009E14C9" w:rsidRPr="00C33FDE" w:rsidRDefault="00AA3474" w:rsidP="00E6488D">
      <w:pPr>
        <w:pStyle w:val="Default"/>
        <w:ind w:left="567" w:hanging="568"/>
        <w:jc w:val="both"/>
        <w:rPr>
          <w:sz w:val="22"/>
          <w:szCs w:val="22"/>
        </w:rPr>
      </w:pPr>
      <w:r>
        <w:rPr>
          <w:sz w:val="22"/>
          <w:szCs w:val="22"/>
        </w:rPr>
        <w:t>10</w:t>
      </w:r>
      <w:r w:rsidR="00C33FDE">
        <w:rPr>
          <w:sz w:val="22"/>
          <w:szCs w:val="22"/>
        </w:rPr>
        <w:t xml:space="preserve">.3 </w:t>
      </w:r>
      <w:r w:rsidR="00E6488D">
        <w:rPr>
          <w:sz w:val="22"/>
          <w:szCs w:val="22"/>
        </w:rPr>
        <w:tab/>
      </w:r>
      <w:r w:rsidR="00C33FDE">
        <w:rPr>
          <w:sz w:val="22"/>
          <w:szCs w:val="22"/>
        </w:rPr>
        <w:t xml:space="preserve">If you should require any further information please contact </w:t>
      </w:r>
      <w:r w:rsidR="00343EF0">
        <w:rPr>
          <w:sz w:val="22"/>
          <w:szCs w:val="22"/>
        </w:rPr>
        <w:t xml:space="preserve">Tim Parton, Spatial Planning Team Leader, </w:t>
      </w:r>
      <w:proofErr w:type="gramStart"/>
      <w:r w:rsidR="00343EF0">
        <w:rPr>
          <w:sz w:val="22"/>
          <w:szCs w:val="22"/>
        </w:rPr>
        <w:t>Tel</w:t>
      </w:r>
      <w:proofErr w:type="gramEnd"/>
      <w:r w:rsidR="00343EF0">
        <w:rPr>
          <w:sz w:val="22"/>
          <w:szCs w:val="22"/>
        </w:rPr>
        <w:t>: 01621 876203</w:t>
      </w:r>
      <w:r w:rsidR="00C33FDE">
        <w:rPr>
          <w:sz w:val="22"/>
          <w:szCs w:val="22"/>
        </w:rPr>
        <w:t xml:space="preserve">. </w:t>
      </w:r>
      <w:r w:rsidR="009E14C9" w:rsidRPr="00C33FDE">
        <w:rPr>
          <w:sz w:val="22"/>
          <w:szCs w:val="22"/>
        </w:rPr>
        <w:t xml:space="preserve">Please note that, for reasons of fairness, we </w:t>
      </w:r>
      <w:r w:rsidR="008B19C6">
        <w:rPr>
          <w:sz w:val="22"/>
          <w:szCs w:val="22"/>
        </w:rPr>
        <w:t>will</w:t>
      </w:r>
      <w:r w:rsidR="008B19C6" w:rsidRPr="00C33FDE">
        <w:rPr>
          <w:sz w:val="22"/>
          <w:szCs w:val="22"/>
        </w:rPr>
        <w:t xml:space="preserve"> </w:t>
      </w:r>
      <w:r w:rsidR="00E6488D">
        <w:rPr>
          <w:sz w:val="22"/>
          <w:szCs w:val="22"/>
        </w:rPr>
        <w:t>submit</w:t>
      </w:r>
      <w:r w:rsidR="009E14C9" w:rsidRPr="00C33FDE">
        <w:rPr>
          <w:sz w:val="22"/>
          <w:szCs w:val="22"/>
        </w:rPr>
        <w:t xml:space="preserve"> questions and their answers </w:t>
      </w:r>
      <w:r w:rsidR="00E6488D">
        <w:rPr>
          <w:sz w:val="22"/>
          <w:szCs w:val="22"/>
        </w:rPr>
        <w:t>onto Contracts Finder.</w:t>
      </w:r>
    </w:p>
    <w:p w:rsidR="009E14C9" w:rsidRDefault="009E14C9" w:rsidP="009E14C9">
      <w:pPr>
        <w:rPr>
          <w:color w:val="FF0000"/>
        </w:rPr>
      </w:pPr>
    </w:p>
    <w:p w:rsidR="00554517" w:rsidRDefault="00554517">
      <w:pPr>
        <w:spacing w:after="200" w:line="276" w:lineRule="auto"/>
        <w:rPr>
          <w:rFonts w:cs="Arial"/>
          <w:b/>
          <w:sz w:val="22"/>
          <w:szCs w:val="22"/>
          <w:lang w:val="en-US" w:eastAsia="en-GB"/>
        </w:rPr>
      </w:pPr>
      <w:r>
        <w:rPr>
          <w:rFonts w:cs="Arial"/>
          <w:b/>
          <w:sz w:val="22"/>
          <w:szCs w:val="22"/>
          <w:lang w:val="en-US" w:eastAsia="en-GB"/>
        </w:rPr>
        <w:br w:type="page"/>
      </w:r>
    </w:p>
    <w:p w:rsidR="00C33FDE" w:rsidRPr="00C33FDE" w:rsidRDefault="00AA3474" w:rsidP="00C33FDE">
      <w:pPr>
        <w:autoSpaceDE w:val="0"/>
        <w:autoSpaceDN w:val="0"/>
        <w:adjustRightInd w:val="0"/>
        <w:rPr>
          <w:rFonts w:cs="Arial"/>
          <w:b/>
          <w:sz w:val="22"/>
          <w:szCs w:val="22"/>
          <w:lang w:val="en-US" w:eastAsia="en-GB"/>
        </w:rPr>
      </w:pPr>
      <w:r>
        <w:rPr>
          <w:rFonts w:cs="Arial"/>
          <w:b/>
          <w:sz w:val="22"/>
          <w:szCs w:val="22"/>
          <w:lang w:val="en-US" w:eastAsia="en-GB"/>
        </w:rPr>
        <w:t>11</w:t>
      </w:r>
      <w:r w:rsidR="00C33FDE">
        <w:rPr>
          <w:rFonts w:cs="Arial"/>
          <w:b/>
          <w:sz w:val="22"/>
          <w:szCs w:val="22"/>
          <w:lang w:val="en-US" w:eastAsia="en-GB"/>
        </w:rPr>
        <w:t xml:space="preserve">.0 </w:t>
      </w:r>
      <w:r w:rsidR="00C33FDE" w:rsidRPr="00C33FDE">
        <w:rPr>
          <w:rFonts w:cs="Arial"/>
          <w:b/>
          <w:sz w:val="22"/>
          <w:szCs w:val="22"/>
          <w:lang w:val="en-US" w:eastAsia="en-GB"/>
        </w:rPr>
        <w:t>Evaluation Methodology</w:t>
      </w:r>
    </w:p>
    <w:p w:rsidR="00C33FDE" w:rsidRPr="00C33FDE" w:rsidRDefault="00C33FDE" w:rsidP="00C33FDE">
      <w:pPr>
        <w:autoSpaceDE w:val="0"/>
        <w:autoSpaceDN w:val="0"/>
        <w:adjustRightInd w:val="0"/>
        <w:rPr>
          <w:rFonts w:cs="Arial"/>
          <w:sz w:val="22"/>
          <w:szCs w:val="22"/>
          <w:lang w:val="en-US" w:eastAsia="en-GB"/>
        </w:rPr>
      </w:pPr>
    </w:p>
    <w:p w:rsidR="00C33FDE" w:rsidRPr="00C33FDE" w:rsidRDefault="00C33FDE" w:rsidP="00C33FDE">
      <w:pPr>
        <w:autoSpaceDE w:val="0"/>
        <w:autoSpaceDN w:val="0"/>
        <w:adjustRightInd w:val="0"/>
        <w:rPr>
          <w:rFonts w:cs="Arial"/>
          <w:sz w:val="22"/>
          <w:szCs w:val="22"/>
          <w:lang w:val="en-US" w:eastAsia="en-GB"/>
        </w:rPr>
      </w:pPr>
      <w:r w:rsidRPr="00C33FDE">
        <w:rPr>
          <w:rFonts w:cs="Arial"/>
          <w:sz w:val="22"/>
          <w:szCs w:val="22"/>
          <w:lang w:val="en-US" w:eastAsia="en-GB"/>
        </w:rPr>
        <w:t>The contract will be awarded taking into consideration the following criteria:</w:t>
      </w:r>
    </w:p>
    <w:p w:rsidR="00C33FDE" w:rsidRPr="00C33FDE" w:rsidRDefault="00C33FDE" w:rsidP="00C33FDE">
      <w:pPr>
        <w:autoSpaceDE w:val="0"/>
        <w:autoSpaceDN w:val="0"/>
        <w:adjustRightInd w:val="0"/>
        <w:rPr>
          <w:rFonts w:cs="Arial"/>
          <w:sz w:val="22"/>
          <w:szCs w:val="22"/>
          <w:lang w:val="en-US" w:eastAsia="en-GB"/>
        </w:rPr>
      </w:pPr>
    </w:p>
    <w:p w:rsidR="00C33FDE" w:rsidRPr="00C33FDE" w:rsidRDefault="00C33FDE" w:rsidP="00C33FDE">
      <w:pPr>
        <w:autoSpaceDE w:val="0"/>
        <w:autoSpaceDN w:val="0"/>
        <w:adjustRightInd w:val="0"/>
        <w:rPr>
          <w:rFonts w:cs="Arial"/>
          <w:sz w:val="22"/>
          <w:szCs w:val="22"/>
          <w:lang w:val="en-US" w:eastAsia="en-GB"/>
        </w:rPr>
      </w:pPr>
    </w:p>
    <w:tbl>
      <w:tblPr>
        <w:tblW w:w="8505" w:type="dxa"/>
        <w:tblLayout w:type="fixed"/>
        <w:tblLook w:val="0000" w:firstRow="0" w:lastRow="0" w:firstColumn="0" w:lastColumn="0" w:noHBand="0" w:noVBand="0"/>
      </w:tblPr>
      <w:tblGrid>
        <w:gridCol w:w="1843"/>
        <w:gridCol w:w="2646"/>
        <w:gridCol w:w="975"/>
        <w:gridCol w:w="1057"/>
        <w:gridCol w:w="1984"/>
      </w:tblGrid>
      <w:tr w:rsidR="00C33FDE" w:rsidRPr="00C33FDE" w:rsidTr="00273972">
        <w:trPr>
          <w:trHeight w:val="270"/>
        </w:trPr>
        <w:tc>
          <w:tcPr>
            <w:tcW w:w="4489" w:type="dxa"/>
            <w:gridSpan w:val="2"/>
            <w:tcBorders>
              <w:top w:val="single" w:sz="4" w:space="0" w:color="auto"/>
              <w:left w:val="single" w:sz="4" w:space="0" w:color="auto"/>
              <w:bottom w:val="single" w:sz="8" w:space="0" w:color="auto"/>
              <w:right w:val="single" w:sz="4" w:space="0" w:color="auto"/>
            </w:tcBorders>
            <w:shd w:val="clear" w:color="auto" w:fill="D9D9D9"/>
            <w:noWrap/>
            <w:vAlign w:val="bottom"/>
          </w:tcPr>
          <w:p w:rsidR="00C33FDE" w:rsidRPr="00C33FDE" w:rsidRDefault="00C33FDE" w:rsidP="00C33FDE">
            <w:pPr>
              <w:rPr>
                <w:rFonts w:cs="Arial"/>
                <w:b/>
                <w:sz w:val="22"/>
                <w:szCs w:val="22"/>
                <w:lang w:val="en-US"/>
              </w:rPr>
            </w:pPr>
            <w:r w:rsidRPr="00C33FDE">
              <w:rPr>
                <w:rFonts w:cs="Arial"/>
                <w:b/>
                <w:sz w:val="22"/>
                <w:szCs w:val="22"/>
                <w:lang w:val="en-US"/>
              </w:rPr>
              <w:t>Criteria</w:t>
            </w:r>
            <w:r w:rsidR="00144C85">
              <w:rPr>
                <w:rFonts w:cs="Arial"/>
                <w:b/>
                <w:sz w:val="22"/>
                <w:szCs w:val="22"/>
                <w:lang w:val="en-US"/>
              </w:rPr>
              <w:t xml:space="preserve"> </w:t>
            </w:r>
            <w:r w:rsidRPr="00C33FDE">
              <w:rPr>
                <w:rFonts w:cs="Arial"/>
                <w:b/>
                <w:sz w:val="22"/>
                <w:szCs w:val="22"/>
                <w:lang w:val="en-US"/>
              </w:rPr>
              <w:t>/</w:t>
            </w:r>
            <w:r w:rsidR="00144C85">
              <w:rPr>
                <w:rFonts w:cs="Arial"/>
                <w:b/>
                <w:sz w:val="22"/>
                <w:szCs w:val="22"/>
                <w:lang w:val="en-US"/>
              </w:rPr>
              <w:t xml:space="preserve"> </w:t>
            </w:r>
            <w:r w:rsidRPr="00C33FDE">
              <w:rPr>
                <w:rFonts w:cs="Arial"/>
                <w:b/>
                <w:sz w:val="22"/>
                <w:szCs w:val="22"/>
                <w:lang w:val="en-US"/>
              </w:rPr>
              <w:t>Sub Criteria</w:t>
            </w:r>
          </w:p>
        </w:tc>
        <w:tc>
          <w:tcPr>
            <w:tcW w:w="975" w:type="dxa"/>
            <w:tcBorders>
              <w:top w:val="single" w:sz="4" w:space="0" w:color="auto"/>
              <w:left w:val="nil"/>
              <w:bottom w:val="single" w:sz="8" w:space="0" w:color="auto"/>
              <w:right w:val="single" w:sz="4" w:space="0" w:color="auto"/>
            </w:tcBorders>
            <w:shd w:val="clear" w:color="auto" w:fill="D9D9D9"/>
            <w:noWrap/>
            <w:vAlign w:val="bottom"/>
          </w:tcPr>
          <w:p w:rsidR="00C33FDE" w:rsidRPr="00C33FDE" w:rsidRDefault="00C33FDE" w:rsidP="00C33FDE">
            <w:pPr>
              <w:rPr>
                <w:rFonts w:cs="Arial"/>
                <w:b/>
                <w:sz w:val="22"/>
                <w:szCs w:val="22"/>
                <w:lang w:val="en-US"/>
              </w:rPr>
            </w:pPr>
            <w:r w:rsidRPr="00C33FDE">
              <w:rPr>
                <w:rFonts w:cs="Arial"/>
                <w:b/>
                <w:sz w:val="22"/>
                <w:szCs w:val="22"/>
                <w:lang w:val="en-US"/>
              </w:rPr>
              <w:t>Marks</w:t>
            </w:r>
          </w:p>
        </w:tc>
        <w:tc>
          <w:tcPr>
            <w:tcW w:w="3041" w:type="dxa"/>
            <w:gridSpan w:val="2"/>
            <w:tcBorders>
              <w:top w:val="single" w:sz="4" w:space="0" w:color="auto"/>
              <w:left w:val="nil"/>
              <w:bottom w:val="single" w:sz="8" w:space="0" w:color="auto"/>
              <w:right w:val="single" w:sz="4" w:space="0" w:color="auto"/>
            </w:tcBorders>
            <w:shd w:val="clear" w:color="auto" w:fill="D9D9D9"/>
            <w:noWrap/>
            <w:vAlign w:val="bottom"/>
          </w:tcPr>
          <w:p w:rsidR="00C33FDE" w:rsidRPr="00C33FDE" w:rsidRDefault="00C33FDE" w:rsidP="00C33FDE">
            <w:pPr>
              <w:rPr>
                <w:rFonts w:cs="Arial"/>
                <w:b/>
                <w:sz w:val="22"/>
                <w:szCs w:val="22"/>
                <w:lang w:val="en-US"/>
              </w:rPr>
            </w:pPr>
            <w:r w:rsidRPr="00C33FDE">
              <w:rPr>
                <w:rFonts w:cs="Arial"/>
                <w:b/>
                <w:sz w:val="22"/>
                <w:szCs w:val="22"/>
                <w:lang w:val="en-US"/>
              </w:rPr>
              <w:t>Weightings</w:t>
            </w:r>
          </w:p>
        </w:tc>
      </w:tr>
      <w:tr w:rsidR="00C33FDE" w:rsidRPr="00C33FDE" w:rsidTr="00273972">
        <w:trPr>
          <w:trHeight w:val="491"/>
        </w:trPr>
        <w:tc>
          <w:tcPr>
            <w:tcW w:w="448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3FDE" w:rsidRPr="00C33FDE" w:rsidRDefault="00144C85" w:rsidP="00C33FDE">
            <w:pPr>
              <w:rPr>
                <w:rFonts w:cs="Arial"/>
                <w:sz w:val="22"/>
                <w:szCs w:val="22"/>
                <w:lang w:val="en-US"/>
              </w:rPr>
            </w:pPr>
            <w:r>
              <w:rPr>
                <w:rFonts w:cs="Arial"/>
                <w:sz w:val="22"/>
                <w:szCs w:val="22"/>
                <w:lang w:val="en-US"/>
              </w:rPr>
              <w:t xml:space="preserve"> </w:t>
            </w:r>
            <w:r w:rsidR="00C33FDE" w:rsidRPr="00C33FDE">
              <w:rPr>
                <w:rFonts w:cs="Arial"/>
                <w:sz w:val="22"/>
                <w:szCs w:val="22"/>
                <w:lang w:val="en-US"/>
              </w:rPr>
              <w:t>Price</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3FDE" w:rsidRPr="00C33FDE" w:rsidRDefault="00C33FDE" w:rsidP="00C33FDE">
            <w:pPr>
              <w:jc w:val="center"/>
              <w:rPr>
                <w:rFonts w:cs="Arial"/>
                <w:sz w:val="22"/>
                <w:szCs w:val="22"/>
                <w:lang w:val="en-US"/>
              </w:rPr>
            </w:pPr>
            <w:r w:rsidRPr="00C33FDE">
              <w:rPr>
                <w:rFonts w:cs="Arial"/>
                <w:sz w:val="22"/>
                <w:szCs w:val="22"/>
                <w:lang w:val="en-US"/>
              </w:rPr>
              <w:t>/</w:t>
            </w:r>
            <w:r w:rsidR="008B19C6">
              <w:rPr>
                <w:rFonts w:cs="Arial"/>
                <w:sz w:val="22"/>
                <w:szCs w:val="22"/>
                <w:lang w:val="en-US"/>
              </w:rPr>
              <w:t>10</w:t>
            </w:r>
          </w:p>
        </w:tc>
        <w:tc>
          <w:tcPr>
            <w:tcW w:w="304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33FDE" w:rsidRPr="00C33FDE" w:rsidRDefault="00554517" w:rsidP="00C33FDE">
            <w:pPr>
              <w:jc w:val="center"/>
              <w:rPr>
                <w:rFonts w:cs="Arial"/>
                <w:sz w:val="22"/>
                <w:szCs w:val="22"/>
                <w:lang w:val="en-US"/>
              </w:rPr>
            </w:pPr>
            <w:r>
              <w:rPr>
                <w:rFonts w:cs="Arial"/>
                <w:sz w:val="22"/>
                <w:szCs w:val="22"/>
                <w:lang w:val="en-US"/>
              </w:rPr>
              <w:t>4</w:t>
            </w:r>
            <w:r w:rsidR="00C33FDE" w:rsidRPr="00C33FDE">
              <w:rPr>
                <w:rFonts w:cs="Arial"/>
                <w:sz w:val="22"/>
                <w:szCs w:val="22"/>
                <w:lang w:val="en-US"/>
              </w:rPr>
              <w:t>0%</w:t>
            </w:r>
          </w:p>
        </w:tc>
      </w:tr>
      <w:tr w:rsidR="00C33FDE" w:rsidRPr="00C33FDE" w:rsidTr="00273972">
        <w:trPr>
          <w:trHeight w:val="491"/>
        </w:trPr>
        <w:tc>
          <w:tcPr>
            <w:tcW w:w="4489" w:type="dxa"/>
            <w:gridSpan w:val="2"/>
            <w:vMerge/>
            <w:tcBorders>
              <w:top w:val="single" w:sz="4" w:space="0" w:color="auto"/>
              <w:left w:val="single" w:sz="4" w:space="0" w:color="auto"/>
              <w:bottom w:val="single" w:sz="4" w:space="0" w:color="000000"/>
              <w:right w:val="single" w:sz="4" w:space="0" w:color="auto"/>
            </w:tcBorders>
            <w:vAlign w:val="center"/>
          </w:tcPr>
          <w:p w:rsidR="00C33FDE" w:rsidRPr="00C33FDE" w:rsidRDefault="00C33FDE" w:rsidP="00C33FDE">
            <w:pPr>
              <w:rPr>
                <w:rFonts w:cs="Arial"/>
                <w:sz w:val="22"/>
                <w:szCs w:val="22"/>
                <w:lang w:val="en-US"/>
              </w:rPr>
            </w:pPr>
          </w:p>
        </w:tc>
        <w:tc>
          <w:tcPr>
            <w:tcW w:w="975" w:type="dxa"/>
            <w:vMerge/>
            <w:tcBorders>
              <w:top w:val="single" w:sz="4" w:space="0" w:color="auto"/>
              <w:left w:val="single" w:sz="4" w:space="0" w:color="auto"/>
              <w:bottom w:val="single" w:sz="4" w:space="0" w:color="000000"/>
              <w:right w:val="single" w:sz="4" w:space="0" w:color="auto"/>
            </w:tcBorders>
            <w:vAlign w:val="center"/>
          </w:tcPr>
          <w:p w:rsidR="00C33FDE" w:rsidRPr="00C33FDE" w:rsidRDefault="00C33FDE" w:rsidP="00C33FDE">
            <w:pPr>
              <w:jc w:val="center"/>
              <w:rPr>
                <w:rFonts w:cs="Arial"/>
                <w:sz w:val="22"/>
                <w:szCs w:val="22"/>
                <w:lang w:val="en-US"/>
              </w:rPr>
            </w:pPr>
          </w:p>
        </w:tc>
        <w:tc>
          <w:tcPr>
            <w:tcW w:w="3041" w:type="dxa"/>
            <w:gridSpan w:val="2"/>
            <w:vMerge/>
            <w:tcBorders>
              <w:top w:val="single" w:sz="4" w:space="0" w:color="auto"/>
              <w:left w:val="single" w:sz="4" w:space="0" w:color="auto"/>
              <w:bottom w:val="single" w:sz="4" w:space="0" w:color="000000"/>
              <w:right w:val="single" w:sz="4" w:space="0" w:color="auto"/>
            </w:tcBorders>
            <w:vAlign w:val="center"/>
          </w:tcPr>
          <w:p w:rsidR="00C33FDE" w:rsidRPr="00C33FDE" w:rsidRDefault="00C33FDE" w:rsidP="00C33FDE">
            <w:pPr>
              <w:rPr>
                <w:rFonts w:cs="Arial"/>
                <w:sz w:val="22"/>
                <w:szCs w:val="22"/>
                <w:lang w:val="en-US"/>
              </w:rPr>
            </w:pPr>
          </w:p>
        </w:tc>
      </w:tr>
      <w:tr w:rsidR="00C33FDE" w:rsidRPr="00C33FDE" w:rsidTr="00273972">
        <w:trPr>
          <w:trHeight w:val="9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3FDE" w:rsidRPr="00C33FDE" w:rsidRDefault="00C33FDE" w:rsidP="00C33FDE">
            <w:pPr>
              <w:jc w:val="center"/>
              <w:rPr>
                <w:rFonts w:cs="Arial"/>
                <w:sz w:val="22"/>
                <w:szCs w:val="22"/>
                <w:lang w:val="en-US"/>
              </w:rPr>
            </w:pPr>
            <w:r w:rsidRPr="00C33FDE">
              <w:rPr>
                <w:rFonts w:cs="Arial"/>
                <w:sz w:val="22"/>
                <w:szCs w:val="22"/>
                <w:lang w:val="en-US"/>
              </w:rPr>
              <w:t>Quality</w:t>
            </w:r>
          </w:p>
        </w:tc>
        <w:tc>
          <w:tcPr>
            <w:tcW w:w="2646" w:type="dxa"/>
            <w:tcBorders>
              <w:top w:val="nil"/>
              <w:left w:val="single" w:sz="4" w:space="0" w:color="auto"/>
              <w:bottom w:val="single" w:sz="4" w:space="0" w:color="000000"/>
              <w:right w:val="single" w:sz="4" w:space="0" w:color="auto"/>
            </w:tcBorders>
            <w:shd w:val="clear" w:color="auto" w:fill="auto"/>
            <w:vAlign w:val="center"/>
          </w:tcPr>
          <w:p w:rsidR="00C33FDE" w:rsidRPr="00C33FDE" w:rsidRDefault="00C33FDE" w:rsidP="00C33FDE">
            <w:pPr>
              <w:jc w:val="center"/>
              <w:rPr>
                <w:rFonts w:cs="Arial"/>
                <w:sz w:val="22"/>
                <w:szCs w:val="22"/>
                <w:lang w:val="en-US"/>
              </w:rPr>
            </w:pPr>
            <w:r w:rsidRPr="00C33FDE">
              <w:rPr>
                <w:rFonts w:cs="Arial"/>
                <w:sz w:val="22"/>
                <w:szCs w:val="22"/>
                <w:lang w:val="en-US"/>
              </w:rPr>
              <w:t xml:space="preserve">Ability to comply with the specification in the </w:t>
            </w:r>
            <w:r w:rsidR="00AA3474">
              <w:rPr>
                <w:rFonts w:cs="Arial"/>
                <w:sz w:val="22"/>
                <w:szCs w:val="22"/>
                <w:lang w:val="en-US"/>
              </w:rPr>
              <w:t xml:space="preserve">project </w:t>
            </w:r>
            <w:r w:rsidRPr="00C33FDE">
              <w:rPr>
                <w:rFonts w:cs="Arial"/>
                <w:sz w:val="22"/>
                <w:szCs w:val="22"/>
                <w:lang w:val="en-US"/>
              </w:rPr>
              <w:t>brief</w:t>
            </w:r>
            <w:r w:rsidR="00AA3474">
              <w:rPr>
                <w:rFonts w:cs="Arial"/>
                <w:sz w:val="22"/>
                <w:szCs w:val="22"/>
                <w:lang w:val="en-US"/>
              </w:rPr>
              <w:t xml:space="preserve"> set out in section 3 above</w:t>
            </w:r>
          </w:p>
        </w:tc>
        <w:tc>
          <w:tcPr>
            <w:tcW w:w="975" w:type="dxa"/>
            <w:tcBorders>
              <w:top w:val="nil"/>
              <w:left w:val="single" w:sz="4" w:space="0" w:color="auto"/>
              <w:bottom w:val="single" w:sz="4" w:space="0" w:color="000000"/>
              <w:right w:val="single" w:sz="4" w:space="0" w:color="auto"/>
            </w:tcBorders>
            <w:shd w:val="clear" w:color="auto" w:fill="auto"/>
            <w:noWrap/>
            <w:vAlign w:val="center"/>
          </w:tcPr>
          <w:p w:rsidR="00C33FDE" w:rsidRPr="00C33FDE" w:rsidRDefault="00C33FDE" w:rsidP="00C33FDE">
            <w:pPr>
              <w:jc w:val="center"/>
              <w:rPr>
                <w:rFonts w:cs="Arial"/>
                <w:sz w:val="22"/>
                <w:szCs w:val="22"/>
                <w:lang w:val="en-US"/>
              </w:rPr>
            </w:pPr>
            <w:r w:rsidRPr="00C33FDE">
              <w:rPr>
                <w:rFonts w:cs="Arial"/>
                <w:sz w:val="22"/>
                <w:szCs w:val="22"/>
                <w:lang w:val="en-US"/>
              </w:rPr>
              <w:t>/</w:t>
            </w:r>
            <w:r w:rsidR="008B19C6">
              <w:rPr>
                <w:rFonts w:cs="Arial"/>
                <w:sz w:val="22"/>
                <w:szCs w:val="22"/>
                <w:lang w:val="en-US"/>
              </w:rPr>
              <w:t>10</w:t>
            </w:r>
          </w:p>
        </w:tc>
        <w:tc>
          <w:tcPr>
            <w:tcW w:w="1057" w:type="dxa"/>
            <w:tcBorders>
              <w:top w:val="nil"/>
              <w:left w:val="single" w:sz="4" w:space="0" w:color="auto"/>
              <w:bottom w:val="single" w:sz="4" w:space="0" w:color="000000"/>
              <w:right w:val="single" w:sz="4" w:space="0" w:color="auto"/>
            </w:tcBorders>
            <w:shd w:val="clear" w:color="auto" w:fill="auto"/>
            <w:noWrap/>
            <w:vAlign w:val="center"/>
          </w:tcPr>
          <w:p w:rsidR="00C33FDE" w:rsidRPr="00C33FDE" w:rsidRDefault="00735AD6" w:rsidP="00C33FDE">
            <w:pPr>
              <w:jc w:val="center"/>
              <w:rPr>
                <w:rFonts w:cs="Arial"/>
                <w:sz w:val="22"/>
                <w:szCs w:val="22"/>
                <w:lang w:val="en-US"/>
              </w:rPr>
            </w:pPr>
            <w:r>
              <w:rPr>
                <w:rFonts w:cs="Arial"/>
                <w:sz w:val="22"/>
                <w:szCs w:val="22"/>
                <w:lang w:val="en-US"/>
              </w:rPr>
              <w:t>40</w:t>
            </w:r>
            <w:r w:rsidR="00C33FDE" w:rsidRPr="00C33FDE">
              <w:rPr>
                <w:rFonts w:cs="Arial"/>
                <w:sz w:val="22"/>
                <w:szCs w:val="22"/>
                <w:lang w:val="en-US"/>
              </w:rPr>
              <w:t>%</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C33FDE" w:rsidRPr="00C33FDE" w:rsidRDefault="00554517" w:rsidP="00C33FDE">
            <w:pPr>
              <w:jc w:val="center"/>
              <w:rPr>
                <w:rFonts w:cs="Arial"/>
                <w:sz w:val="22"/>
                <w:szCs w:val="22"/>
                <w:lang w:val="en-US"/>
              </w:rPr>
            </w:pPr>
            <w:r>
              <w:rPr>
                <w:rFonts w:cs="Arial"/>
                <w:sz w:val="22"/>
                <w:szCs w:val="22"/>
                <w:lang w:val="en-US"/>
              </w:rPr>
              <w:t>6</w:t>
            </w:r>
            <w:r w:rsidR="00C33FDE" w:rsidRPr="00C33FDE">
              <w:rPr>
                <w:rFonts w:cs="Arial"/>
                <w:sz w:val="22"/>
                <w:szCs w:val="22"/>
                <w:lang w:val="en-US"/>
              </w:rPr>
              <w:t>0%</w:t>
            </w:r>
          </w:p>
        </w:tc>
      </w:tr>
      <w:tr w:rsidR="008B19C6" w:rsidRPr="00C33FDE" w:rsidTr="00273972">
        <w:trPr>
          <w:trHeight w:val="906"/>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B19C6" w:rsidRPr="00C33FDE" w:rsidRDefault="008B19C6" w:rsidP="00C33FDE">
            <w:pPr>
              <w:jc w:val="center"/>
              <w:rPr>
                <w:rFonts w:cs="Arial"/>
                <w:sz w:val="22"/>
                <w:szCs w:val="22"/>
                <w:lang w:val="en-US"/>
              </w:rPr>
            </w:pPr>
          </w:p>
        </w:tc>
        <w:tc>
          <w:tcPr>
            <w:tcW w:w="2646" w:type="dxa"/>
            <w:tcBorders>
              <w:top w:val="nil"/>
              <w:left w:val="single" w:sz="4" w:space="0" w:color="auto"/>
              <w:bottom w:val="single" w:sz="4" w:space="0" w:color="000000"/>
              <w:right w:val="single" w:sz="4" w:space="0" w:color="auto"/>
            </w:tcBorders>
            <w:shd w:val="clear" w:color="auto" w:fill="auto"/>
            <w:vAlign w:val="center"/>
          </w:tcPr>
          <w:p w:rsidR="008B19C6" w:rsidRPr="00C33FDE" w:rsidRDefault="008B19C6" w:rsidP="00B27BE2">
            <w:pPr>
              <w:jc w:val="center"/>
              <w:rPr>
                <w:rFonts w:cs="Arial"/>
                <w:sz w:val="22"/>
                <w:szCs w:val="22"/>
                <w:lang w:val="en-US"/>
              </w:rPr>
            </w:pPr>
            <w:r>
              <w:rPr>
                <w:rFonts w:cs="Arial"/>
                <w:sz w:val="22"/>
                <w:szCs w:val="22"/>
                <w:lang w:val="en-US"/>
              </w:rPr>
              <w:t>Examples of previous work</w:t>
            </w:r>
          </w:p>
        </w:tc>
        <w:tc>
          <w:tcPr>
            <w:tcW w:w="975" w:type="dxa"/>
            <w:tcBorders>
              <w:top w:val="nil"/>
              <w:left w:val="single" w:sz="4" w:space="0" w:color="auto"/>
              <w:bottom w:val="single" w:sz="4" w:space="0" w:color="000000"/>
              <w:right w:val="single" w:sz="4" w:space="0" w:color="auto"/>
            </w:tcBorders>
            <w:shd w:val="clear" w:color="auto" w:fill="auto"/>
            <w:noWrap/>
            <w:vAlign w:val="center"/>
          </w:tcPr>
          <w:p w:rsidR="008B19C6" w:rsidRPr="00C33FDE" w:rsidRDefault="00B27BE2" w:rsidP="00C33FDE">
            <w:pPr>
              <w:jc w:val="center"/>
              <w:rPr>
                <w:rFonts w:cs="Arial"/>
                <w:sz w:val="22"/>
                <w:szCs w:val="22"/>
                <w:lang w:val="en-US"/>
              </w:rPr>
            </w:pPr>
            <w:r>
              <w:rPr>
                <w:rFonts w:cs="Arial"/>
                <w:sz w:val="22"/>
                <w:szCs w:val="22"/>
                <w:lang w:val="en-US"/>
              </w:rPr>
              <w:t>/10</w:t>
            </w:r>
          </w:p>
        </w:tc>
        <w:tc>
          <w:tcPr>
            <w:tcW w:w="1057" w:type="dxa"/>
            <w:tcBorders>
              <w:top w:val="nil"/>
              <w:left w:val="single" w:sz="4" w:space="0" w:color="auto"/>
              <w:bottom w:val="single" w:sz="4" w:space="0" w:color="000000"/>
              <w:right w:val="single" w:sz="4" w:space="0" w:color="auto"/>
            </w:tcBorders>
            <w:shd w:val="clear" w:color="auto" w:fill="auto"/>
            <w:noWrap/>
            <w:vAlign w:val="center"/>
          </w:tcPr>
          <w:p w:rsidR="008B19C6" w:rsidRDefault="00735AD6" w:rsidP="00C33FDE">
            <w:pPr>
              <w:jc w:val="center"/>
              <w:rPr>
                <w:rFonts w:cs="Arial"/>
                <w:sz w:val="22"/>
                <w:szCs w:val="22"/>
                <w:lang w:val="en-US"/>
              </w:rPr>
            </w:pPr>
            <w:r>
              <w:rPr>
                <w:rFonts w:cs="Arial"/>
                <w:sz w:val="22"/>
                <w:szCs w:val="22"/>
                <w:lang w:val="en-US"/>
              </w:rPr>
              <w:t>10</w:t>
            </w:r>
            <w:r w:rsidR="00B27BE2">
              <w:rPr>
                <w:rFonts w:cs="Arial"/>
                <w:sz w:val="22"/>
                <w:szCs w:val="22"/>
                <w:lang w:val="en-US"/>
              </w:rPr>
              <w:t>%</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rsidR="008B19C6" w:rsidRDefault="008B19C6" w:rsidP="00C33FDE">
            <w:pPr>
              <w:jc w:val="center"/>
              <w:rPr>
                <w:rFonts w:cs="Arial"/>
                <w:sz w:val="22"/>
                <w:szCs w:val="22"/>
                <w:lang w:val="en-US"/>
              </w:rPr>
            </w:pPr>
          </w:p>
        </w:tc>
      </w:tr>
      <w:tr w:rsidR="00C33FDE" w:rsidRPr="00C33FDE" w:rsidTr="00273972">
        <w:trPr>
          <w:trHeight w:val="833"/>
        </w:trPr>
        <w:tc>
          <w:tcPr>
            <w:tcW w:w="1843" w:type="dxa"/>
            <w:vMerge/>
            <w:tcBorders>
              <w:left w:val="single" w:sz="4" w:space="0" w:color="auto"/>
              <w:bottom w:val="single" w:sz="4" w:space="0" w:color="auto"/>
              <w:right w:val="single" w:sz="4" w:space="0" w:color="auto"/>
            </w:tcBorders>
            <w:shd w:val="clear" w:color="auto" w:fill="auto"/>
            <w:noWrap/>
            <w:vAlign w:val="bottom"/>
          </w:tcPr>
          <w:p w:rsidR="00C33FDE" w:rsidRPr="00C33FDE" w:rsidRDefault="00C33FDE" w:rsidP="00C33FDE">
            <w:pPr>
              <w:rPr>
                <w:rFonts w:cs="Arial"/>
                <w:sz w:val="22"/>
                <w:szCs w:val="22"/>
                <w:lang w:val="en-US"/>
              </w:rPr>
            </w:pPr>
          </w:p>
        </w:tc>
        <w:tc>
          <w:tcPr>
            <w:tcW w:w="2646" w:type="dxa"/>
            <w:tcBorders>
              <w:top w:val="nil"/>
              <w:left w:val="single" w:sz="4" w:space="0" w:color="auto"/>
              <w:bottom w:val="single" w:sz="4" w:space="0" w:color="000000"/>
              <w:right w:val="single" w:sz="4" w:space="0" w:color="auto"/>
            </w:tcBorders>
            <w:shd w:val="clear" w:color="auto" w:fill="auto"/>
            <w:vAlign w:val="center"/>
          </w:tcPr>
          <w:p w:rsidR="00C33FDE" w:rsidRPr="00C33FDE" w:rsidRDefault="00C33FDE" w:rsidP="00C33FDE">
            <w:pPr>
              <w:jc w:val="center"/>
              <w:rPr>
                <w:rFonts w:cs="Arial"/>
                <w:sz w:val="22"/>
                <w:szCs w:val="22"/>
                <w:lang w:val="en-US"/>
              </w:rPr>
            </w:pPr>
            <w:r w:rsidRPr="00C33FDE">
              <w:rPr>
                <w:rFonts w:cs="Arial"/>
                <w:sz w:val="22"/>
                <w:szCs w:val="22"/>
                <w:lang w:val="en-US"/>
              </w:rPr>
              <w:t>Ab</w:t>
            </w:r>
            <w:r w:rsidR="00AA3474">
              <w:rPr>
                <w:rFonts w:cs="Arial"/>
                <w:sz w:val="22"/>
                <w:szCs w:val="22"/>
                <w:lang w:val="en-US"/>
              </w:rPr>
              <w:t xml:space="preserve">ility to meet the work </w:t>
            </w:r>
            <w:r w:rsidR="00AA3474" w:rsidRPr="00AA3474">
              <w:rPr>
                <w:rFonts w:cs="Arial"/>
                <w:sz w:val="22"/>
                <w:szCs w:val="22"/>
              </w:rPr>
              <w:t>programme</w:t>
            </w:r>
            <w:r w:rsidR="00AA3474">
              <w:rPr>
                <w:rFonts w:cs="Arial"/>
                <w:sz w:val="22"/>
                <w:szCs w:val="22"/>
                <w:lang w:val="en-US"/>
              </w:rPr>
              <w:t xml:space="preserve"> set out in section 7 above</w:t>
            </w:r>
          </w:p>
        </w:tc>
        <w:tc>
          <w:tcPr>
            <w:tcW w:w="975" w:type="dxa"/>
            <w:tcBorders>
              <w:top w:val="nil"/>
              <w:left w:val="single" w:sz="4" w:space="0" w:color="auto"/>
              <w:bottom w:val="single" w:sz="4" w:space="0" w:color="000000"/>
              <w:right w:val="single" w:sz="4" w:space="0" w:color="auto"/>
            </w:tcBorders>
            <w:shd w:val="clear" w:color="auto" w:fill="auto"/>
            <w:noWrap/>
            <w:vAlign w:val="center"/>
          </w:tcPr>
          <w:p w:rsidR="00C33FDE" w:rsidRPr="00C33FDE" w:rsidRDefault="00C33FDE" w:rsidP="00C33FDE">
            <w:pPr>
              <w:jc w:val="center"/>
              <w:rPr>
                <w:rFonts w:cs="Arial"/>
                <w:sz w:val="22"/>
                <w:szCs w:val="22"/>
                <w:lang w:val="en-US"/>
              </w:rPr>
            </w:pPr>
            <w:r w:rsidRPr="00C33FDE">
              <w:rPr>
                <w:rFonts w:cs="Arial"/>
                <w:sz w:val="22"/>
                <w:szCs w:val="22"/>
                <w:lang w:val="en-US"/>
              </w:rPr>
              <w:t>/</w:t>
            </w:r>
            <w:r w:rsidR="008B19C6">
              <w:rPr>
                <w:rFonts w:cs="Arial"/>
                <w:sz w:val="22"/>
                <w:szCs w:val="22"/>
                <w:lang w:val="en-US"/>
              </w:rPr>
              <w:t>10</w:t>
            </w:r>
          </w:p>
        </w:tc>
        <w:tc>
          <w:tcPr>
            <w:tcW w:w="1057" w:type="dxa"/>
            <w:tcBorders>
              <w:top w:val="nil"/>
              <w:left w:val="single" w:sz="4" w:space="0" w:color="auto"/>
              <w:bottom w:val="single" w:sz="4" w:space="0" w:color="000000"/>
              <w:right w:val="single" w:sz="4" w:space="0" w:color="auto"/>
            </w:tcBorders>
            <w:shd w:val="clear" w:color="auto" w:fill="auto"/>
            <w:vAlign w:val="center"/>
          </w:tcPr>
          <w:p w:rsidR="00C33FDE" w:rsidRPr="00C33FDE" w:rsidRDefault="00B27BE2" w:rsidP="00C33FDE">
            <w:pPr>
              <w:jc w:val="center"/>
              <w:rPr>
                <w:rFonts w:cs="Arial"/>
                <w:sz w:val="22"/>
                <w:szCs w:val="22"/>
                <w:lang w:val="en-US"/>
              </w:rPr>
            </w:pPr>
            <w:r>
              <w:rPr>
                <w:rFonts w:cs="Arial"/>
                <w:sz w:val="22"/>
                <w:szCs w:val="22"/>
                <w:lang w:val="en-US"/>
              </w:rPr>
              <w:t>10</w:t>
            </w:r>
            <w:r w:rsidR="00C33FDE" w:rsidRPr="00C33FDE">
              <w:rPr>
                <w:rFonts w:cs="Arial"/>
                <w:sz w:val="22"/>
                <w:szCs w:val="22"/>
                <w:lang w:val="en-US"/>
              </w:rPr>
              <w:t>%</w:t>
            </w:r>
          </w:p>
        </w:tc>
        <w:tc>
          <w:tcPr>
            <w:tcW w:w="1984" w:type="dxa"/>
            <w:vMerge/>
            <w:tcBorders>
              <w:top w:val="nil"/>
              <w:left w:val="single" w:sz="4" w:space="0" w:color="auto"/>
              <w:bottom w:val="single" w:sz="4" w:space="0" w:color="000000"/>
              <w:right w:val="single" w:sz="4" w:space="0" w:color="auto"/>
            </w:tcBorders>
            <w:vAlign w:val="center"/>
          </w:tcPr>
          <w:p w:rsidR="00C33FDE" w:rsidRPr="00C33FDE" w:rsidRDefault="00C33FDE" w:rsidP="00C33FDE">
            <w:pPr>
              <w:rPr>
                <w:rFonts w:cs="Arial"/>
                <w:sz w:val="22"/>
                <w:szCs w:val="22"/>
                <w:lang w:val="en-US"/>
              </w:rPr>
            </w:pPr>
          </w:p>
        </w:tc>
      </w:tr>
    </w:tbl>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The following scoring methodology will be used for the quality criteria;</w:t>
      </w:r>
    </w:p>
    <w:p w:rsidR="00C33FDE" w:rsidRDefault="00C33FDE" w:rsidP="00C33FDE">
      <w:pPr>
        <w:rPr>
          <w:rFonts w:eastAsia="Calibri" w:cs="Arial"/>
          <w:sz w:val="22"/>
          <w:szCs w:val="22"/>
        </w:rPr>
      </w:pP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7008"/>
      </w:tblGrid>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Score</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Interpretation</w:t>
            </w:r>
          </w:p>
        </w:tc>
      </w:tr>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0 - 1</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 xml:space="preserve">Either no answer is given or the answer provides no evidence that the Tenderer meets any of </w:t>
            </w:r>
            <w:r>
              <w:rPr>
                <w:rFonts w:eastAsia="Calibri" w:cs="Arial"/>
                <w:sz w:val="20"/>
              </w:rPr>
              <w:t>MDC</w:t>
            </w:r>
            <w:r w:rsidRPr="00B36581">
              <w:rPr>
                <w:rFonts w:eastAsia="Calibri" w:cs="Arial"/>
                <w:sz w:val="20"/>
              </w:rPr>
              <w:t>’s requirements.</w:t>
            </w:r>
          </w:p>
        </w:tc>
      </w:tr>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2 - 3</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 xml:space="preserve">The answer provides some evidence that the Tenderer meets some of </w:t>
            </w:r>
            <w:r>
              <w:rPr>
                <w:rFonts w:eastAsia="Calibri" w:cs="Arial"/>
                <w:sz w:val="20"/>
              </w:rPr>
              <w:t>MDC</w:t>
            </w:r>
            <w:r w:rsidRPr="00B36581">
              <w:rPr>
                <w:rFonts w:eastAsia="Calibri" w:cs="Arial"/>
                <w:sz w:val="20"/>
              </w:rPr>
              <w:t>’s requirements but only in a minimal way.</w:t>
            </w:r>
          </w:p>
        </w:tc>
      </w:tr>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4 - 5</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 xml:space="preserve">The answer provides satisfactory (or better) evidence that the Tenderer partially meets </w:t>
            </w:r>
            <w:r>
              <w:rPr>
                <w:rFonts w:eastAsia="Calibri" w:cs="Arial"/>
                <w:sz w:val="20"/>
              </w:rPr>
              <w:t>MDC</w:t>
            </w:r>
            <w:r w:rsidRPr="00B36581">
              <w:rPr>
                <w:rFonts w:eastAsia="Calibri" w:cs="Arial"/>
                <w:sz w:val="20"/>
              </w:rPr>
              <w:t>’s requirements.</w:t>
            </w:r>
          </w:p>
        </w:tc>
      </w:tr>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6 - 7</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 xml:space="preserve">The answer provides good (or better) evidence that the Tenderer meets a majority of </w:t>
            </w:r>
            <w:r>
              <w:rPr>
                <w:rFonts w:eastAsia="Calibri" w:cs="Arial"/>
                <w:sz w:val="20"/>
              </w:rPr>
              <w:t>MDC</w:t>
            </w:r>
            <w:r w:rsidRPr="00B36581">
              <w:rPr>
                <w:rFonts w:eastAsia="Calibri" w:cs="Arial"/>
                <w:sz w:val="20"/>
              </w:rPr>
              <w:t>’s requirements.</w:t>
            </w:r>
          </w:p>
        </w:tc>
      </w:tr>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8 - 9</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 xml:space="preserve">The answer provides good (or better) evidence that the Tenderer meets nearly all of </w:t>
            </w:r>
            <w:r>
              <w:rPr>
                <w:rFonts w:eastAsia="Calibri" w:cs="Arial"/>
                <w:sz w:val="20"/>
              </w:rPr>
              <w:t>MDC</w:t>
            </w:r>
            <w:r w:rsidRPr="00B36581">
              <w:rPr>
                <w:rFonts w:eastAsia="Calibri" w:cs="Arial"/>
                <w:sz w:val="20"/>
              </w:rPr>
              <w:t>’s requirements.</w:t>
            </w:r>
          </w:p>
        </w:tc>
      </w:tr>
      <w:tr w:rsidR="008B19C6" w:rsidTr="00735AD6">
        <w:trPr>
          <w:trHeight w:val="141"/>
        </w:trPr>
        <w:tc>
          <w:tcPr>
            <w:tcW w:w="739" w:type="dxa"/>
            <w:tcBorders>
              <w:top w:val="single" w:sz="4" w:space="0" w:color="auto"/>
              <w:left w:val="single" w:sz="4" w:space="0" w:color="auto"/>
              <w:bottom w:val="single" w:sz="4" w:space="0" w:color="auto"/>
              <w:right w:val="single" w:sz="4" w:space="0" w:color="auto"/>
            </w:tcBorders>
          </w:tcPr>
          <w:p w:rsidR="008B19C6" w:rsidRPr="00B36581" w:rsidRDefault="008B19C6" w:rsidP="004D2BFF">
            <w:pPr>
              <w:rPr>
                <w:rFonts w:eastAsia="Calibri" w:cs="Arial"/>
                <w:sz w:val="20"/>
              </w:rPr>
            </w:pPr>
            <w:r w:rsidRPr="00B36581">
              <w:rPr>
                <w:rFonts w:eastAsia="Calibri" w:cs="Arial"/>
                <w:sz w:val="20"/>
              </w:rPr>
              <w:t>10</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8B19C6" w:rsidRPr="00B36581" w:rsidRDefault="008B19C6" w:rsidP="004D2BFF">
            <w:pPr>
              <w:rPr>
                <w:rFonts w:eastAsia="Calibri" w:cs="Arial"/>
                <w:sz w:val="20"/>
              </w:rPr>
            </w:pPr>
            <w:r w:rsidRPr="00B36581">
              <w:rPr>
                <w:rFonts w:eastAsia="Calibri" w:cs="Arial"/>
                <w:sz w:val="20"/>
              </w:rPr>
              <w:t xml:space="preserve">The answer provides excellent evidence that the Tenderer fully meets all/exceeds </w:t>
            </w:r>
            <w:r>
              <w:rPr>
                <w:rFonts w:eastAsia="Calibri" w:cs="Arial"/>
                <w:sz w:val="20"/>
              </w:rPr>
              <w:t>MDC</w:t>
            </w:r>
            <w:r w:rsidRPr="00B36581">
              <w:rPr>
                <w:rFonts w:eastAsia="Calibri" w:cs="Arial"/>
                <w:sz w:val="20"/>
              </w:rPr>
              <w:t>’s requirements.</w:t>
            </w:r>
          </w:p>
        </w:tc>
      </w:tr>
    </w:tbl>
    <w:p w:rsidR="00C33FDE" w:rsidRPr="00C33FDE" w:rsidRDefault="00C33FDE" w:rsidP="00C33FDE">
      <w:pPr>
        <w:rPr>
          <w:rFonts w:eastAsia="Calibri" w:cs="Arial"/>
          <w:sz w:val="22"/>
          <w:szCs w:val="22"/>
        </w:rPr>
      </w:pPr>
    </w:p>
    <w:p w:rsidR="00C33FDE" w:rsidRPr="00C33FDE" w:rsidRDefault="00C33FDE" w:rsidP="00C33FDE">
      <w:pPr>
        <w:autoSpaceDE w:val="0"/>
        <w:autoSpaceDN w:val="0"/>
        <w:adjustRightInd w:val="0"/>
        <w:rPr>
          <w:rFonts w:cs="Arial"/>
          <w:sz w:val="22"/>
          <w:szCs w:val="22"/>
          <w:lang w:val="en-US" w:eastAsia="en-GB"/>
        </w:rPr>
      </w:pPr>
      <w:r w:rsidRPr="00C33FDE">
        <w:rPr>
          <w:rFonts w:cs="Arial"/>
          <w:sz w:val="22"/>
          <w:szCs w:val="22"/>
          <w:lang w:val="en-US"/>
        </w:rPr>
        <w:t>The resultant price and quality scores will be transferred across to the overall evaluation model where weightings will be applied to give total scores out of 100%.</w:t>
      </w:r>
      <w:r w:rsidR="00144C85">
        <w:rPr>
          <w:rFonts w:cs="Arial"/>
          <w:sz w:val="22"/>
          <w:szCs w:val="22"/>
          <w:lang w:val="en-US"/>
        </w:rPr>
        <w:t xml:space="preserve"> </w:t>
      </w:r>
    </w:p>
    <w:p w:rsidR="00C33FDE" w:rsidRPr="00C33FDE" w:rsidRDefault="00C33FDE" w:rsidP="00C33FDE">
      <w:pPr>
        <w:autoSpaceDE w:val="0"/>
        <w:autoSpaceDN w:val="0"/>
        <w:adjustRightInd w:val="0"/>
        <w:rPr>
          <w:rFonts w:cs="Arial"/>
          <w:szCs w:val="24"/>
          <w:lang w:val="en-US"/>
        </w:rPr>
        <w:sectPr w:rsidR="00C33FDE" w:rsidRPr="00C33FDE" w:rsidSect="00273972">
          <w:headerReference w:type="default" r:id="rId14"/>
          <w:footerReference w:type="even" r:id="rId15"/>
          <w:footerReference w:type="default" r:id="rId16"/>
          <w:pgSz w:w="12240" w:h="15840"/>
          <w:pgMar w:top="1440" w:right="1797" w:bottom="1440" w:left="1797" w:header="709" w:footer="709" w:gutter="0"/>
          <w:cols w:space="708"/>
          <w:docGrid w:linePitch="360"/>
        </w:sectPr>
      </w:pPr>
    </w:p>
    <w:p w:rsidR="00C33FDE" w:rsidRPr="00C33FDE" w:rsidRDefault="00C33FDE" w:rsidP="00C33FDE">
      <w:pPr>
        <w:rPr>
          <w:rFonts w:eastAsia="Calibri" w:cs="Arial"/>
          <w:b/>
          <w:sz w:val="28"/>
          <w:szCs w:val="28"/>
        </w:rPr>
      </w:pPr>
      <w:r w:rsidRPr="00C33FDE">
        <w:rPr>
          <w:rFonts w:eastAsia="Calibri" w:cs="Arial"/>
          <w:b/>
          <w:sz w:val="28"/>
          <w:szCs w:val="28"/>
        </w:rPr>
        <w:t>APPENDIX 1: Quotation Form</w:t>
      </w:r>
    </w:p>
    <w:p w:rsidR="00C33FDE" w:rsidRPr="00C33FDE" w:rsidRDefault="00C33FDE" w:rsidP="00C33FDE">
      <w:pPr>
        <w:rPr>
          <w:rFonts w:eastAsia="Calibri" w:cs="Arial"/>
          <w:b/>
          <w:sz w:val="28"/>
          <w:szCs w:val="28"/>
        </w:rPr>
      </w:pPr>
    </w:p>
    <w:p w:rsidR="00C33FDE" w:rsidRPr="00C33FDE" w:rsidRDefault="00C33FDE" w:rsidP="00C33FDE">
      <w:pPr>
        <w:rPr>
          <w:rFonts w:eastAsia="Calibri" w:cs="Arial"/>
          <w:sz w:val="22"/>
          <w:szCs w:val="22"/>
        </w:rPr>
      </w:pPr>
      <w:r w:rsidRPr="00C33FDE">
        <w:rPr>
          <w:rFonts w:eastAsia="Calibri" w:cs="Arial"/>
          <w:sz w:val="22"/>
          <w:szCs w:val="22"/>
        </w:rPr>
        <w:t>Please complete this form and include within the submission.</w:t>
      </w:r>
    </w:p>
    <w:p w:rsidR="00C33FDE" w:rsidRPr="00C33FDE" w:rsidRDefault="00C33FDE" w:rsidP="00C33FDE">
      <w:pPr>
        <w:rPr>
          <w:rFonts w:eastAsia="Calibri" w:cs="Arial"/>
          <w:b/>
          <w:sz w:val="28"/>
          <w:szCs w:val="28"/>
        </w:rPr>
      </w:pPr>
    </w:p>
    <w:p w:rsidR="00C33FDE" w:rsidRPr="00C33FDE" w:rsidRDefault="00C33FDE" w:rsidP="00C33FDE">
      <w:pPr>
        <w:rPr>
          <w:rFonts w:eastAsia="Calibri" w:cs="Arial"/>
          <w:b/>
          <w:sz w:val="22"/>
          <w:szCs w:val="22"/>
        </w:rPr>
      </w:pPr>
      <w:r w:rsidRPr="00C33FDE">
        <w:rPr>
          <w:rFonts w:eastAsia="Calibri" w:cs="Arial"/>
          <w:b/>
          <w:sz w:val="22"/>
          <w:szCs w:val="22"/>
        </w:rPr>
        <w:t>General Conditions</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GENERAL CONDITIONS OF CONTRACT to be observed by the Contractor in the execution of the work as detailed in the specification and all work incidental thereto for and on behalf of the Maldon </w:t>
      </w:r>
      <w:r w:rsidR="00144C85">
        <w:rPr>
          <w:rFonts w:eastAsia="Calibri" w:cs="Arial"/>
          <w:sz w:val="22"/>
          <w:szCs w:val="22"/>
        </w:rPr>
        <w:t>District</w:t>
      </w:r>
      <w:r w:rsidRPr="00C33FDE">
        <w:rPr>
          <w:rFonts w:eastAsia="Calibri" w:cs="Arial"/>
          <w:sz w:val="22"/>
          <w:szCs w:val="22"/>
        </w:rPr>
        <w:t xml:space="preserve"> </w:t>
      </w:r>
      <w:r w:rsidR="00E6488D">
        <w:rPr>
          <w:rFonts w:eastAsia="Calibri" w:cs="Arial"/>
          <w:sz w:val="22"/>
          <w:szCs w:val="22"/>
        </w:rPr>
        <w:t>Council</w:t>
      </w:r>
      <w:r w:rsidRPr="00C33FDE">
        <w:rPr>
          <w:rFonts w:eastAsia="Calibri" w:cs="Arial"/>
          <w:sz w:val="22"/>
          <w:szCs w:val="22"/>
        </w:rPr>
        <w:t>.</w:t>
      </w:r>
    </w:p>
    <w:p w:rsidR="00C33FDE" w:rsidRPr="00C33FDE" w:rsidRDefault="00C33FDE" w:rsidP="00C33FDE">
      <w:pPr>
        <w:rPr>
          <w:rFonts w:eastAsia="Calibri" w:cs="Arial"/>
          <w:sz w:val="22"/>
          <w:szCs w:val="22"/>
        </w:rPr>
      </w:pPr>
    </w:p>
    <w:tbl>
      <w:tblPr>
        <w:tblW w:w="9018" w:type="dxa"/>
        <w:tblLayout w:type="fixed"/>
        <w:tblLook w:val="0000" w:firstRow="0" w:lastRow="0" w:firstColumn="0" w:lastColumn="0" w:noHBand="0" w:noVBand="0"/>
      </w:tblPr>
      <w:tblGrid>
        <w:gridCol w:w="3258"/>
        <w:gridCol w:w="5760"/>
      </w:tblGrid>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DEFINITIONS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1</w:t>
            </w:r>
            <w:r w:rsidR="00144C85">
              <w:rPr>
                <w:rFonts w:eastAsia="Calibri" w:cs="Arial"/>
                <w:sz w:val="22"/>
                <w:szCs w:val="22"/>
              </w:rPr>
              <w:t xml:space="preserve"> </w:t>
            </w:r>
            <w:r w:rsidRPr="00C33FDE">
              <w:rPr>
                <w:rFonts w:eastAsia="Calibri" w:cs="Arial"/>
                <w:sz w:val="22"/>
                <w:szCs w:val="22"/>
              </w:rPr>
              <w:t>For the purpose of this Contract: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(a)</w:t>
            </w:r>
            <w:r w:rsidR="00144C85">
              <w:rPr>
                <w:rFonts w:eastAsia="Calibri" w:cs="Arial"/>
                <w:sz w:val="22"/>
                <w:szCs w:val="22"/>
              </w:rPr>
              <w:t xml:space="preserve"> </w:t>
            </w:r>
            <w:r w:rsidRPr="00C33FDE">
              <w:rPr>
                <w:rFonts w:eastAsia="Calibri" w:cs="Arial"/>
                <w:sz w:val="22"/>
                <w:szCs w:val="22"/>
              </w:rPr>
              <w:t xml:space="preserve">“Employer” shall mean the Maldon </w:t>
            </w:r>
            <w:r w:rsidR="00144C85">
              <w:rPr>
                <w:rFonts w:eastAsia="Calibri" w:cs="Arial"/>
                <w:sz w:val="22"/>
                <w:szCs w:val="22"/>
              </w:rPr>
              <w:t>District</w:t>
            </w:r>
            <w:r w:rsidRPr="00C33FDE">
              <w:rPr>
                <w:rFonts w:eastAsia="Calibri" w:cs="Arial"/>
                <w:sz w:val="22"/>
                <w:szCs w:val="22"/>
              </w:rPr>
              <w:t xml:space="preserve"> </w:t>
            </w:r>
            <w:r w:rsidR="00E6488D">
              <w:rPr>
                <w:rFonts w:eastAsia="Calibri" w:cs="Arial"/>
                <w:sz w:val="22"/>
                <w:szCs w:val="22"/>
              </w:rPr>
              <w:t>Council</w:t>
            </w:r>
            <w:r w:rsidRPr="00C33FDE">
              <w:rPr>
                <w:rFonts w:eastAsia="Calibri" w:cs="Arial"/>
                <w:sz w:val="22"/>
                <w:szCs w:val="22"/>
              </w:rPr>
              <w:t xml:space="preserve">, </w:t>
            </w:r>
            <w:r w:rsidR="00E6488D">
              <w:rPr>
                <w:rFonts w:eastAsia="Calibri" w:cs="Arial"/>
                <w:sz w:val="22"/>
                <w:szCs w:val="22"/>
              </w:rPr>
              <w:t>Council</w:t>
            </w:r>
            <w:r w:rsidRPr="00C33FDE">
              <w:rPr>
                <w:rFonts w:eastAsia="Calibri" w:cs="Arial"/>
                <w:sz w:val="22"/>
                <w:szCs w:val="22"/>
              </w:rPr>
              <w:t xml:space="preserve"> Offices, </w:t>
            </w:r>
            <w:smartTag w:uri="urn:schemas-microsoft-com:office:smarttags" w:element="Street">
              <w:smartTag w:uri="urn:schemas-microsoft-com:office:smarttags" w:element="address">
                <w:r w:rsidRPr="00C33FDE">
                  <w:rPr>
                    <w:rFonts w:eastAsia="Calibri" w:cs="Arial"/>
                    <w:sz w:val="22"/>
                    <w:szCs w:val="22"/>
                  </w:rPr>
                  <w:t>Princes Road</w:t>
                </w:r>
              </w:smartTag>
            </w:smartTag>
            <w:r w:rsidRPr="00C33FDE">
              <w:rPr>
                <w:rFonts w:eastAsia="Calibri" w:cs="Arial"/>
                <w:sz w:val="22"/>
                <w:szCs w:val="22"/>
              </w:rPr>
              <w:t>, Maldon</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(b)</w:t>
            </w:r>
            <w:r w:rsidR="00144C85">
              <w:rPr>
                <w:rFonts w:eastAsia="Calibri" w:cs="Arial"/>
                <w:sz w:val="22"/>
                <w:szCs w:val="22"/>
              </w:rPr>
              <w:t xml:space="preserve"> </w:t>
            </w:r>
            <w:r w:rsidRPr="00C33FDE">
              <w:rPr>
                <w:rFonts w:eastAsia="Calibri" w:cs="Arial"/>
                <w:sz w:val="22"/>
                <w:szCs w:val="22"/>
              </w:rPr>
              <w:t xml:space="preserve">“Supervising Officer” shall mean Mr </w:t>
            </w:r>
            <w:r w:rsidR="00B914A7">
              <w:rPr>
                <w:rFonts w:eastAsia="Calibri" w:cs="Arial"/>
                <w:sz w:val="22"/>
                <w:szCs w:val="22"/>
              </w:rPr>
              <w:t>Tim Parton</w:t>
            </w:r>
            <w:r w:rsidRPr="00C33FDE">
              <w:rPr>
                <w:rFonts w:eastAsia="Calibri" w:cs="Arial"/>
                <w:sz w:val="22"/>
                <w:szCs w:val="22"/>
              </w:rPr>
              <w:t xml:space="preserve">, </w:t>
            </w:r>
            <w:r w:rsidR="00B914A7">
              <w:rPr>
                <w:rFonts w:eastAsia="Calibri" w:cs="Arial"/>
                <w:sz w:val="22"/>
                <w:szCs w:val="22"/>
              </w:rPr>
              <w:t>Spatial Planning</w:t>
            </w:r>
            <w:r w:rsidRPr="00C33FDE">
              <w:rPr>
                <w:rFonts w:eastAsia="Calibri" w:cs="Arial"/>
                <w:sz w:val="22"/>
                <w:szCs w:val="22"/>
              </w:rPr>
              <w:t xml:space="preserve"> Team Leader, Maldon </w:t>
            </w:r>
            <w:r w:rsidR="00144C85">
              <w:rPr>
                <w:rFonts w:eastAsia="Calibri" w:cs="Arial"/>
                <w:sz w:val="22"/>
                <w:szCs w:val="22"/>
              </w:rPr>
              <w:t>District</w:t>
            </w:r>
            <w:r w:rsidRPr="00C33FDE">
              <w:rPr>
                <w:rFonts w:eastAsia="Calibri" w:cs="Arial"/>
                <w:sz w:val="22"/>
                <w:szCs w:val="22"/>
              </w:rPr>
              <w:t xml:space="preserve"> </w:t>
            </w:r>
            <w:r w:rsidR="00E6488D">
              <w:rPr>
                <w:rFonts w:eastAsia="Calibri" w:cs="Arial"/>
                <w:sz w:val="22"/>
                <w:szCs w:val="22"/>
              </w:rPr>
              <w:t>Council</w:t>
            </w:r>
            <w:r w:rsidRPr="00C33FDE">
              <w:rPr>
                <w:rFonts w:eastAsia="Calibri" w:cs="Arial"/>
                <w:sz w:val="22"/>
                <w:szCs w:val="22"/>
              </w:rPr>
              <w:t xml:space="preserve"> or other such person appointed from time to time by the Employer and notified to the Contractor to act as Supervising Officer for the purpose of the Contract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(c)</w:t>
            </w:r>
            <w:r w:rsidR="00144C85">
              <w:rPr>
                <w:rFonts w:eastAsia="Calibri" w:cs="Arial"/>
                <w:sz w:val="22"/>
                <w:szCs w:val="22"/>
              </w:rPr>
              <w:t xml:space="preserve"> </w:t>
            </w:r>
            <w:r w:rsidRPr="00C33FDE">
              <w:rPr>
                <w:rFonts w:eastAsia="Calibri" w:cs="Arial"/>
                <w:sz w:val="22"/>
                <w:szCs w:val="22"/>
              </w:rPr>
              <w:t>“The Services” means all services included within the Specification Documents which are required to be carried out in strict accordance with the terms of the Quotation, General Conditions of Contract.</w:t>
            </w:r>
          </w:p>
          <w:p w:rsidR="00C33FDE" w:rsidRPr="00C33FDE" w:rsidRDefault="00C33FDE" w:rsidP="00C33FDE">
            <w:pPr>
              <w:rPr>
                <w:rFonts w:eastAsia="Calibri" w:cs="Arial"/>
                <w:sz w:val="22"/>
                <w:szCs w:val="22"/>
              </w:rPr>
            </w:pPr>
          </w:p>
        </w:tc>
      </w:tr>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MARGINAL NOTES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2. The interpretation or construction of the conditions shall not be affected by any index, marginal notes or headings.</w:t>
            </w:r>
          </w:p>
          <w:p w:rsidR="00C33FDE" w:rsidRPr="00C33FDE" w:rsidRDefault="00C33FDE" w:rsidP="00C33FDE">
            <w:pPr>
              <w:rPr>
                <w:rFonts w:eastAsia="Calibri" w:cs="Arial"/>
                <w:sz w:val="22"/>
                <w:szCs w:val="22"/>
              </w:rPr>
            </w:pPr>
          </w:p>
        </w:tc>
      </w:tr>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CONTRACTOR’S</w:t>
            </w:r>
          </w:p>
          <w:p w:rsidR="00C33FDE" w:rsidRPr="00C33FDE" w:rsidRDefault="00C33FDE" w:rsidP="00C33FDE">
            <w:pPr>
              <w:rPr>
                <w:rFonts w:eastAsia="Calibri" w:cs="Arial"/>
                <w:sz w:val="22"/>
                <w:szCs w:val="22"/>
              </w:rPr>
            </w:pPr>
            <w:r w:rsidRPr="00C33FDE">
              <w:rPr>
                <w:rFonts w:eastAsia="Calibri" w:cs="Arial"/>
                <w:sz w:val="22"/>
                <w:szCs w:val="22"/>
              </w:rPr>
              <w:t>OBLIGATION</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3. The Contractor shall with due diligence and in good workmanlike manner execute the services to the satisfaction of the Supervising Officer</w:t>
            </w:r>
          </w:p>
          <w:p w:rsidR="00C33FDE" w:rsidRPr="00C33FDE" w:rsidRDefault="00C33FDE" w:rsidP="00C33FDE">
            <w:pPr>
              <w:rPr>
                <w:rFonts w:eastAsia="Calibri" w:cs="Arial"/>
                <w:sz w:val="22"/>
                <w:szCs w:val="22"/>
              </w:rPr>
            </w:pPr>
          </w:p>
        </w:tc>
      </w:tr>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VARIATIONS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4. The Supervising Officer may, without invalidating the contract change the work or the period in which they are to be carried out.</w:t>
            </w:r>
            <w:r w:rsidR="00144C85">
              <w:rPr>
                <w:rFonts w:eastAsia="Calibri" w:cs="Arial"/>
                <w:sz w:val="22"/>
                <w:szCs w:val="22"/>
              </w:rPr>
              <w:t xml:space="preserve"> </w:t>
            </w:r>
            <w:r w:rsidRPr="00C33FDE">
              <w:rPr>
                <w:rFonts w:eastAsia="Calibri" w:cs="Arial"/>
                <w:sz w:val="22"/>
                <w:szCs w:val="22"/>
              </w:rPr>
              <w:t>Any such instructions shall be valued by the Supervising Officer on a fair and reasonable basis.</w:t>
            </w:r>
          </w:p>
          <w:p w:rsidR="00C33FDE" w:rsidRPr="00C33FDE" w:rsidRDefault="00C33FDE" w:rsidP="00C33FDE">
            <w:pPr>
              <w:rPr>
                <w:rFonts w:eastAsia="Calibri" w:cs="Arial"/>
                <w:sz w:val="22"/>
                <w:szCs w:val="22"/>
              </w:rPr>
            </w:pPr>
          </w:p>
        </w:tc>
      </w:tr>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STATUTORY OBLIGATIONS,</w:t>
            </w:r>
          </w:p>
          <w:p w:rsidR="00C33FDE" w:rsidRPr="00C33FDE" w:rsidRDefault="00C33FDE" w:rsidP="00C33FDE">
            <w:pPr>
              <w:rPr>
                <w:rFonts w:eastAsia="Calibri" w:cs="Arial"/>
                <w:sz w:val="22"/>
                <w:szCs w:val="22"/>
              </w:rPr>
            </w:pPr>
            <w:r w:rsidRPr="00C33FDE">
              <w:rPr>
                <w:rFonts w:eastAsia="Calibri" w:cs="Arial"/>
                <w:sz w:val="22"/>
                <w:szCs w:val="22"/>
              </w:rPr>
              <w:t>FEES AND CHARGES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5.</w:t>
            </w:r>
            <w:r w:rsidR="00144C85">
              <w:rPr>
                <w:rFonts w:eastAsia="Calibri" w:cs="Arial"/>
                <w:sz w:val="22"/>
                <w:szCs w:val="22"/>
              </w:rPr>
              <w:t xml:space="preserve"> </w:t>
            </w:r>
            <w:r w:rsidRPr="00C33FDE">
              <w:rPr>
                <w:rFonts w:eastAsia="Calibri" w:cs="Arial"/>
                <w:sz w:val="22"/>
                <w:szCs w:val="22"/>
              </w:rPr>
              <w:t>The Contractor shall comply with all notices required by any statute, any statutory instrument, rule or order or any regulations or bylaws applicable to the Services and charges in respect of the Services legally recoverable from him.</w:t>
            </w:r>
          </w:p>
          <w:p w:rsidR="00C33FDE" w:rsidRPr="00C33FDE" w:rsidRDefault="00C33FDE" w:rsidP="00C33FDE">
            <w:pPr>
              <w:rPr>
                <w:rFonts w:eastAsia="Calibri" w:cs="Arial"/>
                <w:sz w:val="22"/>
                <w:szCs w:val="22"/>
              </w:rPr>
            </w:pPr>
          </w:p>
        </w:tc>
      </w:tr>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CONTRACTORS REPRESENTATIVE</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6.</w:t>
            </w:r>
            <w:r w:rsidR="00144C85">
              <w:rPr>
                <w:rFonts w:eastAsia="Calibri" w:cs="Arial"/>
                <w:sz w:val="22"/>
                <w:szCs w:val="22"/>
              </w:rPr>
              <w:t xml:space="preserve"> </w:t>
            </w:r>
            <w:r w:rsidRPr="00C33FDE">
              <w:rPr>
                <w:rFonts w:eastAsia="Calibri" w:cs="Arial"/>
                <w:sz w:val="22"/>
                <w:szCs w:val="22"/>
              </w:rPr>
              <w:t>The Contractor shall at all reasonable times keep a competent person in charge and inform the Supervising Officer of their name and of any change.</w:t>
            </w:r>
          </w:p>
          <w:p w:rsidR="00C33FDE" w:rsidRPr="00C33FDE" w:rsidRDefault="00C33FDE" w:rsidP="00C33FDE">
            <w:pPr>
              <w:rPr>
                <w:rFonts w:eastAsia="Calibri" w:cs="Arial"/>
                <w:sz w:val="22"/>
                <w:szCs w:val="22"/>
              </w:rPr>
            </w:pPr>
          </w:p>
        </w:tc>
      </w:tr>
      <w:tr w:rsidR="00C33FDE" w:rsidRPr="00C33FDE" w:rsidTr="00273972">
        <w:tc>
          <w:tcPr>
            <w:tcW w:w="3258" w:type="dxa"/>
          </w:tcPr>
          <w:p w:rsidR="00C33FDE" w:rsidRPr="00C33FDE" w:rsidRDefault="00C33FDE" w:rsidP="00C33FDE">
            <w:pPr>
              <w:rPr>
                <w:rFonts w:eastAsia="Calibri" w:cs="Arial"/>
                <w:sz w:val="22"/>
                <w:szCs w:val="22"/>
              </w:rPr>
            </w:pPr>
            <w:r w:rsidRPr="00C33FDE">
              <w:rPr>
                <w:rFonts w:eastAsia="Calibri" w:cs="Arial"/>
                <w:sz w:val="22"/>
                <w:szCs w:val="22"/>
              </w:rPr>
              <w:t>SUB-CONTRACTING</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7.</w:t>
            </w:r>
            <w:r w:rsidR="00144C85">
              <w:rPr>
                <w:rFonts w:eastAsia="Calibri" w:cs="Arial"/>
                <w:sz w:val="22"/>
                <w:szCs w:val="22"/>
              </w:rPr>
              <w:t xml:space="preserve"> </w:t>
            </w:r>
            <w:r w:rsidRPr="00C33FDE">
              <w:rPr>
                <w:rFonts w:eastAsia="Calibri" w:cs="Arial"/>
                <w:sz w:val="22"/>
                <w:szCs w:val="22"/>
              </w:rPr>
              <w:t>The Contractor shall not sub-contract the services or any part thereof without the written consent of the Supervising Officer which consent shall not be unreasonably withheld.</w:t>
            </w:r>
          </w:p>
        </w:tc>
      </w:tr>
    </w:tbl>
    <w:p w:rsidR="00C33FDE" w:rsidRPr="00C33FDE" w:rsidRDefault="00C33FDE" w:rsidP="00C33FDE">
      <w:pPr>
        <w:rPr>
          <w:rFonts w:ascii="Times New Roman" w:hAnsi="Times New Roman"/>
          <w:vanish/>
          <w:szCs w:val="24"/>
          <w:lang w:val="en-US"/>
        </w:rPr>
      </w:pPr>
    </w:p>
    <w:tbl>
      <w:tblPr>
        <w:tblpPr w:leftFromText="180" w:rightFromText="180" w:vertAnchor="page" w:horzAnchor="margin" w:tblpY="2701"/>
        <w:tblW w:w="9123" w:type="dxa"/>
        <w:tblLayout w:type="fixed"/>
        <w:tblLook w:val="0000" w:firstRow="0" w:lastRow="0" w:firstColumn="0" w:lastColumn="0" w:noHBand="0" w:noVBand="0"/>
      </w:tblPr>
      <w:tblGrid>
        <w:gridCol w:w="3296"/>
        <w:gridCol w:w="5827"/>
      </w:tblGrid>
      <w:tr w:rsidR="00C33FDE" w:rsidRPr="00C33FDE" w:rsidTr="00273972">
        <w:trPr>
          <w:trHeight w:val="1336"/>
        </w:trPr>
        <w:tc>
          <w:tcPr>
            <w:tcW w:w="3296" w:type="dxa"/>
          </w:tcPr>
          <w:p w:rsidR="00C33FDE" w:rsidRPr="00C33FDE" w:rsidRDefault="00C33FDE" w:rsidP="00C33FDE">
            <w:pPr>
              <w:rPr>
                <w:rFonts w:eastAsia="Calibri" w:cs="Arial"/>
                <w:sz w:val="22"/>
                <w:szCs w:val="22"/>
              </w:rPr>
            </w:pPr>
            <w:r w:rsidRPr="00C33FDE">
              <w:rPr>
                <w:rFonts w:eastAsia="Calibri" w:cs="Arial"/>
                <w:sz w:val="22"/>
                <w:szCs w:val="22"/>
              </w:rPr>
              <w:t>INTELLECTUAL PROPERTY RIGHTS</w:t>
            </w:r>
          </w:p>
          <w:p w:rsidR="00C33FDE" w:rsidRPr="00C33FDE" w:rsidRDefault="00C33FDE" w:rsidP="00C33FDE">
            <w:pPr>
              <w:rPr>
                <w:rFonts w:ascii="Times New Roman" w:hAnsi="Times New Roman"/>
                <w:szCs w:val="24"/>
              </w:rPr>
            </w:pPr>
          </w:p>
        </w:tc>
        <w:tc>
          <w:tcPr>
            <w:tcW w:w="5827" w:type="dxa"/>
          </w:tcPr>
          <w:p w:rsidR="00C33FDE" w:rsidRPr="00C33FDE" w:rsidRDefault="00C33FDE" w:rsidP="00C33FDE">
            <w:pPr>
              <w:rPr>
                <w:rFonts w:eastAsia="Calibri" w:cs="Arial"/>
                <w:sz w:val="22"/>
                <w:szCs w:val="22"/>
              </w:rPr>
            </w:pPr>
            <w:r w:rsidRPr="00C33FDE">
              <w:rPr>
                <w:rFonts w:eastAsia="Calibri" w:cs="Arial"/>
                <w:sz w:val="22"/>
                <w:szCs w:val="22"/>
              </w:rPr>
              <w:t>8.</w:t>
            </w:r>
            <w:r w:rsidR="00144C85">
              <w:rPr>
                <w:rFonts w:eastAsia="Calibri" w:cs="Arial"/>
                <w:sz w:val="22"/>
                <w:szCs w:val="22"/>
              </w:rPr>
              <w:t xml:space="preserve"> </w:t>
            </w:r>
            <w:r w:rsidRPr="00C33FDE">
              <w:rPr>
                <w:rFonts w:eastAsia="Calibri" w:cs="Arial"/>
                <w:sz w:val="22"/>
                <w:szCs w:val="22"/>
              </w:rPr>
              <w:t xml:space="preserve">Copyright, patent rights and any other intellectual property rights and title in any material produced by the Contractor for the Authorities during this contract shall vest in the Authority unless otherwise expressly agreed or approved by the Supervising officer or an Authorities’ </w:t>
            </w:r>
          </w:p>
          <w:p w:rsidR="00C33FDE" w:rsidRPr="00C33FDE" w:rsidRDefault="00C33FDE" w:rsidP="00C33FDE">
            <w:pPr>
              <w:rPr>
                <w:rFonts w:eastAsia="Calibri" w:cs="Arial"/>
                <w:sz w:val="22"/>
                <w:szCs w:val="22"/>
              </w:rPr>
            </w:pPr>
            <w:r w:rsidRPr="00C33FDE">
              <w:rPr>
                <w:rFonts w:eastAsia="Calibri" w:cs="Arial"/>
                <w:sz w:val="22"/>
                <w:szCs w:val="22"/>
              </w:rPr>
              <w:t>authorised representative in writing.</w:t>
            </w:r>
          </w:p>
          <w:p w:rsidR="00C33FDE" w:rsidRPr="00C33FDE" w:rsidRDefault="00C33FDE" w:rsidP="00C33FDE">
            <w:pPr>
              <w:rPr>
                <w:rFonts w:eastAsia="Calibri" w:cs="Arial"/>
                <w:sz w:val="22"/>
                <w:szCs w:val="22"/>
              </w:rPr>
            </w:pPr>
          </w:p>
        </w:tc>
      </w:tr>
      <w:tr w:rsidR="00C33FDE" w:rsidRPr="00C33FDE" w:rsidTr="00273972">
        <w:trPr>
          <w:trHeight w:val="153"/>
        </w:trPr>
        <w:tc>
          <w:tcPr>
            <w:tcW w:w="3296" w:type="dxa"/>
          </w:tcPr>
          <w:p w:rsidR="00C33FDE" w:rsidRPr="00C33FDE" w:rsidRDefault="00C33FDE" w:rsidP="00C33FDE">
            <w:pPr>
              <w:rPr>
                <w:rFonts w:eastAsia="Calibri" w:cs="Arial"/>
                <w:sz w:val="22"/>
                <w:szCs w:val="22"/>
              </w:rPr>
            </w:pPr>
            <w:r w:rsidRPr="00C33FDE">
              <w:rPr>
                <w:rFonts w:eastAsia="Calibri" w:cs="Arial"/>
                <w:sz w:val="22"/>
                <w:szCs w:val="22"/>
              </w:rPr>
              <w:t>PERFORMANCE</w:t>
            </w:r>
          </w:p>
        </w:tc>
        <w:tc>
          <w:tcPr>
            <w:tcW w:w="5827" w:type="dxa"/>
          </w:tcPr>
          <w:p w:rsidR="00C33FDE" w:rsidRPr="00C33FDE" w:rsidRDefault="00C33FDE" w:rsidP="00C33FDE">
            <w:pPr>
              <w:rPr>
                <w:rFonts w:eastAsia="Calibri" w:cs="Arial"/>
                <w:sz w:val="22"/>
                <w:szCs w:val="22"/>
              </w:rPr>
            </w:pPr>
            <w:r w:rsidRPr="00C33FDE">
              <w:rPr>
                <w:rFonts w:eastAsia="Calibri" w:cs="Arial"/>
                <w:sz w:val="22"/>
                <w:szCs w:val="22"/>
              </w:rPr>
              <w:t>9. During the Agreement Period the Contractor will comply with its obligations under the contract and will perform the Services strictly in accordance with the provisions of the Specification and quotation documents and to the entire satisfaction of the Supervising Officer.</w:t>
            </w:r>
          </w:p>
          <w:p w:rsidR="00C33FDE" w:rsidRPr="00C33FDE" w:rsidRDefault="00C33FDE" w:rsidP="00C33FDE">
            <w:pPr>
              <w:rPr>
                <w:rFonts w:eastAsia="Calibri" w:cs="Arial"/>
                <w:sz w:val="22"/>
                <w:szCs w:val="22"/>
              </w:rPr>
            </w:pPr>
          </w:p>
        </w:tc>
      </w:tr>
      <w:tr w:rsidR="00C33FDE" w:rsidRPr="00C33FDE" w:rsidTr="00273972">
        <w:trPr>
          <w:trHeight w:val="153"/>
        </w:trPr>
        <w:tc>
          <w:tcPr>
            <w:tcW w:w="3296" w:type="dxa"/>
          </w:tcPr>
          <w:p w:rsidR="00C33FDE" w:rsidRPr="00C33FDE" w:rsidRDefault="00C33FDE" w:rsidP="00C33FDE">
            <w:pPr>
              <w:rPr>
                <w:rFonts w:eastAsia="Calibri" w:cs="Arial"/>
                <w:sz w:val="22"/>
                <w:szCs w:val="22"/>
              </w:rPr>
            </w:pPr>
            <w:r w:rsidRPr="00C33FDE">
              <w:rPr>
                <w:rFonts w:eastAsia="Calibri" w:cs="Arial"/>
                <w:sz w:val="22"/>
                <w:szCs w:val="22"/>
              </w:rPr>
              <w:t>VALUE ADDED TAX</w:t>
            </w:r>
          </w:p>
        </w:tc>
        <w:tc>
          <w:tcPr>
            <w:tcW w:w="5827" w:type="dxa"/>
          </w:tcPr>
          <w:p w:rsidR="00C33FDE" w:rsidRPr="00C33FDE" w:rsidRDefault="00C33FDE" w:rsidP="00C33FDE">
            <w:pPr>
              <w:rPr>
                <w:rFonts w:eastAsia="Calibri" w:cs="Arial"/>
                <w:sz w:val="22"/>
                <w:szCs w:val="22"/>
              </w:rPr>
            </w:pPr>
            <w:r w:rsidRPr="00C33FDE">
              <w:rPr>
                <w:rFonts w:eastAsia="Calibri" w:cs="Arial"/>
                <w:sz w:val="22"/>
                <w:szCs w:val="22"/>
              </w:rPr>
              <w:t>10.</w:t>
            </w:r>
            <w:r w:rsidR="00144C85">
              <w:rPr>
                <w:rFonts w:eastAsia="Calibri" w:cs="Arial"/>
                <w:sz w:val="22"/>
                <w:szCs w:val="22"/>
              </w:rPr>
              <w:t xml:space="preserve"> </w:t>
            </w:r>
            <w:r w:rsidRPr="00C33FDE">
              <w:rPr>
                <w:rFonts w:eastAsia="Calibri" w:cs="Arial"/>
                <w:sz w:val="22"/>
                <w:szCs w:val="22"/>
              </w:rPr>
              <w:t>The Contractor shall include in his quotation for all incidental costs and expense he may incur under the Finance Act 1972 and regulations made thereunder to pay Value Added Tax at the standard rate on the supply of all goods and services to him by suppliers and sub-contractors, whether nominated or otherwise.</w:t>
            </w:r>
          </w:p>
          <w:p w:rsidR="00C33FDE" w:rsidRPr="00C33FDE" w:rsidRDefault="00C33FDE" w:rsidP="00C33FDE">
            <w:pPr>
              <w:rPr>
                <w:rFonts w:eastAsia="Calibri" w:cs="Arial"/>
                <w:sz w:val="22"/>
                <w:szCs w:val="22"/>
              </w:rPr>
            </w:pPr>
          </w:p>
        </w:tc>
      </w:tr>
      <w:tr w:rsidR="00C33FDE" w:rsidRPr="00C33FDE" w:rsidTr="00273972">
        <w:trPr>
          <w:trHeight w:val="1216"/>
        </w:trPr>
        <w:tc>
          <w:tcPr>
            <w:tcW w:w="3296" w:type="dxa"/>
            <w:shd w:val="clear" w:color="auto" w:fill="auto"/>
          </w:tcPr>
          <w:p w:rsidR="00C33FDE" w:rsidRPr="00C33FDE" w:rsidRDefault="00C33FDE" w:rsidP="00C33FDE">
            <w:pPr>
              <w:rPr>
                <w:rFonts w:eastAsia="Calibri" w:cs="Arial"/>
                <w:sz w:val="22"/>
                <w:szCs w:val="22"/>
              </w:rPr>
            </w:pPr>
            <w:r w:rsidRPr="00C33FDE">
              <w:rPr>
                <w:rFonts w:eastAsia="Calibri" w:cs="Arial"/>
                <w:sz w:val="22"/>
                <w:szCs w:val="22"/>
              </w:rPr>
              <w:t>PAYMENT</w:t>
            </w:r>
          </w:p>
        </w:tc>
        <w:tc>
          <w:tcPr>
            <w:tcW w:w="5827" w:type="dxa"/>
          </w:tcPr>
          <w:p w:rsidR="00C33FDE" w:rsidRPr="00C33FDE" w:rsidRDefault="00C33FDE" w:rsidP="00C33FDE">
            <w:pPr>
              <w:rPr>
                <w:rFonts w:eastAsia="Calibri" w:cs="Arial"/>
                <w:color w:val="FF0000"/>
                <w:sz w:val="22"/>
                <w:szCs w:val="22"/>
              </w:rPr>
            </w:pPr>
            <w:r w:rsidRPr="00C33FDE">
              <w:rPr>
                <w:rFonts w:eastAsia="Calibri" w:cs="Arial"/>
                <w:sz w:val="22"/>
                <w:szCs w:val="22"/>
              </w:rPr>
              <w:t>11. (</w:t>
            </w:r>
            <w:proofErr w:type="spellStart"/>
            <w:proofErr w:type="gramStart"/>
            <w:r w:rsidRPr="00C33FDE">
              <w:rPr>
                <w:rFonts w:eastAsia="Calibri" w:cs="Arial"/>
                <w:sz w:val="22"/>
                <w:szCs w:val="22"/>
              </w:rPr>
              <w:t>i</w:t>
            </w:r>
            <w:proofErr w:type="spellEnd"/>
            <w:proofErr w:type="gramEnd"/>
            <w:r w:rsidRPr="00C33FDE">
              <w:rPr>
                <w:rFonts w:eastAsia="Calibri" w:cs="Arial"/>
                <w:sz w:val="22"/>
                <w:szCs w:val="22"/>
              </w:rPr>
              <w:t xml:space="preserve">) The </w:t>
            </w:r>
            <w:r w:rsidR="00E6488D">
              <w:rPr>
                <w:rFonts w:eastAsia="Calibri" w:cs="Arial"/>
                <w:sz w:val="22"/>
                <w:szCs w:val="22"/>
              </w:rPr>
              <w:t>Council</w:t>
            </w:r>
            <w:r w:rsidRPr="00C33FDE">
              <w:rPr>
                <w:rFonts w:eastAsia="Calibri" w:cs="Arial"/>
                <w:sz w:val="22"/>
                <w:szCs w:val="22"/>
              </w:rPr>
              <w:t xml:space="preserve"> will pay the fixed price sum in equal instalments in line with satisfactory completion of the work within each stage.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(ii) Fixed Day rates shall be paid one month in arrears according to the contractor submitting accurate and substantiated schedules.</w:t>
            </w:r>
            <w:r w:rsidR="00144C85">
              <w:rPr>
                <w:rFonts w:eastAsia="Calibri" w:cs="Arial"/>
                <w:sz w:val="22"/>
                <w:szCs w:val="22"/>
              </w:rPr>
              <w:t xml:space="preserve">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(iii) Maldon </w:t>
            </w:r>
            <w:r w:rsidR="00144C85">
              <w:rPr>
                <w:rFonts w:eastAsia="Calibri" w:cs="Arial"/>
                <w:sz w:val="22"/>
                <w:szCs w:val="22"/>
              </w:rPr>
              <w:t>District</w:t>
            </w:r>
            <w:r w:rsidRPr="00C33FDE">
              <w:rPr>
                <w:rFonts w:eastAsia="Calibri" w:cs="Arial"/>
                <w:sz w:val="22"/>
                <w:szCs w:val="22"/>
              </w:rPr>
              <w:t xml:space="preserve"> </w:t>
            </w:r>
            <w:r w:rsidR="00E6488D">
              <w:rPr>
                <w:rFonts w:eastAsia="Calibri" w:cs="Arial"/>
                <w:sz w:val="22"/>
                <w:szCs w:val="22"/>
              </w:rPr>
              <w:t>Council</w:t>
            </w:r>
            <w:r w:rsidRPr="00C33FDE">
              <w:rPr>
                <w:rFonts w:eastAsia="Calibri" w:cs="Arial"/>
                <w:sz w:val="22"/>
                <w:szCs w:val="22"/>
              </w:rPr>
              <w:t xml:space="preserve"> shall pay the undisputed sums due to the contractor in cleared funds within 30 days of receipt and agreement of invoices for services completed to the reasonable satisfaction of the </w:t>
            </w:r>
            <w:r w:rsidR="00E6488D">
              <w:rPr>
                <w:rFonts w:eastAsia="Calibri" w:cs="Arial"/>
                <w:sz w:val="22"/>
                <w:szCs w:val="22"/>
              </w:rPr>
              <w:t>Council</w:t>
            </w:r>
            <w:r w:rsidRPr="00C33FDE">
              <w:rPr>
                <w:rFonts w:eastAsia="Calibri" w:cs="Arial"/>
                <w:sz w:val="22"/>
                <w:szCs w:val="22"/>
              </w:rPr>
              <w: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(iv) Each invoice shall contain all appropriate references and a detailed breakdown of the services and shall be supported by any other documentation reasonably required by the Supervising Officer to substantiate the invoice.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p>
        </w:tc>
      </w:tr>
    </w:tbl>
    <w:p w:rsidR="00C33FDE" w:rsidRPr="00C33FDE" w:rsidRDefault="00C33FDE" w:rsidP="00C33FDE">
      <w:pPr>
        <w:spacing w:after="120"/>
        <w:rPr>
          <w:rFonts w:cs="Arial"/>
          <w:b/>
          <w:szCs w:val="24"/>
          <w:lang w:val="en-US"/>
        </w:rPr>
      </w:pPr>
    </w:p>
    <w:p w:rsidR="00C33FDE" w:rsidRPr="00C33FDE" w:rsidRDefault="00C33FDE" w:rsidP="00C33FDE">
      <w:pPr>
        <w:rPr>
          <w:rFonts w:eastAsia="Calibri" w:cs="Arial"/>
          <w:b/>
          <w:sz w:val="22"/>
          <w:szCs w:val="22"/>
        </w:rPr>
      </w:pPr>
      <w:r w:rsidRPr="00C33FDE">
        <w:rPr>
          <w:rFonts w:eastAsia="Calibri" w:cs="Arial"/>
          <w:b/>
          <w:sz w:val="22"/>
          <w:szCs w:val="22"/>
        </w:rPr>
        <w:br w:type="page"/>
        <w:t>Form of Quotation &amp; Pricing Schedule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To: Maldon </w:t>
      </w:r>
      <w:r w:rsidR="00144C85">
        <w:rPr>
          <w:rFonts w:eastAsia="Calibri" w:cs="Arial"/>
          <w:sz w:val="22"/>
          <w:szCs w:val="22"/>
        </w:rPr>
        <w:t>District</w:t>
      </w:r>
      <w:r w:rsidRPr="00C33FDE">
        <w:rPr>
          <w:rFonts w:eastAsia="Calibri" w:cs="Arial"/>
          <w:sz w:val="22"/>
          <w:szCs w:val="22"/>
        </w:rPr>
        <w:t xml:space="preserve"> </w:t>
      </w:r>
      <w:r w:rsidR="00E6488D">
        <w:rPr>
          <w:rFonts w:eastAsia="Calibri" w:cs="Arial"/>
          <w:sz w:val="22"/>
          <w:szCs w:val="22"/>
        </w:rPr>
        <w:t>Council</w:t>
      </w:r>
    </w:p>
    <w:p w:rsidR="00C33FDE" w:rsidRPr="00C33FDE" w:rsidRDefault="00C33FDE" w:rsidP="00C33FDE">
      <w:pPr>
        <w:rPr>
          <w:rFonts w:eastAsia="Calibri" w:cs="Arial"/>
          <w:sz w:val="22"/>
          <w:szCs w:val="22"/>
        </w:rPr>
      </w:pPr>
    </w:p>
    <w:p w:rsidR="00C33FDE" w:rsidRDefault="00C33FDE" w:rsidP="00C33FDE">
      <w:pPr>
        <w:rPr>
          <w:rFonts w:eastAsia="Calibri" w:cs="Arial"/>
          <w:sz w:val="22"/>
          <w:szCs w:val="22"/>
        </w:rPr>
      </w:pPr>
      <w:r w:rsidRPr="00C33FDE">
        <w:rPr>
          <w:rFonts w:eastAsia="Calibri" w:cs="Arial"/>
          <w:sz w:val="22"/>
          <w:szCs w:val="22"/>
        </w:rPr>
        <w:t xml:space="preserve">I/We the undersigned, hereby offer and undertake to execute and complete the whole of the services as detailed in strict accordance with the Specification, Brief and General Conditions of Contract to the complete satisfaction of Mr </w:t>
      </w:r>
      <w:r w:rsidR="00EC03D5">
        <w:rPr>
          <w:rFonts w:eastAsia="Calibri" w:cs="Arial"/>
          <w:sz w:val="22"/>
          <w:szCs w:val="22"/>
        </w:rPr>
        <w:t>Tim Parton</w:t>
      </w:r>
      <w:r w:rsidRPr="00C33FDE">
        <w:rPr>
          <w:rFonts w:eastAsia="Calibri" w:cs="Arial"/>
          <w:sz w:val="22"/>
          <w:szCs w:val="22"/>
        </w:rPr>
        <w:t xml:space="preserve">, Planning Policy Team Leader, </w:t>
      </w:r>
      <w:r w:rsidR="00E6488D">
        <w:rPr>
          <w:rFonts w:eastAsia="Calibri" w:cs="Arial"/>
          <w:sz w:val="22"/>
          <w:szCs w:val="22"/>
        </w:rPr>
        <w:t>Council</w:t>
      </w:r>
      <w:r w:rsidRPr="00C33FDE">
        <w:rPr>
          <w:rFonts w:eastAsia="Calibri" w:cs="Arial"/>
          <w:sz w:val="22"/>
          <w:szCs w:val="22"/>
        </w:rPr>
        <w:t xml:space="preserve"> Offices, Princes Road, Maldon, Essex</w:t>
      </w:r>
      <w:r w:rsidR="00144C85">
        <w:rPr>
          <w:rFonts w:eastAsia="Calibri" w:cs="Arial"/>
          <w:sz w:val="22"/>
          <w:szCs w:val="22"/>
        </w:rPr>
        <w:t xml:space="preserve"> </w:t>
      </w:r>
      <w:r w:rsidRPr="00C33FDE">
        <w:rPr>
          <w:rFonts w:eastAsia="Calibri" w:cs="Arial"/>
          <w:sz w:val="22"/>
          <w:szCs w:val="22"/>
        </w:rPr>
        <w:t>CM9 5DL for the total amounts as follows:</w:t>
      </w:r>
    </w:p>
    <w:p w:rsidR="00EC03D5" w:rsidRPr="00C33FDE" w:rsidRDefault="00EC03D5" w:rsidP="00C33FDE">
      <w:pPr>
        <w:rPr>
          <w:rFonts w:eastAsia="Calibri" w:cs="Arial"/>
          <w:sz w:val="22"/>
          <w:szCs w:val="22"/>
        </w:rPr>
      </w:pPr>
    </w:p>
    <w:tbl>
      <w:tblPr>
        <w:tblW w:w="0" w:type="auto"/>
        <w:tblInd w:w="108" w:type="dxa"/>
        <w:tblLayout w:type="fixed"/>
        <w:tblLook w:val="0000" w:firstRow="0" w:lastRow="0" w:firstColumn="0" w:lastColumn="0" w:noHBand="0" w:noVBand="0"/>
      </w:tblPr>
      <w:tblGrid>
        <w:gridCol w:w="3969"/>
        <w:gridCol w:w="4311"/>
      </w:tblGrid>
      <w:tr w:rsidR="00C33FDE" w:rsidRPr="00C33FDE" w:rsidTr="00273972">
        <w:tc>
          <w:tcPr>
            <w:tcW w:w="3969" w:type="dxa"/>
          </w:tcPr>
          <w:p w:rsidR="00EC03D5" w:rsidRPr="00C33FDE" w:rsidRDefault="00EC03D5"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Fixed price for the </w:t>
            </w:r>
            <w:r w:rsidR="00EC03D5">
              <w:rPr>
                <w:rFonts w:eastAsia="Calibri" w:cs="Arial"/>
                <w:sz w:val="22"/>
                <w:szCs w:val="22"/>
              </w:rPr>
              <w:t>project</w:t>
            </w:r>
            <w:r w:rsidRPr="00C33FDE">
              <w:rPr>
                <w:rFonts w:eastAsia="Calibri" w:cs="Arial"/>
                <w:sz w:val="22"/>
                <w:szCs w:val="22"/>
              </w:rPr>
              <w:t>:</w:t>
            </w:r>
          </w:p>
          <w:p w:rsidR="00C33FDE" w:rsidRPr="00C33FDE" w:rsidRDefault="00C33FDE" w:rsidP="00C33FDE">
            <w:pPr>
              <w:rPr>
                <w:rFonts w:eastAsia="Calibri" w:cs="Arial"/>
                <w:sz w:val="22"/>
                <w:szCs w:val="22"/>
              </w:rPr>
            </w:pPr>
          </w:p>
        </w:tc>
        <w:tc>
          <w:tcPr>
            <w:tcW w:w="4311" w:type="dxa"/>
          </w:tcPr>
          <w:p w:rsidR="00C33FDE" w:rsidRPr="00C33FDE" w:rsidRDefault="00C33FDE" w:rsidP="00C33FDE">
            <w:pPr>
              <w:rPr>
                <w:rFonts w:eastAsia="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C33FDE" w:rsidRPr="00C33FDE" w:rsidTr="00273972">
              <w:tc>
                <w:tcPr>
                  <w:tcW w:w="4080" w:type="dxa"/>
                  <w:shd w:val="clear" w:color="auto" w:fill="auto"/>
                </w:tcPr>
                <w:p w:rsidR="00C33FDE" w:rsidRPr="00C33FDE" w:rsidRDefault="00C33FDE" w:rsidP="00C33FDE">
                  <w:pPr>
                    <w:rPr>
                      <w:rFonts w:eastAsia="Calibri" w:cs="Arial"/>
                      <w:sz w:val="22"/>
                      <w:szCs w:val="22"/>
                    </w:rPr>
                  </w:pPr>
                  <w:r w:rsidRPr="00C33FDE">
                    <w:rPr>
                      <w:rFonts w:eastAsia="Calibri" w:cs="Arial"/>
                      <w:sz w:val="22"/>
                      <w:szCs w:val="22"/>
                    </w:rPr>
                    <w:t xml:space="preserve">£ </w:t>
                  </w:r>
                </w:p>
              </w:tc>
            </w:tr>
          </w:tbl>
          <w:p w:rsidR="00C33FDE" w:rsidRPr="00C33FDE" w:rsidRDefault="00C33FDE" w:rsidP="00C33FDE">
            <w:pPr>
              <w:rPr>
                <w:rFonts w:eastAsia="Calibri" w:cs="Arial"/>
                <w:sz w:val="22"/>
                <w:szCs w:val="22"/>
              </w:rPr>
            </w:pPr>
          </w:p>
        </w:tc>
      </w:tr>
    </w:tbl>
    <w:p w:rsidR="00C33FDE" w:rsidRPr="00C33FDE" w:rsidRDefault="00C33FDE" w:rsidP="00C33FDE">
      <w:pPr>
        <w:rPr>
          <w:rFonts w:cs="Arial"/>
          <w:sz w:val="22"/>
          <w:szCs w:val="22"/>
          <w:lang w:val="en-US"/>
        </w:rPr>
      </w:pPr>
    </w:p>
    <w:tbl>
      <w:tblPr>
        <w:tblW w:w="0" w:type="auto"/>
        <w:tblInd w:w="108" w:type="dxa"/>
        <w:tblLayout w:type="fixed"/>
        <w:tblLook w:val="0000" w:firstRow="0" w:lastRow="0" w:firstColumn="0" w:lastColumn="0" w:noHBand="0" w:noVBand="0"/>
      </w:tblPr>
      <w:tblGrid>
        <w:gridCol w:w="3969"/>
        <w:gridCol w:w="4311"/>
      </w:tblGrid>
      <w:tr w:rsidR="00C33FDE" w:rsidRPr="00C33FDE" w:rsidTr="00273972">
        <w:tc>
          <w:tcPr>
            <w:tcW w:w="3969" w:type="dxa"/>
          </w:tcPr>
          <w:p w:rsidR="00C33FDE" w:rsidRPr="00C33FDE" w:rsidRDefault="00C33FDE" w:rsidP="00C33FDE">
            <w:pPr>
              <w:rPr>
                <w:rFonts w:eastAsia="Calibri" w:cs="Arial"/>
                <w:sz w:val="22"/>
                <w:szCs w:val="22"/>
              </w:rPr>
            </w:pPr>
          </w:p>
        </w:tc>
        <w:tc>
          <w:tcPr>
            <w:tcW w:w="4311" w:type="dxa"/>
          </w:tcPr>
          <w:p w:rsidR="00C33FDE" w:rsidRPr="00C33FDE" w:rsidRDefault="00C33FDE" w:rsidP="00C33FDE">
            <w:pPr>
              <w:rPr>
                <w:rFonts w:eastAsia="Calibri" w:cs="Arial"/>
                <w:sz w:val="22"/>
                <w:szCs w:val="22"/>
              </w:rPr>
            </w:pPr>
          </w:p>
        </w:tc>
      </w:tr>
    </w:tbl>
    <w:p w:rsidR="00C33FDE" w:rsidRPr="00C33FDE" w:rsidRDefault="00C33FDE" w:rsidP="00C33FDE">
      <w:pPr>
        <w:rPr>
          <w:rFonts w:eastAsia="Calibri" w:cs="Arial"/>
          <w:sz w:val="22"/>
          <w:szCs w:val="22"/>
        </w:rPr>
      </w:pPr>
      <w:r w:rsidRPr="00C33FDE">
        <w:rPr>
          <w:rFonts w:eastAsia="Calibri" w:cs="Arial"/>
          <w:sz w:val="22"/>
          <w:szCs w:val="22"/>
        </w:rPr>
        <w:t>I/We hereby declare that:-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(1)</w:t>
      </w:r>
      <w:r w:rsidRPr="00C33FDE">
        <w:rPr>
          <w:rFonts w:eastAsia="Calibri" w:cs="Arial"/>
          <w:sz w:val="22"/>
          <w:szCs w:val="22"/>
        </w:rPr>
        <w:tab/>
        <w:t>This is a bona fide competitive quotation and the amount has not been fixed or adjusted under or by or in accordance with any agreement or arrangement with any other person.</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(2)</w:t>
      </w:r>
      <w:r w:rsidRPr="00C33FDE">
        <w:rPr>
          <w:rFonts w:eastAsia="Calibri" w:cs="Arial"/>
          <w:sz w:val="22"/>
          <w:szCs w:val="22"/>
        </w:rPr>
        <w:tab/>
        <w:t>The amount or approximate amount of my/our proposed quotation has not been and will not be communicated to any person other than the person calling for these quotations.</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(3)</w:t>
      </w:r>
      <w:r w:rsidRPr="00C33FDE">
        <w:rPr>
          <w:rFonts w:eastAsia="Calibri" w:cs="Arial"/>
          <w:sz w:val="22"/>
          <w:szCs w:val="22"/>
        </w:rPr>
        <w:tab/>
        <w:t>I/We have not made any agreement with any other person that they shall refrain from submitting a quotation or as to the amount of any other quotation to be submitted.</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I/We understand that you are not bound to accept the lowest or any quotation you may receive.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I/We understand that no increased cost of labour and/or materials will be allowed during the period of the Contract.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I/We understand that the successful quotation, together with the </w:t>
      </w:r>
      <w:r w:rsidR="00E6488D">
        <w:rPr>
          <w:rFonts w:eastAsia="Calibri" w:cs="Arial"/>
          <w:sz w:val="22"/>
          <w:szCs w:val="22"/>
        </w:rPr>
        <w:t>Council</w:t>
      </w:r>
      <w:r w:rsidRPr="00C33FDE">
        <w:rPr>
          <w:rFonts w:eastAsia="Calibri" w:cs="Arial"/>
          <w:sz w:val="22"/>
          <w:szCs w:val="22"/>
        </w:rPr>
        <w:t xml:space="preserve">’s written acceptance thereof, will form a binding Contract between the </w:t>
      </w:r>
      <w:r w:rsidR="00E6488D">
        <w:rPr>
          <w:rFonts w:eastAsia="Calibri" w:cs="Arial"/>
          <w:sz w:val="22"/>
          <w:szCs w:val="22"/>
        </w:rPr>
        <w:t>Council</w:t>
      </w:r>
      <w:r w:rsidRPr="00C33FDE">
        <w:rPr>
          <w:rFonts w:eastAsia="Calibri" w:cs="Arial"/>
          <w:sz w:val="22"/>
          <w:szCs w:val="22"/>
        </w:rPr>
        <w:t xml:space="preserve"> and the successful contractor.</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Yours faithfully</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Signed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For and on behalf of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Address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................……………Post Code..................……...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Date................................................………………..</w:t>
      </w:r>
    </w:p>
    <w:p w:rsidR="009E14C9" w:rsidRDefault="009E14C9"/>
    <w:sectPr w:rsidR="009E1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15" w:rsidRDefault="004F2515">
      <w:r>
        <w:separator/>
      </w:r>
    </w:p>
  </w:endnote>
  <w:endnote w:type="continuationSeparator" w:id="0">
    <w:p w:rsidR="004F2515" w:rsidRDefault="004F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72" w:rsidRDefault="00273972" w:rsidP="00273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972" w:rsidRDefault="00273972" w:rsidP="002739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B7" w:rsidRPr="00494657" w:rsidRDefault="0031415E" w:rsidP="00931DB7">
    <w:pPr>
      <w:pStyle w:val="Footer"/>
      <w:jc w:val="center"/>
      <w:rPr>
        <w:rFonts w:ascii="Times New Roman" w:hAnsi="Times New Roman"/>
        <w:sz w:val="20"/>
      </w:rPr>
    </w:pPr>
    <w:sdt>
      <w:sdtPr>
        <w:rPr>
          <w:rFonts w:ascii="Times New Roman" w:hAnsi="Times New Roman"/>
          <w:sz w:val="20"/>
        </w:rPr>
        <w:id w:val="98381352"/>
        <w:docPartObj>
          <w:docPartGallery w:val="Page Numbers (Top of Page)"/>
          <w:docPartUnique/>
        </w:docPartObj>
      </w:sdtPr>
      <w:sdtEndPr/>
      <w:sdtContent>
        <w:r w:rsidR="00931DB7" w:rsidRPr="00494657">
          <w:rPr>
            <w:rFonts w:ascii="Times New Roman" w:hAnsi="Times New Roman"/>
            <w:bCs/>
            <w:sz w:val="20"/>
          </w:rPr>
          <w:fldChar w:fldCharType="begin"/>
        </w:r>
        <w:r w:rsidR="00931DB7" w:rsidRPr="00494657">
          <w:rPr>
            <w:rFonts w:ascii="Times New Roman" w:hAnsi="Times New Roman"/>
            <w:bCs/>
            <w:sz w:val="20"/>
          </w:rPr>
          <w:instrText xml:space="preserve"> PAGE </w:instrText>
        </w:r>
        <w:r w:rsidR="00931DB7" w:rsidRPr="00494657">
          <w:rPr>
            <w:rFonts w:ascii="Times New Roman" w:hAnsi="Times New Roman"/>
            <w:bCs/>
            <w:sz w:val="20"/>
          </w:rPr>
          <w:fldChar w:fldCharType="separate"/>
        </w:r>
        <w:r>
          <w:rPr>
            <w:rFonts w:ascii="Times New Roman" w:hAnsi="Times New Roman"/>
            <w:bCs/>
            <w:noProof/>
            <w:sz w:val="20"/>
          </w:rPr>
          <w:t>9</w:t>
        </w:r>
        <w:r w:rsidR="00931DB7" w:rsidRPr="00494657">
          <w:rPr>
            <w:rFonts w:ascii="Times New Roman" w:hAnsi="Times New Roman"/>
            <w:bCs/>
            <w:sz w:val="20"/>
          </w:rPr>
          <w:fldChar w:fldCharType="end"/>
        </w:r>
        <w:r w:rsidR="00931DB7">
          <w:rPr>
            <w:rFonts w:ascii="Times New Roman" w:hAnsi="Times New Roman"/>
            <w:sz w:val="20"/>
          </w:rPr>
          <w:t xml:space="preserve"> /</w:t>
        </w:r>
        <w:r w:rsidR="00931DB7" w:rsidRPr="00494657">
          <w:rPr>
            <w:rFonts w:ascii="Times New Roman" w:hAnsi="Times New Roman"/>
            <w:sz w:val="20"/>
          </w:rPr>
          <w:t xml:space="preserve"> </w:t>
        </w:r>
        <w:r w:rsidR="00931DB7" w:rsidRPr="00494657">
          <w:rPr>
            <w:rFonts w:ascii="Times New Roman" w:hAnsi="Times New Roman"/>
            <w:bCs/>
            <w:sz w:val="20"/>
          </w:rPr>
          <w:fldChar w:fldCharType="begin"/>
        </w:r>
        <w:r w:rsidR="00931DB7" w:rsidRPr="00494657">
          <w:rPr>
            <w:rFonts w:ascii="Times New Roman" w:hAnsi="Times New Roman"/>
            <w:bCs/>
            <w:sz w:val="20"/>
          </w:rPr>
          <w:instrText xml:space="preserve"> NUMPAGES  </w:instrText>
        </w:r>
        <w:r w:rsidR="00931DB7" w:rsidRPr="00494657">
          <w:rPr>
            <w:rFonts w:ascii="Times New Roman" w:hAnsi="Times New Roman"/>
            <w:bCs/>
            <w:sz w:val="20"/>
          </w:rPr>
          <w:fldChar w:fldCharType="separate"/>
        </w:r>
        <w:r>
          <w:rPr>
            <w:rFonts w:ascii="Times New Roman" w:hAnsi="Times New Roman"/>
            <w:bCs/>
            <w:noProof/>
            <w:sz w:val="20"/>
          </w:rPr>
          <w:t>13</w:t>
        </w:r>
        <w:r w:rsidR="00931DB7" w:rsidRPr="00494657">
          <w:rPr>
            <w:rFonts w:ascii="Times New Roman" w:hAnsi="Times New Roman"/>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15" w:rsidRDefault="004F2515">
      <w:r>
        <w:separator/>
      </w:r>
    </w:p>
  </w:footnote>
  <w:footnote w:type="continuationSeparator" w:id="0">
    <w:p w:rsidR="004F2515" w:rsidRDefault="004F2515">
      <w:r>
        <w:continuationSeparator/>
      </w:r>
    </w:p>
  </w:footnote>
  <w:footnote w:id="1">
    <w:p w:rsidR="004C469E" w:rsidRPr="004C469E" w:rsidRDefault="004C469E">
      <w:pPr>
        <w:pStyle w:val="FootnoteText"/>
        <w:rPr>
          <w:i/>
          <w:sz w:val="18"/>
          <w:szCs w:val="18"/>
        </w:rPr>
      </w:pPr>
      <w:r w:rsidRPr="004C469E">
        <w:rPr>
          <w:rStyle w:val="FootnoteReference"/>
          <w:i/>
          <w:sz w:val="18"/>
          <w:szCs w:val="18"/>
        </w:rPr>
        <w:footnoteRef/>
      </w:r>
      <w:r w:rsidRPr="004C469E">
        <w:rPr>
          <w:i/>
          <w:sz w:val="18"/>
          <w:szCs w:val="18"/>
        </w:rPr>
        <w:t xml:space="preserve"> Henceforth referred to as the ‘Central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72" w:rsidRPr="00755E10" w:rsidRDefault="00273972" w:rsidP="00273972">
    <w:pPr>
      <w:pStyle w:val="Header"/>
      <w:jc w:val="right"/>
      <w:rPr>
        <w:sz w:val="22"/>
        <w:szCs w:val="22"/>
      </w:rPr>
    </w:pPr>
    <w:r w:rsidRPr="00755E10">
      <w:rPr>
        <w:sz w:val="22"/>
        <w:szCs w:val="22"/>
      </w:rPr>
      <w:t xml:space="preserve">Maldon </w:t>
    </w:r>
    <w:r w:rsidR="00144C85">
      <w:rPr>
        <w:sz w:val="22"/>
        <w:szCs w:val="22"/>
      </w:rPr>
      <w:t>District</w:t>
    </w:r>
    <w:r w:rsidRPr="00755E10">
      <w:rPr>
        <w:sz w:val="22"/>
        <w:szCs w:val="22"/>
      </w:rPr>
      <w:t xml:space="preserve"> </w:t>
    </w:r>
    <w:r w:rsidR="00E6488D">
      <w:rPr>
        <w:sz w:val="22"/>
        <w:szCs w:val="22"/>
      </w:rPr>
      <w:t>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67"/>
    <w:multiLevelType w:val="multilevel"/>
    <w:tmpl w:val="FEB03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9151B9"/>
    <w:multiLevelType w:val="hybridMultilevel"/>
    <w:tmpl w:val="C7C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24A4A"/>
    <w:multiLevelType w:val="hybridMultilevel"/>
    <w:tmpl w:val="09FED612"/>
    <w:lvl w:ilvl="0" w:tplc="D9CC089E">
      <w:start w:val="3"/>
      <w:numFmt w:val="bullet"/>
      <w:lvlText w:val="-"/>
      <w:lvlJc w:val="left"/>
      <w:pPr>
        <w:ind w:left="1087" w:hanging="360"/>
      </w:pPr>
      <w:rPr>
        <w:rFonts w:ascii="Arial" w:eastAsia="Times New Roman" w:hAnsi="Arial" w:cs="Aria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3">
    <w:nsid w:val="0A6C75B7"/>
    <w:multiLevelType w:val="hybridMultilevel"/>
    <w:tmpl w:val="9A124C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0C392772"/>
    <w:multiLevelType w:val="hybridMultilevel"/>
    <w:tmpl w:val="FE3AC526"/>
    <w:lvl w:ilvl="0" w:tplc="0809000F">
      <w:start w:val="1"/>
      <w:numFmt w:val="decimal"/>
      <w:lvlText w:val="%1."/>
      <w:lvlJc w:val="left"/>
      <w:pPr>
        <w:ind w:left="607" w:hanging="360"/>
      </w:p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5">
    <w:nsid w:val="0E7D0823"/>
    <w:multiLevelType w:val="hybridMultilevel"/>
    <w:tmpl w:val="9564B7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DC2BF1"/>
    <w:multiLevelType w:val="multilevel"/>
    <w:tmpl w:val="F5044CAA"/>
    <w:lvl w:ilvl="0">
      <w:start w:val="7"/>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4750371"/>
    <w:multiLevelType w:val="multilevel"/>
    <w:tmpl w:val="6D82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160263"/>
    <w:multiLevelType w:val="hybridMultilevel"/>
    <w:tmpl w:val="93AE09CE"/>
    <w:lvl w:ilvl="0" w:tplc="A51EDB3E">
      <w:start w:val="1"/>
      <w:numFmt w:val="bullet"/>
      <w:lvlText w:val="•"/>
      <w:lvlJc w:val="left"/>
      <w:pPr>
        <w:ind w:left="1080" w:hanging="360"/>
      </w:pPr>
      <w:rPr>
        <w:rFonts w:ascii="ArialMT" w:eastAsiaTheme="minorHAnsi" w:hAnsi="ArialMT" w:cs="ArialM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nsid w:val="1D502CF2"/>
    <w:multiLevelType w:val="hybridMultilevel"/>
    <w:tmpl w:val="09846504"/>
    <w:lvl w:ilvl="0" w:tplc="D9CC089E">
      <w:start w:val="3"/>
      <w:numFmt w:val="bullet"/>
      <w:lvlText w:val="-"/>
      <w:lvlJc w:val="left"/>
      <w:pPr>
        <w:ind w:left="974" w:hanging="360"/>
      </w:pPr>
      <w:rPr>
        <w:rFonts w:ascii="Arial" w:eastAsia="Times New Roman" w:hAnsi="Arial" w:cs="Aria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1F897CF7"/>
    <w:multiLevelType w:val="hybridMultilevel"/>
    <w:tmpl w:val="BBAE885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23AA7620"/>
    <w:multiLevelType w:val="hybridMultilevel"/>
    <w:tmpl w:val="FD7E4ECA"/>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8D477F6"/>
    <w:multiLevelType w:val="hybridMultilevel"/>
    <w:tmpl w:val="4B1CF430"/>
    <w:lvl w:ilvl="0" w:tplc="8494A8FE">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E65837"/>
    <w:multiLevelType w:val="hybridMultilevel"/>
    <w:tmpl w:val="E062C304"/>
    <w:lvl w:ilvl="0" w:tplc="0809001B">
      <w:start w:val="1"/>
      <w:numFmt w:val="low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4">
    <w:nsid w:val="30783AB9"/>
    <w:multiLevelType w:val="multilevel"/>
    <w:tmpl w:val="BA4A27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9871EFC"/>
    <w:multiLevelType w:val="hybridMultilevel"/>
    <w:tmpl w:val="D2E2C0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BA272BC"/>
    <w:multiLevelType w:val="hybridMultilevel"/>
    <w:tmpl w:val="0234EB88"/>
    <w:lvl w:ilvl="0" w:tplc="41609490">
      <w:start w:val="3"/>
      <w:numFmt w:val="bullet"/>
      <w:lvlText w:val="-"/>
      <w:lvlJc w:val="left"/>
      <w:pPr>
        <w:ind w:left="652" w:hanging="360"/>
      </w:pPr>
      <w:rPr>
        <w:rFonts w:ascii="Arial" w:eastAsia="Times New Roman" w:hAnsi="Arial" w:cs="Aria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7">
    <w:nsid w:val="44E434C7"/>
    <w:multiLevelType w:val="hybridMultilevel"/>
    <w:tmpl w:val="F710B94A"/>
    <w:lvl w:ilvl="0" w:tplc="508A2280">
      <w:start w:val="1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854463"/>
    <w:multiLevelType w:val="hybridMultilevel"/>
    <w:tmpl w:val="BD92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B13A4"/>
    <w:multiLevelType w:val="hybridMultilevel"/>
    <w:tmpl w:val="658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9630BD"/>
    <w:multiLevelType w:val="hybridMultilevel"/>
    <w:tmpl w:val="4B1CF430"/>
    <w:lvl w:ilvl="0" w:tplc="8494A8FE">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F6E66BB"/>
    <w:multiLevelType w:val="hybridMultilevel"/>
    <w:tmpl w:val="F3A495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187098"/>
    <w:multiLevelType w:val="hybridMultilevel"/>
    <w:tmpl w:val="9D8472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A2C1E57"/>
    <w:multiLevelType w:val="hybridMultilevel"/>
    <w:tmpl w:val="34B6BAC0"/>
    <w:lvl w:ilvl="0" w:tplc="08090017">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4">
    <w:nsid w:val="5D141302"/>
    <w:multiLevelType w:val="multilevel"/>
    <w:tmpl w:val="E52ECE3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4D76870"/>
    <w:multiLevelType w:val="hybridMultilevel"/>
    <w:tmpl w:val="A3EE4C0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6">
    <w:nsid w:val="65F11477"/>
    <w:multiLevelType w:val="singleLevel"/>
    <w:tmpl w:val="E60AC69C"/>
    <w:lvl w:ilvl="0">
      <w:start w:val="1"/>
      <w:numFmt w:val="decimal"/>
      <w:pStyle w:val="ReportNumbering"/>
      <w:lvlText w:val="%1."/>
      <w:lvlJc w:val="left"/>
      <w:pPr>
        <w:tabs>
          <w:tab w:val="num" w:pos="360"/>
        </w:tabs>
        <w:ind w:left="360" w:hanging="360"/>
      </w:pPr>
    </w:lvl>
  </w:abstractNum>
  <w:abstractNum w:abstractNumId="27">
    <w:nsid w:val="67847BC3"/>
    <w:multiLevelType w:val="hybridMultilevel"/>
    <w:tmpl w:val="7A7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9534FD0"/>
    <w:multiLevelType w:val="hybridMultilevel"/>
    <w:tmpl w:val="5046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FE21DF"/>
    <w:multiLevelType w:val="hybridMultilevel"/>
    <w:tmpl w:val="5D3896C2"/>
    <w:lvl w:ilvl="0" w:tplc="08090001">
      <w:start w:val="1"/>
      <w:numFmt w:val="decimal"/>
      <w:lvlText w:val="%1)"/>
      <w:lvlJc w:val="left"/>
      <w:pPr>
        <w:tabs>
          <w:tab w:val="num" w:pos="720"/>
        </w:tabs>
        <w:ind w:left="720" w:hanging="720"/>
      </w:pPr>
      <w:rPr>
        <w:rFonts w:hint="default"/>
      </w:rPr>
    </w:lvl>
    <w:lvl w:ilvl="1" w:tplc="08090003">
      <w:start w:val="1"/>
      <w:numFmt w:val="lowerRoman"/>
      <w:lvlText w:val="%2)"/>
      <w:lvlJc w:val="left"/>
      <w:pPr>
        <w:tabs>
          <w:tab w:val="num" w:pos="1800"/>
        </w:tabs>
        <w:ind w:left="1800" w:hanging="720"/>
      </w:pPr>
      <w:rPr>
        <w:rFonts w:hint="default"/>
      </w:rPr>
    </w:lvl>
    <w:lvl w:ilvl="2" w:tplc="08090005">
      <w:start w:val="1"/>
      <w:numFmt w:val="bullet"/>
      <w:lvlText w:val=""/>
      <w:lvlJc w:val="left"/>
      <w:pPr>
        <w:tabs>
          <w:tab w:val="num" w:pos="357"/>
        </w:tabs>
        <w:ind w:left="720" w:hanging="720"/>
      </w:pPr>
      <w:rPr>
        <w:rFonts w:ascii="Symbol" w:hAnsi="Symbol" w:hint="default"/>
      </w:r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nsid w:val="77E25B8A"/>
    <w:multiLevelType w:val="hybridMultilevel"/>
    <w:tmpl w:val="D51AE9C0"/>
    <w:lvl w:ilvl="0" w:tplc="33B2B672">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11"/>
  </w:num>
  <w:num w:numId="2">
    <w:abstractNumId w:val="26"/>
  </w:num>
  <w:num w:numId="3">
    <w:abstractNumId w:val="29"/>
  </w:num>
  <w:num w:numId="4">
    <w:abstractNumId w:val="20"/>
  </w:num>
  <w:num w:numId="5">
    <w:abstractNumId w:val="27"/>
  </w:num>
  <w:num w:numId="6">
    <w:abstractNumId w:val="5"/>
  </w:num>
  <w:num w:numId="7">
    <w:abstractNumId w:val="17"/>
  </w:num>
  <w:num w:numId="8">
    <w:abstractNumId w:val="8"/>
  </w:num>
  <w:num w:numId="9">
    <w:abstractNumId w:val="22"/>
  </w:num>
  <w:num w:numId="10">
    <w:abstractNumId w:val="30"/>
  </w:num>
  <w:num w:numId="11">
    <w:abstractNumId w:val="23"/>
  </w:num>
  <w:num w:numId="12">
    <w:abstractNumId w:val="0"/>
  </w:num>
  <w:num w:numId="13">
    <w:abstractNumId w:val="19"/>
  </w:num>
  <w:num w:numId="14">
    <w:abstractNumId w:val="16"/>
  </w:num>
  <w:num w:numId="15">
    <w:abstractNumId w:val="2"/>
  </w:num>
  <w:num w:numId="16">
    <w:abstractNumId w:val="24"/>
  </w:num>
  <w:num w:numId="17">
    <w:abstractNumId w:val="12"/>
  </w:num>
  <w:num w:numId="18">
    <w:abstractNumId w:val="6"/>
  </w:num>
  <w:num w:numId="19">
    <w:abstractNumId w:val="9"/>
  </w:num>
  <w:num w:numId="20">
    <w:abstractNumId w:val="28"/>
  </w:num>
  <w:num w:numId="21">
    <w:abstractNumId w:val="15"/>
  </w:num>
  <w:num w:numId="22">
    <w:abstractNumId w:val="14"/>
  </w:num>
  <w:num w:numId="23">
    <w:abstractNumId w:val="7"/>
  </w:num>
  <w:num w:numId="24">
    <w:abstractNumId w:val="21"/>
  </w:num>
  <w:num w:numId="25">
    <w:abstractNumId w:val="18"/>
  </w:num>
  <w:num w:numId="26">
    <w:abstractNumId w:val="4"/>
  </w:num>
  <w:num w:numId="27">
    <w:abstractNumId w:val="1"/>
  </w:num>
  <w:num w:numId="28">
    <w:abstractNumId w:val="25"/>
  </w:num>
  <w:num w:numId="29">
    <w:abstractNumId w:val="10"/>
  </w:num>
  <w:num w:numId="30">
    <w:abstractNumId w:val="3"/>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9"/>
    <w:rsid w:val="00017AC2"/>
    <w:rsid w:val="000247E7"/>
    <w:rsid w:val="000260CE"/>
    <w:rsid w:val="00044FEF"/>
    <w:rsid w:val="000522CE"/>
    <w:rsid w:val="0006270B"/>
    <w:rsid w:val="000B26F4"/>
    <w:rsid w:val="001224BD"/>
    <w:rsid w:val="00144C85"/>
    <w:rsid w:val="001927D0"/>
    <w:rsid w:val="001A5FF5"/>
    <w:rsid w:val="001F4127"/>
    <w:rsid w:val="002272ED"/>
    <w:rsid w:val="00233589"/>
    <w:rsid w:val="0025017C"/>
    <w:rsid w:val="00273972"/>
    <w:rsid w:val="00296F26"/>
    <w:rsid w:val="002B5894"/>
    <w:rsid w:val="002F67C2"/>
    <w:rsid w:val="0031415E"/>
    <w:rsid w:val="00343EF0"/>
    <w:rsid w:val="00375DA8"/>
    <w:rsid w:val="00382C5C"/>
    <w:rsid w:val="003D6AAC"/>
    <w:rsid w:val="0040283C"/>
    <w:rsid w:val="00433D76"/>
    <w:rsid w:val="004614D1"/>
    <w:rsid w:val="004C469E"/>
    <w:rsid w:val="004F2515"/>
    <w:rsid w:val="00554517"/>
    <w:rsid w:val="00583E41"/>
    <w:rsid w:val="005B3A92"/>
    <w:rsid w:val="005D5179"/>
    <w:rsid w:val="00622E73"/>
    <w:rsid w:val="006512FE"/>
    <w:rsid w:val="00655438"/>
    <w:rsid w:val="00673FA1"/>
    <w:rsid w:val="006A6565"/>
    <w:rsid w:val="006F3F7E"/>
    <w:rsid w:val="007125A3"/>
    <w:rsid w:val="00735AD6"/>
    <w:rsid w:val="00756C8E"/>
    <w:rsid w:val="00805507"/>
    <w:rsid w:val="00880D4A"/>
    <w:rsid w:val="008B19C6"/>
    <w:rsid w:val="008C4D58"/>
    <w:rsid w:val="009053E8"/>
    <w:rsid w:val="00907CFA"/>
    <w:rsid w:val="00931DB7"/>
    <w:rsid w:val="00936D68"/>
    <w:rsid w:val="009E14C9"/>
    <w:rsid w:val="00A14ECF"/>
    <w:rsid w:val="00A767D8"/>
    <w:rsid w:val="00A911C9"/>
    <w:rsid w:val="00AA3474"/>
    <w:rsid w:val="00AD67A6"/>
    <w:rsid w:val="00B261D8"/>
    <w:rsid w:val="00B27BE2"/>
    <w:rsid w:val="00B65DAE"/>
    <w:rsid w:val="00B72ACD"/>
    <w:rsid w:val="00B77C27"/>
    <w:rsid w:val="00B914A7"/>
    <w:rsid w:val="00B941F8"/>
    <w:rsid w:val="00B94C11"/>
    <w:rsid w:val="00BB7F07"/>
    <w:rsid w:val="00BC31F0"/>
    <w:rsid w:val="00BC5843"/>
    <w:rsid w:val="00BD50D5"/>
    <w:rsid w:val="00BE6554"/>
    <w:rsid w:val="00C33FDE"/>
    <w:rsid w:val="00C741EF"/>
    <w:rsid w:val="00C96F83"/>
    <w:rsid w:val="00CE7623"/>
    <w:rsid w:val="00D60715"/>
    <w:rsid w:val="00DB1295"/>
    <w:rsid w:val="00DC3084"/>
    <w:rsid w:val="00DE18AC"/>
    <w:rsid w:val="00E3163D"/>
    <w:rsid w:val="00E37456"/>
    <w:rsid w:val="00E529BB"/>
    <w:rsid w:val="00E6488D"/>
    <w:rsid w:val="00E746E7"/>
    <w:rsid w:val="00EA5842"/>
    <w:rsid w:val="00EC03D5"/>
    <w:rsid w:val="00EC0D7F"/>
    <w:rsid w:val="00EE034C"/>
    <w:rsid w:val="00FE238C"/>
    <w:rsid w:val="00FF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C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E14C9"/>
    <w:pPr>
      <w:keepNext/>
      <w:spacing w:after="240"/>
      <w:outlineLvl w:val="1"/>
    </w:pPr>
    <w:rPr>
      <w:rFonts w:ascii="Arial Narrow" w:hAnsi="Arial Narrow"/>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4C9"/>
    <w:rPr>
      <w:rFonts w:ascii="Arial Narrow" w:eastAsia="Times New Roman" w:hAnsi="Arial Narrow" w:cs="Times New Roman"/>
      <w:b/>
      <w:caps/>
      <w:sz w:val="32"/>
      <w:szCs w:val="20"/>
    </w:rPr>
  </w:style>
  <w:style w:type="paragraph" w:styleId="Header">
    <w:name w:val="header"/>
    <w:basedOn w:val="Normal"/>
    <w:link w:val="HeaderChar"/>
    <w:rsid w:val="009E14C9"/>
    <w:pPr>
      <w:tabs>
        <w:tab w:val="center" w:pos="4153"/>
        <w:tab w:val="right" w:pos="8306"/>
      </w:tabs>
    </w:pPr>
  </w:style>
  <w:style w:type="character" w:customStyle="1" w:styleId="HeaderChar">
    <w:name w:val="Header Char"/>
    <w:basedOn w:val="DefaultParagraphFont"/>
    <w:link w:val="Header"/>
    <w:rsid w:val="009E14C9"/>
    <w:rPr>
      <w:rFonts w:ascii="Arial" w:eastAsia="Times New Roman" w:hAnsi="Arial" w:cs="Times New Roman"/>
      <w:sz w:val="24"/>
      <w:szCs w:val="20"/>
    </w:rPr>
  </w:style>
  <w:style w:type="character" w:styleId="Hyperlink">
    <w:name w:val="Hyperlink"/>
    <w:rsid w:val="009E14C9"/>
    <w:rPr>
      <w:color w:val="0000FF"/>
      <w:u w:val="single"/>
    </w:rPr>
  </w:style>
  <w:style w:type="paragraph" w:customStyle="1" w:styleId="ReportNumbering">
    <w:name w:val="Report Numbering"/>
    <w:basedOn w:val="Normal"/>
    <w:rsid w:val="009E14C9"/>
    <w:pPr>
      <w:numPr>
        <w:numId w:val="2"/>
      </w:numPr>
      <w:spacing w:after="240"/>
    </w:pPr>
    <w:rPr>
      <w:lang w:eastAsia="en-GB"/>
    </w:rPr>
  </w:style>
  <w:style w:type="character" w:styleId="Strong">
    <w:name w:val="Strong"/>
    <w:qFormat/>
    <w:rsid w:val="009E14C9"/>
    <w:rPr>
      <w:b/>
      <w:bCs/>
    </w:rPr>
  </w:style>
  <w:style w:type="paragraph" w:styleId="ListParagraph">
    <w:name w:val="List Paragraph"/>
    <w:basedOn w:val="Normal"/>
    <w:uiPriority w:val="34"/>
    <w:qFormat/>
    <w:rsid w:val="009E14C9"/>
    <w:pPr>
      <w:ind w:left="720"/>
    </w:pPr>
  </w:style>
  <w:style w:type="paragraph" w:customStyle="1" w:styleId="Default">
    <w:name w:val="Default"/>
    <w:rsid w:val="00880D4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33FDE"/>
    <w:pPr>
      <w:tabs>
        <w:tab w:val="center" w:pos="4513"/>
        <w:tab w:val="right" w:pos="9026"/>
      </w:tabs>
    </w:pPr>
  </w:style>
  <w:style w:type="character" w:customStyle="1" w:styleId="FooterChar">
    <w:name w:val="Footer Char"/>
    <w:basedOn w:val="DefaultParagraphFont"/>
    <w:link w:val="Footer"/>
    <w:uiPriority w:val="99"/>
    <w:rsid w:val="00C33FDE"/>
    <w:rPr>
      <w:rFonts w:ascii="Arial" w:eastAsia="Times New Roman" w:hAnsi="Arial" w:cs="Times New Roman"/>
      <w:sz w:val="24"/>
      <w:szCs w:val="20"/>
    </w:rPr>
  </w:style>
  <w:style w:type="character" w:styleId="PageNumber">
    <w:name w:val="page number"/>
    <w:basedOn w:val="DefaultParagraphFont"/>
    <w:rsid w:val="00C33FDE"/>
  </w:style>
  <w:style w:type="paragraph" w:styleId="NoSpacing">
    <w:name w:val="No Spacing"/>
    <w:uiPriority w:val="1"/>
    <w:qFormat/>
    <w:rsid w:val="00B941F8"/>
    <w:pPr>
      <w:spacing w:after="0" w:line="240" w:lineRule="auto"/>
    </w:pPr>
  </w:style>
  <w:style w:type="paragraph" w:styleId="BalloonText">
    <w:name w:val="Balloon Text"/>
    <w:basedOn w:val="Normal"/>
    <w:link w:val="BalloonTextChar"/>
    <w:uiPriority w:val="99"/>
    <w:semiHidden/>
    <w:unhideWhenUsed/>
    <w:rsid w:val="00CE7623"/>
    <w:rPr>
      <w:rFonts w:ascii="Tahoma" w:hAnsi="Tahoma" w:cs="Tahoma"/>
      <w:sz w:val="16"/>
      <w:szCs w:val="16"/>
    </w:rPr>
  </w:style>
  <w:style w:type="character" w:customStyle="1" w:styleId="BalloonTextChar">
    <w:name w:val="Balloon Text Char"/>
    <w:basedOn w:val="DefaultParagraphFont"/>
    <w:link w:val="BalloonText"/>
    <w:uiPriority w:val="99"/>
    <w:semiHidden/>
    <w:rsid w:val="00CE7623"/>
    <w:rPr>
      <w:rFonts w:ascii="Tahoma" w:eastAsia="Times New Roman" w:hAnsi="Tahoma" w:cs="Tahoma"/>
      <w:sz w:val="16"/>
      <w:szCs w:val="16"/>
    </w:rPr>
  </w:style>
  <w:style w:type="table" w:styleId="TableGrid">
    <w:name w:val="Table Grid"/>
    <w:basedOn w:val="TableNormal"/>
    <w:uiPriority w:val="59"/>
    <w:rsid w:val="0090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FA1"/>
    <w:rPr>
      <w:color w:val="800080" w:themeColor="followedHyperlink"/>
      <w:u w:val="single"/>
    </w:rPr>
  </w:style>
  <w:style w:type="paragraph" w:styleId="FootnoteText">
    <w:name w:val="footnote text"/>
    <w:basedOn w:val="Normal"/>
    <w:link w:val="FootnoteTextChar"/>
    <w:uiPriority w:val="99"/>
    <w:semiHidden/>
    <w:unhideWhenUsed/>
    <w:rsid w:val="004C469E"/>
    <w:rPr>
      <w:sz w:val="20"/>
    </w:rPr>
  </w:style>
  <w:style w:type="character" w:customStyle="1" w:styleId="FootnoteTextChar">
    <w:name w:val="Footnote Text Char"/>
    <w:basedOn w:val="DefaultParagraphFont"/>
    <w:link w:val="FootnoteText"/>
    <w:uiPriority w:val="99"/>
    <w:semiHidden/>
    <w:rsid w:val="004C46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C4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C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E14C9"/>
    <w:pPr>
      <w:keepNext/>
      <w:spacing w:after="240"/>
      <w:outlineLvl w:val="1"/>
    </w:pPr>
    <w:rPr>
      <w:rFonts w:ascii="Arial Narrow" w:hAnsi="Arial Narrow"/>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4C9"/>
    <w:rPr>
      <w:rFonts w:ascii="Arial Narrow" w:eastAsia="Times New Roman" w:hAnsi="Arial Narrow" w:cs="Times New Roman"/>
      <w:b/>
      <w:caps/>
      <w:sz w:val="32"/>
      <w:szCs w:val="20"/>
    </w:rPr>
  </w:style>
  <w:style w:type="paragraph" w:styleId="Header">
    <w:name w:val="header"/>
    <w:basedOn w:val="Normal"/>
    <w:link w:val="HeaderChar"/>
    <w:rsid w:val="009E14C9"/>
    <w:pPr>
      <w:tabs>
        <w:tab w:val="center" w:pos="4153"/>
        <w:tab w:val="right" w:pos="8306"/>
      </w:tabs>
    </w:pPr>
  </w:style>
  <w:style w:type="character" w:customStyle="1" w:styleId="HeaderChar">
    <w:name w:val="Header Char"/>
    <w:basedOn w:val="DefaultParagraphFont"/>
    <w:link w:val="Header"/>
    <w:rsid w:val="009E14C9"/>
    <w:rPr>
      <w:rFonts w:ascii="Arial" w:eastAsia="Times New Roman" w:hAnsi="Arial" w:cs="Times New Roman"/>
      <w:sz w:val="24"/>
      <w:szCs w:val="20"/>
    </w:rPr>
  </w:style>
  <w:style w:type="character" w:styleId="Hyperlink">
    <w:name w:val="Hyperlink"/>
    <w:rsid w:val="009E14C9"/>
    <w:rPr>
      <w:color w:val="0000FF"/>
      <w:u w:val="single"/>
    </w:rPr>
  </w:style>
  <w:style w:type="paragraph" w:customStyle="1" w:styleId="ReportNumbering">
    <w:name w:val="Report Numbering"/>
    <w:basedOn w:val="Normal"/>
    <w:rsid w:val="009E14C9"/>
    <w:pPr>
      <w:numPr>
        <w:numId w:val="2"/>
      </w:numPr>
      <w:spacing w:after="240"/>
    </w:pPr>
    <w:rPr>
      <w:lang w:eastAsia="en-GB"/>
    </w:rPr>
  </w:style>
  <w:style w:type="character" w:styleId="Strong">
    <w:name w:val="Strong"/>
    <w:qFormat/>
    <w:rsid w:val="009E14C9"/>
    <w:rPr>
      <w:b/>
      <w:bCs/>
    </w:rPr>
  </w:style>
  <w:style w:type="paragraph" w:styleId="ListParagraph">
    <w:name w:val="List Paragraph"/>
    <w:basedOn w:val="Normal"/>
    <w:uiPriority w:val="34"/>
    <w:qFormat/>
    <w:rsid w:val="009E14C9"/>
    <w:pPr>
      <w:ind w:left="720"/>
    </w:pPr>
  </w:style>
  <w:style w:type="paragraph" w:customStyle="1" w:styleId="Default">
    <w:name w:val="Default"/>
    <w:rsid w:val="00880D4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33FDE"/>
    <w:pPr>
      <w:tabs>
        <w:tab w:val="center" w:pos="4513"/>
        <w:tab w:val="right" w:pos="9026"/>
      </w:tabs>
    </w:pPr>
  </w:style>
  <w:style w:type="character" w:customStyle="1" w:styleId="FooterChar">
    <w:name w:val="Footer Char"/>
    <w:basedOn w:val="DefaultParagraphFont"/>
    <w:link w:val="Footer"/>
    <w:uiPriority w:val="99"/>
    <w:rsid w:val="00C33FDE"/>
    <w:rPr>
      <w:rFonts w:ascii="Arial" w:eastAsia="Times New Roman" w:hAnsi="Arial" w:cs="Times New Roman"/>
      <w:sz w:val="24"/>
      <w:szCs w:val="20"/>
    </w:rPr>
  </w:style>
  <w:style w:type="character" w:styleId="PageNumber">
    <w:name w:val="page number"/>
    <w:basedOn w:val="DefaultParagraphFont"/>
    <w:rsid w:val="00C33FDE"/>
  </w:style>
  <w:style w:type="paragraph" w:styleId="NoSpacing">
    <w:name w:val="No Spacing"/>
    <w:uiPriority w:val="1"/>
    <w:qFormat/>
    <w:rsid w:val="00B941F8"/>
    <w:pPr>
      <w:spacing w:after="0" w:line="240" w:lineRule="auto"/>
    </w:pPr>
  </w:style>
  <w:style w:type="paragraph" w:styleId="BalloonText">
    <w:name w:val="Balloon Text"/>
    <w:basedOn w:val="Normal"/>
    <w:link w:val="BalloonTextChar"/>
    <w:uiPriority w:val="99"/>
    <w:semiHidden/>
    <w:unhideWhenUsed/>
    <w:rsid w:val="00CE7623"/>
    <w:rPr>
      <w:rFonts w:ascii="Tahoma" w:hAnsi="Tahoma" w:cs="Tahoma"/>
      <w:sz w:val="16"/>
      <w:szCs w:val="16"/>
    </w:rPr>
  </w:style>
  <w:style w:type="character" w:customStyle="1" w:styleId="BalloonTextChar">
    <w:name w:val="Balloon Text Char"/>
    <w:basedOn w:val="DefaultParagraphFont"/>
    <w:link w:val="BalloonText"/>
    <w:uiPriority w:val="99"/>
    <w:semiHidden/>
    <w:rsid w:val="00CE7623"/>
    <w:rPr>
      <w:rFonts w:ascii="Tahoma" w:eastAsia="Times New Roman" w:hAnsi="Tahoma" w:cs="Tahoma"/>
      <w:sz w:val="16"/>
      <w:szCs w:val="16"/>
    </w:rPr>
  </w:style>
  <w:style w:type="table" w:styleId="TableGrid">
    <w:name w:val="Table Grid"/>
    <w:basedOn w:val="TableNormal"/>
    <w:uiPriority w:val="59"/>
    <w:rsid w:val="0090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FA1"/>
    <w:rPr>
      <w:color w:val="800080" w:themeColor="followedHyperlink"/>
      <w:u w:val="single"/>
    </w:rPr>
  </w:style>
  <w:style w:type="paragraph" w:styleId="FootnoteText">
    <w:name w:val="footnote text"/>
    <w:basedOn w:val="Normal"/>
    <w:link w:val="FootnoteTextChar"/>
    <w:uiPriority w:val="99"/>
    <w:semiHidden/>
    <w:unhideWhenUsed/>
    <w:rsid w:val="004C469E"/>
    <w:rPr>
      <w:sz w:val="20"/>
    </w:rPr>
  </w:style>
  <w:style w:type="character" w:customStyle="1" w:styleId="FootnoteTextChar">
    <w:name w:val="Footnote Text Char"/>
    <w:basedOn w:val="DefaultParagraphFont"/>
    <w:link w:val="FootnoteText"/>
    <w:uiPriority w:val="99"/>
    <w:semiHidden/>
    <w:rsid w:val="004C46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C4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don.gov.uk/info/856/local_development_plan/422/pre-%20submission_local_development_plan_evidence_ba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ldon.gov.uk/LDP/pre-submission/1%20Spatial%20Vision%20and%20Development/EB105%20Development%20and%20Improvement%20Plan%20for%20The%20Causeway%20Regeneration%20Are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ldon.gov.uk/LDP/pre-submission/1%20Spatial%20Vision%20and%20Development/EB099%20Maldon%20and%20Heybridge%20Central%20Area%20Intermediate%20Stud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ldon.gov.uk/LDP/pre-submission/1%20Spatial%20Vision%20and%20Development/EB055%20Maldon%20and%20Heybridge%20Central%20Area%20Contextual%20Study.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2930-931F-4BF6-9F25-3A452DFD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Chambers</dc:creator>
  <cp:lastModifiedBy>Paula Jarvis</cp:lastModifiedBy>
  <cp:revision>6</cp:revision>
  <cp:lastPrinted>2015-12-23T16:01:00Z</cp:lastPrinted>
  <dcterms:created xsi:type="dcterms:W3CDTF">2016-01-15T13:39:00Z</dcterms:created>
  <dcterms:modified xsi:type="dcterms:W3CDTF">2016-01-25T15:05:00Z</dcterms:modified>
</cp:coreProperties>
</file>