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93" w:rsidRDefault="00447793" w:rsidP="00447793">
      <w:pPr>
        <w:kinsoku w:val="0"/>
        <w:overflowPunct w:val="0"/>
        <w:jc w:val="both"/>
        <w:textAlignment w:val="baseline"/>
        <w:rPr>
          <w:rFonts w:eastAsiaTheme="minorEastAsia" w:cs="Arial"/>
          <w:b/>
          <w:color w:val="000000"/>
          <w:kern w:val="24"/>
          <w:lang w:val="en-US"/>
        </w:rPr>
      </w:pPr>
      <w:r>
        <w:rPr>
          <w:rFonts w:eastAsiaTheme="minorEastAsia" w:cs="Arial"/>
          <w:b/>
          <w:color w:val="000000"/>
          <w:kern w:val="24"/>
          <w:lang w:val="en-US"/>
        </w:rPr>
        <w:t xml:space="preserve">Appendix </w:t>
      </w:r>
      <w:proofErr w:type="gramStart"/>
      <w:r>
        <w:rPr>
          <w:rFonts w:eastAsiaTheme="minorEastAsia" w:cs="Arial"/>
          <w:b/>
          <w:color w:val="000000"/>
          <w:kern w:val="24"/>
          <w:lang w:val="en-US"/>
        </w:rPr>
        <w:t>1  -</w:t>
      </w:r>
      <w:proofErr w:type="gramEnd"/>
      <w:r>
        <w:rPr>
          <w:rFonts w:eastAsiaTheme="minorEastAsia" w:cs="Arial"/>
          <w:b/>
          <w:color w:val="000000"/>
          <w:kern w:val="24"/>
          <w:lang w:val="en-US"/>
        </w:rPr>
        <w:t xml:space="preserve"> Additional Information and Cases</w:t>
      </w:r>
    </w:p>
    <w:p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 xml:space="preserve">Desired Outcomes for the </w:t>
      </w:r>
      <w:r w:rsidR="0037006D">
        <w:rPr>
          <w:rFonts w:eastAsiaTheme="minorEastAsia" w:cs="Arial"/>
          <w:b/>
          <w:color w:val="000000"/>
          <w:kern w:val="24"/>
          <w:lang w:val="en-US"/>
        </w:rPr>
        <w:t xml:space="preserve">Digital </w:t>
      </w:r>
      <w:r w:rsidRPr="0057766F">
        <w:rPr>
          <w:rFonts w:eastAsiaTheme="minorEastAsia" w:cs="Arial"/>
          <w:b/>
          <w:color w:val="000000"/>
          <w:kern w:val="24"/>
          <w:lang w:val="en-US"/>
        </w:rPr>
        <w:t>Control Centre</w:t>
      </w:r>
    </w:p>
    <w:p w:rsidR="00447793" w:rsidRPr="0057766F" w:rsidRDefault="00447793" w:rsidP="00447793">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Operational Excellence - Improve operational, efficiencies and resource management across the Care System:</w:t>
      </w:r>
    </w:p>
    <w:p w:rsidR="00447793" w:rsidRPr="0057766F" w:rsidRDefault="00447793"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Patient flows from community, through hospital and discharge back into community</w:t>
      </w:r>
    </w:p>
    <w:p w:rsidR="00447793" w:rsidRPr="0057766F" w:rsidRDefault="00447793"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Optimizing staffing levels with adjustment in near real time</w:t>
      </w:r>
    </w:p>
    <w:p w:rsidR="00447793" w:rsidRDefault="00447793"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Scheduling of theatres, elective admissions, outpatients and diagnostics</w:t>
      </w:r>
    </w:p>
    <w:p w:rsidR="00447793" w:rsidRPr="00B62D96" w:rsidRDefault="00447793"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FF0000"/>
          <w:kern w:val="24"/>
          <w:sz w:val="22"/>
          <w:szCs w:val="22"/>
          <w:lang w:val="en-US"/>
        </w:rPr>
      </w:pPr>
      <w:proofErr w:type="spellStart"/>
      <w:r w:rsidRPr="00D41ECE">
        <w:rPr>
          <w:rFonts w:asciiTheme="minorHAnsi" w:eastAsiaTheme="minorEastAsia" w:hAnsiTheme="minorHAnsi" w:cs="Arial"/>
          <w:kern w:val="24"/>
          <w:sz w:val="22"/>
          <w:szCs w:val="22"/>
          <w:lang w:val="en-US"/>
        </w:rPr>
        <w:t>Optimising</w:t>
      </w:r>
      <w:proofErr w:type="spellEnd"/>
      <w:r w:rsidRPr="00D41ECE">
        <w:rPr>
          <w:rFonts w:asciiTheme="minorHAnsi" w:eastAsiaTheme="minorEastAsia" w:hAnsiTheme="minorHAnsi" w:cs="Arial"/>
          <w:kern w:val="24"/>
          <w:sz w:val="22"/>
          <w:szCs w:val="22"/>
          <w:lang w:val="en-US"/>
        </w:rPr>
        <w:t xml:space="preserve"> staff experience through enabling them to do their jobs better/easier</w:t>
      </w:r>
    </w:p>
    <w:p w:rsidR="00447793" w:rsidRPr="0057766F" w:rsidRDefault="00447793" w:rsidP="00447793">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Best Quality of Care</w:t>
      </w:r>
    </w:p>
    <w:p w:rsidR="00447793" w:rsidRPr="0057766F" w:rsidRDefault="00447793"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Improve safety and quality of care across the </w:t>
      </w:r>
      <w:proofErr w:type="spellStart"/>
      <w:r w:rsidRPr="0057766F">
        <w:rPr>
          <w:rFonts w:asciiTheme="minorHAnsi" w:eastAsiaTheme="minorEastAsia" w:hAnsiTheme="minorHAnsi" w:cs="Arial"/>
          <w:color w:val="000000"/>
          <w:kern w:val="24"/>
          <w:sz w:val="22"/>
          <w:szCs w:val="22"/>
          <w:lang w:val="en-US"/>
        </w:rPr>
        <w:t>organisation</w:t>
      </w:r>
      <w:proofErr w:type="spellEnd"/>
      <w:r w:rsidRPr="0057766F">
        <w:rPr>
          <w:rFonts w:asciiTheme="minorHAnsi" w:eastAsiaTheme="minorEastAsia" w:hAnsiTheme="minorHAnsi" w:cs="Arial"/>
          <w:color w:val="000000"/>
          <w:kern w:val="24"/>
          <w:sz w:val="22"/>
          <w:szCs w:val="22"/>
          <w:lang w:val="en-US"/>
        </w:rPr>
        <w:t xml:space="preserve"> </w:t>
      </w:r>
    </w:p>
    <w:p w:rsidR="00447793" w:rsidRPr="0057766F" w:rsidRDefault="00447793"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proofErr w:type="spellStart"/>
      <w:r w:rsidRPr="0057766F">
        <w:rPr>
          <w:rFonts w:asciiTheme="minorHAnsi" w:eastAsiaTheme="minorEastAsia" w:hAnsiTheme="minorHAnsi" w:cs="Arial"/>
          <w:color w:val="000000"/>
          <w:kern w:val="24"/>
          <w:sz w:val="22"/>
          <w:szCs w:val="22"/>
          <w:lang w:val="en-US"/>
        </w:rPr>
        <w:t>Standardise</w:t>
      </w:r>
      <w:proofErr w:type="spellEnd"/>
      <w:r w:rsidRPr="0057766F">
        <w:rPr>
          <w:rFonts w:asciiTheme="minorHAnsi" w:eastAsiaTheme="minorEastAsia" w:hAnsiTheme="minorHAnsi" w:cs="Arial"/>
          <w:color w:val="000000"/>
          <w:kern w:val="24"/>
          <w:sz w:val="22"/>
          <w:szCs w:val="22"/>
          <w:lang w:val="en-US"/>
        </w:rPr>
        <w:t xml:space="preserve"> care pathways &amp; reduce unwanted variation in care delivery</w:t>
      </w:r>
    </w:p>
    <w:p w:rsidR="00447793" w:rsidRPr="0057766F" w:rsidRDefault="00447793"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Decision Support in near real time (</w:t>
      </w:r>
      <w:proofErr w:type="spellStart"/>
      <w:r w:rsidRPr="0057766F">
        <w:rPr>
          <w:rFonts w:asciiTheme="minorHAnsi" w:eastAsiaTheme="minorEastAsia" w:hAnsiTheme="minorHAnsi" w:cs="Arial"/>
          <w:color w:val="000000"/>
          <w:kern w:val="24"/>
          <w:sz w:val="22"/>
          <w:szCs w:val="22"/>
          <w:lang w:val="en-US"/>
        </w:rPr>
        <w:t>personalised</w:t>
      </w:r>
      <w:proofErr w:type="spellEnd"/>
      <w:r w:rsidRPr="0057766F">
        <w:rPr>
          <w:rFonts w:asciiTheme="minorHAnsi" w:eastAsiaTheme="minorEastAsia" w:hAnsiTheme="minorHAnsi" w:cs="Arial"/>
          <w:color w:val="000000"/>
          <w:kern w:val="24"/>
          <w:sz w:val="22"/>
          <w:szCs w:val="22"/>
          <w:lang w:val="en-US"/>
        </w:rPr>
        <w:t xml:space="preserve"> for the requirements of the citizen)</w:t>
      </w:r>
    </w:p>
    <w:p w:rsidR="00447793" w:rsidRPr="0057766F" w:rsidRDefault="00447793" w:rsidP="00447793">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 xml:space="preserve">Citizen </w:t>
      </w:r>
      <w:proofErr w:type="spellStart"/>
      <w:r w:rsidRPr="0057766F">
        <w:rPr>
          <w:rFonts w:eastAsiaTheme="minorEastAsia" w:cs="Arial"/>
          <w:color w:val="000000"/>
          <w:kern w:val="24"/>
          <w:lang w:val="en-US"/>
        </w:rPr>
        <w:t>Centred</w:t>
      </w:r>
      <w:proofErr w:type="spellEnd"/>
      <w:r w:rsidRPr="0057766F">
        <w:rPr>
          <w:rFonts w:eastAsiaTheme="minorEastAsia" w:cs="Arial"/>
          <w:color w:val="000000"/>
          <w:kern w:val="24"/>
          <w:lang w:val="en-US"/>
        </w:rPr>
        <w:t xml:space="preserve"> Care Delivery</w:t>
      </w:r>
    </w:p>
    <w:p w:rsidR="00447793" w:rsidRPr="0057766F" w:rsidRDefault="00447793" w:rsidP="00447793">
      <w:pPr>
        <w:pStyle w:val="ListParagraph"/>
        <w:numPr>
          <w:ilvl w:val="0"/>
          <w:numId w:val="8"/>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Improve care experience across the care system  </w:t>
      </w:r>
    </w:p>
    <w:p w:rsidR="00447793" w:rsidRPr="0057766F" w:rsidRDefault="00447793" w:rsidP="00447793">
      <w:pPr>
        <w:pStyle w:val="ListParagraph"/>
        <w:numPr>
          <w:ilvl w:val="0"/>
          <w:numId w:val="8"/>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Remote care delivery closer to homes and community</w:t>
      </w:r>
    </w:p>
    <w:p w:rsidR="00447793" w:rsidRPr="0057766F" w:rsidRDefault="00447793" w:rsidP="00447793">
      <w:pPr>
        <w:pStyle w:val="ListParagraph"/>
        <w:numPr>
          <w:ilvl w:val="0"/>
          <w:numId w:val="8"/>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Pro-active care delivery prior to decompensation</w:t>
      </w:r>
    </w:p>
    <w:p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The Requirements</w:t>
      </w:r>
    </w:p>
    <w:p w:rsidR="00447793" w:rsidRPr="0057766F" w:rsidRDefault="00447793" w:rsidP="00447793">
      <w:pPr>
        <w:kinsoku w:val="0"/>
        <w:overflowPunct w:val="0"/>
        <w:jc w:val="both"/>
        <w:textAlignment w:val="baseline"/>
        <w:rPr>
          <w:rFonts w:eastAsiaTheme="minorEastAsia" w:cs="Arial"/>
          <w:color w:val="000000"/>
          <w:kern w:val="24"/>
          <w:lang w:val="en-US"/>
        </w:rPr>
      </w:pPr>
      <w:proofErr w:type="spellStart"/>
      <w:r w:rsidRPr="0057766F">
        <w:rPr>
          <w:rFonts w:eastAsiaTheme="minorEastAsia" w:cs="Arial"/>
          <w:color w:val="000000"/>
          <w:kern w:val="24"/>
          <w:lang w:val="en-US"/>
        </w:rPr>
        <w:t>Salford</w:t>
      </w:r>
      <w:proofErr w:type="spellEnd"/>
      <w:r w:rsidRPr="0057766F">
        <w:rPr>
          <w:rFonts w:eastAsiaTheme="minorEastAsia" w:cs="Arial"/>
          <w:color w:val="000000"/>
          <w:kern w:val="24"/>
          <w:lang w:val="en-US"/>
        </w:rPr>
        <w:t xml:space="preserve"> Royal is seeking a strategic partner (consortium or single supplier) to:-</w:t>
      </w:r>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Co-design, build and develop a new operating model across the organization which puts the Digital Control Centre at the heart of the </w:t>
      </w:r>
      <w:proofErr w:type="spellStart"/>
      <w:r w:rsidRPr="0057766F">
        <w:rPr>
          <w:rFonts w:asciiTheme="minorHAnsi" w:eastAsiaTheme="minorEastAsia" w:hAnsiTheme="minorHAnsi" w:cs="Arial"/>
          <w:color w:val="000000"/>
          <w:kern w:val="24"/>
          <w:sz w:val="22"/>
          <w:szCs w:val="22"/>
          <w:lang w:val="en-US"/>
        </w:rPr>
        <w:t>organisation</w:t>
      </w:r>
      <w:proofErr w:type="spellEnd"/>
      <w:r w:rsidRPr="0057766F">
        <w:rPr>
          <w:rFonts w:asciiTheme="minorHAnsi" w:eastAsiaTheme="minorEastAsia" w:hAnsiTheme="minorHAnsi" w:cs="Arial"/>
          <w:color w:val="000000"/>
          <w:kern w:val="24"/>
          <w:sz w:val="22"/>
          <w:szCs w:val="22"/>
          <w:lang w:val="en-US"/>
        </w:rPr>
        <w:t xml:space="preserve"> to achieve the desired outcomes articulated</w:t>
      </w:r>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b/>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Co-develop potential solutions and build capabilities to co-develop solutions with an SRFT team to enable internal change management which effectively integrates data analytics and technology into workflows across the </w:t>
      </w:r>
      <w:proofErr w:type="spellStart"/>
      <w:r w:rsidRPr="0057766F">
        <w:rPr>
          <w:rFonts w:asciiTheme="minorHAnsi" w:eastAsiaTheme="minorEastAsia" w:hAnsiTheme="minorHAnsi" w:cs="Arial"/>
          <w:color w:val="000000"/>
          <w:kern w:val="24"/>
          <w:sz w:val="22"/>
          <w:szCs w:val="22"/>
          <w:lang w:val="en-US"/>
        </w:rPr>
        <w:t>organisation</w:t>
      </w:r>
      <w:proofErr w:type="spellEnd"/>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Blueprint the design and implementation to make the process scalable across Group </w:t>
      </w:r>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Ensure the whole data value chain is fit for the purpose of the Digital Control Centre</w:t>
      </w:r>
    </w:p>
    <w:p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Data capture</w:t>
      </w:r>
    </w:p>
    <w:p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Data storage and aggregation</w:t>
      </w:r>
    </w:p>
    <w:p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Data analytics</w:t>
      </w:r>
    </w:p>
    <w:p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Output visualization </w:t>
      </w:r>
    </w:p>
    <w:p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Other Key Considerations</w:t>
      </w:r>
    </w:p>
    <w:p w:rsidR="00447793" w:rsidRPr="0057766F" w:rsidRDefault="00447793" w:rsidP="00447793">
      <w:pPr>
        <w:kinsoku w:val="0"/>
        <w:overflowPunct w:val="0"/>
        <w:jc w:val="both"/>
        <w:textAlignment w:val="baseline"/>
      </w:pPr>
      <w:r w:rsidRPr="0057766F">
        <w:t xml:space="preserve">SRFT are looking for innovative partners who can bring a range of specialist technology capabilities alongside a willingness to share risk/reward to achieve common objectives articulated.  </w:t>
      </w:r>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hAnsiTheme="minorHAnsi"/>
          <w:sz w:val="22"/>
          <w:szCs w:val="22"/>
        </w:rPr>
        <w:t>Innovative Supply Chain: identify, curate and partner with suitable ‘digital healthcare’ and ‘data analytics’ capabilities across the global supplier ecosystem to bring innovative solutions directly to SRFT</w:t>
      </w:r>
    </w:p>
    <w:p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hAnsiTheme="minorHAnsi"/>
          <w:sz w:val="22"/>
          <w:szCs w:val="22"/>
        </w:rPr>
        <w:t>Innovative Financing Options: identify innovative financing options and/or commercial models which will ensure the sustainability of programme delivery</w:t>
      </w:r>
    </w:p>
    <w:p w:rsidR="00F3603F" w:rsidRDefault="0037006D" w:rsidP="00F3603F">
      <w:pPr>
        <w:kinsoku w:val="0"/>
        <w:overflowPunct w:val="0"/>
        <w:jc w:val="both"/>
        <w:textAlignment w:val="baseline"/>
        <w:rPr>
          <w:rFonts w:eastAsiaTheme="minorEastAsia" w:cs="Arial"/>
          <w:b/>
          <w:color w:val="000000"/>
          <w:kern w:val="24"/>
          <w:lang w:val="en-US"/>
        </w:rPr>
      </w:pPr>
      <w:r>
        <w:rPr>
          <w:rFonts w:eastAsiaTheme="minorEastAsia" w:cs="Arial"/>
          <w:b/>
          <w:color w:val="000000"/>
          <w:kern w:val="24"/>
          <w:lang w:val="en-US"/>
        </w:rPr>
        <w:lastRenderedPageBreak/>
        <w:t xml:space="preserve">Digital </w:t>
      </w:r>
      <w:bookmarkStart w:id="0" w:name="_GoBack"/>
      <w:bookmarkEnd w:id="0"/>
      <w:r w:rsidR="00F3603F">
        <w:rPr>
          <w:rFonts w:eastAsiaTheme="minorEastAsia" w:cs="Arial"/>
          <w:b/>
          <w:color w:val="000000"/>
          <w:kern w:val="24"/>
          <w:lang w:val="en-US"/>
        </w:rPr>
        <w:t>Control Centre Use Cases</w:t>
      </w:r>
    </w:p>
    <w:p w:rsidR="00F3603F" w:rsidRPr="0057766F" w:rsidRDefault="00F3603F" w:rsidP="00F3603F">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Use Case 1 - Acute Medical Inpatients Patient Flow</w:t>
      </w:r>
    </w:p>
    <w:p w:rsidR="00F3603F" w:rsidRPr="0057766F" w:rsidRDefault="00F3603F" w:rsidP="00F3603F">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There are numerous medical outliers per day across the whole hospital.  This has a negative impact on quality of care, patient flow and specifically patient experience.  Patients with specific conditions are not in the right bed at the right time for the best care possible.  This has a knock-on effect of patients requiring surgery being cancelled and variation in length of stay for patients for the same condition.</w:t>
      </w:r>
    </w:p>
    <w:p w:rsidR="00F3603F" w:rsidRPr="0057766F" w:rsidRDefault="00F3603F" w:rsidP="00F3603F">
      <w:pPr>
        <w:pStyle w:val="NormalWeb"/>
        <w:spacing w:before="0" w:beforeAutospacing="0" w:after="0" w:afterAutospacing="0"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kern w:val="24"/>
          <w:sz w:val="22"/>
          <w:szCs w:val="22"/>
          <w:lang w:val="en-US"/>
        </w:rPr>
        <w:t xml:space="preserve"> </w:t>
      </w:r>
      <w:r w:rsidRPr="0057766F">
        <w:rPr>
          <w:rFonts w:asciiTheme="minorHAnsi" w:eastAsiaTheme="minorEastAsia" w:hAnsiTheme="minorHAnsi" w:cs="Arial"/>
          <w:color w:val="000000" w:themeColor="text1"/>
          <w:kern w:val="24"/>
          <w:sz w:val="22"/>
          <w:szCs w:val="22"/>
        </w:rPr>
        <w:t>Any solution needs to include the following:-</w:t>
      </w:r>
    </w:p>
    <w:p w:rsidR="00F3603F" w:rsidRPr="0057766F" w:rsidRDefault="00F3603F"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Ability to visualise patient flow through the care organisation and undertake analytics to identify bottlenecks through the system pro-actively and aid potential solutions</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Ability to identify and reduce patients LOS variation and delayed discharges, risk adjusted for patient conditions on the ward in real time to reduce variability of length of stay</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Ability to identify patient case mix in real time and ensure patients are treated in the right bed at the right time by the right clinical team in order to eliminate number of outliers in beds</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Reduce the turnaround for beds between patients discharged and admitted</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Reduce the delay in transfers from patients from A&amp;E, to EAU and the wards across the entire care organisation</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Ensure patients requiring specialist review are done so in a timely manner</w:t>
      </w:r>
    </w:p>
    <w:p w:rsidR="00F3603F" w:rsidRPr="0057766F" w:rsidRDefault="00F3603F" w:rsidP="00F3603F">
      <w:pPr>
        <w:pStyle w:val="ListParagraph"/>
        <w:numPr>
          <w:ilvl w:val="0"/>
          <w:numId w:val="1"/>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All areas of the care organisation to have visibility on what is happening in all areas</w:t>
      </w:r>
    </w:p>
    <w:p w:rsidR="00F3603F" w:rsidRPr="0057766F" w:rsidRDefault="00F3603F" w:rsidP="00F3603F">
      <w:pPr>
        <w:pStyle w:val="ListParagraph"/>
        <w:spacing w:line="276" w:lineRule="auto"/>
        <w:jc w:val="both"/>
        <w:textAlignment w:val="baseline"/>
        <w:rPr>
          <w:rFonts w:asciiTheme="minorHAnsi" w:hAnsiTheme="minorHAnsi"/>
          <w:color w:val="000000" w:themeColor="text1"/>
          <w:sz w:val="22"/>
          <w:szCs w:val="22"/>
        </w:rPr>
      </w:pPr>
    </w:p>
    <w:p w:rsidR="00F3603F" w:rsidRPr="0057766F" w:rsidRDefault="00F3603F" w:rsidP="00F3603F">
      <w:pPr>
        <w:kinsoku w:val="0"/>
        <w:overflowPunct w:val="0"/>
        <w:jc w:val="both"/>
        <w:textAlignment w:val="baseline"/>
        <w:rPr>
          <w:rFonts w:eastAsiaTheme="minorEastAsia" w:cs="Arial"/>
          <w:b/>
          <w:color w:val="000000" w:themeColor="text1"/>
          <w:kern w:val="24"/>
          <w:lang w:val="en-US"/>
        </w:rPr>
      </w:pPr>
      <w:r w:rsidRPr="0057766F">
        <w:rPr>
          <w:rFonts w:eastAsiaTheme="minorEastAsia" w:cs="Arial"/>
          <w:b/>
          <w:color w:val="000000" w:themeColor="text1"/>
          <w:kern w:val="24"/>
          <w:lang w:val="en-US"/>
        </w:rPr>
        <w:t>Use Case 2 - Resource Management Scheduling</w:t>
      </w:r>
    </w:p>
    <w:p w:rsidR="00F3603F" w:rsidRPr="0057766F" w:rsidRDefault="00F3603F" w:rsidP="00F3603F">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 xml:space="preserve">Surgeons across all disciplines are scheduling their theatre lists independently of each other intra-specialty and inter-specialty.  As a result there are 20 theatres operating lists completely independently of each other and divorced from the requirements of HDU, ITU and trauma patients across the care </w:t>
      </w:r>
      <w:proofErr w:type="spellStart"/>
      <w:r w:rsidRPr="0057766F">
        <w:rPr>
          <w:rFonts w:eastAsiaTheme="minorEastAsia" w:cs="Arial"/>
          <w:color w:val="000000"/>
          <w:kern w:val="24"/>
          <w:lang w:val="en-US"/>
        </w:rPr>
        <w:t>organisation</w:t>
      </w:r>
      <w:proofErr w:type="spellEnd"/>
      <w:r w:rsidRPr="0057766F">
        <w:rPr>
          <w:rFonts w:eastAsiaTheme="minorEastAsia" w:cs="Arial"/>
          <w:color w:val="000000"/>
          <w:kern w:val="24"/>
          <w:lang w:val="en-US"/>
        </w:rPr>
        <w:t>.</w:t>
      </w:r>
    </w:p>
    <w:p w:rsidR="00F3603F" w:rsidRPr="0057766F" w:rsidRDefault="00F3603F" w:rsidP="00F3603F">
      <w:pPr>
        <w:pStyle w:val="NormalWeb"/>
        <w:spacing w:before="0" w:beforeAutospacing="0" w:after="0" w:afterAutospacing="0" w:line="276" w:lineRule="auto"/>
        <w:jc w:val="both"/>
        <w:textAlignment w:val="baseline"/>
        <w:rPr>
          <w:rFonts w:asciiTheme="minorHAnsi" w:hAnsiTheme="minorHAnsi"/>
          <w:sz w:val="22"/>
          <w:szCs w:val="22"/>
        </w:rPr>
      </w:pPr>
      <w:r w:rsidRPr="0057766F">
        <w:rPr>
          <w:rFonts w:asciiTheme="minorHAnsi" w:eastAsiaTheme="minorEastAsia" w:hAnsiTheme="minorHAnsi" w:cs="Arial"/>
          <w:color w:val="000000"/>
          <w:kern w:val="24"/>
          <w:sz w:val="22"/>
          <w:szCs w:val="22"/>
          <w:lang w:val="en-US"/>
        </w:rPr>
        <w:t xml:space="preserve">   </w:t>
      </w:r>
      <w:r w:rsidRPr="0057766F">
        <w:rPr>
          <w:rFonts w:asciiTheme="minorHAnsi" w:eastAsiaTheme="minorEastAsia" w:hAnsiTheme="minorHAnsi" w:cs="Arial"/>
          <w:color w:val="000000"/>
          <w:kern w:val="24"/>
          <w:sz w:val="22"/>
          <w:szCs w:val="22"/>
        </w:rPr>
        <w:t>Any solution needs to include the following:-</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Effective pro-active scheduling of theatre lists based on demand and supply effectively managing all theatre, inpatient and outpatient follow up requirements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Ensure theatre scheduling takes into account surgeons’ performance, case mix and post-operative requirements for each case</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Ensure daily surgical elective admissions are more evenly spread throughout the week</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Ensure all emergency lists are have high utilisation with clinically driven prioritisation across all 4 lists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Ensure all patients achieve cancer 2 week wait and 18 week wait metrics across all specialties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Reduce the use of external providers for cases and internal use of waiting list initiatives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Reduce the turnaround time between cases in theatres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788E1E"/>
          <w:sz w:val="22"/>
          <w:szCs w:val="22"/>
        </w:rPr>
      </w:pPr>
      <w:r w:rsidRPr="0057766F">
        <w:rPr>
          <w:rFonts w:asciiTheme="minorHAnsi" w:eastAsiaTheme="minorEastAsia" w:hAnsiTheme="minorHAnsi" w:cs="Arial"/>
          <w:color w:val="000000" w:themeColor="text1"/>
          <w:kern w:val="24"/>
          <w:sz w:val="22"/>
          <w:szCs w:val="22"/>
        </w:rPr>
        <w:t xml:space="preserve">Ensure minimal </w:t>
      </w:r>
      <w:r w:rsidRPr="0057766F">
        <w:rPr>
          <w:rFonts w:asciiTheme="minorHAnsi" w:eastAsiaTheme="minorEastAsia" w:hAnsiTheme="minorHAnsi" w:cs="Arial"/>
          <w:color w:val="000000"/>
          <w:kern w:val="24"/>
          <w:sz w:val="22"/>
          <w:szCs w:val="22"/>
        </w:rPr>
        <w:t>/ no theatre cancellations occur due to logistical problems</w:t>
      </w:r>
    </w:p>
    <w:p w:rsidR="00F3603F" w:rsidRPr="0057766F" w:rsidRDefault="00F3603F" w:rsidP="00F3603F">
      <w:pPr>
        <w:pStyle w:val="ListParagraph"/>
        <w:numPr>
          <w:ilvl w:val="0"/>
          <w:numId w:val="2"/>
        </w:numPr>
        <w:spacing w:line="276" w:lineRule="auto"/>
        <w:jc w:val="both"/>
        <w:textAlignment w:val="baseline"/>
        <w:rPr>
          <w:rFonts w:asciiTheme="minorHAnsi" w:hAnsiTheme="minorHAnsi"/>
          <w:color w:val="788E1E"/>
          <w:sz w:val="22"/>
          <w:szCs w:val="22"/>
        </w:rPr>
      </w:pPr>
      <w:r w:rsidRPr="0057766F">
        <w:rPr>
          <w:rFonts w:asciiTheme="minorHAnsi" w:eastAsiaTheme="minorEastAsia" w:hAnsiTheme="minorHAnsi" w:cs="Arial"/>
          <w:color w:val="000000"/>
          <w:kern w:val="24"/>
          <w:sz w:val="22"/>
          <w:szCs w:val="22"/>
        </w:rPr>
        <w:t>Ensure appropriate and minimal transfer time of patients post-operatively to HDU / ITU and other medical wards</w:t>
      </w:r>
    </w:p>
    <w:p w:rsidR="000454B4" w:rsidRDefault="000454B4"/>
    <w:sectPr w:rsidR="00045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2CD"/>
    <w:multiLevelType w:val="hybridMultilevel"/>
    <w:tmpl w:val="9B2A1DD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F2410"/>
    <w:multiLevelType w:val="hybridMultilevel"/>
    <w:tmpl w:val="423C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260697"/>
    <w:multiLevelType w:val="hybridMultilevel"/>
    <w:tmpl w:val="182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460653"/>
    <w:multiLevelType w:val="hybridMultilevel"/>
    <w:tmpl w:val="7BF4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BB0A31"/>
    <w:multiLevelType w:val="hybridMultilevel"/>
    <w:tmpl w:val="3438B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CA22E2"/>
    <w:multiLevelType w:val="hybridMultilevel"/>
    <w:tmpl w:val="D7A80720"/>
    <w:lvl w:ilvl="0" w:tplc="99AAADDE">
      <w:start w:val="1"/>
      <w:numFmt w:val="bullet"/>
      <w:lvlText w:val=""/>
      <w:lvlJc w:val="left"/>
      <w:pPr>
        <w:tabs>
          <w:tab w:val="num" w:pos="720"/>
        </w:tabs>
        <w:ind w:left="720" w:hanging="360"/>
      </w:pPr>
      <w:rPr>
        <w:rFonts w:ascii="Wingdings" w:hAnsi="Wingdings" w:hint="default"/>
      </w:rPr>
    </w:lvl>
    <w:lvl w:ilvl="1" w:tplc="C700D10C" w:tentative="1">
      <w:start w:val="1"/>
      <w:numFmt w:val="bullet"/>
      <w:lvlText w:val=""/>
      <w:lvlJc w:val="left"/>
      <w:pPr>
        <w:tabs>
          <w:tab w:val="num" w:pos="1440"/>
        </w:tabs>
        <w:ind w:left="1440" w:hanging="360"/>
      </w:pPr>
      <w:rPr>
        <w:rFonts w:ascii="Wingdings" w:hAnsi="Wingdings" w:hint="default"/>
      </w:rPr>
    </w:lvl>
    <w:lvl w:ilvl="2" w:tplc="4A1A1788" w:tentative="1">
      <w:start w:val="1"/>
      <w:numFmt w:val="bullet"/>
      <w:lvlText w:val=""/>
      <w:lvlJc w:val="left"/>
      <w:pPr>
        <w:tabs>
          <w:tab w:val="num" w:pos="2160"/>
        </w:tabs>
        <w:ind w:left="2160" w:hanging="360"/>
      </w:pPr>
      <w:rPr>
        <w:rFonts w:ascii="Wingdings" w:hAnsi="Wingdings" w:hint="default"/>
      </w:rPr>
    </w:lvl>
    <w:lvl w:ilvl="3" w:tplc="4192F16A" w:tentative="1">
      <w:start w:val="1"/>
      <w:numFmt w:val="bullet"/>
      <w:lvlText w:val=""/>
      <w:lvlJc w:val="left"/>
      <w:pPr>
        <w:tabs>
          <w:tab w:val="num" w:pos="2880"/>
        </w:tabs>
        <w:ind w:left="2880" w:hanging="360"/>
      </w:pPr>
      <w:rPr>
        <w:rFonts w:ascii="Wingdings" w:hAnsi="Wingdings" w:hint="default"/>
      </w:rPr>
    </w:lvl>
    <w:lvl w:ilvl="4" w:tplc="384641CA" w:tentative="1">
      <w:start w:val="1"/>
      <w:numFmt w:val="bullet"/>
      <w:lvlText w:val=""/>
      <w:lvlJc w:val="left"/>
      <w:pPr>
        <w:tabs>
          <w:tab w:val="num" w:pos="3600"/>
        </w:tabs>
        <w:ind w:left="3600" w:hanging="360"/>
      </w:pPr>
      <w:rPr>
        <w:rFonts w:ascii="Wingdings" w:hAnsi="Wingdings" w:hint="default"/>
      </w:rPr>
    </w:lvl>
    <w:lvl w:ilvl="5" w:tplc="5482934E" w:tentative="1">
      <w:start w:val="1"/>
      <w:numFmt w:val="bullet"/>
      <w:lvlText w:val=""/>
      <w:lvlJc w:val="left"/>
      <w:pPr>
        <w:tabs>
          <w:tab w:val="num" w:pos="4320"/>
        </w:tabs>
        <w:ind w:left="4320" w:hanging="360"/>
      </w:pPr>
      <w:rPr>
        <w:rFonts w:ascii="Wingdings" w:hAnsi="Wingdings" w:hint="default"/>
      </w:rPr>
    </w:lvl>
    <w:lvl w:ilvl="6" w:tplc="B14C3C8A" w:tentative="1">
      <w:start w:val="1"/>
      <w:numFmt w:val="bullet"/>
      <w:lvlText w:val=""/>
      <w:lvlJc w:val="left"/>
      <w:pPr>
        <w:tabs>
          <w:tab w:val="num" w:pos="5040"/>
        </w:tabs>
        <w:ind w:left="5040" w:hanging="360"/>
      </w:pPr>
      <w:rPr>
        <w:rFonts w:ascii="Wingdings" w:hAnsi="Wingdings" w:hint="default"/>
      </w:rPr>
    </w:lvl>
    <w:lvl w:ilvl="7" w:tplc="CDC2413E" w:tentative="1">
      <w:start w:val="1"/>
      <w:numFmt w:val="bullet"/>
      <w:lvlText w:val=""/>
      <w:lvlJc w:val="left"/>
      <w:pPr>
        <w:tabs>
          <w:tab w:val="num" w:pos="5760"/>
        </w:tabs>
        <w:ind w:left="5760" w:hanging="360"/>
      </w:pPr>
      <w:rPr>
        <w:rFonts w:ascii="Wingdings" w:hAnsi="Wingdings" w:hint="default"/>
      </w:rPr>
    </w:lvl>
    <w:lvl w:ilvl="8" w:tplc="36EA22D2" w:tentative="1">
      <w:start w:val="1"/>
      <w:numFmt w:val="bullet"/>
      <w:lvlText w:val=""/>
      <w:lvlJc w:val="left"/>
      <w:pPr>
        <w:tabs>
          <w:tab w:val="num" w:pos="6480"/>
        </w:tabs>
        <w:ind w:left="6480" w:hanging="360"/>
      </w:pPr>
      <w:rPr>
        <w:rFonts w:ascii="Wingdings" w:hAnsi="Wingdings" w:hint="default"/>
      </w:rPr>
    </w:lvl>
  </w:abstractNum>
  <w:abstractNum w:abstractNumId="6">
    <w:nsid w:val="6EA865F1"/>
    <w:multiLevelType w:val="hybridMultilevel"/>
    <w:tmpl w:val="47749F88"/>
    <w:lvl w:ilvl="0" w:tplc="A6DA6742">
      <w:start w:val="1"/>
      <w:numFmt w:val="bullet"/>
      <w:lvlText w:val=""/>
      <w:lvlJc w:val="left"/>
      <w:pPr>
        <w:tabs>
          <w:tab w:val="num" w:pos="720"/>
        </w:tabs>
        <w:ind w:left="720" w:hanging="360"/>
      </w:pPr>
      <w:rPr>
        <w:rFonts w:ascii="Wingdings" w:hAnsi="Wingdings" w:hint="default"/>
        <w:color w:val="000000" w:themeColor="text1"/>
      </w:rPr>
    </w:lvl>
    <w:lvl w:ilvl="1" w:tplc="26588A9E" w:tentative="1">
      <w:start w:val="1"/>
      <w:numFmt w:val="bullet"/>
      <w:lvlText w:val=""/>
      <w:lvlJc w:val="left"/>
      <w:pPr>
        <w:tabs>
          <w:tab w:val="num" w:pos="1440"/>
        </w:tabs>
        <w:ind w:left="1440" w:hanging="360"/>
      </w:pPr>
      <w:rPr>
        <w:rFonts w:ascii="Wingdings" w:hAnsi="Wingdings" w:hint="default"/>
      </w:rPr>
    </w:lvl>
    <w:lvl w:ilvl="2" w:tplc="44144990" w:tentative="1">
      <w:start w:val="1"/>
      <w:numFmt w:val="bullet"/>
      <w:lvlText w:val=""/>
      <w:lvlJc w:val="left"/>
      <w:pPr>
        <w:tabs>
          <w:tab w:val="num" w:pos="2160"/>
        </w:tabs>
        <w:ind w:left="2160" w:hanging="360"/>
      </w:pPr>
      <w:rPr>
        <w:rFonts w:ascii="Wingdings" w:hAnsi="Wingdings" w:hint="default"/>
      </w:rPr>
    </w:lvl>
    <w:lvl w:ilvl="3" w:tplc="9A507B48" w:tentative="1">
      <w:start w:val="1"/>
      <w:numFmt w:val="bullet"/>
      <w:lvlText w:val=""/>
      <w:lvlJc w:val="left"/>
      <w:pPr>
        <w:tabs>
          <w:tab w:val="num" w:pos="2880"/>
        </w:tabs>
        <w:ind w:left="2880" w:hanging="360"/>
      </w:pPr>
      <w:rPr>
        <w:rFonts w:ascii="Wingdings" w:hAnsi="Wingdings" w:hint="default"/>
      </w:rPr>
    </w:lvl>
    <w:lvl w:ilvl="4" w:tplc="0076F946" w:tentative="1">
      <w:start w:val="1"/>
      <w:numFmt w:val="bullet"/>
      <w:lvlText w:val=""/>
      <w:lvlJc w:val="left"/>
      <w:pPr>
        <w:tabs>
          <w:tab w:val="num" w:pos="3600"/>
        </w:tabs>
        <w:ind w:left="3600" w:hanging="360"/>
      </w:pPr>
      <w:rPr>
        <w:rFonts w:ascii="Wingdings" w:hAnsi="Wingdings" w:hint="default"/>
      </w:rPr>
    </w:lvl>
    <w:lvl w:ilvl="5" w:tplc="94C01B44" w:tentative="1">
      <w:start w:val="1"/>
      <w:numFmt w:val="bullet"/>
      <w:lvlText w:val=""/>
      <w:lvlJc w:val="left"/>
      <w:pPr>
        <w:tabs>
          <w:tab w:val="num" w:pos="4320"/>
        </w:tabs>
        <w:ind w:left="4320" w:hanging="360"/>
      </w:pPr>
      <w:rPr>
        <w:rFonts w:ascii="Wingdings" w:hAnsi="Wingdings" w:hint="default"/>
      </w:rPr>
    </w:lvl>
    <w:lvl w:ilvl="6" w:tplc="3F74C9D6" w:tentative="1">
      <w:start w:val="1"/>
      <w:numFmt w:val="bullet"/>
      <w:lvlText w:val=""/>
      <w:lvlJc w:val="left"/>
      <w:pPr>
        <w:tabs>
          <w:tab w:val="num" w:pos="5040"/>
        </w:tabs>
        <w:ind w:left="5040" w:hanging="360"/>
      </w:pPr>
      <w:rPr>
        <w:rFonts w:ascii="Wingdings" w:hAnsi="Wingdings" w:hint="default"/>
      </w:rPr>
    </w:lvl>
    <w:lvl w:ilvl="7" w:tplc="B59A5740" w:tentative="1">
      <w:start w:val="1"/>
      <w:numFmt w:val="bullet"/>
      <w:lvlText w:val=""/>
      <w:lvlJc w:val="left"/>
      <w:pPr>
        <w:tabs>
          <w:tab w:val="num" w:pos="5760"/>
        </w:tabs>
        <w:ind w:left="5760" w:hanging="360"/>
      </w:pPr>
      <w:rPr>
        <w:rFonts w:ascii="Wingdings" w:hAnsi="Wingdings" w:hint="default"/>
      </w:rPr>
    </w:lvl>
    <w:lvl w:ilvl="8" w:tplc="AD94725A" w:tentative="1">
      <w:start w:val="1"/>
      <w:numFmt w:val="bullet"/>
      <w:lvlText w:val=""/>
      <w:lvlJc w:val="left"/>
      <w:pPr>
        <w:tabs>
          <w:tab w:val="num" w:pos="6480"/>
        </w:tabs>
        <w:ind w:left="6480" w:hanging="360"/>
      </w:pPr>
      <w:rPr>
        <w:rFonts w:ascii="Wingdings" w:hAnsi="Wingdings" w:hint="default"/>
      </w:rPr>
    </w:lvl>
  </w:abstractNum>
  <w:abstractNum w:abstractNumId="7">
    <w:nsid w:val="7B802BD9"/>
    <w:multiLevelType w:val="hybridMultilevel"/>
    <w:tmpl w:val="B8C629DA"/>
    <w:lvl w:ilvl="0" w:tplc="99AAADD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3F"/>
    <w:rsid w:val="000454B4"/>
    <w:rsid w:val="0037006D"/>
    <w:rsid w:val="00447793"/>
    <w:rsid w:val="00F3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3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36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47793"/>
    <w:pPr>
      <w:spacing w:line="240" w:lineRule="auto"/>
    </w:pPr>
    <w:rPr>
      <w:sz w:val="20"/>
      <w:szCs w:val="20"/>
    </w:rPr>
  </w:style>
  <w:style w:type="character" w:customStyle="1" w:styleId="CommentTextChar">
    <w:name w:val="Comment Text Char"/>
    <w:basedOn w:val="DefaultParagraphFont"/>
    <w:link w:val="CommentText"/>
    <w:uiPriority w:val="99"/>
    <w:rsid w:val="004477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3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36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47793"/>
    <w:pPr>
      <w:spacing w:line="240" w:lineRule="auto"/>
    </w:pPr>
    <w:rPr>
      <w:sz w:val="20"/>
      <w:szCs w:val="20"/>
    </w:rPr>
  </w:style>
  <w:style w:type="character" w:customStyle="1" w:styleId="CommentTextChar">
    <w:name w:val="Comment Text Char"/>
    <w:basedOn w:val="DefaultParagraphFont"/>
    <w:link w:val="CommentText"/>
    <w:uiPriority w:val="99"/>
    <w:rsid w:val="004477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4229</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Claire</dc:creator>
  <cp:lastModifiedBy>Barnes Claire</cp:lastModifiedBy>
  <cp:revision>3</cp:revision>
  <dcterms:created xsi:type="dcterms:W3CDTF">2017-05-19T10:44:00Z</dcterms:created>
  <dcterms:modified xsi:type="dcterms:W3CDTF">2017-05-19T11:57:00Z</dcterms:modified>
</cp:coreProperties>
</file>