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7E6FA" w14:textId="25AC3B2A" w:rsidR="00021F72" w:rsidRDefault="00021F72">
      <w:pPr>
        <w:spacing w:after="0"/>
        <w:textboxTightWrap w:val="none"/>
      </w:pPr>
      <w:bookmarkStart w:id="0" w:name="_Toc478136979"/>
      <w:bookmarkStart w:id="1" w:name="_Ref478471767"/>
      <w:bookmarkStart w:id="2" w:name="_Ref478472521"/>
      <w:bookmarkStart w:id="3" w:name="_Toc478562513"/>
      <w:bookmarkStart w:id="4" w:name="MAINDOC"/>
    </w:p>
    <w:p w14:paraId="0CAEA045" w14:textId="22472D04" w:rsidR="00021F72" w:rsidRDefault="00021F72">
      <w:pPr>
        <w:spacing w:after="0"/>
        <w:textboxTightWrap w:val="none"/>
      </w:pPr>
    </w:p>
    <w:p w14:paraId="1C77C29B" w14:textId="2EAD3ECA" w:rsidR="00DC1143" w:rsidRDefault="00DC1143" w:rsidP="00DC1143">
      <w:pPr>
        <w:spacing w:after="0"/>
        <w:jc w:val="center"/>
        <w:textboxTightWrap w:val="none"/>
        <w:rPr>
          <w:b/>
        </w:rPr>
      </w:pPr>
      <w:bookmarkStart w:id="5" w:name="_Hlk527369970"/>
      <w:r w:rsidRPr="00021F72">
        <w:rPr>
          <w:b/>
        </w:rPr>
        <w:t>NHS DIGITAL</w:t>
      </w:r>
    </w:p>
    <w:p w14:paraId="6FCEF358" w14:textId="715A694F" w:rsidR="00DC1143" w:rsidRDefault="00DC1143" w:rsidP="00DC1143">
      <w:pPr>
        <w:spacing w:after="0"/>
        <w:jc w:val="center"/>
        <w:textboxTightWrap w:val="none"/>
        <w:rPr>
          <w:b/>
        </w:rPr>
      </w:pPr>
    </w:p>
    <w:p w14:paraId="1F96C3E7" w14:textId="52102DED" w:rsidR="00021F72" w:rsidRPr="00DC1143" w:rsidRDefault="00DC1143" w:rsidP="00DC1143">
      <w:pPr>
        <w:spacing w:after="0"/>
        <w:jc w:val="center"/>
        <w:textboxTightWrap w:val="none"/>
        <w:rPr>
          <w:b/>
        </w:rPr>
      </w:pPr>
      <w:r w:rsidRPr="00021F72">
        <w:rPr>
          <w:b/>
        </w:rPr>
        <w:t>PRJ_</w:t>
      </w:r>
      <w:r w:rsidR="00BB19E3">
        <w:rPr>
          <w:b/>
        </w:rPr>
        <w:t>18</w:t>
      </w:r>
      <w:r w:rsidR="00843D3E">
        <w:rPr>
          <w:b/>
        </w:rPr>
        <w:t>26</w:t>
      </w:r>
    </w:p>
    <w:p w14:paraId="188409C6" w14:textId="77777777" w:rsidR="00DC1143" w:rsidRDefault="00DC1143" w:rsidP="00021F72">
      <w:pPr>
        <w:spacing w:after="0"/>
        <w:jc w:val="center"/>
        <w:textboxTightWrap w:val="none"/>
        <w:rPr>
          <w:b/>
        </w:rPr>
      </w:pPr>
    </w:p>
    <w:p w14:paraId="69A286D8" w14:textId="16B51C55" w:rsidR="00021F72" w:rsidRPr="00021F72" w:rsidRDefault="00021F72" w:rsidP="00021F72">
      <w:pPr>
        <w:spacing w:after="0"/>
        <w:jc w:val="center"/>
        <w:textboxTightWrap w:val="none"/>
        <w:rPr>
          <w:b/>
        </w:rPr>
      </w:pPr>
      <w:r w:rsidRPr="00021F72">
        <w:rPr>
          <w:b/>
        </w:rPr>
        <w:t>INVITATION TO TENDER AND INSTRUCTIONS TO TENDERERS</w:t>
      </w:r>
    </w:p>
    <w:p w14:paraId="1A7B9E0F" w14:textId="77777777" w:rsidR="00021F72" w:rsidRPr="00021F72" w:rsidRDefault="00021F72" w:rsidP="00021F72">
      <w:pPr>
        <w:spacing w:after="0"/>
        <w:textboxTightWrap w:val="none"/>
        <w:rPr>
          <w:b/>
        </w:rPr>
      </w:pPr>
    </w:p>
    <w:p w14:paraId="0B99061A" w14:textId="0384AF4C" w:rsidR="00021F72" w:rsidRDefault="00843D3E" w:rsidP="00DC1143">
      <w:pPr>
        <w:spacing w:after="0"/>
        <w:jc w:val="center"/>
        <w:textboxTightWrap w:val="none"/>
        <w:rPr>
          <w:b/>
        </w:rPr>
      </w:pPr>
      <w:r>
        <w:rPr>
          <w:b/>
        </w:rPr>
        <w:t>Workforce Cyber Security Campaign Design</w:t>
      </w:r>
    </w:p>
    <w:bookmarkEnd w:id="5"/>
    <w:p w14:paraId="1B10E923" w14:textId="55C9DB42" w:rsidR="00FC1BB8" w:rsidRDefault="00FC1BB8" w:rsidP="00DC1143">
      <w:pPr>
        <w:spacing w:after="0"/>
        <w:jc w:val="center"/>
        <w:textboxTightWrap w:val="none"/>
        <w:rPr>
          <w:b/>
        </w:rPr>
      </w:pPr>
    </w:p>
    <w:p w14:paraId="32183333" w14:textId="69204BEB" w:rsidR="00FC1BB8" w:rsidRDefault="00FC1BB8">
      <w:pPr>
        <w:spacing w:after="0"/>
        <w:textboxTightWrap w:val="none"/>
        <w:rPr>
          <w:b/>
        </w:rPr>
      </w:pPr>
      <w:r>
        <w:rPr>
          <w:b/>
          <w:noProof/>
        </w:rPr>
        <w:drawing>
          <wp:anchor distT="0" distB="0" distL="114300" distR="114300" simplePos="0" relativeHeight="251658240" behindDoc="1" locked="0" layoutInCell="1" allowOverlap="1" wp14:anchorId="4B0AC24C" wp14:editId="20FF811A">
            <wp:simplePos x="0" y="0"/>
            <wp:positionH relativeFrom="margin">
              <wp:align>center</wp:align>
            </wp:positionH>
            <wp:positionV relativeFrom="page">
              <wp:posOffset>3097213</wp:posOffset>
            </wp:positionV>
            <wp:extent cx="1198880" cy="950595"/>
            <wp:effectExtent l="0" t="0" r="1270" b="1905"/>
            <wp:wrapTight wrapText="bothSides">
              <wp:wrapPolygon edited="0">
                <wp:start x="0" y="0"/>
                <wp:lineTo x="0" y="21210"/>
                <wp:lineTo x="21280" y="21210"/>
                <wp:lineTo x="212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88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br w:type="page"/>
      </w:r>
      <w:r w:rsidR="0088008D">
        <w:rPr>
          <w:b/>
        </w:rPr>
        <w:lastRenderedPageBreak/>
        <w:t>`</w:t>
      </w:r>
    </w:p>
    <w:p w14:paraId="3A2812F3" w14:textId="43AA09AF" w:rsidR="00021F72" w:rsidRDefault="00021F72" w:rsidP="00021F72">
      <w:pPr>
        <w:pStyle w:val="Heading1"/>
      </w:pPr>
      <w:bookmarkStart w:id="6" w:name="_Toc528656298"/>
      <w:r>
        <w:t>Introduction</w:t>
      </w:r>
      <w:bookmarkEnd w:id="6"/>
    </w:p>
    <w:p w14:paraId="61992BCF" w14:textId="77777777" w:rsidR="00021F72" w:rsidRDefault="00021F72">
      <w:pPr>
        <w:spacing w:after="0"/>
        <w:textboxTightWrap w:val="none"/>
      </w:pPr>
    </w:p>
    <w:p w14:paraId="4FEBD336" w14:textId="19B769A7" w:rsidR="001031FD" w:rsidRDefault="00021F72" w:rsidP="00021F72">
      <w:pPr>
        <w:spacing w:after="0"/>
        <w:textboxTightWrap w:val="none"/>
      </w:pPr>
      <w:r>
        <w:t xml:space="preserve">This </w:t>
      </w:r>
      <w:r w:rsidR="001031FD">
        <w:t>p</w:t>
      </w:r>
      <w:r>
        <w:t xml:space="preserve">rocurement </w:t>
      </w:r>
      <w:r w:rsidR="001031FD">
        <w:t xml:space="preserve">is a further competition under </w:t>
      </w:r>
      <w:r w:rsidR="0068140F">
        <w:t>L</w:t>
      </w:r>
      <w:r w:rsidR="00843D3E">
        <w:t>ot 6</w:t>
      </w:r>
      <w:r w:rsidR="0068140F">
        <w:t xml:space="preserve"> of </w:t>
      </w:r>
      <w:r w:rsidR="001031FD">
        <w:t xml:space="preserve">the Crown Commercial Service </w:t>
      </w:r>
      <w:r w:rsidR="00843D3E">
        <w:t>Communication Services</w:t>
      </w:r>
      <w:r w:rsidR="00722D8A">
        <w:t xml:space="preserve"> Framework</w:t>
      </w:r>
      <w:r w:rsidR="001031FD" w:rsidRPr="001031FD">
        <w:t xml:space="preserve"> (RM37</w:t>
      </w:r>
      <w:r w:rsidR="00843D3E">
        <w:t>96</w:t>
      </w:r>
      <w:r w:rsidR="001031FD" w:rsidRPr="001031FD">
        <w:t>)</w:t>
      </w:r>
      <w:r w:rsidR="001031FD">
        <w:t xml:space="preserve">. </w:t>
      </w:r>
    </w:p>
    <w:p w14:paraId="25FC4841" w14:textId="5A6C9D49" w:rsidR="00190D7A" w:rsidRDefault="00190D7A" w:rsidP="00021F72">
      <w:pPr>
        <w:spacing w:after="0"/>
        <w:textboxTightWrap w:val="none"/>
      </w:pPr>
    </w:p>
    <w:p w14:paraId="4CAEE4CF" w14:textId="381AD66A" w:rsidR="00190D7A" w:rsidRDefault="00190D7A" w:rsidP="00190D7A">
      <w:pPr>
        <w:jc w:val="both"/>
      </w:pPr>
      <w:r>
        <w:t>This invitation to tender (ITT) provides potential suppliers with the information necessary to produce and submit a tender which may be evaluated and subsequently used to form a contract.  It is designed to ensure that all tenders are given equal and fair consideration. Therefore, it is important that you provide all the information requested in the format specified.</w:t>
      </w:r>
    </w:p>
    <w:p w14:paraId="6C8CBC67" w14:textId="77777777" w:rsidR="00190D7A" w:rsidRDefault="00190D7A" w:rsidP="00190D7A">
      <w:pPr>
        <w:jc w:val="both"/>
      </w:pPr>
      <w:r>
        <w:t>This ITT:</w:t>
      </w:r>
    </w:p>
    <w:p w14:paraId="6E24A823" w14:textId="04EDF07B" w:rsidR="00190D7A" w:rsidRDefault="00190D7A" w:rsidP="00190D7A">
      <w:pPr>
        <w:pStyle w:val="ListParagraph"/>
        <w:numPr>
          <w:ilvl w:val="0"/>
          <w:numId w:val="21"/>
        </w:numPr>
        <w:jc w:val="both"/>
      </w:pPr>
      <w:r>
        <w:t>asks potential suppliers to submit their tenders in accordance with the instructions set out in the remainder of this ITT;</w:t>
      </w:r>
    </w:p>
    <w:p w14:paraId="0F533623" w14:textId="372F4B0B" w:rsidR="00190D7A" w:rsidRDefault="00190D7A" w:rsidP="00190D7A">
      <w:pPr>
        <w:pStyle w:val="ListParagraph"/>
        <w:numPr>
          <w:ilvl w:val="0"/>
          <w:numId w:val="21"/>
        </w:numPr>
        <w:jc w:val="both"/>
      </w:pPr>
      <w:r>
        <w:t>sets out the overall timetable and process for the procurement;</w:t>
      </w:r>
    </w:p>
    <w:p w14:paraId="06509417" w14:textId="2A195AA5" w:rsidR="00190D7A" w:rsidRDefault="00190D7A" w:rsidP="00190D7A">
      <w:pPr>
        <w:pStyle w:val="ListParagraph"/>
        <w:numPr>
          <w:ilvl w:val="0"/>
          <w:numId w:val="21"/>
        </w:numPr>
        <w:jc w:val="both"/>
      </w:pPr>
      <w:r>
        <w:t xml:space="preserve">provides </w:t>
      </w:r>
      <w:proofErr w:type="gramStart"/>
      <w:r>
        <w:t>sufficient</w:t>
      </w:r>
      <w:proofErr w:type="gramEnd"/>
      <w:r>
        <w:t xml:space="preserve"> information to enable a compliant </w:t>
      </w:r>
      <w:r w:rsidR="00345D88">
        <w:t>t</w:t>
      </w:r>
      <w:r>
        <w:t>ender (including providing templates where relevant)</w:t>
      </w:r>
      <w:r w:rsidR="00345D88">
        <w:t xml:space="preserve"> to be submitted</w:t>
      </w:r>
      <w:r>
        <w:t>;</w:t>
      </w:r>
    </w:p>
    <w:p w14:paraId="356672A9" w14:textId="41C2D120" w:rsidR="00190D7A" w:rsidRDefault="00190D7A" w:rsidP="00190D7A">
      <w:pPr>
        <w:pStyle w:val="ListParagraph"/>
        <w:numPr>
          <w:ilvl w:val="0"/>
          <w:numId w:val="21"/>
        </w:numPr>
        <w:jc w:val="both"/>
      </w:pPr>
      <w:r>
        <w:t xml:space="preserve">sets out the evaluation criteria that will be used to evaluate </w:t>
      </w:r>
      <w:r w:rsidR="00345D88">
        <w:t>t</w:t>
      </w:r>
      <w:r>
        <w:t>enders</w:t>
      </w:r>
      <w:r w:rsidR="001746AE">
        <w:t>.</w:t>
      </w:r>
    </w:p>
    <w:p w14:paraId="36499F1A" w14:textId="77777777" w:rsidR="00190D7A" w:rsidRDefault="00190D7A" w:rsidP="00190D7A">
      <w:pPr>
        <w:jc w:val="both"/>
      </w:pPr>
      <w:r>
        <w:t xml:space="preserve">You should note that this ITT has been prepared in good faith but does not purport to be a comprehensive statement of all matters relevant to the requirement. NHS Digital and its advisers do not accept any liability or responsibility for its adequacy, accuracy or completeness, nor do they make any representation or warranty, expressed or implied, with respect to the information it contains. </w:t>
      </w:r>
    </w:p>
    <w:p w14:paraId="3F2D0B86" w14:textId="60ADD22A" w:rsidR="001031FD" w:rsidRDefault="00190D7A" w:rsidP="00190D7A">
      <w:pPr>
        <w:jc w:val="both"/>
      </w:pPr>
      <w:r>
        <w:t xml:space="preserve">You are responsible for ensuring that no conflicts of interest exist between yourself and your advisers, and NHS Digital and its advisers. </w:t>
      </w:r>
      <w:proofErr w:type="gramStart"/>
      <w:r>
        <w:t>In particular you</w:t>
      </w:r>
      <w:proofErr w:type="gramEnd"/>
      <w:r>
        <w:t xml:space="preserve"> acknowledge that from time to time </w:t>
      </w:r>
      <w:r w:rsidR="00345D88">
        <w:t>o</w:t>
      </w:r>
      <w:r>
        <w:t xml:space="preserve">ur </w:t>
      </w:r>
      <w:r w:rsidR="00345D88">
        <w:t>s</w:t>
      </w:r>
      <w:r>
        <w:t xml:space="preserve">olicitors act for NHS Digital, and by your continued participation in the procurement you waive any conflict rights you may have against </w:t>
      </w:r>
      <w:r w:rsidR="00345D88">
        <w:t>o</w:t>
      </w:r>
      <w:r>
        <w:t xml:space="preserve">ur </w:t>
      </w:r>
      <w:r w:rsidR="00345D88">
        <w:t>s</w:t>
      </w:r>
      <w:r>
        <w:t>olicitors in relation to their representation of NHS Digital.</w:t>
      </w:r>
    </w:p>
    <w:p w14:paraId="4974134A" w14:textId="68E903E3" w:rsidR="00021F72" w:rsidRDefault="00021F72" w:rsidP="00021F72">
      <w:pPr>
        <w:spacing w:after="0"/>
        <w:textboxTightWrap w:val="none"/>
      </w:pPr>
      <w:r>
        <w:t xml:space="preserve">The </w:t>
      </w:r>
      <w:r w:rsidR="001031FD">
        <w:t>extent of the s</w:t>
      </w:r>
      <w:r>
        <w:t xml:space="preserve">ervices </w:t>
      </w:r>
      <w:r w:rsidR="001031FD">
        <w:t>is as</w:t>
      </w:r>
      <w:r>
        <w:t xml:space="preserve"> described </w:t>
      </w:r>
      <w:r w:rsidR="001031FD">
        <w:t xml:space="preserve">in the statement of requirements. The successful </w:t>
      </w:r>
      <w:r w:rsidR="00F07DE3">
        <w:t>potential provider</w:t>
      </w:r>
      <w:r w:rsidR="001031FD">
        <w:t xml:space="preserve"> in this procurement will then provide the services to NHS Digital.</w:t>
      </w:r>
    </w:p>
    <w:p w14:paraId="0AB3E728" w14:textId="77777777" w:rsidR="00021F72" w:rsidRDefault="00021F72" w:rsidP="00021F72">
      <w:pPr>
        <w:spacing w:after="0"/>
        <w:textboxTightWrap w:val="none"/>
      </w:pPr>
    </w:p>
    <w:p w14:paraId="0514E596" w14:textId="721F4F9E" w:rsidR="00021F72" w:rsidRDefault="00021F72" w:rsidP="00021F72">
      <w:pPr>
        <w:spacing w:after="0"/>
        <w:textboxTightWrap w:val="none"/>
      </w:pPr>
      <w:r>
        <w:t xml:space="preserve">The </w:t>
      </w:r>
      <w:r w:rsidR="001031FD">
        <w:t>Call-Off Agreement</w:t>
      </w:r>
      <w:r>
        <w:t xml:space="preserve"> will </w:t>
      </w:r>
      <w:r w:rsidR="00BB19E3">
        <w:t xml:space="preserve">cover the </w:t>
      </w:r>
      <w:r w:rsidR="00477F5C">
        <w:t>campaign design</w:t>
      </w:r>
      <w:r w:rsidR="00BB19E3">
        <w:t xml:space="preserve"> as set out in the statement of requirements</w:t>
      </w:r>
      <w:r w:rsidR="00477F5C">
        <w:t>.</w:t>
      </w:r>
      <w:r w:rsidR="001031FD">
        <w:t xml:space="preserve"> The </w:t>
      </w:r>
      <w:r w:rsidR="00477F5C">
        <w:t>Letter of Appointment</w:t>
      </w:r>
      <w:r w:rsidR="001031FD">
        <w:t xml:space="preserve"> and Call-Off Agreement terms and conditions </w:t>
      </w:r>
      <w:r w:rsidR="00312485">
        <w:t>shall</w:t>
      </w:r>
      <w:r w:rsidR="001031FD">
        <w:t xml:space="preserve"> apply.</w:t>
      </w:r>
    </w:p>
    <w:p w14:paraId="49AD4049" w14:textId="77777777" w:rsidR="00021F72" w:rsidRDefault="00021F72" w:rsidP="00021F72">
      <w:pPr>
        <w:spacing w:after="0"/>
        <w:textboxTightWrap w:val="none"/>
      </w:pPr>
    </w:p>
    <w:p w14:paraId="13BEEFBA" w14:textId="65555490" w:rsidR="00021F72" w:rsidRDefault="001031FD" w:rsidP="00021F72">
      <w:pPr>
        <w:spacing w:after="0"/>
        <w:textboxTightWrap w:val="none"/>
      </w:pPr>
      <w:r>
        <w:t>NHS Digital</w:t>
      </w:r>
      <w:r w:rsidR="00021F72">
        <w:t xml:space="preserve"> is managing this </w:t>
      </w:r>
      <w:r>
        <w:t>further competition</w:t>
      </w:r>
      <w:r w:rsidR="00021F72">
        <w:t xml:space="preserve"> in accordance with the Public Contracts Regulations 2015.</w:t>
      </w:r>
    </w:p>
    <w:p w14:paraId="06B971EA" w14:textId="77777777" w:rsidR="00021F72" w:rsidRDefault="00021F72" w:rsidP="00021F72">
      <w:pPr>
        <w:spacing w:after="0"/>
        <w:textboxTightWrap w:val="none"/>
      </w:pPr>
    </w:p>
    <w:p w14:paraId="1EFF7F13" w14:textId="3678ED93" w:rsidR="00021F72" w:rsidRDefault="001031FD" w:rsidP="00021F72">
      <w:pPr>
        <w:spacing w:after="0"/>
        <w:textboxTightWrap w:val="none"/>
      </w:pPr>
      <w:r>
        <w:t>NHS Digital</w:t>
      </w:r>
      <w:r w:rsidR="00021F72">
        <w:t xml:space="preserve"> cannot guarantee volumes of </w:t>
      </w:r>
      <w:r>
        <w:t>business</w:t>
      </w:r>
      <w:r w:rsidR="00021F72">
        <w:t>.</w:t>
      </w:r>
    </w:p>
    <w:p w14:paraId="10F19B39" w14:textId="77777777" w:rsidR="00021F72" w:rsidRDefault="00021F72" w:rsidP="00021F72">
      <w:pPr>
        <w:spacing w:after="0"/>
        <w:textboxTightWrap w:val="none"/>
      </w:pPr>
    </w:p>
    <w:p w14:paraId="4ABAC0D6" w14:textId="128C964B" w:rsidR="00021F72" w:rsidRDefault="00021F72" w:rsidP="00021F72">
      <w:pPr>
        <w:spacing w:after="0"/>
        <w:textboxTightWrap w:val="none"/>
      </w:pPr>
      <w:r>
        <w:t xml:space="preserve">This </w:t>
      </w:r>
      <w:r w:rsidR="00345D88">
        <w:t>ITT</w:t>
      </w:r>
      <w:r>
        <w:t xml:space="preserve"> contains information and instructions </w:t>
      </w:r>
      <w:r w:rsidR="001031FD">
        <w:t xml:space="preserve">for potential </w:t>
      </w:r>
      <w:r w:rsidR="00345D88">
        <w:t>suppliers</w:t>
      </w:r>
      <w:r w:rsidR="001031FD">
        <w:t xml:space="preserve"> to submit a tender response if they wish to do so. It is not mandatory to submit a response to this invitation to tender. </w:t>
      </w:r>
    </w:p>
    <w:p w14:paraId="6C630742" w14:textId="77777777" w:rsidR="00021F72" w:rsidRDefault="00021F72" w:rsidP="00021F72">
      <w:pPr>
        <w:spacing w:after="0"/>
        <w:textboxTightWrap w:val="none"/>
      </w:pPr>
    </w:p>
    <w:p w14:paraId="0723F2D5" w14:textId="3F17D213" w:rsidR="007962CB" w:rsidRDefault="00021F72" w:rsidP="00021F72">
      <w:pPr>
        <w:spacing w:after="0"/>
        <w:textboxTightWrap w:val="none"/>
      </w:pPr>
      <w:r>
        <w:lastRenderedPageBreak/>
        <w:t xml:space="preserve">Please read this </w:t>
      </w:r>
      <w:r w:rsidR="007962CB">
        <w:t>document</w:t>
      </w:r>
      <w:r>
        <w:t xml:space="preserve"> carefully as non-compliance may result in exclusion of </w:t>
      </w:r>
      <w:r w:rsidR="00EC41F6">
        <w:t>your tender</w:t>
      </w:r>
      <w:r>
        <w:t xml:space="preserve"> from this </w:t>
      </w:r>
      <w:r w:rsidR="00EC41F6">
        <w:t>procurement</w:t>
      </w:r>
      <w:r>
        <w:t xml:space="preserve">. </w:t>
      </w:r>
    </w:p>
    <w:p w14:paraId="4B165E1D" w14:textId="77777777" w:rsidR="007962CB" w:rsidRDefault="007962CB" w:rsidP="00021F72">
      <w:pPr>
        <w:spacing w:after="0"/>
        <w:textboxTightWrap w:val="none"/>
      </w:pPr>
    </w:p>
    <w:p w14:paraId="0CCD6D0C" w14:textId="78EEDB76" w:rsidR="00EC41F6" w:rsidRDefault="00C54238" w:rsidP="00021F72">
      <w:pPr>
        <w:spacing w:after="0"/>
        <w:textboxTightWrap w:val="none"/>
      </w:pPr>
      <w:r>
        <w:t>NHS Digital</w:t>
      </w:r>
      <w:r w:rsidR="00021F72">
        <w:t xml:space="preserve"> is using an e-</w:t>
      </w:r>
      <w:r w:rsidR="00312485">
        <w:t>s</w:t>
      </w:r>
      <w:r w:rsidR="00021F72">
        <w:t xml:space="preserve">ourcing </w:t>
      </w:r>
      <w:r w:rsidR="00312485">
        <w:t>s</w:t>
      </w:r>
      <w:r w:rsidR="00021F72">
        <w:t xml:space="preserve">uite </w:t>
      </w:r>
      <w:r w:rsidR="00EC41F6">
        <w:t xml:space="preserve">(Bravo) </w:t>
      </w:r>
      <w:r w:rsidR="00021F72">
        <w:t xml:space="preserve">to manage this </w:t>
      </w:r>
      <w:r w:rsidR="00EC41F6">
        <w:t>p</w:t>
      </w:r>
      <w:r w:rsidR="00021F72">
        <w:t xml:space="preserve">rocurement and to communicate with all participants. No hard copy documents will be issued and all communications with </w:t>
      </w:r>
      <w:r w:rsidR="00312485">
        <w:t>NHS Digital</w:t>
      </w:r>
      <w:r w:rsidR="00021F72">
        <w:t xml:space="preserve"> (including the submission of </w:t>
      </w:r>
      <w:r w:rsidR="00EC41F6">
        <w:t>t</w:t>
      </w:r>
      <w:r w:rsidR="00021F72">
        <w:t xml:space="preserve">enders) will be conducted via </w:t>
      </w:r>
      <w:r w:rsidR="00312485">
        <w:t>Bravo</w:t>
      </w:r>
      <w:r w:rsidR="00021F72">
        <w:t xml:space="preserve">. </w:t>
      </w:r>
    </w:p>
    <w:p w14:paraId="21B24889" w14:textId="77777777" w:rsidR="00EC41F6" w:rsidRDefault="00EC41F6" w:rsidP="00021F72">
      <w:pPr>
        <w:spacing w:after="0"/>
        <w:textboxTightWrap w:val="none"/>
      </w:pPr>
    </w:p>
    <w:p w14:paraId="0B090174" w14:textId="7D557ADB" w:rsidR="0082305A" w:rsidRDefault="00021F72" w:rsidP="00021F72">
      <w:pPr>
        <w:spacing w:after="0"/>
        <w:textboxTightWrap w:val="none"/>
      </w:pPr>
      <w:r>
        <w:t xml:space="preserve">Tender responses to the evaluation questions have been designed to be completed on-line in </w:t>
      </w:r>
      <w:r w:rsidR="00312485">
        <w:t>Bravo</w:t>
      </w:r>
      <w:r>
        <w:t>.</w:t>
      </w:r>
      <w:r w:rsidR="00312485">
        <w:t xml:space="preserve"> </w:t>
      </w:r>
    </w:p>
    <w:p w14:paraId="6E159BE4" w14:textId="7B06DBDF" w:rsidR="0082305A" w:rsidRDefault="0082305A" w:rsidP="00021F72">
      <w:pPr>
        <w:spacing w:after="0"/>
        <w:textboxTightWrap w:val="none"/>
      </w:pPr>
    </w:p>
    <w:p w14:paraId="6960FEB2" w14:textId="58D86986" w:rsidR="00190D7A" w:rsidRDefault="00190D7A" w:rsidP="00190D7A">
      <w:pPr>
        <w:jc w:val="both"/>
      </w:pPr>
      <w:r>
        <w:t xml:space="preserve">You will not be entitled to claim from NHS Digital any costs or expenses incurred during the tender process </w:t>
      </w:r>
      <w:proofErr w:type="gramStart"/>
      <w:r>
        <w:t>whether or not</w:t>
      </w:r>
      <w:proofErr w:type="gramEnd"/>
      <w:r>
        <w:t xml:space="preserve"> your </w:t>
      </w:r>
      <w:r w:rsidR="00345D88">
        <w:t>t</w:t>
      </w:r>
      <w:r>
        <w:t xml:space="preserve">ender is successful. Such costs to include costs incurred in the preparation and submission of your </w:t>
      </w:r>
      <w:r w:rsidR="00345D88">
        <w:t>t</w:t>
      </w:r>
      <w:r>
        <w:t xml:space="preserve">ender and any additional costs that you may incur if NHS Digital modifies or amends the </w:t>
      </w:r>
      <w:r w:rsidR="00345D88">
        <w:t>t</w:t>
      </w:r>
      <w:r>
        <w:t>ender requirements.</w:t>
      </w:r>
    </w:p>
    <w:p w14:paraId="6E9FC0B5" w14:textId="4316BC06" w:rsidR="0082305A" w:rsidRDefault="00190D7A" w:rsidP="00BB19E3">
      <w:pPr>
        <w:jc w:val="both"/>
      </w:pPr>
      <w:r>
        <w:t>You may formally request a debriefing from NHS Digital if you are not successful in the procurement.</w:t>
      </w:r>
    </w:p>
    <w:p w14:paraId="450FBAD8" w14:textId="1D33FDE3" w:rsidR="0082305A" w:rsidRDefault="0082305A" w:rsidP="0082305A">
      <w:pPr>
        <w:pStyle w:val="Heading1"/>
      </w:pPr>
      <w:bookmarkStart w:id="7" w:name="_Toc528656299"/>
      <w:r>
        <w:t>Procurement Timetable</w:t>
      </w:r>
      <w:bookmarkEnd w:id="7"/>
    </w:p>
    <w:p w14:paraId="61BE544C" w14:textId="51523B86" w:rsidR="0082305A" w:rsidRDefault="0082305A" w:rsidP="00021F72">
      <w:pPr>
        <w:spacing w:after="0"/>
        <w:textboxTightWrap w:val="none"/>
      </w:pPr>
      <w:r w:rsidRPr="0082305A">
        <w:t xml:space="preserve">The timetable below may be changed by </w:t>
      </w:r>
      <w:r w:rsidR="00B43E14">
        <w:t>NHS Digital</w:t>
      </w:r>
      <w:r w:rsidRPr="0082305A">
        <w:t xml:space="preserve"> at any time. </w:t>
      </w:r>
    </w:p>
    <w:p w14:paraId="5AC263E3" w14:textId="77777777" w:rsidR="00043402" w:rsidRDefault="00043402" w:rsidP="00021F72">
      <w:pPr>
        <w:spacing w:after="0"/>
        <w:textboxTightWrap w:val="none"/>
      </w:pPr>
    </w:p>
    <w:tbl>
      <w:tblPr>
        <w:tblStyle w:val="TableGrid"/>
        <w:tblW w:w="0" w:type="auto"/>
        <w:tblLook w:val="04A0" w:firstRow="1" w:lastRow="0" w:firstColumn="1" w:lastColumn="0" w:noHBand="0" w:noVBand="1"/>
      </w:tblPr>
      <w:tblGrid>
        <w:gridCol w:w="6091"/>
        <w:gridCol w:w="2925"/>
      </w:tblGrid>
      <w:tr w:rsidR="00043402" w14:paraId="19CBFE18" w14:textId="77777777" w:rsidTr="00271B18">
        <w:tc>
          <w:tcPr>
            <w:tcW w:w="6091" w:type="dxa"/>
            <w:shd w:val="clear" w:color="auto" w:fill="BFBFBF" w:themeFill="background1" w:themeFillShade="BF"/>
          </w:tcPr>
          <w:p w14:paraId="2A765B1D" w14:textId="77777777" w:rsidR="00043402" w:rsidRPr="006C5142" w:rsidRDefault="00043402" w:rsidP="005B0688">
            <w:pPr>
              <w:rPr>
                <w:b/>
              </w:rPr>
            </w:pPr>
            <w:r>
              <w:rPr>
                <w:b/>
              </w:rPr>
              <w:t>ACTIVITY</w:t>
            </w:r>
          </w:p>
        </w:tc>
        <w:tc>
          <w:tcPr>
            <w:tcW w:w="2925" w:type="dxa"/>
            <w:shd w:val="clear" w:color="auto" w:fill="BFBFBF" w:themeFill="background1" w:themeFillShade="BF"/>
          </w:tcPr>
          <w:p w14:paraId="19923A1C" w14:textId="77777777" w:rsidR="00043402" w:rsidRPr="006C5142" w:rsidRDefault="00043402" w:rsidP="005B0688">
            <w:pPr>
              <w:rPr>
                <w:b/>
              </w:rPr>
            </w:pPr>
            <w:r w:rsidRPr="006C5142">
              <w:rPr>
                <w:b/>
              </w:rPr>
              <w:t>DATE</w:t>
            </w:r>
            <w:r>
              <w:rPr>
                <w:b/>
              </w:rPr>
              <w:t xml:space="preserve"> &amp; TIME</w:t>
            </w:r>
          </w:p>
        </w:tc>
      </w:tr>
      <w:tr w:rsidR="00043402" w14:paraId="4439819E" w14:textId="77777777" w:rsidTr="00271B18">
        <w:tc>
          <w:tcPr>
            <w:tcW w:w="6091" w:type="dxa"/>
          </w:tcPr>
          <w:p w14:paraId="095BCF6A" w14:textId="149F74C1" w:rsidR="00043402" w:rsidRDefault="00E41721" w:rsidP="005B0688">
            <w:r>
              <w:t>C</w:t>
            </w:r>
            <w:r w:rsidR="00043402">
              <w:t>larification question deadline</w:t>
            </w:r>
          </w:p>
        </w:tc>
        <w:tc>
          <w:tcPr>
            <w:tcW w:w="2925" w:type="dxa"/>
          </w:tcPr>
          <w:p w14:paraId="2230C670" w14:textId="3472985D" w:rsidR="00043402" w:rsidRPr="0068642B" w:rsidRDefault="006670AC" w:rsidP="005B0688">
            <w:r>
              <w:t>10am</w:t>
            </w:r>
            <w:r w:rsidR="008F5B18">
              <w:t>,</w:t>
            </w:r>
            <w:r>
              <w:t xml:space="preserve"> </w:t>
            </w:r>
            <w:r w:rsidR="000A29DA">
              <w:t>29</w:t>
            </w:r>
            <w:r w:rsidR="008F17BA" w:rsidRPr="0068642B">
              <w:t xml:space="preserve"> January 20</w:t>
            </w:r>
            <w:r w:rsidR="00183323">
              <w:t>1</w:t>
            </w:r>
            <w:r w:rsidR="000A29DA">
              <w:t>9</w:t>
            </w:r>
          </w:p>
        </w:tc>
      </w:tr>
      <w:tr w:rsidR="00D0184E" w14:paraId="07292E0A" w14:textId="77777777" w:rsidTr="00271B18">
        <w:tc>
          <w:tcPr>
            <w:tcW w:w="6091" w:type="dxa"/>
          </w:tcPr>
          <w:p w14:paraId="6D2E5673" w14:textId="16415BBF" w:rsidR="00D0184E" w:rsidRDefault="00D0184E" w:rsidP="005B0688">
            <w:r>
              <w:t>Tender response deadline</w:t>
            </w:r>
          </w:p>
        </w:tc>
        <w:tc>
          <w:tcPr>
            <w:tcW w:w="2925" w:type="dxa"/>
          </w:tcPr>
          <w:p w14:paraId="25B761A1" w14:textId="26D39564" w:rsidR="00D0184E" w:rsidRPr="0068642B" w:rsidRDefault="00FC039D" w:rsidP="005B0688">
            <w:r w:rsidRPr="0068642B">
              <w:t>10a</w:t>
            </w:r>
            <w:r w:rsidR="007B478F" w:rsidRPr="0068642B">
              <w:t>m</w:t>
            </w:r>
            <w:r w:rsidR="008F5B18">
              <w:t>,</w:t>
            </w:r>
            <w:r w:rsidRPr="0068642B">
              <w:t xml:space="preserve"> 4 </w:t>
            </w:r>
            <w:r w:rsidR="00D0184E" w:rsidRPr="0068642B">
              <w:t>February 2019</w:t>
            </w:r>
          </w:p>
        </w:tc>
      </w:tr>
      <w:tr w:rsidR="00D0184E" w14:paraId="1E7A171A" w14:textId="77777777" w:rsidTr="00271B18">
        <w:tc>
          <w:tcPr>
            <w:tcW w:w="6091" w:type="dxa"/>
          </w:tcPr>
          <w:p w14:paraId="51D7F339" w14:textId="74FF51C8" w:rsidR="00D0184E" w:rsidRDefault="00D0184E" w:rsidP="005B0688">
            <w:r>
              <w:t>Evaluation/Moderation – Stage 1</w:t>
            </w:r>
          </w:p>
        </w:tc>
        <w:tc>
          <w:tcPr>
            <w:tcW w:w="2925" w:type="dxa"/>
          </w:tcPr>
          <w:p w14:paraId="649AB762" w14:textId="5E36EA76" w:rsidR="00D0184E" w:rsidRPr="0068642B" w:rsidRDefault="00D0184E" w:rsidP="005B0688">
            <w:r w:rsidRPr="0068642B">
              <w:t>7</w:t>
            </w:r>
            <w:r w:rsidR="007B478F" w:rsidRPr="0068642B">
              <w:t xml:space="preserve"> </w:t>
            </w:r>
            <w:r w:rsidRPr="0068642B">
              <w:t xml:space="preserve">February 2019 </w:t>
            </w:r>
          </w:p>
        </w:tc>
      </w:tr>
      <w:tr w:rsidR="00D0184E" w14:paraId="6C649C4B" w14:textId="77777777" w:rsidTr="00271B18">
        <w:tc>
          <w:tcPr>
            <w:tcW w:w="6091" w:type="dxa"/>
          </w:tcPr>
          <w:p w14:paraId="4CD4F485" w14:textId="67071E95" w:rsidR="00D0184E" w:rsidRDefault="00D0184E" w:rsidP="005B0688">
            <w:r>
              <w:t xml:space="preserve">Presentations </w:t>
            </w:r>
          </w:p>
        </w:tc>
        <w:tc>
          <w:tcPr>
            <w:tcW w:w="2925" w:type="dxa"/>
          </w:tcPr>
          <w:p w14:paraId="20B57560" w14:textId="1A686FBC" w:rsidR="00D0184E" w:rsidRPr="0068642B" w:rsidRDefault="00D0184E" w:rsidP="005B0688">
            <w:r w:rsidRPr="0068642B">
              <w:t>14</w:t>
            </w:r>
            <w:r w:rsidR="007B478F" w:rsidRPr="0068642B">
              <w:t xml:space="preserve"> </w:t>
            </w:r>
            <w:r w:rsidRPr="0068642B">
              <w:t>February 2019</w:t>
            </w:r>
          </w:p>
        </w:tc>
      </w:tr>
      <w:tr w:rsidR="00D0184E" w14:paraId="62FDEDDF" w14:textId="77777777" w:rsidTr="00271B18">
        <w:tc>
          <w:tcPr>
            <w:tcW w:w="6091" w:type="dxa"/>
          </w:tcPr>
          <w:p w14:paraId="55ECD30E" w14:textId="7B423557" w:rsidR="00D0184E" w:rsidRDefault="00D0184E" w:rsidP="005B0688">
            <w:r>
              <w:t xml:space="preserve">Evaluation/Moderation – Stage 2 </w:t>
            </w:r>
          </w:p>
        </w:tc>
        <w:tc>
          <w:tcPr>
            <w:tcW w:w="2925" w:type="dxa"/>
          </w:tcPr>
          <w:p w14:paraId="79699820" w14:textId="330990D7" w:rsidR="00D0184E" w:rsidRPr="0068642B" w:rsidRDefault="00D0184E" w:rsidP="005B0688">
            <w:r w:rsidRPr="0068642B">
              <w:t>15</w:t>
            </w:r>
            <w:r w:rsidR="007B478F" w:rsidRPr="0068642B">
              <w:t xml:space="preserve"> </w:t>
            </w:r>
            <w:r w:rsidRPr="0068642B">
              <w:t xml:space="preserve">February 2019 </w:t>
            </w:r>
          </w:p>
        </w:tc>
      </w:tr>
      <w:tr w:rsidR="00D0184E" w14:paraId="3032DF9A" w14:textId="77777777" w:rsidTr="00271B18">
        <w:tc>
          <w:tcPr>
            <w:tcW w:w="6091" w:type="dxa"/>
          </w:tcPr>
          <w:p w14:paraId="0B1F6D74" w14:textId="76AFB656" w:rsidR="00D0184E" w:rsidRDefault="00D0184E" w:rsidP="005B0688">
            <w:r>
              <w:t xml:space="preserve">Approval to award </w:t>
            </w:r>
          </w:p>
        </w:tc>
        <w:tc>
          <w:tcPr>
            <w:tcW w:w="2925" w:type="dxa"/>
          </w:tcPr>
          <w:p w14:paraId="4FB6BB0E" w14:textId="3D610D28" w:rsidR="00D0184E" w:rsidRPr="0068642B" w:rsidRDefault="00D0184E" w:rsidP="005B0688">
            <w:r w:rsidRPr="0068642B">
              <w:t>18</w:t>
            </w:r>
            <w:r w:rsidR="0009374F" w:rsidRPr="0068642B">
              <w:t xml:space="preserve"> </w:t>
            </w:r>
            <w:r w:rsidRPr="0068642B">
              <w:t>February 2019</w:t>
            </w:r>
          </w:p>
        </w:tc>
      </w:tr>
      <w:tr w:rsidR="00D0184E" w14:paraId="661E6EF6" w14:textId="77777777" w:rsidTr="00271B18">
        <w:tc>
          <w:tcPr>
            <w:tcW w:w="6091" w:type="dxa"/>
          </w:tcPr>
          <w:p w14:paraId="674C6C14" w14:textId="1E0344E8" w:rsidR="00D0184E" w:rsidRDefault="00D0184E" w:rsidP="005B0688">
            <w:r>
              <w:t>Notification of intention to award</w:t>
            </w:r>
          </w:p>
        </w:tc>
        <w:tc>
          <w:tcPr>
            <w:tcW w:w="2925" w:type="dxa"/>
          </w:tcPr>
          <w:p w14:paraId="79DB1E18" w14:textId="44CD5DD8" w:rsidR="00D0184E" w:rsidRPr="0068642B" w:rsidRDefault="00D0184E" w:rsidP="005B0688">
            <w:r w:rsidRPr="0068642B">
              <w:t>18</w:t>
            </w:r>
            <w:r w:rsidR="0009374F" w:rsidRPr="0068642B">
              <w:t xml:space="preserve"> </w:t>
            </w:r>
            <w:r w:rsidRPr="0068642B">
              <w:t>February 2019</w:t>
            </w:r>
          </w:p>
        </w:tc>
      </w:tr>
      <w:tr w:rsidR="00D0184E" w14:paraId="72802ECD" w14:textId="77777777" w:rsidTr="00271B18">
        <w:tc>
          <w:tcPr>
            <w:tcW w:w="6091" w:type="dxa"/>
          </w:tcPr>
          <w:p w14:paraId="3893B11A" w14:textId="52C459BE" w:rsidR="00D0184E" w:rsidRDefault="00D0184E" w:rsidP="005B0688">
            <w:r>
              <w:t>Standstill period starts</w:t>
            </w:r>
          </w:p>
        </w:tc>
        <w:tc>
          <w:tcPr>
            <w:tcW w:w="2925" w:type="dxa"/>
          </w:tcPr>
          <w:p w14:paraId="14FE1534" w14:textId="3575541D" w:rsidR="00D0184E" w:rsidRPr="0068642B" w:rsidRDefault="0009374F" w:rsidP="005B0688">
            <w:r w:rsidRPr="0068642B">
              <w:t>19 February</w:t>
            </w:r>
            <w:r w:rsidR="00D0184E" w:rsidRPr="0068642B">
              <w:t xml:space="preserve"> 201</w:t>
            </w:r>
            <w:r w:rsidR="002814A0" w:rsidRPr="0068642B">
              <w:t>9</w:t>
            </w:r>
          </w:p>
        </w:tc>
      </w:tr>
      <w:tr w:rsidR="00D0184E" w14:paraId="0249BE6C" w14:textId="77777777" w:rsidTr="00271B18">
        <w:tc>
          <w:tcPr>
            <w:tcW w:w="6091" w:type="dxa"/>
          </w:tcPr>
          <w:p w14:paraId="70BD08FA" w14:textId="0B551AD9" w:rsidR="00D0184E" w:rsidRDefault="00D0184E" w:rsidP="005B0688">
            <w:r>
              <w:t>Standstill period ends</w:t>
            </w:r>
          </w:p>
        </w:tc>
        <w:tc>
          <w:tcPr>
            <w:tcW w:w="2925" w:type="dxa"/>
          </w:tcPr>
          <w:p w14:paraId="1F0E4A6B" w14:textId="1E16F047" w:rsidR="00D0184E" w:rsidRPr="0068642B" w:rsidRDefault="00D0184E" w:rsidP="005B0688">
            <w:r w:rsidRPr="0068642B">
              <w:t>Midnight</w:t>
            </w:r>
            <w:r w:rsidR="008F5B18">
              <w:t>,</w:t>
            </w:r>
            <w:r w:rsidRPr="0068642B">
              <w:t xml:space="preserve"> 1</w:t>
            </w:r>
            <w:r w:rsidR="002814A0" w:rsidRPr="0068642B">
              <w:t xml:space="preserve"> </w:t>
            </w:r>
            <w:r w:rsidRPr="0068642B">
              <w:t xml:space="preserve">March </w:t>
            </w:r>
            <w:r w:rsidR="002814A0" w:rsidRPr="0068642B">
              <w:t>2019</w:t>
            </w:r>
          </w:p>
        </w:tc>
      </w:tr>
      <w:tr w:rsidR="00D0184E" w14:paraId="263ECE65" w14:textId="77777777" w:rsidTr="00271B18">
        <w:tc>
          <w:tcPr>
            <w:tcW w:w="6091" w:type="dxa"/>
          </w:tcPr>
          <w:p w14:paraId="004C8E5F" w14:textId="0B0E66C2" w:rsidR="00D0184E" w:rsidRDefault="00D0184E" w:rsidP="005B0688">
            <w:r>
              <w:t>Award</w:t>
            </w:r>
          </w:p>
        </w:tc>
        <w:tc>
          <w:tcPr>
            <w:tcW w:w="2925" w:type="dxa"/>
          </w:tcPr>
          <w:p w14:paraId="13FE84F1" w14:textId="375F238D" w:rsidR="00D0184E" w:rsidRPr="0068642B" w:rsidRDefault="00D0184E" w:rsidP="005B0688">
            <w:r w:rsidRPr="0068642B">
              <w:t>4</w:t>
            </w:r>
            <w:r w:rsidR="002814A0" w:rsidRPr="0068642B">
              <w:t xml:space="preserve"> </w:t>
            </w:r>
            <w:r w:rsidRPr="0068642B">
              <w:t xml:space="preserve">March 2019 </w:t>
            </w:r>
          </w:p>
        </w:tc>
      </w:tr>
      <w:tr w:rsidR="00D0184E" w14:paraId="39A48154" w14:textId="77777777" w:rsidTr="00271B18">
        <w:tc>
          <w:tcPr>
            <w:tcW w:w="6091" w:type="dxa"/>
          </w:tcPr>
          <w:p w14:paraId="6D51BE6C" w14:textId="66FEDA2A" w:rsidR="00D0184E" w:rsidRDefault="00D0184E" w:rsidP="005B0688">
            <w:r>
              <w:t>Signed Call-Off Agreement/commencement date</w:t>
            </w:r>
          </w:p>
        </w:tc>
        <w:tc>
          <w:tcPr>
            <w:tcW w:w="2925" w:type="dxa"/>
          </w:tcPr>
          <w:p w14:paraId="74033210" w14:textId="51C3490F" w:rsidR="00D0184E" w:rsidRPr="0068642B" w:rsidRDefault="00D0184E" w:rsidP="005B0688">
            <w:r w:rsidRPr="0068642B">
              <w:t>4</w:t>
            </w:r>
            <w:r w:rsidR="002814A0" w:rsidRPr="0068642B">
              <w:t xml:space="preserve"> </w:t>
            </w:r>
            <w:r w:rsidRPr="0068642B">
              <w:t>March 2019</w:t>
            </w:r>
          </w:p>
        </w:tc>
      </w:tr>
    </w:tbl>
    <w:p w14:paraId="440BC3D4" w14:textId="77777777" w:rsidR="000A7A27" w:rsidRDefault="000A7A27" w:rsidP="003C181F">
      <w:pPr>
        <w:pStyle w:val="Heading1"/>
      </w:pPr>
      <w:bookmarkStart w:id="8" w:name="_Toc528656300"/>
    </w:p>
    <w:p w14:paraId="33240311" w14:textId="77777777" w:rsidR="000A7A27" w:rsidRDefault="000A7A27" w:rsidP="003C181F">
      <w:pPr>
        <w:pStyle w:val="Heading1"/>
      </w:pPr>
    </w:p>
    <w:p w14:paraId="7D58F9DE" w14:textId="12647688" w:rsidR="003C181F" w:rsidRDefault="003C181F" w:rsidP="003C181F">
      <w:pPr>
        <w:pStyle w:val="Heading1"/>
      </w:pPr>
      <w:r>
        <w:t>Submitting a Tender</w:t>
      </w:r>
    </w:p>
    <w:p w14:paraId="5976C277" w14:textId="77777777" w:rsidR="003C181F" w:rsidRDefault="003C181F" w:rsidP="003C181F">
      <w:pPr>
        <w:jc w:val="both"/>
      </w:pPr>
      <w:r>
        <w:t>Should you decide to submit a tender response, be advised of the following:</w:t>
      </w:r>
    </w:p>
    <w:p w14:paraId="3C0F4325" w14:textId="77777777" w:rsidR="003C181F" w:rsidRDefault="003C181F" w:rsidP="003C181F">
      <w:pPr>
        <w:pStyle w:val="ListParagraph"/>
        <w:numPr>
          <w:ilvl w:val="0"/>
          <w:numId w:val="28"/>
        </w:numPr>
        <w:jc w:val="both"/>
      </w:pPr>
      <w:r>
        <w:lastRenderedPageBreak/>
        <w:t>It is your responsibility to ensure that a fully compliant tender is submitted.</w:t>
      </w:r>
    </w:p>
    <w:p w14:paraId="308FBC35" w14:textId="77777777" w:rsidR="003C181F" w:rsidRDefault="003C181F" w:rsidP="003C181F">
      <w:pPr>
        <w:pStyle w:val="ListParagraph"/>
        <w:numPr>
          <w:ilvl w:val="0"/>
          <w:numId w:val="28"/>
        </w:numPr>
        <w:jc w:val="both"/>
      </w:pPr>
      <w:r>
        <w:t xml:space="preserve">By submitting a tender, you agree to be bound by the terms of this ITT and the Call-Off Agreement without further negotiation or amendment. </w:t>
      </w:r>
    </w:p>
    <w:p w14:paraId="153407F6" w14:textId="77777777" w:rsidR="003C181F" w:rsidRDefault="003C181F" w:rsidP="003C181F">
      <w:pPr>
        <w:pStyle w:val="ListParagraph"/>
        <w:numPr>
          <w:ilvl w:val="0"/>
          <w:numId w:val="28"/>
        </w:numPr>
        <w:jc w:val="both"/>
      </w:pPr>
      <w:r>
        <w:t>It is suggested that you allow plenty of time for the entering your responses on to the Bravo portal – do not leave it until the day of the tender submission deadline.</w:t>
      </w:r>
    </w:p>
    <w:p w14:paraId="08221F85" w14:textId="77777777" w:rsidR="003C181F" w:rsidRDefault="003C181F" w:rsidP="003C181F">
      <w:pPr>
        <w:pStyle w:val="ListParagraph"/>
        <w:numPr>
          <w:ilvl w:val="0"/>
          <w:numId w:val="28"/>
        </w:numPr>
        <w:jc w:val="both"/>
      </w:pPr>
      <w:r>
        <w:t xml:space="preserve">No additional attachments should be submitted with a tender unless specifically requested by NHS Digital. </w:t>
      </w:r>
    </w:p>
    <w:p w14:paraId="201FD8CE" w14:textId="77777777" w:rsidR="003C181F" w:rsidRDefault="003C181F" w:rsidP="003C181F">
      <w:pPr>
        <w:pStyle w:val="ListParagraph"/>
        <w:numPr>
          <w:ilvl w:val="0"/>
          <w:numId w:val="28"/>
        </w:numPr>
        <w:jc w:val="both"/>
      </w:pPr>
      <w:r>
        <w:t xml:space="preserve">Only information </w:t>
      </w:r>
      <w:proofErr w:type="gramStart"/>
      <w:r>
        <w:t>entered into</w:t>
      </w:r>
      <w:proofErr w:type="gramEnd"/>
      <w:r>
        <w:t xml:space="preserve"> the Bravo portal or provided as an attachment supplied in accordance with the NHS Digital’s instructions will be taken into consideration for evaluation purposes.</w:t>
      </w:r>
    </w:p>
    <w:p w14:paraId="00CD261D" w14:textId="77777777" w:rsidR="003C181F" w:rsidRPr="00EB4BDF" w:rsidRDefault="003C181F" w:rsidP="003C181F">
      <w:pPr>
        <w:pStyle w:val="ListParagraph"/>
        <w:numPr>
          <w:ilvl w:val="0"/>
          <w:numId w:val="28"/>
        </w:numPr>
        <w:jc w:val="both"/>
      </w:pPr>
      <w:r w:rsidRPr="00EB4BDF">
        <w:t xml:space="preserve">NHS Digital requires an </w:t>
      </w:r>
      <w:r w:rsidRPr="008F2752">
        <w:rPr>
          <w:b/>
        </w:rPr>
        <w:t>all-inclusive fixed price</w:t>
      </w:r>
      <w:r w:rsidRPr="00EB4BDF">
        <w:t xml:space="preserve"> for the delivery of this requirement.  </w:t>
      </w:r>
    </w:p>
    <w:p w14:paraId="593BE0C1" w14:textId="77777777" w:rsidR="003C181F" w:rsidRDefault="003C181F" w:rsidP="003C181F">
      <w:pPr>
        <w:pStyle w:val="ListParagraph"/>
        <w:numPr>
          <w:ilvl w:val="0"/>
          <w:numId w:val="28"/>
        </w:numPr>
        <w:jc w:val="both"/>
      </w:pPr>
      <w:r>
        <w:t>Tender responses must be submitted in the English (UK) language.</w:t>
      </w:r>
    </w:p>
    <w:p w14:paraId="692A2B1F" w14:textId="77777777" w:rsidR="003C181F" w:rsidRDefault="003C181F" w:rsidP="003C181F">
      <w:pPr>
        <w:pStyle w:val="ListParagraph"/>
        <w:numPr>
          <w:ilvl w:val="0"/>
          <w:numId w:val="28"/>
        </w:numPr>
        <w:jc w:val="both"/>
      </w:pPr>
      <w:r>
        <w:t>Answer all questions accurately and as fully as possible within limits specified.</w:t>
      </w:r>
    </w:p>
    <w:p w14:paraId="11C535DB" w14:textId="77777777" w:rsidR="003C181F" w:rsidRDefault="003C181F" w:rsidP="003C181F">
      <w:pPr>
        <w:pStyle w:val="ListParagraph"/>
        <w:numPr>
          <w:ilvl w:val="0"/>
          <w:numId w:val="28"/>
        </w:numPr>
        <w:jc w:val="both"/>
      </w:pPr>
      <w:r>
        <w:t>Where options are offered as a response to a question, select the relevant option.</w:t>
      </w:r>
    </w:p>
    <w:p w14:paraId="55AFD41F" w14:textId="77777777" w:rsidR="003C181F" w:rsidRDefault="003C181F" w:rsidP="003C181F">
      <w:pPr>
        <w:pStyle w:val="ListParagraph"/>
        <w:numPr>
          <w:ilvl w:val="0"/>
          <w:numId w:val="28"/>
        </w:numPr>
        <w:jc w:val="both"/>
      </w:pPr>
      <w:r>
        <w:t xml:space="preserve">Do not answer questions by cross referring to other answers or to other materials (e.g. annual company reports located on a web site). </w:t>
      </w:r>
    </w:p>
    <w:p w14:paraId="556980A1" w14:textId="77777777" w:rsidR="003C181F" w:rsidRDefault="003C181F" w:rsidP="003C181F">
      <w:pPr>
        <w:pStyle w:val="ListParagraph"/>
        <w:numPr>
          <w:ilvl w:val="0"/>
          <w:numId w:val="28"/>
        </w:numPr>
        <w:jc w:val="both"/>
      </w:pPr>
      <w:r>
        <w:t xml:space="preserve">NHS Digital may disregard any part of a response to a question which exceeds the specified limit (i.e. the excess will be disregarded, not the whole response). </w:t>
      </w:r>
    </w:p>
    <w:p w14:paraId="4B787262" w14:textId="77777777" w:rsidR="003C181F" w:rsidRDefault="003C181F" w:rsidP="003C181F">
      <w:pPr>
        <w:pStyle w:val="ListParagraph"/>
        <w:numPr>
          <w:ilvl w:val="0"/>
          <w:numId w:val="28"/>
        </w:numPr>
        <w:jc w:val="both"/>
      </w:pPr>
      <w:r>
        <w:t xml:space="preserve">Tenders must be received by NHS Digital before the stated deadline in the procurement timetable </w:t>
      </w:r>
    </w:p>
    <w:p w14:paraId="66C907E5" w14:textId="77777777" w:rsidR="003C181F" w:rsidRDefault="003C181F" w:rsidP="003C181F">
      <w:pPr>
        <w:pStyle w:val="ListParagraph"/>
        <w:numPr>
          <w:ilvl w:val="0"/>
          <w:numId w:val="28"/>
        </w:numPr>
        <w:jc w:val="both"/>
      </w:pPr>
      <w:r>
        <w:t>Tenders received after the stated deadline will be excluded from this procurement.</w:t>
      </w:r>
    </w:p>
    <w:p w14:paraId="4940C46B" w14:textId="77777777" w:rsidR="003C181F" w:rsidRDefault="003C181F" w:rsidP="003C181F">
      <w:pPr>
        <w:pStyle w:val="ListParagraph"/>
        <w:numPr>
          <w:ilvl w:val="0"/>
          <w:numId w:val="28"/>
        </w:numPr>
        <w:jc w:val="both"/>
      </w:pPr>
      <w:r>
        <w:t>It is your responsibility for ensuring that your tender has been successfully completed and submitted prior to the stated deadline.</w:t>
      </w:r>
    </w:p>
    <w:p w14:paraId="54BC09BF" w14:textId="77777777" w:rsidR="003C181F" w:rsidRDefault="003C181F" w:rsidP="003C181F">
      <w:pPr>
        <w:pStyle w:val="ListParagraph"/>
        <w:numPr>
          <w:ilvl w:val="0"/>
          <w:numId w:val="28"/>
        </w:numPr>
        <w:jc w:val="both"/>
      </w:pPr>
      <w:r>
        <w:t>Tenders must be submitted via the Bravo portal only.</w:t>
      </w:r>
    </w:p>
    <w:p w14:paraId="4CCECC29" w14:textId="77777777" w:rsidR="003C181F" w:rsidRDefault="003C181F" w:rsidP="003C181F">
      <w:pPr>
        <w:pStyle w:val="ListParagraph"/>
        <w:numPr>
          <w:ilvl w:val="0"/>
          <w:numId w:val="28"/>
        </w:numPr>
        <w:jc w:val="both"/>
      </w:pPr>
      <w:r>
        <w:t xml:space="preserve">Tenders must remain valid and capable of acceptance by NHS Digital for a period of 90 calendar days following the submission deadline. </w:t>
      </w:r>
    </w:p>
    <w:p w14:paraId="347B30B0" w14:textId="77777777" w:rsidR="003C181F" w:rsidRDefault="003C181F" w:rsidP="003C181F">
      <w:pPr>
        <w:pStyle w:val="ListParagraph"/>
        <w:numPr>
          <w:ilvl w:val="0"/>
          <w:numId w:val="28"/>
        </w:numPr>
        <w:jc w:val="both"/>
      </w:pPr>
      <w:r>
        <w:t xml:space="preserve">You must not collude with nor disclose the fact of your intention to submit a tender to other potential providers. </w:t>
      </w:r>
    </w:p>
    <w:p w14:paraId="7507AA13" w14:textId="77777777" w:rsidR="003C181F" w:rsidRDefault="003C181F" w:rsidP="003C181F">
      <w:pPr>
        <w:pStyle w:val="ListParagraph"/>
        <w:numPr>
          <w:ilvl w:val="0"/>
          <w:numId w:val="28"/>
        </w:numPr>
        <w:jc w:val="both"/>
      </w:pPr>
      <w:r>
        <w:t>NHS Digital may disclose information provided by a tenderer where there is express provision to do so in accordance with Regulation 21 (2).</w:t>
      </w:r>
    </w:p>
    <w:p w14:paraId="42148873" w14:textId="77777777" w:rsidR="003C181F" w:rsidRDefault="003C181F" w:rsidP="003C181F">
      <w:pPr>
        <w:pStyle w:val="ListParagraph"/>
        <w:numPr>
          <w:ilvl w:val="0"/>
          <w:numId w:val="28"/>
        </w:numPr>
        <w:jc w:val="both"/>
      </w:pPr>
      <w:r>
        <w:t>Variant bids will not be accepted.</w:t>
      </w:r>
    </w:p>
    <w:p w14:paraId="28C36CD6" w14:textId="77777777" w:rsidR="003C181F" w:rsidRDefault="003C181F" w:rsidP="003C181F">
      <w:pPr>
        <w:pStyle w:val="ListParagraph"/>
        <w:numPr>
          <w:ilvl w:val="0"/>
          <w:numId w:val="28"/>
        </w:numPr>
        <w:jc w:val="both"/>
      </w:pPr>
      <w:r>
        <w:t xml:space="preserve">NHS Digital intends to comply with its transparency requirements by, following the award of the Contract ( if the contract is awarded), promptly publishing details of the Contract on Contracts Finder and such details will include as a minimum: who has won the contract, the contract value, and (for </w:t>
      </w:r>
      <w:proofErr w:type="spellStart"/>
      <w:r>
        <w:t>procurments</w:t>
      </w:r>
      <w:proofErr w:type="spellEnd"/>
      <w:r>
        <w:t xml:space="preserve"> below the EU thresholds) indicate whether the winning supplier is a small business, voluntary organisation or charity. </w:t>
      </w:r>
    </w:p>
    <w:p w14:paraId="6C330509" w14:textId="77777777" w:rsidR="003C181F" w:rsidRDefault="003C181F" w:rsidP="003C181F">
      <w:pPr>
        <w:pStyle w:val="ListParagraph"/>
        <w:numPr>
          <w:ilvl w:val="0"/>
          <w:numId w:val="28"/>
        </w:numPr>
        <w:jc w:val="both"/>
      </w:pPr>
      <w:r>
        <w:lastRenderedPageBreak/>
        <w:t>No discussion, canvassing or soliciting of NHS Digital's staff should takes place, which may be deemed to have a bearing on the construction of a Tender response.</w:t>
      </w:r>
    </w:p>
    <w:p w14:paraId="7C552C6B" w14:textId="77777777" w:rsidR="003C181F" w:rsidRDefault="003C181F" w:rsidP="003C181F">
      <w:pPr>
        <w:pStyle w:val="ListParagraph"/>
        <w:numPr>
          <w:ilvl w:val="0"/>
          <w:numId w:val="28"/>
        </w:numPr>
        <w:jc w:val="both"/>
      </w:pPr>
      <w:r>
        <w:t xml:space="preserve">All information supplied by NHS Digital to you must be treated in confidence and not disclosed to third parties except insofar as this is necessary to obtain sureties or quotations for submitting the Tender. All information supplied by you to NHS Digital will similarly be treated in confidence except for the disclosure of such information </w:t>
      </w:r>
      <w:proofErr w:type="gramStart"/>
      <w:r>
        <w:t>with regard to</w:t>
      </w:r>
      <w:proofErr w:type="gramEnd"/>
      <w:r>
        <w:t xml:space="preserve"> the outcome of the procurement process.</w:t>
      </w:r>
    </w:p>
    <w:p w14:paraId="6A95F257" w14:textId="77777777" w:rsidR="003C181F" w:rsidRDefault="003C181F" w:rsidP="003C181F">
      <w:pPr>
        <w:pStyle w:val="ListParagraph"/>
        <w:numPr>
          <w:ilvl w:val="0"/>
          <w:numId w:val="28"/>
        </w:numPr>
        <w:jc w:val="both"/>
      </w:pPr>
      <w:r>
        <w:t>NHS Digital may share information with NHS England and the Department of Health (as may be relevant), and with central government organisations as may be required in accordance with its functions.</w:t>
      </w:r>
    </w:p>
    <w:p w14:paraId="4E3C60C3" w14:textId="77777777" w:rsidR="003C181F" w:rsidRDefault="003C181F" w:rsidP="0068140F">
      <w:pPr>
        <w:pStyle w:val="Heading1"/>
      </w:pPr>
    </w:p>
    <w:bookmarkEnd w:id="8"/>
    <w:p w14:paraId="40535D52" w14:textId="541A7F1C" w:rsidR="00E66D66" w:rsidRDefault="00552894" w:rsidP="00E66D66">
      <w:pPr>
        <w:pStyle w:val="Heading1"/>
      </w:pPr>
      <w:r>
        <w:br w:type="page"/>
      </w:r>
      <w:bookmarkStart w:id="9" w:name="_Toc528656301"/>
      <w:r w:rsidR="00E66D66">
        <w:lastRenderedPageBreak/>
        <w:t>Questions and Clarifications</w:t>
      </w:r>
      <w:bookmarkEnd w:id="9"/>
    </w:p>
    <w:p w14:paraId="7FD22F6B" w14:textId="77777777" w:rsidR="00E66D66" w:rsidRDefault="00E66D66" w:rsidP="000E13A9">
      <w:pPr>
        <w:spacing w:after="0"/>
        <w:textboxTightWrap w:val="none"/>
      </w:pPr>
    </w:p>
    <w:p w14:paraId="4283B1FB" w14:textId="0C7501C9" w:rsidR="00A508FB" w:rsidRDefault="000E13A9" w:rsidP="000E13A9">
      <w:pPr>
        <w:spacing w:after="0"/>
        <w:textboxTightWrap w:val="none"/>
      </w:pPr>
      <w:r>
        <w:t>You may raise questions or seek clarification regarding any aspect of this procurement at any time prior to the deadline for submitting questions – please refer to the procurement timetable</w:t>
      </w:r>
      <w:r w:rsidR="00A508FB">
        <w:t>.</w:t>
      </w:r>
    </w:p>
    <w:p w14:paraId="7BDDCED3" w14:textId="77777777" w:rsidR="00A508FB" w:rsidRDefault="00A508FB" w:rsidP="000E13A9">
      <w:pPr>
        <w:spacing w:after="0"/>
        <w:textboxTightWrap w:val="none"/>
      </w:pPr>
    </w:p>
    <w:p w14:paraId="591F6526" w14:textId="575FFA0D" w:rsidR="000E13A9" w:rsidRDefault="00A508FB" w:rsidP="000E13A9">
      <w:pPr>
        <w:spacing w:after="0"/>
        <w:textboxTightWrap w:val="none"/>
      </w:pPr>
      <w:r>
        <w:t>All q</w:t>
      </w:r>
      <w:r w:rsidR="000E13A9">
        <w:t xml:space="preserve">uestions must be submitted using the messaging facility provided within the </w:t>
      </w:r>
      <w:r>
        <w:t>Bravo portal</w:t>
      </w:r>
      <w:r w:rsidR="000E13A9">
        <w:t xml:space="preserve">. </w:t>
      </w:r>
    </w:p>
    <w:p w14:paraId="24783B69" w14:textId="77777777" w:rsidR="000E13A9" w:rsidRDefault="000E13A9" w:rsidP="000E13A9">
      <w:pPr>
        <w:spacing w:after="0"/>
        <w:textboxTightWrap w:val="none"/>
      </w:pPr>
    </w:p>
    <w:p w14:paraId="749E5C6B" w14:textId="42C34ED3" w:rsidR="000E13A9" w:rsidRDefault="000E13A9" w:rsidP="000E13A9">
      <w:pPr>
        <w:spacing w:after="0"/>
        <w:textboxTightWrap w:val="none"/>
      </w:pPr>
      <w:r>
        <w:t xml:space="preserve">To ensure that all </w:t>
      </w:r>
      <w:r w:rsidR="00A508FB">
        <w:t>p</w:t>
      </w:r>
      <w:r>
        <w:t xml:space="preserve">otential </w:t>
      </w:r>
      <w:r w:rsidR="00A508FB">
        <w:t>p</w:t>
      </w:r>
      <w:r>
        <w:t xml:space="preserve">roviders have equal access to information regarding this </w:t>
      </w:r>
      <w:r w:rsidR="00A508FB">
        <w:t>p</w:t>
      </w:r>
      <w:r>
        <w:t xml:space="preserve">rocurement, </w:t>
      </w:r>
      <w:r w:rsidR="00A508FB">
        <w:t>NHS Digital</w:t>
      </w:r>
      <w:r>
        <w:t xml:space="preserve"> will publish</w:t>
      </w:r>
      <w:r w:rsidR="00312485">
        <w:t xml:space="preserve"> </w:t>
      </w:r>
      <w:r>
        <w:t>its responses to questions asked and or clarifications raised</w:t>
      </w:r>
      <w:r w:rsidR="00C47DD5">
        <w:t xml:space="preserve"> – subject to commercially confidential considerations and the NDA mentioned earlier in this document</w:t>
      </w:r>
      <w:r>
        <w:t>.</w:t>
      </w:r>
    </w:p>
    <w:p w14:paraId="7A4C7AEA" w14:textId="77777777" w:rsidR="000E13A9" w:rsidRDefault="000E13A9" w:rsidP="000E13A9">
      <w:pPr>
        <w:spacing w:after="0"/>
        <w:textboxTightWrap w:val="none"/>
      </w:pPr>
    </w:p>
    <w:p w14:paraId="55DFFFE8" w14:textId="77777777" w:rsidR="00684443" w:rsidRDefault="000E13A9" w:rsidP="000E13A9">
      <w:pPr>
        <w:spacing w:after="0"/>
        <w:textboxTightWrap w:val="none"/>
      </w:pPr>
      <w:r>
        <w:t xml:space="preserve">If </w:t>
      </w:r>
      <w:r w:rsidR="00A508FB">
        <w:t>you</w:t>
      </w:r>
      <w:r>
        <w:t xml:space="preserve"> wi</w:t>
      </w:r>
      <w:r w:rsidR="00A508FB">
        <w:t>sh</w:t>
      </w:r>
      <w:r>
        <w:t xml:space="preserve"> to ask a question or seek clarification in </w:t>
      </w:r>
      <w:proofErr w:type="gramStart"/>
      <w:r>
        <w:t>confidence</w:t>
      </w:r>
      <w:proofErr w:type="gramEnd"/>
      <w:r>
        <w:t xml:space="preserve"> </w:t>
      </w:r>
      <w:r w:rsidR="00A508FB">
        <w:t>please notify NHS Digital</w:t>
      </w:r>
      <w:r>
        <w:t xml:space="preserve"> and provide </w:t>
      </w:r>
      <w:r w:rsidR="00A508FB">
        <w:t xml:space="preserve">your reasons </w:t>
      </w:r>
      <w:r>
        <w:t xml:space="preserve">for withholding the question and any response. </w:t>
      </w:r>
    </w:p>
    <w:p w14:paraId="196CFA04" w14:textId="77777777" w:rsidR="00684443" w:rsidRDefault="00684443" w:rsidP="000E13A9">
      <w:pPr>
        <w:spacing w:after="0"/>
        <w:textboxTightWrap w:val="none"/>
      </w:pPr>
    </w:p>
    <w:p w14:paraId="4755168C" w14:textId="7BF3CDF7" w:rsidR="000E13A9" w:rsidRDefault="000E13A9" w:rsidP="000E13A9">
      <w:pPr>
        <w:spacing w:after="0"/>
        <w:textboxTightWrap w:val="none"/>
      </w:pPr>
      <w:r>
        <w:t xml:space="preserve">If </w:t>
      </w:r>
      <w:r w:rsidR="00684443">
        <w:t>NHS Digital</w:t>
      </w:r>
      <w:r>
        <w:t xml:space="preserve"> does not consider that there is </w:t>
      </w:r>
      <w:proofErr w:type="gramStart"/>
      <w:r>
        <w:t>sufficient</w:t>
      </w:r>
      <w:proofErr w:type="gramEnd"/>
      <w:r>
        <w:t xml:space="preserve"> justification for withholding the question and the corresponding response, </w:t>
      </w:r>
      <w:r w:rsidR="006431D9">
        <w:t>NHS Digital</w:t>
      </w:r>
      <w:r>
        <w:t xml:space="preserve"> will inform </w:t>
      </w:r>
      <w:r w:rsidR="006431D9">
        <w:t>you.</w:t>
      </w:r>
      <w:r>
        <w:t xml:space="preserve"> </w:t>
      </w:r>
      <w:r w:rsidR="006431D9">
        <w:t>You</w:t>
      </w:r>
      <w:r>
        <w:t xml:space="preserve"> will have an opportunity to withdraw the question or clarification.  If the question and or clarification is not withdrawn, then the response will be issued to all Potential Providers.  </w:t>
      </w:r>
    </w:p>
    <w:p w14:paraId="264EE116" w14:textId="77777777" w:rsidR="000E13A9" w:rsidRDefault="000E13A9" w:rsidP="000E13A9">
      <w:pPr>
        <w:spacing w:after="0"/>
        <w:textboxTightWrap w:val="none"/>
      </w:pPr>
    </w:p>
    <w:p w14:paraId="3B1DD5DF" w14:textId="582784CF" w:rsidR="006431D9" w:rsidRDefault="006431D9" w:rsidP="006431D9">
      <w:pPr>
        <w:spacing w:after="0"/>
        <w:textboxTightWrap w:val="none"/>
      </w:pPr>
      <w:r>
        <w:t>You</w:t>
      </w:r>
      <w:r w:rsidR="000E13A9">
        <w:t xml:space="preserve"> are responsible for monitoring the </w:t>
      </w:r>
      <w:r>
        <w:t xml:space="preserve">Bravo portal </w:t>
      </w:r>
      <w:r w:rsidR="000E13A9">
        <w:t xml:space="preserve">for any responses to questions, general clarifications or other information issued by </w:t>
      </w:r>
      <w:r>
        <w:t>NHS Digital</w:t>
      </w:r>
      <w:r w:rsidR="00312485">
        <w:t xml:space="preserve"> relating to this procurement</w:t>
      </w:r>
      <w:r w:rsidR="000E13A9">
        <w:t xml:space="preserve">. </w:t>
      </w:r>
    </w:p>
    <w:p w14:paraId="11A44A7F" w14:textId="7F1EE132" w:rsidR="00021F72" w:rsidRPr="00312485" w:rsidRDefault="00021F72">
      <w:pPr>
        <w:spacing w:after="0"/>
        <w:textboxTightWrap w:val="none"/>
      </w:pPr>
      <w:r>
        <w:br w:type="page"/>
      </w:r>
    </w:p>
    <w:p w14:paraId="72A26739" w14:textId="1D149B22" w:rsidR="003573C9" w:rsidRDefault="00577D4B" w:rsidP="00602421">
      <w:pPr>
        <w:pStyle w:val="Heading1"/>
      </w:pPr>
      <w:bookmarkStart w:id="10" w:name="_Toc528656302"/>
      <w:r>
        <w:lastRenderedPageBreak/>
        <w:t xml:space="preserve">Tender Evaluation </w:t>
      </w:r>
      <w:r w:rsidR="00C55724">
        <w:t xml:space="preserve">Questions and </w:t>
      </w:r>
      <w:r>
        <w:t>Criteria</w:t>
      </w:r>
      <w:bookmarkEnd w:id="0"/>
      <w:bookmarkEnd w:id="1"/>
      <w:bookmarkEnd w:id="2"/>
      <w:bookmarkEnd w:id="3"/>
      <w:bookmarkEnd w:id="10"/>
    </w:p>
    <w:p w14:paraId="39480BE1" w14:textId="77777777" w:rsidR="006F0FEA" w:rsidRDefault="006F0FEA" w:rsidP="006F0FEA">
      <w:pPr>
        <w:jc w:val="both"/>
      </w:pPr>
      <w:r>
        <w:t xml:space="preserve">This document provides an overview of the methodology which will be used by NHS Digital to evaluate tender responses received by the stated deadline, including the methodology and scoring mechanism which NHS Digital will apply. </w:t>
      </w:r>
    </w:p>
    <w:p w14:paraId="1BFC9706" w14:textId="7302C384" w:rsidR="006F0FEA" w:rsidRDefault="006F0FEA" w:rsidP="006F0FEA">
      <w:pPr>
        <w:jc w:val="both"/>
      </w:pPr>
      <w:r>
        <w:t xml:space="preserve">Evaluation of </w:t>
      </w:r>
      <w:r w:rsidR="00384A3E">
        <w:t xml:space="preserve">written </w:t>
      </w:r>
      <w:r>
        <w:t>tender r</w:t>
      </w:r>
      <w:r w:rsidR="00384A3E">
        <w:t>e</w:t>
      </w:r>
      <w:r>
        <w:t>sponses will take place in three separate stages:</w:t>
      </w:r>
    </w:p>
    <w:p w14:paraId="443A8451" w14:textId="29831E6B" w:rsidR="006F0FEA" w:rsidRDefault="006F0FEA" w:rsidP="00271B18">
      <w:pPr>
        <w:pStyle w:val="ListParagraph"/>
        <w:numPr>
          <w:ilvl w:val="0"/>
          <w:numId w:val="38"/>
        </w:numPr>
        <w:jc w:val="both"/>
      </w:pPr>
      <w:r>
        <w:t>Qualification envelope (pass/fail)</w:t>
      </w:r>
    </w:p>
    <w:p w14:paraId="13F2E7AD" w14:textId="5EED5610" w:rsidR="006F0FEA" w:rsidRDefault="006F0FEA" w:rsidP="00271B18">
      <w:pPr>
        <w:pStyle w:val="ListParagraph"/>
        <w:numPr>
          <w:ilvl w:val="0"/>
          <w:numId w:val="38"/>
        </w:numPr>
        <w:jc w:val="both"/>
      </w:pPr>
      <w:r>
        <w:t xml:space="preserve">Technical envelope (overall weighting </w:t>
      </w:r>
      <w:r w:rsidR="00477F5C">
        <w:t>80</w:t>
      </w:r>
      <w:r>
        <w:t>%)</w:t>
      </w:r>
    </w:p>
    <w:p w14:paraId="4B89CD02" w14:textId="0D20DB94" w:rsidR="006F0FEA" w:rsidRDefault="006F0FEA" w:rsidP="00271B18">
      <w:pPr>
        <w:pStyle w:val="ListParagraph"/>
        <w:numPr>
          <w:ilvl w:val="0"/>
          <w:numId w:val="38"/>
        </w:numPr>
        <w:jc w:val="both"/>
      </w:pPr>
      <w:r>
        <w:t xml:space="preserve">Commercial envelope (overall weighting </w:t>
      </w:r>
      <w:r w:rsidR="00477F5C">
        <w:t>2</w:t>
      </w:r>
      <w:r>
        <w:t>0%)</w:t>
      </w:r>
    </w:p>
    <w:p w14:paraId="4094623B" w14:textId="77777777" w:rsidR="00384A3E" w:rsidRDefault="00384A3E" w:rsidP="00384A3E">
      <w:pPr>
        <w:jc w:val="both"/>
      </w:pPr>
    </w:p>
    <w:p w14:paraId="0915CADE" w14:textId="77777777" w:rsidR="00CA0C62" w:rsidRDefault="00CA0C62" w:rsidP="00CA0C62">
      <w:pPr>
        <w:pStyle w:val="Heading1"/>
      </w:pPr>
      <w:bookmarkStart w:id="11" w:name="_Toc528656303"/>
      <w:r>
        <w:t>Tender Evaluation Process</w:t>
      </w:r>
      <w:bookmarkEnd w:id="11"/>
    </w:p>
    <w:p w14:paraId="3ECC0D07" w14:textId="5645DB47" w:rsidR="00CA0C62" w:rsidRDefault="00CA0C62" w:rsidP="00CA0C62">
      <w:pPr>
        <w:jc w:val="both"/>
      </w:pPr>
      <w:r>
        <w:t>NHS Digital’s evaluation process for each e</w:t>
      </w:r>
      <w:r w:rsidR="00384A3E">
        <w:t>n</w:t>
      </w:r>
      <w:r>
        <w:t xml:space="preserve">velope is explained </w:t>
      </w:r>
      <w:proofErr w:type="gramStart"/>
      <w:r>
        <w:t>below</w:t>
      </w:r>
      <w:r w:rsidR="00477F5C">
        <w:t>:-</w:t>
      </w:r>
      <w:proofErr w:type="gramEnd"/>
    </w:p>
    <w:p w14:paraId="351C8D07" w14:textId="5E1BA975" w:rsidR="00CA0C62" w:rsidRPr="00947E05" w:rsidRDefault="00CA0C62" w:rsidP="00CA0C62">
      <w:pPr>
        <w:jc w:val="both"/>
        <w:rPr>
          <w:b/>
        </w:rPr>
      </w:pPr>
      <w:r>
        <w:rPr>
          <w:b/>
        </w:rPr>
        <w:t>Qualification E</w:t>
      </w:r>
      <w:r w:rsidR="00384A3E">
        <w:rPr>
          <w:b/>
        </w:rPr>
        <w:t>n</w:t>
      </w:r>
      <w:r>
        <w:rPr>
          <w:b/>
        </w:rPr>
        <w:t>velope</w:t>
      </w:r>
    </w:p>
    <w:p w14:paraId="235B03F6" w14:textId="1F050D56" w:rsidR="00CA0C62" w:rsidRDefault="00CA0C62" w:rsidP="00CA0C62">
      <w:pPr>
        <w:jc w:val="both"/>
      </w:pPr>
      <w:r>
        <w:t>NHS Digital will check each tender response to ensure it is compliant against the qualification envelope questions. Any non-compliant tender responses will be excluded from the procurement at this stage.</w:t>
      </w:r>
    </w:p>
    <w:p w14:paraId="62456174" w14:textId="2CE361BD" w:rsidR="00CA0C62" w:rsidRPr="00CF588C" w:rsidRDefault="00CA0C62" w:rsidP="00CA0C62">
      <w:pPr>
        <w:jc w:val="both"/>
        <w:rPr>
          <w:b/>
        </w:rPr>
      </w:pPr>
      <w:r>
        <w:rPr>
          <w:b/>
        </w:rPr>
        <w:t>Technical Envelope</w:t>
      </w:r>
      <w:r w:rsidR="00384A3E">
        <w:rPr>
          <w:b/>
        </w:rPr>
        <w:t xml:space="preserve"> – Stage 1 (Weighting </w:t>
      </w:r>
      <w:r w:rsidR="00D256FB">
        <w:rPr>
          <w:b/>
        </w:rPr>
        <w:t>7</w:t>
      </w:r>
      <w:r w:rsidR="00384A3E">
        <w:rPr>
          <w:b/>
        </w:rPr>
        <w:t>0% of 80% available)</w:t>
      </w:r>
    </w:p>
    <w:p w14:paraId="1AB878D5" w14:textId="77777777" w:rsidR="00CA0C62" w:rsidRDefault="00CA0C62" w:rsidP="00CA0C62">
      <w:pPr>
        <w:jc w:val="both"/>
      </w:pPr>
      <w:r>
        <w:t xml:space="preserve">An evaluation panel will be convened to assess tender responses surviving the qualification envelope. Each evaluator will: </w:t>
      </w:r>
    </w:p>
    <w:p w14:paraId="3200471E" w14:textId="77777777" w:rsidR="00CA0C62" w:rsidRDefault="00CA0C62" w:rsidP="00CA0C62">
      <w:pPr>
        <w:pStyle w:val="ListParagraph"/>
        <w:numPr>
          <w:ilvl w:val="0"/>
          <w:numId w:val="29"/>
        </w:numPr>
        <w:jc w:val="both"/>
      </w:pPr>
      <w:r>
        <w:t>evaluate individually in isolation, without conferring with other evaluators, by applying the stated criteria</w:t>
      </w:r>
    </w:p>
    <w:p w14:paraId="4FB5052B" w14:textId="77777777" w:rsidR="00CA0C62" w:rsidRDefault="00CA0C62" w:rsidP="00CA0C62">
      <w:pPr>
        <w:pStyle w:val="ListParagraph"/>
        <w:numPr>
          <w:ilvl w:val="0"/>
          <w:numId w:val="29"/>
        </w:numPr>
        <w:jc w:val="both"/>
      </w:pPr>
      <w:r>
        <w:t xml:space="preserve">allocate a mark, along with their rationale, in accordance with </w:t>
      </w:r>
      <w:r w:rsidRPr="00A43EE0">
        <w:t>the</w:t>
      </w:r>
      <w:r>
        <w:t xml:space="preserve"> marking scheme explained in this document</w:t>
      </w:r>
    </w:p>
    <w:p w14:paraId="6E941018" w14:textId="77777777" w:rsidR="00CA0C62" w:rsidRDefault="00CA0C62" w:rsidP="00CA0C62">
      <w:pPr>
        <w:jc w:val="both"/>
      </w:pPr>
      <w:r>
        <w:t xml:space="preserve">When the independent evaluation exercise has been completed by </w:t>
      </w:r>
      <w:proofErr w:type="gramStart"/>
      <w:r>
        <w:t>all of</w:t>
      </w:r>
      <w:proofErr w:type="gramEnd"/>
      <w:r>
        <w:t xml:space="preserve"> the evaluators, a group consensus marking exercise will be coordinated by a consensus marker as follows:</w:t>
      </w:r>
    </w:p>
    <w:p w14:paraId="413A61E1" w14:textId="77777777" w:rsidR="00CA0C62" w:rsidRDefault="00CA0C62" w:rsidP="00CA0C62">
      <w:pPr>
        <w:jc w:val="both"/>
      </w:pPr>
      <w:r>
        <w:t xml:space="preserve">The consensus marker will: </w:t>
      </w:r>
    </w:p>
    <w:p w14:paraId="77C9C3A2" w14:textId="77777777" w:rsidR="00CA0C62" w:rsidRDefault="00CA0C62" w:rsidP="00CA0C62">
      <w:pPr>
        <w:pStyle w:val="ListParagraph"/>
        <w:numPr>
          <w:ilvl w:val="0"/>
          <w:numId w:val="30"/>
        </w:numPr>
        <w:jc w:val="both"/>
      </w:pPr>
      <w:r>
        <w:t>review the marks allocated by the individual evaluators together with their rationale for awarding the marks</w:t>
      </w:r>
    </w:p>
    <w:p w14:paraId="12632852" w14:textId="77777777" w:rsidR="00CA0C62" w:rsidRDefault="00CA0C62" w:rsidP="00CA0C62">
      <w:pPr>
        <w:pStyle w:val="ListParagraph"/>
        <w:numPr>
          <w:ilvl w:val="0"/>
          <w:numId w:val="30"/>
        </w:numPr>
        <w:jc w:val="both"/>
      </w:pPr>
      <w:r>
        <w:t>arrange for the evaluators to meet and discuss the marks they have allocated</w:t>
      </w:r>
    </w:p>
    <w:p w14:paraId="010E9F0B" w14:textId="77777777" w:rsidR="00CA0C62" w:rsidRDefault="00CA0C62" w:rsidP="00CA0C62">
      <w:pPr>
        <w:pStyle w:val="ListParagraph"/>
        <w:numPr>
          <w:ilvl w:val="0"/>
          <w:numId w:val="30"/>
        </w:numPr>
        <w:jc w:val="both"/>
      </w:pPr>
      <w:r>
        <w:t>facilitate discussion among the evaluators regarding the marks awarded and the related rationale</w:t>
      </w:r>
    </w:p>
    <w:p w14:paraId="28F826E3" w14:textId="77777777" w:rsidR="00CA0C62" w:rsidRDefault="00CA0C62" w:rsidP="00CA0C62">
      <w:pPr>
        <w:pStyle w:val="ListParagraph"/>
        <w:numPr>
          <w:ilvl w:val="0"/>
          <w:numId w:val="30"/>
        </w:numPr>
        <w:jc w:val="both"/>
      </w:pPr>
      <w:r>
        <w:t>record the consensus mark and the rationale for the consensus mark in to Bravo</w:t>
      </w:r>
    </w:p>
    <w:p w14:paraId="52F8ADA7" w14:textId="77777777" w:rsidR="00CA0C62" w:rsidRDefault="00CA0C62" w:rsidP="00CA0C62">
      <w:pPr>
        <w:jc w:val="both"/>
      </w:pPr>
      <w:r>
        <w:t>The consensus process will continue until all responses have been consensus marked.</w:t>
      </w:r>
    </w:p>
    <w:p w14:paraId="292AC72F" w14:textId="20F4F4C8" w:rsidR="00CA0C62" w:rsidRDefault="00CA0C62" w:rsidP="00CA0C62">
      <w:pPr>
        <w:jc w:val="both"/>
      </w:pPr>
      <w:r>
        <w:t>This will complete evaluation of the technical envelope</w:t>
      </w:r>
      <w:r w:rsidR="00481B8C">
        <w:t xml:space="preserve"> stage 1</w:t>
      </w:r>
      <w:r>
        <w:t>.</w:t>
      </w:r>
    </w:p>
    <w:p w14:paraId="5188295B" w14:textId="77777777" w:rsidR="00CE6815" w:rsidRDefault="00CE6815" w:rsidP="00CA0C62">
      <w:pPr>
        <w:jc w:val="both"/>
        <w:rPr>
          <w:b/>
        </w:rPr>
      </w:pPr>
    </w:p>
    <w:p w14:paraId="69281A42" w14:textId="343ADEF5" w:rsidR="00CA0C62" w:rsidRDefault="00CA0C62" w:rsidP="00CA0C62">
      <w:pPr>
        <w:jc w:val="both"/>
      </w:pPr>
      <w:r>
        <w:rPr>
          <w:b/>
        </w:rPr>
        <w:lastRenderedPageBreak/>
        <w:t>Commercial Envelope</w:t>
      </w:r>
    </w:p>
    <w:p w14:paraId="42843B0E" w14:textId="07E9B4F0" w:rsidR="00CA0C62" w:rsidRDefault="00CA0C62" w:rsidP="00CA0C62">
      <w:pPr>
        <w:jc w:val="both"/>
      </w:pPr>
      <w:r>
        <w:t>The commerci</w:t>
      </w:r>
      <w:r w:rsidRPr="00D256FB">
        <w:t xml:space="preserve">al envelope will not be opened until the technical envelope evaluation </w:t>
      </w:r>
      <w:r w:rsidR="00384A3E" w:rsidRPr="00D256FB">
        <w:t xml:space="preserve">Stage 1 </w:t>
      </w:r>
      <w:r w:rsidRPr="00D256FB">
        <w:t>is completed.</w:t>
      </w:r>
      <w:r>
        <w:t xml:space="preserve"> Those involved in qualification or technical envelope evaluation will have no knowledge of financial envelope submissions. </w:t>
      </w:r>
    </w:p>
    <w:p w14:paraId="65DA6332" w14:textId="2EFAB98D" w:rsidR="00CA0C62" w:rsidRDefault="00CA0C62" w:rsidP="00CA0C62">
      <w:pPr>
        <w:jc w:val="both"/>
      </w:pPr>
      <w:r>
        <w:t xml:space="preserve">After opening of the commercial envelope, price submissions will be </w:t>
      </w:r>
      <w:proofErr w:type="gramStart"/>
      <w:r>
        <w:t>entered into</w:t>
      </w:r>
      <w:proofErr w:type="gramEnd"/>
      <w:r>
        <w:t xml:space="preserve"> Bravo. </w:t>
      </w:r>
    </w:p>
    <w:p w14:paraId="061C7093" w14:textId="397A13AE" w:rsidR="00CA0C62" w:rsidRDefault="00CA0C62" w:rsidP="00CA0C62">
      <w:pPr>
        <w:jc w:val="both"/>
      </w:pPr>
      <w:r>
        <w:t xml:space="preserve">The commercial envelope score will be added to the technical envelope </w:t>
      </w:r>
      <w:r w:rsidR="00384A3E">
        <w:t xml:space="preserve">stage 1 </w:t>
      </w:r>
      <w:r>
        <w:t>score to determine the total weighted score for each surviving tender response.</w:t>
      </w:r>
    </w:p>
    <w:p w14:paraId="06B5BBAF" w14:textId="77777777" w:rsidR="00940680" w:rsidRPr="00940680" w:rsidRDefault="00940680" w:rsidP="00384A3E">
      <w:pPr>
        <w:keepNext/>
        <w:textboxTightWrap w:val="none"/>
        <w:outlineLvl w:val="0"/>
        <w:rPr>
          <w:b/>
        </w:rPr>
      </w:pPr>
      <w:proofErr w:type="spellStart"/>
      <w:r w:rsidRPr="00940680">
        <w:rPr>
          <w:b/>
        </w:rPr>
        <w:t>Technial</w:t>
      </w:r>
      <w:proofErr w:type="spellEnd"/>
      <w:r w:rsidRPr="00940680">
        <w:rPr>
          <w:b/>
        </w:rPr>
        <w:t xml:space="preserve"> Evaluation Stage 2 </w:t>
      </w:r>
    </w:p>
    <w:p w14:paraId="14B56CF1" w14:textId="3BADCE7A" w:rsidR="00384A3E" w:rsidRPr="00D256FB" w:rsidRDefault="00384A3E" w:rsidP="00384A3E">
      <w:pPr>
        <w:keepNext/>
        <w:textboxTightWrap w:val="none"/>
        <w:outlineLvl w:val="0"/>
      </w:pPr>
      <w:r w:rsidRPr="00D256FB">
        <w:t xml:space="preserve">Following the </w:t>
      </w:r>
      <w:r w:rsidR="00940680" w:rsidRPr="00D256FB">
        <w:t xml:space="preserve">evaluation of Stage 1 the top scoring </w:t>
      </w:r>
      <w:r w:rsidR="002C273A" w:rsidRPr="00D256FB">
        <w:t xml:space="preserve">four </w:t>
      </w:r>
      <w:r w:rsidR="00940680" w:rsidRPr="00D256FB">
        <w:t>agencies will be invited to p</w:t>
      </w:r>
      <w:r w:rsidR="00154643">
        <w:t>resent</w:t>
      </w:r>
      <w:r w:rsidR="00940680" w:rsidRPr="00D256FB">
        <w:t xml:space="preserve"> for the business</w:t>
      </w:r>
      <w:r w:rsidR="00C01EF6">
        <w:t>. The agenc</w:t>
      </w:r>
      <w:r w:rsidR="00865671">
        <w:t>y’s presentation team must include the key people that will be working on the contract.</w:t>
      </w:r>
      <w:r w:rsidR="001E58E0">
        <w:t xml:space="preserve"> These presentations will take place</w:t>
      </w:r>
      <w:r w:rsidR="00940680" w:rsidRPr="00D256FB">
        <w:t xml:space="preserve"> on </w:t>
      </w:r>
      <w:r w:rsidR="00C879A9">
        <w:t>Thursday 14</w:t>
      </w:r>
      <w:proofErr w:type="gramStart"/>
      <w:r w:rsidR="00C879A9" w:rsidRPr="00C879A9">
        <w:rPr>
          <w:vertAlign w:val="superscript"/>
        </w:rPr>
        <w:t>th</w:t>
      </w:r>
      <w:r w:rsidR="00C879A9">
        <w:t xml:space="preserve"> </w:t>
      </w:r>
      <w:r w:rsidR="009654F9">
        <w:t xml:space="preserve"> February</w:t>
      </w:r>
      <w:proofErr w:type="gramEnd"/>
      <w:r w:rsidR="009654F9">
        <w:t xml:space="preserve"> 2019.</w:t>
      </w:r>
      <w:r w:rsidR="00816C1A">
        <w:t xml:space="preserve"> </w:t>
      </w:r>
      <w:r w:rsidR="00816C1A" w:rsidRPr="00124BD5">
        <w:rPr>
          <w:b/>
        </w:rPr>
        <w:t>Please note being able to pre</w:t>
      </w:r>
      <w:r w:rsidR="00124BD5" w:rsidRPr="00124BD5">
        <w:rPr>
          <w:b/>
        </w:rPr>
        <w:t>sent on this day is a mandatory requirement.</w:t>
      </w:r>
    </w:p>
    <w:p w14:paraId="0F211A11" w14:textId="52CACF38" w:rsidR="00384A3E" w:rsidRPr="00D256FB" w:rsidRDefault="00384A3E" w:rsidP="00384A3E">
      <w:pPr>
        <w:keepNext/>
        <w:textboxTightWrap w:val="none"/>
        <w:outlineLvl w:val="0"/>
      </w:pPr>
      <w:r w:rsidRPr="00D256FB">
        <w:t>The evaluation criteria for the p</w:t>
      </w:r>
      <w:r w:rsidR="00154643">
        <w:t>resentations</w:t>
      </w:r>
      <w:r w:rsidRPr="00D256FB">
        <w:t xml:space="preserve"> (stage two) will be confirmed to agencies prior to the date they take place</w:t>
      </w:r>
      <w:r w:rsidR="00940680" w:rsidRPr="00D256FB">
        <w:t xml:space="preserve"> and will be scored based on the remaining </w:t>
      </w:r>
      <w:r w:rsidR="009152C8" w:rsidRPr="00D256FB">
        <w:t>1</w:t>
      </w:r>
      <w:r w:rsidR="00940680" w:rsidRPr="00D256FB">
        <w:t xml:space="preserve">0% </w:t>
      </w:r>
      <w:r w:rsidR="00481B8C" w:rsidRPr="00D256FB">
        <w:t>of the Technical Envelope Weighting.</w:t>
      </w:r>
      <w:r w:rsidR="00816C1A">
        <w:t xml:space="preserve"> </w:t>
      </w:r>
    </w:p>
    <w:p w14:paraId="03F1C0B7" w14:textId="69C36A7A" w:rsidR="00384A3E" w:rsidRPr="00637FF0" w:rsidRDefault="00384A3E" w:rsidP="00DE09E2">
      <w:pPr>
        <w:keepNext/>
        <w:textboxTightWrap w:val="none"/>
        <w:outlineLvl w:val="0"/>
      </w:pPr>
      <w:r w:rsidRPr="00D256FB">
        <w:t>P</w:t>
      </w:r>
      <w:r w:rsidR="00154643">
        <w:t>re</w:t>
      </w:r>
      <w:r w:rsidR="000D3EA1">
        <w:t>sentation</w:t>
      </w:r>
      <w:r w:rsidRPr="00D256FB">
        <w:t xml:space="preserve">s will be held at </w:t>
      </w:r>
      <w:r w:rsidRPr="00D256FB">
        <w:rPr>
          <w:b/>
        </w:rPr>
        <w:t xml:space="preserve">NHS Digital, </w:t>
      </w:r>
      <w:r w:rsidR="00DE09E2" w:rsidRPr="00D256FB">
        <w:rPr>
          <w:b/>
        </w:rPr>
        <w:t>Vantage House, 40 Aire Street, Leeds, LS1 4HT</w:t>
      </w:r>
    </w:p>
    <w:p w14:paraId="38A7B41C" w14:textId="77777777" w:rsidR="00384A3E" w:rsidRDefault="00384A3E" w:rsidP="00CA0C62">
      <w:pPr>
        <w:jc w:val="both"/>
      </w:pPr>
    </w:p>
    <w:p w14:paraId="0C17711A" w14:textId="77777777" w:rsidR="00CA0C62" w:rsidRPr="005554CE" w:rsidRDefault="00CA0C62" w:rsidP="00CA0C62">
      <w:pPr>
        <w:jc w:val="both"/>
        <w:rPr>
          <w:b/>
        </w:rPr>
      </w:pPr>
      <w:r w:rsidRPr="005554CE">
        <w:rPr>
          <w:b/>
        </w:rPr>
        <w:t>Award of Contract</w:t>
      </w:r>
    </w:p>
    <w:p w14:paraId="7A5AA0AC" w14:textId="77777777" w:rsidR="00CA0C62" w:rsidRDefault="00CA0C62" w:rsidP="00CA0C62">
      <w:pPr>
        <w:jc w:val="both"/>
      </w:pPr>
      <w:r>
        <w:t xml:space="preserve">The tender response awarded the highest total weighted score will be offered the contract. </w:t>
      </w:r>
    </w:p>
    <w:p w14:paraId="01D2E977" w14:textId="659D17BD" w:rsidR="00CA0C62" w:rsidRDefault="00CA0C62" w:rsidP="00CA0C62">
      <w:pPr>
        <w:jc w:val="both"/>
      </w:pPr>
      <w:r>
        <w:t xml:space="preserve">Any contract award is subject to formal signature by both parties providing </w:t>
      </w:r>
      <w:r w:rsidR="00CE6815">
        <w:t>any</w:t>
      </w:r>
      <w:r>
        <w:t xml:space="preserve"> pre</w:t>
      </w:r>
      <w:r w:rsidR="00CE6815">
        <w:t>-</w:t>
      </w:r>
      <w:r>
        <w:t>conditions are met e.g. certificates, statements and other means of proof where potential providers may have relied on self-certification.</w:t>
      </w:r>
    </w:p>
    <w:p w14:paraId="0FD5BF4C" w14:textId="77777777" w:rsidR="00CE6815" w:rsidRDefault="00CE6815" w:rsidP="00CE6815">
      <w:pPr>
        <w:pStyle w:val="Heading1"/>
      </w:pPr>
      <w:bookmarkStart w:id="12" w:name="_Toc528656304"/>
      <w:r>
        <w:t>Qualification Envelope</w:t>
      </w:r>
      <w:bookmarkEnd w:id="12"/>
    </w:p>
    <w:p w14:paraId="16187FA2" w14:textId="138D8667" w:rsidR="00CE6815" w:rsidRDefault="00B20FCC" w:rsidP="00CE6815">
      <w:pPr>
        <w:pStyle w:val="Heading1"/>
        <w:rPr>
          <w:rFonts w:cs="Times New Roman"/>
          <w:b w:val="0"/>
          <w:bCs w:val="0"/>
          <w:color w:val="0F0F0F" w:themeColor="text1"/>
          <w:spacing w:val="0"/>
          <w:kern w:val="0"/>
          <w:sz w:val="24"/>
          <w:szCs w:val="24"/>
          <w14:ligatures w14:val="none"/>
        </w:rPr>
      </w:pPr>
      <w:bookmarkStart w:id="13" w:name="_Toc528656305"/>
      <w:r>
        <w:rPr>
          <w:rFonts w:cs="Times New Roman"/>
          <w:b w:val="0"/>
          <w:bCs w:val="0"/>
          <w:color w:val="0F0F0F" w:themeColor="text1"/>
          <w:spacing w:val="0"/>
          <w:kern w:val="0"/>
          <w:sz w:val="24"/>
          <w:szCs w:val="24"/>
          <w14:ligatures w14:val="none"/>
        </w:rPr>
        <w:t>Work through</w:t>
      </w:r>
      <w:r w:rsidR="00CE6815" w:rsidRPr="00B86794">
        <w:rPr>
          <w:rFonts w:cs="Times New Roman"/>
          <w:b w:val="0"/>
          <w:bCs w:val="0"/>
          <w:color w:val="0F0F0F" w:themeColor="text1"/>
          <w:spacing w:val="0"/>
          <w:kern w:val="0"/>
          <w:sz w:val="24"/>
          <w:szCs w:val="24"/>
          <w14:ligatures w14:val="none"/>
        </w:rPr>
        <w:t xml:space="preserve"> all the questions contained within the </w:t>
      </w:r>
      <w:r w:rsidR="00CE6815">
        <w:rPr>
          <w:rFonts w:cs="Times New Roman"/>
          <w:b w:val="0"/>
          <w:bCs w:val="0"/>
          <w:color w:val="0F0F0F" w:themeColor="text1"/>
          <w:spacing w:val="0"/>
          <w:kern w:val="0"/>
          <w:sz w:val="24"/>
          <w:szCs w:val="24"/>
          <w14:ligatures w14:val="none"/>
        </w:rPr>
        <w:t>qualification envelope.</w:t>
      </w:r>
      <w:r>
        <w:rPr>
          <w:rFonts w:cs="Times New Roman"/>
          <w:b w:val="0"/>
          <w:bCs w:val="0"/>
          <w:color w:val="0F0F0F" w:themeColor="text1"/>
          <w:spacing w:val="0"/>
          <w:kern w:val="0"/>
          <w:sz w:val="24"/>
          <w:szCs w:val="24"/>
          <w14:ligatures w14:val="none"/>
        </w:rPr>
        <w:t xml:space="preserve"> These are generally yes/no confirm/can’t confirm and some which ask for information about your organisation.</w:t>
      </w:r>
      <w:bookmarkEnd w:id="13"/>
    </w:p>
    <w:p w14:paraId="44E52618" w14:textId="77777777" w:rsidR="00CE6815" w:rsidRPr="00A230DE" w:rsidRDefault="00CE6815" w:rsidP="00CE6815">
      <w:r>
        <w:t>Some questions are mandatory and require a response. All such questions are indicated throughout the qualification envelope response form.</w:t>
      </w:r>
    </w:p>
    <w:p w14:paraId="25F3420F" w14:textId="77777777" w:rsidR="00CE6815" w:rsidRDefault="00CE6815" w:rsidP="00CE6815">
      <w:pPr>
        <w:pStyle w:val="Heading1"/>
        <w:rPr>
          <w:rFonts w:cs="Times New Roman"/>
          <w:b w:val="0"/>
          <w:bCs w:val="0"/>
          <w:color w:val="0F0F0F" w:themeColor="text1"/>
          <w:spacing w:val="0"/>
          <w:kern w:val="0"/>
          <w:sz w:val="24"/>
          <w:szCs w:val="24"/>
          <w14:ligatures w14:val="none"/>
        </w:rPr>
      </w:pPr>
      <w:bookmarkStart w:id="14" w:name="_Toc528656306"/>
      <w:r w:rsidRPr="00B86794">
        <w:rPr>
          <w:rFonts w:cs="Times New Roman"/>
          <w:b w:val="0"/>
          <w:bCs w:val="0"/>
          <w:color w:val="0F0F0F" w:themeColor="text1"/>
          <w:spacing w:val="0"/>
          <w:kern w:val="0"/>
          <w:sz w:val="24"/>
          <w:szCs w:val="24"/>
          <w14:ligatures w14:val="none"/>
        </w:rPr>
        <w:t xml:space="preserve">If you </w:t>
      </w:r>
      <w:r>
        <w:rPr>
          <w:rFonts w:cs="Times New Roman"/>
          <w:b w:val="0"/>
          <w:bCs w:val="0"/>
          <w:color w:val="0F0F0F" w:themeColor="text1"/>
          <w:spacing w:val="0"/>
          <w:kern w:val="0"/>
          <w:sz w:val="24"/>
          <w:szCs w:val="24"/>
          <w14:ligatures w14:val="none"/>
        </w:rPr>
        <w:t>do not</w:t>
      </w:r>
      <w:r w:rsidRPr="00B86794">
        <w:rPr>
          <w:rFonts w:cs="Times New Roman"/>
          <w:b w:val="0"/>
          <w:bCs w:val="0"/>
          <w:color w:val="0F0F0F" w:themeColor="text1"/>
          <w:spacing w:val="0"/>
          <w:kern w:val="0"/>
          <w:sz w:val="24"/>
          <w:szCs w:val="24"/>
          <w14:ligatures w14:val="none"/>
        </w:rPr>
        <w:t xml:space="preserve"> provide a response to any applicable question of the </w:t>
      </w:r>
      <w:r>
        <w:rPr>
          <w:rFonts w:cs="Times New Roman"/>
          <w:b w:val="0"/>
          <w:bCs w:val="0"/>
          <w:color w:val="0F0F0F" w:themeColor="text1"/>
          <w:spacing w:val="0"/>
          <w:kern w:val="0"/>
          <w:sz w:val="24"/>
          <w:szCs w:val="24"/>
          <w14:ligatures w14:val="none"/>
        </w:rPr>
        <w:t>qualification envelope</w:t>
      </w:r>
      <w:r w:rsidRPr="00B86794">
        <w:rPr>
          <w:rFonts w:cs="Times New Roman"/>
          <w:b w:val="0"/>
          <w:bCs w:val="0"/>
          <w:color w:val="0F0F0F" w:themeColor="text1"/>
          <w:spacing w:val="0"/>
          <w:kern w:val="0"/>
          <w:sz w:val="24"/>
          <w:szCs w:val="24"/>
          <w14:ligatures w14:val="none"/>
        </w:rPr>
        <w:t xml:space="preserve"> </w:t>
      </w:r>
      <w:r>
        <w:rPr>
          <w:rFonts w:cs="Times New Roman"/>
          <w:b w:val="0"/>
          <w:bCs w:val="0"/>
          <w:color w:val="0F0F0F" w:themeColor="text1"/>
          <w:spacing w:val="0"/>
          <w:kern w:val="0"/>
          <w:sz w:val="24"/>
          <w:szCs w:val="24"/>
          <w14:ligatures w14:val="none"/>
        </w:rPr>
        <w:t xml:space="preserve">your tender </w:t>
      </w:r>
      <w:r w:rsidRPr="00B86794">
        <w:rPr>
          <w:rFonts w:cs="Times New Roman"/>
          <w:b w:val="0"/>
          <w:bCs w:val="0"/>
          <w:color w:val="0F0F0F" w:themeColor="text1"/>
          <w:spacing w:val="0"/>
          <w:kern w:val="0"/>
          <w:sz w:val="24"/>
          <w:szCs w:val="24"/>
          <w14:ligatures w14:val="none"/>
        </w:rPr>
        <w:t>may be deemed to be non-compliant.</w:t>
      </w:r>
      <w:bookmarkEnd w:id="14"/>
      <w:r w:rsidRPr="00B86794">
        <w:rPr>
          <w:rFonts w:cs="Times New Roman"/>
          <w:b w:val="0"/>
          <w:bCs w:val="0"/>
          <w:color w:val="0F0F0F" w:themeColor="text1"/>
          <w:spacing w:val="0"/>
          <w:kern w:val="0"/>
          <w:sz w:val="24"/>
          <w:szCs w:val="24"/>
          <w14:ligatures w14:val="none"/>
        </w:rPr>
        <w:t xml:space="preserve"> </w:t>
      </w:r>
    </w:p>
    <w:p w14:paraId="2E2CD5E0" w14:textId="79B2C01E" w:rsidR="00CA0C62" w:rsidRPr="00B20FCC" w:rsidRDefault="00CE6815" w:rsidP="00B20FCC">
      <w:pPr>
        <w:pStyle w:val="Heading1"/>
        <w:rPr>
          <w:rFonts w:cs="Times New Roman"/>
          <w:b w:val="0"/>
          <w:bCs w:val="0"/>
          <w:color w:val="0F0F0F" w:themeColor="text1"/>
          <w:spacing w:val="0"/>
          <w:kern w:val="0"/>
          <w:sz w:val="24"/>
          <w:szCs w:val="24"/>
          <w14:ligatures w14:val="none"/>
        </w:rPr>
      </w:pPr>
      <w:bookmarkStart w:id="15" w:name="_Toc528656307"/>
      <w:r w:rsidRPr="00B86794">
        <w:rPr>
          <w:rFonts w:cs="Times New Roman"/>
          <w:b w:val="0"/>
          <w:bCs w:val="0"/>
          <w:color w:val="0F0F0F" w:themeColor="text1"/>
          <w:spacing w:val="0"/>
          <w:kern w:val="0"/>
          <w:sz w:val="24"/>
          <w:szCs w:val="24"/>
          <w14:ligatures w14:val="none"/>
        </w:rPr>
        <w:t xml:space="preserve">If </w:t>
      </w:r>
      <w:r>
        <w:rPr>
          <w:rFonts w:cs="Times New Roman"/>
          <w:b w:val="0"/>
          <w:bCs w:val="0"/>
          <w:color w:val="0F0F0F" w:themeColor="text1"/>
          <w:spacing w:val="0"/>
          <w:kern w:val="0"/>
          <w:sz w:val="24"/>
          <w:szCs w:val="24"/>
          <w14:ligatures w14:val="none"/>
        </w:rPr>
        <w:t>your</w:t>
      </w:r>
      <w:r w:rsidRPr="00B86794">
        <w:rPr>
          <w:rFonts w:cs="Times New Roman"/>
          <w:b w:val="0"/>
          <w:bCs w:val="0"/>
          <w:color w:val="0F0F0F" w:themeColor="text1"/>
          <w:spacing w:val="0"/>
          <w:kern w:val="0"/>
          <w:sz w:val="24"/>
          <w:szCs w:val="24"/>
          <w14:ligatures w14:val="none"/>
        </w:rPr>
        <w:t xml:space="preserve"> </w:t>
      </w:r>
      <w:r>
        <w:rPr>
          <w:rFonts w:cs="Times New Roman"/>
          <w:b w:val="0"/>
          <w:bCs w:val="0"/>
          <w:color w:val="0F0F0F" w:themeColor="text1"/>
          <w:spacing w:val="0"/>
          <w:kern w:val="0"/>
          <w:sz w:val="24"/>
          <w:szCs w:val="24"/>
          <w14:ligatures w14:val="none"/>
        </w:rPr>
        <w:t>t</w:t>
      </w:r>
      <w:r w:rsidRPr="00B86794">
        <w:rPr>
          <w:rFonts w:cs="Times New Roman"/>
          <w:b w:val="0"/>
          <w:bCs w:val="0"/>
          <w:color w:val="0F0F0F" w:themeColor="text1"/>
          <w:spacing w:val="0"/>
          <w:kern w:val="0"/>
          <w:sz w:val="24"/>
          <w:szCs w:val="24"/>
          <w14:ligatures w14:val="none"/>
        </w:rPr>
        <w:t>ender is deemed to be non</w:t>
      </w:r>
      <w:r>
        <w:rPr>
          <w:rFonts w:cs="Times New Roman"/>
          <w:b w:val="0"/>
          <w:bCs w:val="0"/>
          <w:color w:val="0F0F0F" w:themeColor="text1"/>
          <w:spacing w:val="0"/>
          <w:kern w:val="0"/>
          <w:sz w:val="24"/>
          <w:szCs w:val="24"/>
          <w14:ligatures w14:val="none"/>
        </w:rPr>
        <w:t>-</w:t>
      </w:r>
      <w:r w:rsidRPr="00B86794">
        <w:rPr>
          <w:rFonts w:cs="Times New Roman"/>
          <w:b w:val="0"/>
          <w:bCs w:val="0"/>
          <w:color w:val="0F0F0F" w:themeColor="text1"/>
          <w:spacing w:val="0"/>
          <w:kern w:val="0"/>
          <w:sz w:val="24"/>
          <w:szCs w:val="24"/>
          <w14:ligatures w14:val="none"/>
        </w:rPr>
        <w:t xml:space="preserve">compliant, </w:t>
      </w:r>
      <w:r>
        <w:rPr>
          <w:rFonts w:cs="Times New Roman"/>
          <w:b w:val="0"/>
          <w:bCs w:val="0"/>
          <w:color w:val="0F0F0F" w:themeColor="text1"/>
          <w:spacing w:val="0"/>
          <w:kern w:val="0"/>
          <w:sz w:val="24"/>
          <w:szCs w:val="24"/>
          <w14:ligatures w14:val="none"/>
        </w:rPr>
        <w:t>it</w:t>
      </w:r>
      <w:r w:rsidRPr="00B86794">
        <w:rPr>
          <w:rFonts w:cs="Times New Roman"/>
          <w:b w:val="0"/>
          <w:bCs w:val="0"/>
          <w:color w:val="0F0F0F" w:themeColor="text1"/>
          <w:spacing w:val="0"/>
          <w:kern w:val="0"/>
          <w:sz w:val="24"/>
          <w:szCs w:val="24"/>
          <w14:ligatures w14:val="none"/>
        </w:rPr>
        <w:t xml:space="preserve"> will be rejected and excluded from further participation in this </w:t>
      </w:r>
      <w:r>
        <w:rPr>
          <w:rFonts w:cs="Times New Roman"/>
          <w:b w:val="0"/>
          <w:bCs w:val="0"/>
          <w:color w:val="0F0F0F" w:themeColor="text1"/>
          <w:spacing w:val="0"/>
          <w:kern w:val="0"/>
          <w:sz w:val="24"/>
          <w:szCs w:val="24"/>
          <w14:ligatures w14:val="none"/>
        </w:rPr>
        <w:t>p</w:t>
      </w:r>
      <w:r w:rsidRPr="00B86794">
        <w:rPr>
          <w:rFonts w:cs="Times New Roman"/>
          <w:b w:val="0"/>
          <w:bCs w:val="0"/>
          <w:color w:val="0F0F0F" w:themeColor="text1"/>
          <w:spacing w:val="0"/>
          <w:kern w:val="0"/>
          <w:sz w:val="24"/>
          <w:szCs w:val="24"/>
          <w14:ligatures w14:val="none"/>
        </w:rPr>
        <w:t>rocurement.</w:t>
      </w:r>
      <w:bookmarkEnd w:id="15"/>
      <w:r w:rsidRPr="00B86794">
        <w:rPr>
          <w:rFonts w:cs="Times New Roman"/>
          <w:b w:val="0"/>
          <w:bCs w:val="0"/>
          <w:color w:val="0F0F0F" w:themeColor="text1"/>
          <w:spacing w:val="0"/>
          <w:kern w:val="0"/>
          <w:sz w:val="24"/>
          <w:szCs w:val="24"/>
          <w14:ligatures w14:val="none"/>
        </w:rPr>
        <w:t xml:space="preserve"> </w:t>
      </w:r>
    </w:p>
    <w:p w14:paraId="20497925" w14:textId="77777777" w:rsidR="00CE6815" w:rsidRDefault="00CE6815" w:rsidP="00CE6815">
      <w:pPr>
        <w:pStyle w:val="Heading1"/>
      </w:pPr>
      <w:bookmarkStart w:id="16" w:name="_Toc528656308"/>
      <w:r>
        <w:t>Technical Envelope</w:t>
      </w:r>
      <w:bookmarkEnd w:id="16"/>
    </w:p>
    <w:p w14:paraId="3DB94FCA" w14:textId="77777777" w:rsidR="00CE6815" w:rsidRDefault="00CE6815" w:rsidP="00CE6815">
      <w:pPr>
        <w:pStyle w:val="Heading1"/>
        <w:rPr>
          <w:rFonts w:cs="Times New Roman"/>
          <w:b w:val="0"/>
          <w:bCs w:val="0"/>
          <w:color w:val="0F0F0F" w:themeColor="text1"/>
          <w:spacing w:val="0"/>
          <w:kern w:val="0"/>
          <w:sz w:val="24"/>
          <w:szCs w:val="24"/>
          <w14:ligatures w14:val="none"/>
        </w:rPr>
      </w:pPr>
      <w:bookmarkStart w:id="17" w:name="_Toc528656309"/>
      <w:r w:rsidRPr="00B86794">
        <w:rPr>
          <w:rFonts w:cs="Times New Roman"/>
          <w:b w:val="0"/>
          <w:bCs w:val="0"/>
          <w:color w:val="0F0F0F" w:themeColor="text1"/>
          <w:spacing w:val="0"/>
          <w:kern w:val="0"/>
          <w:sz w:val="24"/>
          <w:szCs w:val="24"/>
          <w14:ligatures w14:val="none"/>
        </w:rPr>
        <w:t xml:space="preserve">A summary of all the questions contained within the </w:t>
      </w:r>
      <w:r>
        <w:rPr>
          <w:rFonts w:cs="Times New Roman"/>
          <w:b w:val="0"/>
          <w:bCs w:val="0"/>
          <w:color w:val="0F0F0F" w:themeColor="text1"/>
          <w:spacing w:val="0"/>
          <w:kern w:val="0"/>
          <w:sz w:val="24"/>
          <w:szCs w:val="24"/>
          <w14:ligatures w14:val="none"/>
        </w:rPr>
        <w:t>technical envelope</w:t>
      </w:r>
      <w:r w:rsidRPr="00B86794">
        <w:rPr>
          <w:rFonts w:cs="Times New Roman"/>
          <w:b w:val="0"/>
          <w:bCs w:val="0"/>
          <w:color w:val="0F0F0F" w:themeColor="text1"/>
          <w:spacing w:val="0"/>
          <w:kern w:val="0"/>
          <w:sz w:val="24"/>
          <w:szCs w:val="24"/>
          <w14:ligatures w14:val="none"/>
        </w:rPr>
        <w:t xml:space="preserve">, along with the </w:t>
      </w:r>
      <w:r>
        <w:rPr>
          <w:rFonts w:cs="Times New Roman"/>
          <w:b w:val="0"/>
          <w:bCs w:val="0"/>
          <w:color w:val="0F0F0F" w:themeColor="text1"/>
          <w:spacing w:val="0"/>
          <w:kern w:val="0"/>
          <w:sz w:val="24"/>
          <w:szCs w:val="24"/>
          <w14:ligatures w14:val="none"/>
        </w:rPr>
        <w:t>m</w:t>
      </w:r>
      <w:r w:rsidRPr="00B86794">
        <w:rPr>
          <w:rFonts w:cs="Times New Roman"/>
          <w:b w:val="0"/>
          <w:bCs w:val="0"/>
          <w:color w:val="0F0F0F" w:themeColor="text1"/>
          <w:spacing w:val="0"/>
          <w:kern w:val="0"/>
          <w:sz w:val="24"/>
          <w:szCs w:val="24"/>
          <w14:ligatures w14:val="none"/>
        </w:rPr>
        <w:t xml:space="preserve">arking </w:t>
      </w:r>
      <w:r>
        <w:rPr>
          <w:rFonts w:cs="Times New Roman"/>
          <w:b w:val="0"/>
          <w:bCs w:val="0"/>
          <w:color w:val="0F0F0F" w:themeColor="text1"/>
          <w:spacing w:val="0"/>
          <w:kern w:val="0"/>
          <w:sz w:val="24"/>
          <w:szCs w:val="24"/>
          <w14:ligatures w14:val="none"/>
        </w:rPr>
        <w:t>s</w:t>
      </w:r>
      <w:r w:rsidRPr="00B86794">
        <w:rPr>
          <w:rFonts w:cs="Times New Roman"/>
          <w:b w:val="0"/>
          <w:bCs w:val="0"/>
          <w:color w:val="0F0F0F" w:themeColor="text1"/>
          <w:spacing w:val="0"/>
          <w:kern w:val="0"/>
          <w:sz w:val="24"/>
          <w:szCs w:val="24"/>
          <w14:ligatures w14:val="none"/>
        </w:rPr>
        <w:t xml:space="preserve">cheme and </w:t>
      </w:r>
      <w:r>
        <w:rPr>
          <w:rFonts w:cs="Times New Roman"/>
          <w:b w:val="0"/>
          <w:bCs w:val="0"/>
          <w:color w:val="0F0F0F" w:themeColor="text1"/>
          <w:spacing w:val="0"/>
          <w:kern w:val="0"/>
          <w:sz w:val="24"/>
          <w:szCs w:val="24"/>
          <w14:ligatures w14:val="none"/>
        </w:rPr>
        <w:t>m</w:t>
      </w:r>
      <w:r w:rsidRPr="00B86794">
        <w:rPr>
          <w:rFonts w:cs="Times New Roman"/>
          <w:b w:val="0"/>
          <w:bCs w:val="0"/>
          <w:color w:val="0F0F0F" w:themeColor="text1"/>
          <w:spacing w:val="0"/>
          <w:kern w:val="0"/>
          <w:sz w:val="24"/>
          <w:szCs w:val="24"/>
          <w14:ligatures w14:val="none"/>
        </w:rPr>
        <w:t xml:space="preserve">aximum </w:t>
      </w:r>
      <w:r>
        <w:rPr>
          <w:rFonts w:cs="Times New Roman"/>
          <w:b w:val="0"/>
          <w:bCs w:val="0"/>
          <w:color w:val="0F0F0F" w:themeColor="text1"/>
          <w:spacing w:val="0"/>
          <w:kern w:val="0"/>
          <w:sz w:val="24"/>
          <w:szCs w:val="24"/>
          <w14:ligatures w14:val="none"/>
        </w:rPr>
        <w:t>s</w:t>
      </w:r>
      <w:r w:rsidRPr="00B86794">
        <w:rPr>
          <w:rFonts w:cs="Times New Roman"/>
          <w:b w:val="0"/>
          <w:bCs w:val="0"/>
          <w:color w:val="0F0F0F" w:themeColor="text1"/>
          <w:spacing w:val="0"/>
          <w:kern w:val="0"/>
          <w:sz w:val="24"/>
          <w:szCs w:val="24"/>
          <w14:ligatures w14:val="none"/>
        </w:rPr>
        <w:t xml:space="preserve">core </w:t>
      </w:r>
      <w:r>
        <w:rPr>
          <w:rFonts w:cs="Times New Roman"/>
          <w:b w:val="0"/>
          <w:bCs w:val="0"/>
          <w:color w:val="0F0F0F" w:themeColor="text1"/>
          <w:spacing w:val="0"/>
          <w:kern w:val="0"/>
          <w:sz w:val="24"/>
          <w:szCs w:val="24"/>
          <w14:ligatures w14:val="none"/>
        </w:rPr>
        <w:t>a</w:t>
      </w:r>
      <w:r w:rsidRPr="00B86794">
        <w:rPr>
          <w:rFonts w:cs="Times New Roman"/>
          <w:b w:val="0"/>
          <w:bCs w:val="0"/>
          <w:color w:val="0F0F0F" w:themeColor="text1"/>
          <w:spacing w:val="0"/>
          <w:kern w:val="0"/>
          <w:sz w:val="24"/>
          <w:szCs w:val="24"/>
          <w14:ligatures w14:val="none"/>
        </w:rPr>
        <w:t xml:space="preserve">vailable </w:t>
      </w:r>
      <w:r>
        <w:rPr>
          <w:rFonts w:cs="Times New Roman"/>
          <w:b w:val="0"/>
          <w:bCs w:val="0"/>
          <w:color w:val="0F0F0F" w:themeColor="text1"/>
          <w:spacing w:val="0"/>
          <w:kern w:val="0"/>
          <w:sz w:val="24"/>
          <w:szCs w:val="24"/>
          <w14:ligatures w14:val="none"/>
        </w:rPr>
        <w:t xml:space="preserve">(where appropriate) </w:t>
      </w:r>
      <w:r w:rsidRPr="00B86794">
        <w:rPr>
          <w:rFonts w:cs="Times New Roman"/>
          <w:b w:val="0"/>
          <w:bCs w:val="0"/>
          <w:color w:val="0F0F0F" w:themeColor="text1"/>
          <w:spacing w:val="0"/>
          <w:kern w:val="0"/>
          <w:sz w:val="24"/>
          <w:szCs w:val="24"/>
          <w14:ligatures w14:val="none"/>
        </w:rPr>
        <w:t>for each question is set out below</w:t>
      </w:r>
      <w:r>
        <w:rPr>
          <w:rFonts w:cs="Times New Roman"/>
          <w:b w:val="0"/>
          <w:bCs w:val="0"/>
          <w:color w:val="0F0F0F" w:themeColor="text1"/>
          <w:spacing w:val="0"/>
          <w:kern w:val="0"/>
          <w:sz w:val="24"/>
          <w:szCs w:val="24"/>
          <w14:ligatures w14:val="none"/>
        </w:rPr>
        <w:t>.</w:t>
      </w:r>
      <w:bookmarkEnd w:id="17"/>
    </w:p>
    <w:p w14:paraId="0936DFF0" w14:textId="4E48DFC8" w:rsidR="00CE6815" w:rsidRDefault="00CE6815" w:rsidP="00CE6815">
      <w:pPr>
        <w:jc w:val="both"/>
      </w:pPr>
      <w:r>
        <w:t xml:space="preserve">The technical envelope has an overall weighting of </w:t>
      </w:r>
      <w:r w:rsidR="00940680">
        <w:rPr>
          <w:b/>
        </w:rPr>
        <w:t>8</w:t>
      </w:r>
      <w:r>
        <w:rPr>
          <w:b/>
        </w:rPr>
        <w:t>0</w:t>
      </w:r>
      <w:r w:rsidRPr="005A0BD0">
        <w:rPr>
          <w:b/>
        </w:rPr>
        <w:t>%</w:t>
      </w:r>
      <w:r>
        <w:rPr>
          <w:b/>
        </w:rPr>
        <w:t>.</w:t>
      </w:r>
      <w:r>
        <w:t xml:space="preserve"> </w:t>
      </w:r>
    </w:p>
    <w:p w14:paraId="1939AEB7" w14:textId="77777777" w:rsidR="00CE6815" w:rsidRDefault="00CE6815" w:rsidP="00CE6815">
      <w:pPr>
        <w:jc w:val="both"/>
      </w:pPr>
      <w:r>
        <w:lastRenderedPageBreak/>
        <w:t xml:space="preserve">Each technical envelope question to be </w:t>
      </w:r>
      <w:proofErr w:type="spellStart"/>
      <w:r>
        <w:t>evalated</w:t>
      </w:r>
      <w:proofErr w:type="spellEnd"/>
      <w:r>
        <w:t xml:space="preserve"> has a weighting applied to it as shown in this document. The individual question weighting is a percentage of the overall envelope weighting </w:t>
      </w:r>
    </w:p>
    <w:p w14:paraId="54F0629E" w14:textId="1FA4CAEB" w:rsidR="00CE6815" w:rsidRPr="00B239F5" w:rsidRDefault="00CE6815" w:rsidP="00CE6815">
      <w:pPr>
        <w:jc w:val="both"/>
      </w:pPr>
      <w:r>
        <w:t xml:space="preserve">Each technical envelope question will be scored on the following </w:t>
      </w:r>
      <w:proofErr w:type="gramStart"/>
      <w:r>
        <w:t>basis</w:t>
      </w:r>
      <w:r w:rsidR="00940680">
        <w:t>:-</w:t>
      </w:r>
      <w:proofErr w:type="gramEnd"/>
    </w:p>
    <w:tbl>
      <w:tblPr>
        <w:tblW w:w="9913" w:type="dxa"/>
        <w:tblCellMar>
          <w:left w:w="0" w:type="dxa"/>
          <w:right w:w="0" w:type="dxa"/>
        </w:tblCellMar>
        <w:tblLook w:val="04A0" w:firstRow="1" w:lastRow="0" w:firstColumn="1" w:lastColumn="0" w:noHBand="0" w:noVBand="1"/>
      </w:tblPr>
      <w:tblGrid>
        <w:gridCol w:w="1404"/>
        <w:gridCol w:w="7091"/>
        <w:gridCol w:w="1418"/>
      </w:tblGrid>
      <w:tr w:rsidR="00CE6815" w14:paraId="3C6E3C14" w14:textId="77777777" w:rsidTr="00A064C5">
        <w:trPr>
          <w:trHeight w:val="572"/>
        </w:trPr>
        <w:tc>
          <w:tcPr>
            <w:tcW w:w="1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0433D2" w14:textId="77777777" w:rsidR="00CE6815" w:rsidRDefault="00CE6815" w:rsidP="00A064C5">
            <w:pPr>
              <w:spacing w:after="120" w:line="276" w:lineRule="auto"/>
              <w:rPr>
                <w:rFonts w:eastAsia="Calibri"/>
                <w:szCs w:val="20"/>
              </w:rPr>
            </w:pPr>
            <w:r>
              <w:rPr>
                <w:rFonts w:eastAsia="Calibri"/>
                <w:b/>
                <w:bCs/>
                <w:color w:val="000000"/>
                <w:szCs w:val="20"/>
              </w:rPr>
              <w:t>Response</w:t>
            </w:r>
          </w:p>
        </w:tc>
        <w:tc>
          <w:tcPr>
            <w:tcW w:w="70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D44D2C3" w14:textId="77777777" w:rsidR="00CE6815" w:rsidRDefault="00CE6815" w:rsidP="00A064C5">
            <w:pPr>
              <w:autoSpaceDE w:val="0"/>
              <w:autoSpaceDN w:val="0"/>
              <w:spacing w:after="120" w:line="276" w:lineRule="auto"/>
              <w:rPr>
                <w:rFonts w:eastAsia="Calibri"/>
                <w:szCs w:val="20"/>
              </w:rPr>
            </w:pPr>
            <w:r>
              <w:rPr>
                <w:rFonts w:eastAsia="Calibri"/>
                <w:b/>
                <w:bCs/>
                <w:color w:val="000000"/>
                <w:szCs w:val="20"/>
              </w:rPr>
              <w:t>How well does the response demonstrate an understanding of NHS Digital</w:t>
            </w:r>
            <w:r>
              <w:rPr>
                <w:rFonts w:eastAsia="Calibri"/>
                <w:color w:val="000000"/>
                <w:szCs w:val="20"/>
              </w:rPr>
              <w:t xml:space="preserve"> </w:t>
            </w:r>
            <w:r>
              <w:rPr>
                <w:rFonts w:eastAsia="Calibri"/>
                <w:b/>
                <w:bCs/>
                <w:color w:val="000000"/>
                <w:szCs w:val="20"/>
              </w:rPr>
              <w:t>service requirements?</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hideMark/>
          </w:tcPr>
          <w:p w14:paraId="445643A7" w14:textId="77777777" w:rsidR="00CE6815" w:rsidRDefault="00CE6815" w:rsidP="00A064C5">
            <w:pPr>
              <w:autoSpaceDE w:val="0"/>
              <w:autoSpaceDN w:val="0"/>
              <w:spacing w:after="120" w:line="276" w:lineRule="auto"/>
              <w:jc w:val="center"/>
              <w:rPr>
                <w:rFonts w:eastAsia="Calibri"/>
                <w:b/>
                <w:bCs/>
                <w:color w:val="000000"/>
                <w:szCs w:val="20"/>
              </w:rPr>
            </w:pPr>
            <w:r>
              <w:rPr>
                <w:rFonts w:eastAsia="Calibri"/>
                <w:b/>
                <w:bCs/>
                <w:color w:val="000000"/>
                <w:szCs w:val="20"/>
              </w:rPr>
              <w:t>Score</w:t>
            </w:r>
          </w:p>
        </w:tc>
      </w:tr>
      <w:tr w:rsidR="00CE6815" w14:paraId="443DFF15" w14:textId="77777777" w:rsidTr="00A064C5">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3A002" w14:textId="77777777" w:rsidR="00CE6815" w:rsidRDefault="00CE6815" w:rsidP="00A064C5">
            <w:pPr>
              <w:spacing w:after="120" w:line="276" w:lineRule="auto"/>
              <w:rPr>
                <w:rFonts w:eastAsia="Calibri"/>
                <w:szCs w:val="20"/>
              </w:rPr>
            </w:pPr>
            <w:r>
              <w:rPr>
                <w:rFonts w:eastAsia="Calibri"/>
                <w:szCs w:val="20"/>
              </w:rPr>
              <w:t>Non-Compliant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21E5746" w14:textId="77777777" w:rsidR="00CE6815" w:rsidRDefault="00CE6815" w:rsidP="00A064C5">
            <w:pPr>
              <w:autoSpaceDE w:val="0"/>
              <w:autoSpaceDN w:val="0"/>
              <w:spacing w:after="120" w:line="276" w:lineRule="auto"/>
              <w:rPr>
                <w:rFonts w:eastAsia="Calibri"/>
                <w:szCs w:val="20"/>
              </w:rPr>
            </w:pPr>
            <w:r>
              <w:rPr>
                <w:rFonts w:eastAsia="Calibri"/>
                <w:szCs w:val="20"/>
              </w:rPr>
              <w:t>Poor/No information received. Does not meet requirement/ poor standard as to provide no confidence that the service will meet requirement.</w:t>
            </w:r>
          </w:p>
        </w:tc>
        <w:tc>
          <w:tcPr>
            <w:tcW w:w="1418" w:type="dxa"/>
            <w:tcBorders>
              <w:top w:val="nil"/>
              <w:left w:val="nil"/>
              <w:bottom w:val="single" w:sz="8" w:space="0" w:color="auto"/>
              <w:right w:val="single" w:sz="8" w:space="0" w:color="auto"/>
            </w:tcBorders>
            <w:hideMark/>
          </w:tcPr>
          <w:p w14:paraId="4106FDA8" w14:textId="77777777" w:rsidR="00CE6815" w:rsidRDefault="00CE6815" w:rsidP="00A064C5">
            <w:pPr>
              <w:autoSpaceDE w:val="0"/>
              <w:autoSpaceDN w:val="0"/>
              <w:spacing w:after="120" w:line="276" w:lineRule="auto"/>
              <w:jc w:val="center"/>
              <w:rPr>
                <w:rFonts w:eastAsia="Calibri"/>
                <w:szCs w:val="20"/>
              </w:rPr>
            </w:pPr>
            <w:r>
              <w:rPr>
                <w:rFonts w:eastAsia="Calibri"/>
                <w:szCs w:val="20"/>
              </w:rPr>
              <w:t>0</w:t>
            </w:r>
          </w:p>
        </w:tc>
      </w:tr>
      <w:tr w:rsidR="00CE6815" w14:paraId="5752A4A9" w14:textId="77777777" w:rsidTr="00A064C5">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F956F" w14:textId="77777777" w:rsidR="00CE6815" w:rsidRDefault="00CE6815" w:rsidP="00A064C5">
            <w:pPr>
              <w:spacing w:after="120" w:line="276" w:lineRule="auto"/>
              <w:rPr>
                <w:rFonts w:eastAsia="Calibri"/>
                <w:szCs w:val="20"/>
              </w:rPr>
            </w:pPr>
            <w:r>
              <w:rPr>
                <w:rFonts w:eastAsia="Calibri"/>
                <w:szCs w:val="20"/>
              </w:rPr>
              <w:t>Weak</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8C47DC4" w14:textId="77777777" w:rsidR="00CE6815" w:rsidRDefault="00CE6815" w:rsidP="00A064C5">
            <w:pPr>
              <w:autoSpaceDE w:val="0"/>
              <w:autoSpaceDN w:val="0"/>
              <w:spacing w:after="120" w:line="276" w:lineRule="auto"/>
              <w:rPr>
                <w:rFonts w:eastAsia="Calibri"/>
                <w:szCs w:val="20"/>
              </w:rPr>
            </w:pPr>
            <w:r>
              <w:rPr>
                <w:rFonts w:eastAsia="Calibri"/>
                <w:szCs w:val="20"/>
              </w:rPr>
              <w:t>The proposed approach fails to demonstrate an adequate understanding of NHS Digital service requirements and objectives.</w:t>
            </w:r>
          </w:p>
        </w:tc>
        <w:tc>
          <w:tcPr>
            <w:tcW w:w="1418" w:type="dxa"/>
            <w:tcBorders>
              <w:top w:val="nil"/>
              <w:left w:val="nil"/>
              <w:bottom w:val="single" w:sz="8" w:space="0" w:color="auto"/>
              <w:right w:val="single" w:sz="8" w:space="0" w:color="auto"/>
            </w:tcBorders>
            <w:hideMark/>
          </w:tcPr>
          <w:p w14:paraId="5519BC1E" w14:textId="77777777" w:rsidR="00CE6815" w:rsidRDefault="00CE6815" w:rsidP="00A064C5">
            <w:pPr>
              <w:autoSpaceDE w:val="0"/>
              <w:autoSpaceDN w:val="0"/>
              <w:spacing w:after="120" w:line="276" w:lineRule="auto"/>
              <w:jc w:val="center"/>
              <w:rPr>
                <w:rFonts w:eastAsia="Calibri"/>
                <w:szCs w:val="20"/>
              </w:rPr>
            </w:pPr>
            <w:r>
              <w:rPr>
                <w:rFonts w:eastAsia="Calibri"/>
                <w:szCs w:val="20"/>
              </w:rPr>
              <w:t>25</w:t>
            </w:r>
          </w:p>
        </w:tc>
      </w:tr>
      <w:tr w:rsidR="00CE6815" w14:paraId="529400A1" w14:textId="77777777" w:rsidTr="00A064C5">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3D877" w14:textId="77777777" w:rsidR="00CE6815" w:rsidRDefault="00CE6815" w:rsidP="00A064C5">
            <w:pPr>
              <w:spacing w:after="120" w:line="276" w:lineRule="auto"/>
              <w:rPr>
                <w:rFonts w:eastAsia="Calibri"/>
                <w:szCs w:val="20"/>
              </w:rPr>
            </w:pPr>
            <w:r>
              <w:rPr>
                <w:rFonts w:eastAsia="Calibri"/>
                <w:szCs w:val="20"/>
              </w:rPr>
              <w:t>Acceptable</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15140461" w14:textId="4DF55306" w:rsidR="00CE6815" w:rsidRDefault="00CE6815" w:rsidP="00A064C5">
            <w:pPr>
              <w:autoSpaceDE w:val="0"/>
              <w:autoSpaceDN w:val="0"/>
              <w:spacing w:after="120" w:line="276" w:lineRule="auto"/>
              <w:rPr>
                <w:rFonts w:eastAsia="Calibri"/>
                <w:szCs w:val="20"/>
              </w:rPr>
            </w:pPr>
            <w:r>
              <w:rPr>
                <w:rFonts w:eastAsia="Calibri"/>
                <w:szCs w:val="20"/>
              </w:rPr>
              <w:t xml:space="preserve">The proposed approach demonstrates an adequate understanding of NHS Digital service requirements and objectives and covers the key </w:t>
            </w:r>
            <w:r w:rsidR="0023146C">
              <w:rPr>
                <w:rFonts w:eastAsia="Calibri"/>
                <w:szCs w:val="20"/>
              </w:rPr>
              <w:t>r</w:t>
            </w:r>
            <w:r w:rsidR="00932568">
              <w:rPr>
                <w:rFonts w:eastAsia="Calibri"/>
                <w:szCs w:val="20"/>
              </w:rPr>
              <w:t>equirements</w:t>
            </w:r>
            <w:r>
              <w:rPr>
                <w:rFonts w:eastAsia="Calibri"/>
                <w:szCs w:val="20"/>
              </w:rPr>
              <w:t xml:space="preserve"> to an acceptable standard.</w:t>
            </w:r>
          </w:p>
        </w:tc>
        <w:tc>
          <w:tcPr>
            <w:tcW w:w="1418" w:type="dxa"/>
            <w:tcBorders>
              <w:top w:val="nil"/>
              <w:left w:val="nil"/>
              <w:bottom w:val="single" w:sz="8" w:space="0" w:color="auto"/>
              <w:right w:val="single" w:sz="8" w:space="0" w:color="auto"/>
            </w:tcBorders>
            <w:hideMark/>
          </w:tcPr>
          <w:p w14:paraId="3BF8CB17" w14:textId="77777777" w:rsidR="00CE6815" w:rsidRDefault="00CE6815" w:rsidP="00A064C5">
            <w:pPr>
              <w:autoSpaceDE w:val="0"/>
              <w:autoSpaceDN w:val="0"/>
              <w:spacing w:after="120" w:line="276" w:lineRule="auto"/>
              <w:jc w:val="center"/>
              <w:rPr>
                <w:rFonts w:eastAsia="Calibri"/>
                <w:szCs w:val="20"/>
              </w:rPr>
            </w:pPr>
            <w:r>
              <w:rPr>
                <w:rFonts w:eastAsia="Calibri"/>
                <w:szCs w:val="20"/>
              </w:rPr>
              <w:t>50</w:t>
            </w:r>
          </w:p>
        </w:tc>
      </w:tr>
      <w:tr w:rsidR="00CE6815" w14:paraId="245BF17E" w14:textId="77777777" w:rsidTr="00A064C5">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90113" w14:textId="77777777" w:rsidR="00CE6815" w:rsidRDefault="00CE6815" w:rsidP="00A064C5">
            <w:pPr>
              <w:spacing w:after="120" w:line="276" w:lineRule="auto"/>
              <w:rPr>
                <w:rFonts w:eastAsia="Calibri"/>
                <w:szCs w:val="20"/>
              </w:rPr>
            </w:pPr>
            <w:r>
              <w:rPr>
                <w:rFonts w:eastAsia="Calibri"/>
                <w:szCs w:val="20"/>
              </w:rPr>
              <w:t>Good</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0FDAEE8D" w14:textId="44FE83C6" w:rsidR="00CE6815" w:rsidRDefault="00CE6815" w:rsidP="00A064C5">
            <w:pPr>
              <w:spacing w:line="276" w:lineRule="auto"/>
              <w:jc w:val="both"/>
              <w:rPr>
                <w:rFonts w:eastAsia="Calibri"/>
                <w:szCs w:val="20"/>
              </w:rPr>
            </w:pPr>
            <w:r>
              <w:rPr>
                <w:rFonts w:eastAsia="Calibri"/>
                <w:szCs w:val="20"/>
              </w:rPr>
              <w:t>The proposed approach demonstrates a good understanding of NHS Digital service requirements and objectives</w:t>
            </w:r>
            <w:r w:rsidR="000C14A1">
              <w:rPr>
                <w:rFonts w:eastAsia="Calibri"/>
                <w:szCs w:val="20"/>
              </w:rPr>
              <w:t xml:space="preserve"> with good supporting evidence</w:t>
            </w:r>
            <w:r>
              <w:rPr>
                <w:rFonts w:eastAsia="Calibri"/>
                <w:szCs w:val="20"/>
              </w:rPr>
              <w:t>. It de</w:t>
            </w:r>
            <w:r w:rsidR="000C14A1">
              <w:rPr>
                <w:rFonts w:eastAsia="Calibri"/>
                <w:szCs w:val="20"/>
              </w:rPr>
              <w:t xml:space="preserve">monstrates a good understanding of the </w:t>
            </w:r>
            <w:r w:rsidR="002F50C5">
              <w:rPr>
                <w:rFonts w:eastAsia="Calibri"/>
                <w:szCs w:val="20"/>
              </w:rPr>
              <w:t>campaign requirements.</w:t>
            </w:r>
          </w:p>
        </w:tc>
        <w:tc>
          <w:tcPr>
            <w:tcW w:w="1418" w:type="dxa"/>
            <w:tcBorders>
              <w:top w:val="nil"/>
              <w:left w:val="nil"/>
              <w:bottom w:val="single" w:sz="8" w:space="0" w:color="auto"/>
              <w:right w:val="single" w:sz="8" w:space="0" w:color="auto"/>
            </w:tcBorders>
            <w:hideMark/>
          </w:tcPr>
          <w:p w14:paraId="5CFE56FC" w14:textId="77777777" w:rsidR="00CE6815" w:rsidRDefault="00CE6815" w:rsidP="00A064C5">
            <w:pPr>
              <w:spacing w:line="276" w:lineRule="auto"/>
              <w:jc w:val="center"/>
              <w:rPr>
                <w:rFonts w:eastAsia="Calibri"/>
                <w:szCs w:val="20"/>
              </w:rPr>
            </w:pPr>
            <w:r>
              <w:rPr>
                <w:rFonts w:eastAsia="Calibri"/>
                <w:szCs w:val="20"/>
              </w:rPr>
              <w:t>75</w:t>
            </w:r>
          </w:p>
        </w:tc>
      </w:tr>
      <w:tr w:rsidR="00CE6815" w14:paraId="4DCF6D60" w14:textId="77777777" w:rsidTr="00A064C5">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C307C" w14:textId="77777777" w:rsidR="00CE6815" w:rsidRDefault="00CE6815" w:rsidP="00A064C5">
            <w:pPr>
              <w:spacing w:after="120" w:line="276" w:lineRule="auto"/>
              <w:rPr>
                <w:rFonts w:eastAsia="Calibri"/>
                <w:szCs w:val="20"/>
              </w:rPr>
            </w:pPr>
            <w:r>
              <w:rPr>
                <w:rFonts w:eastAsia="Calibri"/>
                <w:szCs w:val="20"/>
                <w:lang w:val="en-US"/>
              </w:rPr>
              <w:t>Excellent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3ECEA59" w14:textId="284B9D1F" w:rsidR="00CE6815" w:rsidRDefault="00CE6815" w:rsidP="00A064C5">
            <w:pPr>
              <w:autoSpaceDE w:val="0"/>
              <w:autoSpaceDN w:val="0"/>
              <w:spacing w:after="120" w:line="276" w:lineRule="auto"/>
              <w:rPr>
                <w:rFonts w:eastAsia="Calibri"/>
                <w:szCs w:val="20"/>
              </w:rPr>
            </w:pPr>
            <w:r>
              <w:rPr>
                <w:rFonts w:eastAsia="Calibri"/>
                <w:szCs w:val="20"/>
              </w:rPr>
              <w:t xml:space="preserve">The proposed approach has been tailored specifically to deliver NHS Digital service requirements and objectives, uses innovative approaches to deal comprehensively with the key </w:t>
            </w:r>
            <w:r w:rsidR="00344EE5">
              <w:rPr>
                <w:rFonts w:eastAsia="Calibri"/>
                <w:szCs w:val="20"/>
              </w:rPr>
              <w:t>requirements</w:t>
            </w:r>
            <w:r>
              <w:rPr>
                <w:rFonts w:eastAsia="Calibri"/>
                <w:szCs w:val="20"/>
              </w:rPr>
              <w:t xml:space="preserve"> and </w:t>
            </w:r>
            <w:r w:rsidR="00660BE7">
              <w:rPr>
                <w:rFonts w:eastAsia="Calibri"/>
                <w:szCs w:val="20"/>
              </w:rPr>
              <w:t>deliver a successful campaign</w:t>
            </w:r>
            <w:r w:rsidR="003A693C">
              <w:rPr>
                <w:rFonts w:eastAsia="Calibri"/>
                <w:szCs w:val="20"/>
              </w:rPr>
              <w:t>.</w:t>
            </w:r>
          </w:p>
        </w:tc>
        <w:tc>
          <w:tcPr>
            <w:tcW w:w="1418" w:type="dxa"/>
            <w:tcBorders>
              <w:top w:val="nil"/>
              <w:left w:val="nil"/>
              <w:bottom w:val="single" w:sz="8" w:space="0" w:color="auto"/>
              <w:right w:val="single" w:sz="8" w:space="0" w:color="auto"/>
            </w:tcBorders>
            <w:hideMark/>
          </w:tcPr>
          <w:p w14:paraId="12E7485A" w14:textId="77777777" w:rsidR="00CE6815" w:rsidRDefault="00CE6815" w:rsidP="00A064C5">
            <w:pPr>
              <w:autoSpaceDE w:val="0"/>
              <w:autoSpaceDN w:val="0"/>
              <w:spacing w:after="120" w:line="276" w:lineRule="auto"/>
              <w:jc w:val="center"/>
              <w:rPr>
                <w:rFonts w:eastAsia="Calibri"/>
                <w:szCs w:val="20"/>
              </w:rPr>
            </w:pPr>
            <w:r>
              <w:rPr>
                <w:rFonts w:eastAsia="Calibri"/>
                <w:szCs w:val="20"/>
              </w:rPr>
              <w:t>100</w:t>
            </w:r>
          </w:p>
        </w:tc>
      </w:tr>
    </w:tbl>
    <w:p w14:paraId="29A3DD0F" w14:textId="77777777" w:rsidR="00CE6815" w:rsidRDefault="00CE6815" w:rsidP="00CE6815">
      <w:pPr>
        <w:jc w:val="both"/>
      </w:pPr>
    </w:p>
    <w:p w14:paraId="78F2E9D6" w14:textId="7AD449A3" w:rsidR="00986AC2" w:rsidRDefault="00986AC2" w:rsidP="00986AC2">
      <w:pPr>
        <w:jc w:val="both"/>
      </w:pPr>
      <w:r>
        <w:t xml:space="preserve">The score of 0, 25, 50, 75 or 100 refers to the percentage of the maximum available mark for each technical envelope question to be scored as below. </w:t>
      </w:r>
    </w:p>
    <w:tbl>
      <w:tblPr>
        <w:tblStyle w:val="TableGrid"/>
        <w:tblW w:w="0" w:type="auto"/>
        <w:tblLook w:val="04A0" w:firstRow="1" w:lastRow="0" w:firstColumn="1" w:lastColumn="0" w:noHBand="0" w:noVBand="1"/>
      </w:tblPr>
      <w:tblGrid>
        <w:gridCol w:w="1413"/>
        <w:gridCol w:w="8441"/>
      </w:tblGrid>
      <w:tr w:rsidR="00986AC2" w14:paraId="7B549BD8" w14:textId="77777777" w:rsidTr="00A064C5">
        <w:tc>
          <w:tcPr>
            <w:tcW w:w="1413" w:type="dxa"/>
            <w:shd w:val="clear" w:color="auto" w:fill="D9D9D9" w:themeFill="background1" w:themeFillShade="D9"/>
          </w:tcPr>
          <w:p w14:paraId="1A01A44A" w14:textId="77777777" w:rsidR="00986AC2" w:rsidRPr="006644DF" w:rsidRDefault="00986AC2" w:rsidP="00A064C5">
            <w:pPr>
              <w:jc w:val="center"/>
              <w:rPr>
                <w:b/>
              </w:rPr>
            </w:pPr>
            <w:r w:rsidRPr="006644DF">
              <w:rPr>
                <w:b/>
              </w:rPr>
              <w:t>Score</w:t>
            </w:r>
          </w:p>
        </w:tc>
        <w:tc>
          <w:tcPr>
            <w:tcW w:w="8441" w:type="dxa"/>
            <w:shd w:val="clear" w:color="auto" w:fill="D9D9D9" w:themeFill="background1" w:themeFillShade="D9"/>
          </w:tcPr>
          <w:p w14:paraId="4C0873F0" w14:textId="77777777" w:rsidR="00986AC2" w:rsidRPr="006644DF" w:rsidRDefault="00986AC2" w:rsidP="00A064C5">
            <w:pPr>
              <w:jc w:val="both"/>
              <w:rPr>
                <w:b/>
              </w:rPr>
            </w:pPr>
            <w:r w:rsidRPr="006644DF">
              <w:rPr>
                <w:b/>
              </w:rPr>
              <w:t>Percentage of the maximum mark available</w:t>
            </w:r>
          </w:p>
        </w:tc>
      </w:tr>
      <w:tr w:rsidR="00986AC2" w14:paraId="1F958607" w14:textId="77777777" w:rsidTr="00A064C5">
        <w:tc>
          <w:tcPr>
            <w:tcW w:w="1413" w:type="dxa"/>
          </w:tcPr>
          <w:p w14:paraId="77EBAF9E" w14:textId="77777777" w:rsidR="00986AC2" w:rsidRDefault="00986AC2" w:rsidP="00A064C5">
            <w:pPr>
              <w:jc w:val="center"/>
            </w:pPr>
            <w:r>
              <w:t>0</w:t>
            </w:r>
          </w:p>
        </w:tc>
        <w:tc>
          <w:tcPr>
            <w:tcW w:w="8441" w:type="dxa"/>
          </w:tcPr>
          <w:p w14:paraId="27BD2DDF" w14:textId="77777777" w:rsidR="00986AC2" w:rsidRDefault="00986AC2" w:rsidP="00A064C5">
            <w:pPr>
              <w:jc w:val="both"/>
            </w:pPr>
            <w:r w:rsidRPr="006644DF">
              <w:t xml:space="preserve">0% of the </w:t>
            </w:r>
            <w:r>
              <w:t>m</w:t>
            </w:r>
            <w:r w:rsidRPr="006644DF">
              <w:t xml:space="preserve">aximum </w:t>
            </w:r>
            <w:r>
              <w:t>m</w:t>
            </w:r>
            <w:r w:rsidRPr="006644DF">
              <w:t xml:space="preserve">ark </w:t>
            </w:r>
            <w:r>
              <w:t>a</w:t>
            </w:r>
            <w:r w:rsidRPr="006644DF">
              <w:t>vailable for the question</w:t>
            </w:r>
          </w:p>
        </w:tc>
      </w:tr>
      <w:tr w:rsidR="00986AC2" w14:paraId="114E0062" w14:textId="77777777" w:rsidTr="00A064C5">
        <w:tc>
          <w:tcPr>
            <w:tcW w:w="1413" w:type="dxa"/>
          </w:tcPr>
          <w:p w14:paraId="46436EFE" w14:textId="77777777" w:rsidR="00986AC2" w:rsidRDefault="00986AC2" w:rsidP="00A064C5">
            <w:pPr>
              <w:jc w:val="center"/>
            </w:pPr>
            <w:r>
              <w:t>25</w:t>
            </w:r>
          </w:p>
        </w:tc>
        <w:tc>
          <w:tcPr>
            <w:tcW w:w="8441" w:type="dxa"/>
          </w:tcPr>
          <w:p w14:paraId="2405E5CF" w14:textId="77777777" w:rsidR="00986AC2" w:rsidRDefault="00986AC2" w:rsidP="00A064C5">
            <w:pPr>
              <w:jc w:val="both"/>
            </w:pPr>
            <w:r>
              <w:t>25</w:t>
            </w:r>
            <w:r w:rsidRPr="006644DF">
              <w:t xml:space="preserve">% of the </w:t>
            </w:r>
            <w:r>
              <w:t>m</w:t>
            </w:r>
            <w:r w:rsidRPr="006644DF">
              <w:t xml:space="preserve">aximum </w:t>
            </w:r>
            <w:r>
              <w:t>m</w:t>
            </w:r>
            <w:r w:rsidRPr="006644DF">
              <w:t xml:space="preserve">ark </w:t>
            </w:r>
            <w:r>
              <w:t>a</w:t>
            </w:r>
            <w:r w:rsidRPr="006644DF">
              <w:t>vailable for the question</w:t>
            </w:r>
          </w:p>
        </w:tc>
      </w:tr>
      <w:tr w:rsidR="00986AC2" w14:paraId="282BE16B" w14:textId="77777777" w:rsidTr="00A064C5">
        <w:tc>
          <w:tcPr>
            <w:tcW w:w="1413" w:type="dxa"/>
          </w:tcPr>
          <w:p w14:paraId="78715C55" w14:textId="77777777" w:rsidR="00986AC2" w:rsidRDefault="00986AC2" w:rsidP="00A064C5">
            <w:pPr>
              <w:jc w:val="center"/>
            </w:pPr>
            <w:r>
              <w:t>50</w:t>
            </w:r>
          </w:p>
        </w:tc>
        <w:tc>
          <w:tcPr>
            <w:tcW w:w="8441" w:type="dxa"/>
          </w:tcPr>
          <w:p w14:paraId="2FF01394" w14:textId="77777777" w:rsidR="00986AC2" w:rsidRDefault="00986AC2" w:rsidP="00A064C5">
            <w:pPr>
              <w:jc w:val="both"/>
            </w:pPr>
            <w:r>
              <w:t>50</w:t>
            </w:r>
            <w:r w:rsidRPr="006644DF">
              <w:t xml:space="preserve">% of the </w:t>
            </w:r>
            <w:r>
              <w:t>m</w:t>
            </w:r>
            <w:r w:rsidRPr="006644DF">
              <w:t xml:space="preserve">aximum </w:t>
            </w:r>
            <w:r>
              <w:t>m</w:t>
            </w:r>
            <w:r w:rsidRPr="006644DF">
              <w:t xml:space="preserve">ark </w:t>
            </w:r>
            <w:r>
              <w:t>a</w:t>
            </w:r>
            <w:r w:rsidRPr="006644DF">
              <w:t>vailable for the question</w:t>
            </w:r>
          </w:p>
        </w:tc>
      </w:tr>
      <w:tr w:rsidR="00986AC2" w14:paraId="1ABBD8F1" w14:textId="77777777" w:rsidTr="00A064C5">
        <w:tc>
          <w:tcPr>
            <w:tcW w:w="1413" w:type="dxa"/>
          </w:tcPr>
          <w:p w14:paraId="367398BE" w14:textId="77777777" w:rsidR="00986AC2" w:rsidRDefault="00986AC2" w:rsidP="00A064C5">
            <w:pPr>
              <w:jc w:val="center"/>
            </w:pPr>
            <w:r>
              <w:t>75</w:t>
            </w:r>
          </w:p>
        </w:tc>
        <w:tc>
          <w:tcPr>
            <w:tcW w:w="8441" w:type="dxa"/>
          </w:tcPr>
          <w:p w14:paraId="0BB786D2" w14:textId="77777777" w:rsidR="00986AC2" w:rsidRDefault="00986AC2" w:rsidP="00A064C5">
            <w:pPr>
              <w:jc w:val="both"/>
            </w:pPr>
            <w:r>
              <w:t>75</w:t>
            </w:r>
            <w:r w:rsidRPr="006644DF">
              <w:t xml:space="preserve">% of the </w:t>
            </w:r>
            <w:r>
              <w:t>m</w:t>
            </w:r>
            <w:r w:rsidRPr="006644DF">
              <w:t xml:space="preserve">aximum </w:t>
            </w:r>
            <w:r>
              <w:t>m</w:t>
            </w:r>
            <w:r w:rsidRPr="006644DF">
              <w:t xml:space="preserve">ark </w:t>
            </w:r>
            <w:r>
              <w:t>a</w:t>
            </w:r>
            <w:r w:rsidRPr="006644DF">
              <w:t>vailable for the question</w:t>
            </w:r>
          </w:p>
        </w:tc>
      </w:tr>
      <w:tr w:rsidR="00986AC2" w14:paraId="263E2A33" w14:textId="77777777" w:rsidTr="00A064C5">
        <w:tc>
          <w:tcPr>
            <w:tcW w:w="1413" w:type="dxa"/>
          </w:tcPr>
          <w:p w14:paraId="337E674C" w14:textId="77777777" w:rsidR="00986AC2" w:rsidRDefault="00986AC2" w:rsidP="00A064C5">
            <w:pPr>
              <w:jc w:val="center"/>
            </w:pPr>
            <w:r>
              <w:t>100</w:t>
            </w:r>
          </w:p>
        </w:tc>
        <w:tc>
          <w:tcPr>
            <w:tcW w:w="8441" w:type="dxa"/>
          </w:tcPr>
          <w:p w14:paraId="134DAEF8" w14:textId="77777777" w:rsidR="00986AC2" w:rsidRDefault="00986AC2" w:rsidP="00A064C5">
            <w:pPr>
              <w:jc w:val="both"/>
            </w:pPr>
            <w:r>
              <w:t>100</w:t>
            </w:r>
            <w:r w:rsidRPr="006644DF">
              <w:t xml:space="preserve">% of the </w:t>
            </w:r>
            <w:r>
              <w:t>m</w:t>
            </w:r>
            <w:r w:rsidRPr="006644DF">
              <w:t xml:space="preserve">aximum </w:t>
            </w:r>
            <w:r>
              <w:t>m</w:t>
            </w:r>
            <w:r w:rsidRPr="006644DF">
              <w:t xml:space="preserve">ark </w:t>
            </w:r>
            <w:r>
              <w:t>a</w:t>
            </w:r>
            <w:r w:rsidRPr="006644DF">
              <w:t>vailable for the question</w:t>
            </w:r>
          </w:p>
        </w:tc>
      </w:tr>
    </w:tbl>
    <w:p w14:paraId="64049EB5" w14:textId="77777777" w:rsidR="00CE6815" w:rsidRDefault="00CE6815">
      <w:pPr>
        <w:jc w:val="both"/>
      </w:pPr>
    </w:p>
    <w:p w14:paraId="4044E922" w14:textId="77777777" w:rsidR="00750A0A" w:rsidRDefault="00750A0A">
      <w:pPr>
        <w:jc w:val="both"/>
        <w:rPr>
          <w:b/>
        </w:rPr>
      </w:pPr>
    </w:p>
    <w:p w14:paraId="44608A1B" w14:textId="77777777" w:rsidR="00750A0A" w:rsidRDefault="00750A0A">
      <w:pPr>
        <w:jc w:val="both"/>
        <w:rPr>
          <w:b/>
        </w:rPr>
      </w:pPr>
    </w:p>
    <w:p w14:paraId="5F624C8D" w14:textId="77777777" w:rsidR="00750A0A" w:rsidRDefault="00750A0A">
      <w:pPr>
        <w:jc w:val="both"/>
        <w:rPr>
          <w:b/>
        </w:rPr>
      </w:pPr>
    </w:p>
    <w:p w14:paraId="70AD5B51" w14:textId="469F112A" w:rsidR="00325947" w:rsidRPr="008F4AF4" w:rsidRDefault="00986AC2">
      <w:pPr>
        <w:jc w:val="both"/>
        <w:rPr>
          <w:b/>
        </w:rPr>
      </w:pPr>
      <w:r>
        <w:rPr>
          <w:b/>
        </w:rPr>
        <w:lastRenderedPageBreak/>
        <w:t>Technical Envelope</w:t>
      </w:r>
      <w:r w:rsidR="00D517B4" w:rsidRPr="00325947">
        <w:rPr>
          <w:b/>
        </w:rPr>
        <w:t xml:space="preserve"> Questions</w:t>
      </w:r>
    </w:p>
    <w:p w14:paraId="6C2683C8" w14:textId="0A6E19BA" w:rsidR="00325947" w:rsidRDefault="00325947">
      <w:pPr>
        <w:jc w:val="both"/>
      </w:pPr>
      <w:r>
        <w:t xml:space="preserve">The </w:t>
      </w:r>
      <w:r w:rsidR="00986AC2">
        <w:t>technical envelope</w:t>
      </w:r>
      <w:r>
        <w:t xml:space="preserve"> questions are as set out below. They are repeated in the Bravo portal, which is where you should </w:t>
      </w:r>
      <w:r w:rsidRPr="008E2E05">
        <w:t xml:space="preserve">enter your response to each one. </w:t>
      </w:r>
    </w:p>
    <w:p w14:paraId="3CDDAE1E" w14:textId="77777777" w:rsidR="00866233" w:rsidRPr="00866233" w:rsidRDefault="00866233">
      <w:pPr>
        <w:jc w:val="both"/>
      </w:pP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6922"/>
        <w:gridCol w:w="2760"/>
      </w:tblGrid>
      <w:tr w:rsidR="009A5431" w:rsidRPr="00DB1852" w14:paraId="1858BE9F" w14:textId="77777777" w:rsidTr="00866233">
        <w:trPr>
          <w:trHeight w:val="845"/>
        </w:trPr>
        <w:tc>
          <w:tcPr>
            <w:tcW w:w="6922" w:type="dxa"/>
            <w:shd w:val="clear" w:color="auto" w:fill="D9D9D9"/>
          </w:tcPr>
          <w:p w14:paraId="3DF2FAFF" w14:textId="77777777" w:rsidR="009A5431" w:rsidRPr="00DB1852" w:rsidRDefault="009A5431" w:rsidP="00A064C5">
            <w:pPr>
              <w:jc w:val="both"/>
              <w:rPr>
                <w:b/>
                <w:color w:val="0F0F0F"/>
              </w:rPr>
            </w:pPr>
            <w:r w:rsidRPr="00DB1852">
              <w:rPr>
                <w:b/>
                <w:color w:val="0F0F0F"/>
              </w:rPr>
              <w:t>Presentations</w:t>
            </w:r>
          </w:p>
          <w:p w14:paraId="2D93E540" w14:textId="77777777" w:rsidR="009A5431" w:rsidRPr="00DB1852" w:rsidRDefault="009A5431" w:rsidP="00A064C5">
            <w:pPr>
              <w:jc w:val="both"/>
              <w:rPr>
                <w:b/>
                <w:color w:val="0F0F0F"/>
              </w:rPr>
            </w:pPr>
            <w:r w:rsidRPr="00DB1852">
              <w:rPr>
                <w:b/>
                <w:color w:val="0F0F0F"/>
              </w:rPr>
              <w:t xml:space="preserve"> </w:t>
            </w:r>
          </w:p>
        </w:tc>
        <w:tc>
          <w:tcPr>
            <w:tcW w:w="2759" w:type="dxa"/>
            <w:shd w:val="clear" w:color="auto" w:fill="D9D9D9"/>
          </w:tcPr>
          <w:p w14:paraId="1DCE8F36" w14:textId="77777777" w:rsidR="009A5431" w:rsidRPr="00DB1852" w:rsidRDefault="009A5431" w:rsidP="00A064C5">
            <w:pPr>
              <w:jc w:val="both"/>
              <w:rPr>
                <w:b/>
                <w:color w:val="0F0F0F"/>
              </w:rPr>
            </w:pPr>
            <w:r w:rsidRPr="00DB1852">
              <w:rPr>
                <w:b/>
                <w:color w:val="0F0F0F"/>
              </w:rPr>
              <w:t>Weight: 10%</w:t>
            </w:r>
          </w:p>
        </w:tc>
      </w:tr>
      <w:tr w:rsidR="009A5431" w:rsidRPr="00DB1852" w14:paraId="5A396591" w14:textId="77777777" w:rsidTr="00866233">
        <w:trPr>
          <w:trHeight w:val="2256"/>
        </w:trPr>
        <w:tc>
          <w:tcPr>
            <w:tcW w:w="9682" w:type="dxa"/>
            <w:gridSpan w:val="2"/>
          </w:tcPr>
          <w:p w14:paraId="1F958F7D" w14:textId="77777777" w:rsidR="009A5431" w:rsidRPr="00DB1852" w:rsidRDefault="009A5431" w:rsidP="00A064C5">
            <w:pPr>
              <w:rPr>
                <w:b/>
                <w:color w:val="0F0F0F"/>
              </w:rPr>
            </w:pPr>
            <w:r w:rsidRPr="00DB1852">
              <w:rPr>
                <w:b/>
                <w:color w:val="0F0F0F"/>
              </w:rPr>
              <w:t>Question</w:t>
            </w:r>
          </w:p>
          <w:p w14:paraId="72A90BDF" w14:textId="299F7400" w:rsidR="009A5431" w:rsidRPr="00DB1852" w:rsidRDefault="009A5431" w:rsidP="00B73D09">
            <w:pPr>
              <w:keepNext/>
              <w:outlineLvl w:val="0"/>
              <w:rPr>
                <w:color w:val="0F0F0F"/>
              </w:rPr>
            </w:pPr>
            <w:r w:rsidRPr="00DB1852">
              <w:rPr>
                <w:color w:val="0F0F0F"/>
              </w:rPr>
              <w:t xml:space="preserve">Stage 1 – Please confirm that the team who will deliver the Campaign are available to present to the evaluation panel on </w:t>
            </w:r>
            <w:r w:rsidR="00C879A9">
              <w:rPr>
                <w:color w:val="0F0F0F"/>
              </w:rPr>
              <w:t>Thursday 14</w:t>
            </w:r>
            <w:r w:rsidR="00C879A9" w:rsidRPr="00C879A9">
              <w:rPr>
                <w:color w:val="0F0F0F"/>
                <w:vertAlign w:val="superscript"/>
              </w:rPr>
              <w:t>th</w:t>
            </w:r>
            <w:r w:rsidR="00C879A9">
              <w:rPr>
                <w:color w:val="0F0F0F"/>
              </w:rPr>
              <w:t xml:space="preserve"> </w:t>
            </w:r>
            <w:r w:rsidRPr="00DB1852">
              <w:rPr>
                <w:color w:val="0F0F0F"/>
              </w:rPr>
              <w:t>February at NHS Digital, Vantage House, 40 Aire Street, Leeds, LS1 4HT</w:t>
            </w:r>
            <w:r w:rsidR="00B73D09" w:rsidRPr="00B73D09">
              <w:rPr>
                <w:color w:val="0F0F0F"/>
              </w:rPr>
              <w:t>.</w:t>
            </w:r>
          </w:p>
        </w:tc>
      </w:tr>
      <w:tr w:rsidR="009A5431" w:rsidRPr="00DB1852" w14:paraId="3035BBD7" w14:textId="77777777" w:rsidTr="00866233">
        <w:trPr>
          <w:trHeight w:val="2806"/>
        </w:trPr>
        <w:tc>
          <w:tcPr>
            <w:tcW w:w="9682" w:type="dxa"/>
            <w:gridSpan w:val="2"/>
            <w:vAlign w:val="center"/>
          </w:tcPr>
          <w:p w14:paraId="66FA59BE" w14:textId="77777777" w:rsidR="009A5431" w:rsidRPr="00DB1852" w:rsidRDefault="009A5431" w:rsidP="00A064C5">
            <w:pPr>
              <w:spacing w:after="0"/>
              <w:rPr>
                <w:b/>
                <w:color w:val="0F0F0F"/>
              </w:rPr>
            </w:pPr>
            <w:r w:rsidRPr="00DB1852">
              <w:rPr>
                <w:b/>
                <w:color w:val="0F0F0F"/>
              </w:rPr>
              <w:t>Response Guidance</w:t>
            </w:r>
          </w:p>
          <w:p w14:paraId="2D51C7B5" w14:textId="77777777" w:rsidR="009A5431" w:rsidRPr="00DB1852" w:rsidRDefault="009A5431" w:rsidP="00A064C5">
            <w:pPr>
              <w:spacing w:after="0"/>
              <w:rPr>
                <w:color w:val="0F0F0F"/>
              </w:rPr>
            </w:pPr>
          </w:p>
          <w:p w14:paraId="356743FF" w14:textId="37799CD3" w:rsidR="009A5431" w:rsidRPr="00DB1852" w:rsidRDefault="009A5431" w:rsidP="00A064C5">
            <w:pPr>
              <w:spacing w:after="0"/>
              <w:rPr>
                <w:color w:val="0F0F0F"/>
              </w:rPr>
            </w:pPr>
            <w:r w:rsidRPr="00DB1852">
              <w:rPr>
                <w:color w:val="0F0F0F"/>
              </w:rPr>
              <w:t xml:space="preserve">This is a </w:t>
            </w:r>
            <w:r w:rsidR="00930EF7">
              <w:rPr>
                <w:color w:val="0F0F0F"/>
              </w:rPr>
              <w:t>m</w:t>
            </w:r>
            <w:r w:rsidRPr="00DB1852">
              <w:rPr>
                <w:color w:val="0F0F0F"/>
              </w:rPr>
              <w:t xml:space="preserve">andatory </w:t>
            </w:r>
            <w:r w:rsidR="00930EF7">
              <w:rPr>
                <w:color w:val="0F0F0F"/>
              </w:rPr>
              <w:t>r</w:t>
            </w:r>
            <w:r w:rsidRPr="00DB1852">
              <w:rPr>
                <w:color w:val="0F0F0F"/>
              </w:rPr>
              <w:t xml:space="preserve">equirement and only suppliers who pass this question will be taken forwards. Should you fail this question then you will be automatically excluded from this further competition. </w:t>
            </w:r>
          </w:p>
          <w:p w14:paraId="55A84DED" w14:textId="77777777" w:rsidR="009A5431" w:rsidRPr="00DB1852" w:rsidRDefault="009A5431" w:rsidP="00A064C5">
            <w:pPr>
              <w:spacing w:after="0"/>
              <w:rPr>
                <w:color w:val="0F0F0F"/>
              </w:rPr>
            </w:pPr>
          </w:p>
          <w:p w14:paraId="34C25118" w14:textId="77777777" w:rsidR="009A5431" w:rsidRPr="00DB1852" w:rsidRDefault="009A5431" w:rsidP="00A064C5">
            <w:pPr>
              <w:spacing w:after="0"/>
              <w:rPr>
                <w:color w:val="0F0F0F"/>
              </w:rPr>
            </w:pPr>
            <w:r w:rsidRPr="00DB1852">
              <w:rPr>
                <w:color w:val="0F0F0F"/>
              </w:rPr>
              <w:t xml:space="preserve">Suppliers shortlisted through to Stage 2 will, on shortlisting, be provided with details for the contents of their presentation. The Presentation will then carry the 10% weighting score.  </w:t>
            </w:r>
          </w:p>
          <w:p w14:paraId="1DADD0F3" w14:textId="77777777" w:rsidR="009A5431" w:rsidRPr="00DB1852" w:rsidRDefault="009A5431" w:rsidP="00A064C5">
            <w:pPr>
              <w:overflowPunct w:val="0"/>
              <w:autoSpaceDE w:val="0"/>
              <w:autoSpaceDN w:val="0"/>
              <w:adjustRightInd w:val="0"/>
              <w:spacing w:after="0"/>
              <w:jc w:val="both"/>
              <w:textAlignment w:val="baseline"/>
              <w:rPr>
                <w:color w:val="0F0F0F"/>
              </w:rPr>
            </w:pPr>
          </w:p>
        </w:tc>
      </w:tr>
    </w:tbl>
    <w:p w14:paraId="6C30A7E7" w14:textId="6C85B783" w:rsidR="009152C8" w:rsidRDefault="009152C8" w:rsidP="008F4AF4">
      <w:pPr>
        <w:jc w:val="both"/>
        <w:rPr>
          <w:b/>
          <w:highlight w:val="yellow"/>
        </w:rPr>
      </w:pPr>
    </w:p>
    <w:p w14:paraId="60DDFEE5" w14:textId="77777777" w:rsidR="00866233" w:rsidRDefault="00866233" w:rsidP="008F4AF4">
      <w:pPr>
        <w:jc w:val="both"/>
        <w:rPr>
          <w:b/>
        </w:rPr>
      </w:pPr>
    </w:p>
    <w:tbl>
      <w:tblPr>
        <w:tblStyle w:val="TableGrid"/>
        <w:tblW w:w="0" w:type="auto"/>
        <w:tblLook w:val="04A0" w:firstRow="1" w:lastRow="0" w:firstColumn="1" w:lastColumn="0" w:noHBand="0" w:noVBand="1"/>
      </w:tblPr>
      <w:tblGrid>
        <w:gridCol w:w="7083"/>
        <w:gridCol w:w="2771"/>
      </w:tblGrid>
      <w:tr w:rsidR="00861B9C" w:rsidRPr="0031526C" w14:paraId="76D32001" w14:textId="77777777" w:rsidTr="00A064C5">
        <w:tc>
          <w:tcPr>
            <w:tcW w:w="7083" w:type="dxa"/>
            <w:shd w:val="clear" w:color="auto" w:fill="D9D9D9"/>
          </w:tcPr>
          <w:p w14:paraId="767A6DC3" w14:textId="77777777" w:rsidR="00861B9C" w:rsidRPr="0031526C" w:rsidRDefault="00861B9C" w:rsidP="00A064C5">
            <w:pPr>
              <w:jc w:val="both"/>
              <w:rPr>
                <w:b/>
                <w:color w:val="0F0F0F"/>
              </w:rPr>
            </w:pPr>
            <w:r w:rsidRPr="0031526C">
              <w:rPr>
                <w:b/>
                <w:color w:val="0F0F0F"/>
              </w:rPr>
              <w:t xml:space="preserve">Campaign </w:t>
            </w:r>
            <w:r>
              <w:rPr>
                <w:b/>
                <w:color w:val="0F0F0F"/>
              </w:rPr>
              <w:t>concepts</w:t>
            </w:r>
          </w:p>
        </w:tc>
        <w:tc>
          <w:tcPr>
            <w:tcW w:w="2771" w:type="dxa"/>
            <w:shd w:val="clear" w:color="auto" w:fill="D9D9D9"/>
          </w:tcPr>
          <w:p w14:paraId="51D1C082" w14:textId="6531DDD8" w:rsidR="00861B9C" w:rsidRPr="0031526C" w:rsidRDefault="00861B9C" w:rsidP="00A064C5">
            <w:pPr>
              <w:jc w:val="both"/>
              <w:rPr>
                <w:b/>
                <w:color w:val="0F0F0F"/>
                <w:highlight w:val="yellow"/>
              </w:rPr>
            </w:pPr>
            <w:r w:rsidRPr="0031526C">
              <w:rPr>
                <w:b/>
                <w:color w:val="0F0F0F"/>
              </w:rPr>
              <w:t xml:space="preserve">Weight: </w:t>
            </w:r>
            <w:r w:rsidR="00C879A9">
              <w:rPr>
                <w:b/>
                <w:color w:val="0F0F0F"/>
              </w:rPr>
              <w:t>5</w:t>
            </w:r>
            <w:r>
              <w:rPr>
                <w:b/>
                <w:color w:val="0F0F0F"/>
              </w:rPr>
              <w:t>0</w:t>
            </w:r>
            <w:r w:rsidRPr="0031526C">
              <w:rPr>
                <w:b/>
                <w:color w:val="0F0F0F"/>
              </w:rPr>
              <w:t>%</w:t>
            </w:r>
          </w:p>
        </w:tc>
      </w:tr>
      <w:tr w:rsidR="00861B9C" w:rsidRPr="0031526C" w14:paraId="1B4AAA8A" w14:textId="77777777" w:rsidTr="00A064C5">
        <w:tc>
          <w:tcPr>
            <w:tcW w:w="9854" w:type="dxa"/>
            <w:gridSpan w:val="2"/>
          </w:tcPr>
          <w:p w14:paraId="1C7FABF8" w14:textId="77777777" w:rsidR="00861B9C" w:rsidRPr="00271FD8" w:rsidRDefault="00861B9C" w:rsidP="00A064C5">
            <w:pPr>
              <w:rPr>
                <w:color w:val="0F0F0F"/>
              </w:rPr>
            </w:pPr>
            <w:r>
              <w:rPr>
                <w:b/>
                <w:color w:val="0F0F0F"/>
              </w:rPr>
              <w:t>Question</w:t>
            </w:r>
          </w:p>
          <w:p w14:paraId="68F50842" w14:textId="77777777" w:rsidR="00861B9C" w:rsidRPr="0031526C" w:rsidRDefault="00861B9C" w:rsidP="00A064C5">
            <w:pPr>
              <w:rPr>
                <w:color w:val="0F0F0F"/>
              </w:rPr>
            </w:pPr>
            <w:r w:rsidRPr="0031526C">
              <w:rPr>
                <w:color w:val="0F0F0F"/>
              </w:rPr>
              <w:t>Please provide two different design concepts for the communication toolkit which meet the requirements of the project brief (section 5) of the design brief document. Please describe and detail the rationale behind the concepts and how they will be used to deliver this brief.</w:t>
            </w:r>
          </w:p>
        </w:tc>
      </w:tr>
      <w:tr w:rsidR="00861B9C" w:rsidRPr="0031526C" w14:paraId="76F66C89" w14:textId="77777777" w:rsidTr="00A064C5">
        <w:tc>
          <w:tcPr>
            <w:tcW w:w="9854" w:type="dxa"/>
            <w:gridSpan w:val="2"/>
            <w:vAlign w:val="center"/>
          </w:tcPr>
          <w:p w14:paraId="1A7D2C74" w14:textId="77777777" w:rsidR="00861B9C" w:rsidRPr="00271FD8" w:rsidRDefault="00861B9C" w:rsidP="00A064C5">
            <w:pPr>
              <w:spacing w:after="0"/>
              <w:rPr>
                <w:b/>
                <w:color w:val="0F0F0F"/>
              </w:rPr>
            </w:pPr>
            <w:r w:rsidRPr="00271FD8">
              <w:rPr>
                <w:b/>
                <w:color w:val="0F0F0F"/>
              </w:rPr>
              <w:t>Response Guidance</w:t>
            </w:r>
          </w:p>
          <w:p w14:paraId="4F1F1A15" w14:textId="77777777" w:rsidR="00861B9C" w:rsidRPr="00271FD8" w:rsidRDefault="00861B9C" w:rsidP="00A064C5">
            <w:pPr>
              <w:spacing w:after="0"/>
              <w:rPr>
                <w:color w:val="0F0F0F"/>
              </w:rPr>
            </w:pPr>
            <w:r w:rsidRPr="00271FD8">
              <w:rPr>
                <w:color w:val="0F0F0F"/>
              </w:rPr>
              <w:t xml:space="preserve">Your response must clearly demonstrate how the campaign will: </w:t>
            </w:r>
          </w:p>
          <w:p w14:paraId="77387D74" w14:textId="77777777" w:rsidR="00861B9C" w:rsidRPr="00271FD8" w:rsidRDefault="00861B9C" w:rsidP="00861B9C">
            <w:pPr>
              <w:numPr>
                <w:ilvl w:val="0"/>
                <w:numId w:val="39"/>
              </w:numPr>
              <w:overflowPunct w:val="0"/>
              <w:autoSpaceDE w:val="0"/>
              <w:autoSpaceDN w:val="0"/>
              <w:adjustRightInd w:val="0"/>
              <w:spacing w:after="0"/>
              <w:jc w:val="both"/>
              <w:textAlignment w:val="baseline"/>
              <w:rPr>
                <w:color w:val="0F0F0F"/>
              </w:rPr>
            </w:pPr>
            <w:r w:rsidRPr="00271FD8">
              <w:rPr>
                <w:color w:val="0F0F0F"/>
              </w:rPr>
              <w:t xml:space="preserve">Raise awareness with NHS staff of the direct impact of cyber/data security on patient safety/care and encourage them to </w:t>
            </w:r>
            <w:proofErr w:type="gramStart"/>
            <w:r w:rsidRPr="00271FD8">
              <w:rPr>
                <w:color w:val="0F0F0F"/>
              </w:rPr>
              <w:t>take action</w:t>
            </w:r>
            <w:proofErr w:type="gramEnd"/>
            <w:r w:rsidRPr="00271FD8">
              <w:rPr>
                <w:color w:val="0F0F0F"/>
              </w:rPr>
              <w:t xml:space="preserve"> to mitigate these threats. Please refer to the market research summary in Annex 2 for supporting information.</w:t>
            </w:r>
          </w:p>
          <w:p w14:paraId="4D31C593" w14:textId="77777777" w:rsidR="00861B9C" w:rsidRPr="00271FD8" w:rsidRDefault="00861B9C" w:rsidP="00861B9C">
            <w:pPr>
              <w:numPr>
                <w:ilvl w:val="0"/>
                <w:numId w:val="39"/>
              </w:numPr>
              <w:overflowPunct w:val="0"/>
              <w:autoSpaceDE w:val="0"/>
              <w:autoSpaceDN w:val="0"/>
              <w:adjustRightInd w:val="0"/>
              <w:spacing w:after="0"/>
              <w:jc w:val="both"/>
              <w:textAlignment w:val="baseline"/>
              <w:rPr>
                <w:color w:val="0F0F0F"/>
              </w:rPr>
            </w:pPr>
            <w:r w:rsidRPr="00271FD8">
              <w:rPr>
                <w:color w:val="0F0F0F"/>
              </w:rPr>
              <w:t>Help embed a culture of cyber security throughout the NHS.</w:t>
            </w:r>
          </w:p>
          <w:p w14:paraId="09756AC1" w14:textId="77777777" w:rsidR="00861B9C" w:rsidRPr="00271FD8" w:rsidRDefault="00861B9C" w:rsidP="00861B9C">
            <w:pPr>
              <w:numPr>
                <w:ilvl w:val="0"/>
                <w:numId w:val="39"/>
              </w:numPr>
              <w:overflowPunct w:val="0"/>
              <w:autoSpaceDE w:val="0"/>
              <w:autoSpaceDN w:val="0"/>
              <w:adjustRightInd w:val="0"/>
              <w:spacing w:after="0"/>
              <w:jc w:val="both"/>
              <w:textAlignment w:val="baseline"/>
              <w:rPr>
                <w:color w:val="0F0F0F"/>
              </w:rPr>
            </w:pPr>
            <w:r w:rsidRPr="00271FD8">
              <w:rPr>
                <w:color w:val="0F0F0F"/>
              </w:rPr>
              <w:t>Motivate NHS staff to adopt basic cyber security practices.</w:t>
            </w:r>
          </w:p>
          <w:p w14:paraId="788D1320" w14:textId="77777777" w:rsidR="00861B9C" w:rsidRPr="00271FD8" w:rsidRDefault="00861B9C" w:rsidP="00861B9C">
            <w:pPr>
              <w:numPr>
                <w:ilvl w:val="0"/>
                <w:numId w:val="39"/>
              </w:numPr>
              <w:overflowPunct w:val="0"/>
              <w:autoSpaceDE w:val="0"/>
              <w:autoSpaceDN w:val="0"/>
              <w:adjustRightInd w:val="0"/>
              <w:spacing w:after="0"/>
              <w:jc w:val="both"/>
              <w:textAlignment w:val="baseline"/>
              <w:rPr>
                <w:color w:val="0F0F0F"/>
              </w:rPr>
            </w:pPr>
            <w:r w:rsidRPr="00271FD8">
              <w:rPr>
                <w:color w:val="0F0F0F"/>
              </w:rPr>
              <w:t>Be clear and easy to understand by all staff groups.</w:t>
            </w:r>
          </w:p>
          <w:p w14:paraId="5723A87C" w14:textId="77777777" w:rsidR="00861B9C" w:rsidRPr="00271FD8" w:rsidRDefault="00861B9C" w:rsidP="00A064C5">
            <w:pPr>
              <w:overflowPunct w:val="0"/>
              <w:autoSpaceDE w:val="0"/>
              <w:autoSpaceDN w:val="0"/>
              <w:adjustRightInd w:val="0"/>
              <w:spacing w:after="0"/>
              <w:jc w:val="both"/>
              <w:textAlignment w:val="baseline"/>
              <w:rPr>
                <w:color w:val="0F0F0F"/>
              </w:rPr>
            </w:pPr>
          </w:p>
          <w:p w14:paraId="0E03929D" w14:textId="77777777" w:rsidR="00861B9C" w:rsidRPr="00271FD8" w:rsidRDefault="00861B9C" w:rsidP="00A064C5">
            <w:pPr>
              <w:overflowPunct w:val="0"/>
              <w:autoSpaceDE w:val="0"/>
              <w:autoSpaceDN w:val="0"/>
              <w:adjustRightInd w:val="0"/>
              <w:spacing w:after="0"/>
              <w:jc w:val="both"/>
              <w:textAlignment w:val="baseline"/>
              <w:rPr>
                <w:color w:val="0F0F0F"/>
              </w:rPr>
            </w:pPr>
            <w:r w:rsidRPr="00271FD8">
              <w:rPr>
                <w:color w:val="0F0F0F"/>
              </w:rPr>
              <w:t>Your response should focus on the component parts of the question as above.</w:t>
            </w:r>
          </w:p>
          <w:p w14:paraId="3A1C4449" w14:textId="77777777" w:rsidR="00861B9C" w:rsidRPr="00271FD8" w:rsidRDefault="00861B9C" w:rsidP="00A064C5">
            <w:pPr>
              <w:overflowPunct w:val="0"/>
              <w:autoSpaceDE w:val="0"/>
              <w:autoSpaceDN w:val="0"/>
              <w:adjustRightInd w:val="0"/>
              <w:spacing w:after="0"/>
              <w:jc w:val="both"/>
              <w:textAlignment w:val="baseline"/>
              <w:rPr>
                <w:color w:val="0F0F0F"/>
              </w:rPr>
            </w:pPr>
          </w:p>
          <w:p w14:paraId="697487A6" w14:textId="77777777" w:rsidR="00861B9C" w:rsidRPr="00271FD8" w:rsidRDefault="00861B9C" w:rsidP="00A064C5">
            <w:pPr>
              <w:overflowPunct w:val="0"/>
              <w:autoSpaceDE w:val="0"/>
              <w:autoSpaceDN w:val="0"/>
              <w:adjustRightInd w:val="0"/>
              <w:spacing w:after="0"/>
              <w:jc w:val="both"/>
              <w:textAlignment w:val="baseline"/>
              <w:rPr>
                <w:color w:val="0F0F0F"/>
              </w:rPr>
            </w:pPr>
            <w:r w:rsidRPr="00271FD8">
              <w:rPr>
                <w:color w:val="0F0F0F"/>
              </w:rPr>
              <w:t>You should refrain from making generalised statements and providing information not relevant to the topic.</w:t>
            </w:r>
          </w:p>
          <w:p w14:paraId="3684D10F" w14:textId="77777777" w:rsidR="00861B9C" w:rsidRPr="00271FD8" w:rsidRDefault="00861B9C" w:rsidP="00A064C5">
            <w:pPr>
              <w:spacing w:after="0"/>
              <w:rPr>
                <w:color w:val="0F0F0F"/>
              </w:rPr>
            </w:pPr>
          </w:p>
          <w:p w14:paraId="2054F98D" w14:textId="77777777" w:rsidR="00861B9C" w:rsidRPr="0031526C" w:rsidRDefault="00861B9C" w:rsidP="00A064C5">
            <w:pPr>
              <w:spacing w:after="0"/>
              <w:rPr>
                <w:color w:val="0F0F0F"/>
              </w:rPr>
            </w:pPr>
            <w:r w:rsidRPr="00271FD8">
              <w:rPr>
                <w:color w:val="0F0F0F"/>
              </w:rPr>
              <w:t>Whilst there will be no marks given to layout, spelling, punctuation and grammar, it will assist evaluators if attention is paid to these areas.</w:t>
            </w:r>
          </w:p>
        </w:tc>
      </w:tr>
      <w:tr w:rsidR="00861B9C" w:rsidRPr="0031526C" w14:paraId="275B1B4F" w14:textId="77777777" w:rsidTr="00A064C5">
        <w:tc>
          <w:tcPr>
            <w:tcW w:w="9854" w:type="dxa"/>
            <w:gridSpan w:val="2"/>
          </w:tcPr>
          <w:p w14:paraId="66AECD90" w14:textId="77777777" w:rsidR="00861B9C" w:rsidRPr="00271FD8" w:rsidRDefault="00861B9C" w:rsidP="00A064C5">
            <w:pPr>
              <w:jc w:val="both"/>
              <w:rPr>
                <w:b/>
                <w:color w:val="0F0F0F"/>
              </w:rPr>
            </w:pPr>
            <w:r w:rsidRPr="00271FD8">
              <w:rPr>
                <w:b/>
                <w:color w:val="0F0F0F"/>
              </w:rPr>
              <w:lastRenderedPageBreak/>
              <w:t>Response Limit</w:t>
            </w:r>
          </w:p>
          <w:p w14:paraId="5B10E8A6" w14:textId="2A626238" w:rsidR="00861B9C" w:rsidRPr="00271FD8" w:rsidRDefault="00861B9C" w:rsidP="00A064C5">
            <w:pPr>
              <w:rPr>
                <w:color w:val="0F0F0F"/>
              </w:rPr>
            </w:pPr>
            <w:r w:rsidRPr="00271FD8">
              <w:rPr>
                <w:color w:val="0F0F0F"/>
              </w:rPr>
              <w:t xml:space="preserve">Your written response to this question is limited to four pages. A page is defined as one side of A4, font size Arial 11pt, single line spacing and minimum margin width of 2cm. Please supply any visuals of the design concepts as an annex to this section of the tender document. </w:t>
            </w:r>
            <w:r w:rsidR="00485224">
              <w:rPr>
                <w:color w:val="0F0F0F"/>
              </w:rPr>
              <w:t xml:space="preserve">Should you wish to provide examples of </w:t>
            </w:r>
            <w:r w:rsidR="004A55BD">
              <w:rPr>
                <w:color w:val="0F0F0F"/>
              </w:rPr>
              <w:t>your previous work</w:t>
            </w:r>
            <w:r w:rsidR="00DC3944">
              <w:rPr>
                <w:color w:val="0F0F0F"/>
              </w:rPr>
              <w:t xml:space="preserve"> </w:t>
            </w:r>
            <w:r w:rsidR="004A55BD">
              <w:rPr>
                <w:color w:val="0F0F0F"/>
              </w:rPr>
              <w:t xml:space="preserve">on other </w:t>
            </w:r>
            <w:r w:rsidR="00485224">
              <w:rPr>
                <w:color w:val="0F0F0F"/>
              </w:rPr>
              <w:t xml:space="preserve">campaigns </w:t>
            </w:r>
            <w:r w:rsidR="0010006C">
              <w:rPr>
                <w:color w:val="0F0F0F"/>
              </w:rPr>
              <w:t xml:space="preserve">as part of your response please do so </w:t>
            </w:r>
            <w:r w:rsidR="00401902">
              <w:rPr>
                <w:color w:val="0F0F0F"/>
              </w:rPr>
              <w:t xml:space="preserve">as an </w:t>
            </w:r>
            <w:r w:rsidR="0010006C">
              <w:rPr>
                <w:color w:val="0F0F0F"/>
              </w:rPr>
              <w:t>a</w:t>
            </w:r>
            <w:r w:rsidR="00401902">
              <w:rPr>
                <w:color w:val="0F0F0F"/>
              </w:rPr>
              <w:t>dditional</w:t>
            </w:r>
            <w:r w:rsidR="0010006C">
              <w:rPr>
                <w:color w:val="0F0F0F"/>
              </w:rPr>
              <w:t xml:space="preserve"> annex to this section of the tender.</w:t>
            </w:r>
          </w:p>
          <w:p w14:paraId="32BA1241" w14:textId="77777777" w:rsidR="00861B9C" w:rsidRPr="0031526C" w:rsidRDefault="00861B9C" w:rsidP="00A064C5">
            <w:pPr>
              <w:rPr>
                <w:color w:val="0F0F0F"/>
              </w:rPr>
            </w:pPr>
            <w:r w:rsidRPr="00271FD8">
              <w:rPr>
                <w:color w:val="0F0F0F"/>
              </w:rPr>
              <w:t>Anything in excess of the page limit will not be evaluated.</w:t>
            </w:r>
          </w:p>
        </w:tc>
      </w:tr>
    </w:tbl>
    <w:p w14:paraId="72BFED21" w14:textId="5C6262A9" w:rsidR="009A5431" w:rsidRDefault="009A5431" w:rsidP="008F4AF4">
      <w:pPr>
        <w:jc w:val="both"/>
        <w:rPr>
          <w:b/>
        </w:rPr>
      </w:pPr>
    </w:p>
    <w:p w14:paraId="456FD146" w14:textId="77777777" w:rsidR="00866233" w:rsidRDefault="00866233" w:rsidP="008F4AF4">
      <w:pPr>
        <w:jc w:val="both"/>
        <w:rPr>
          <w:b/>
        </w:rPr>
      </w:pPr>
    </w:p>
    <w:tbl>
      <w:tblPr>
        <w:tblStyle w:val="TableGrid"/>
        <w:tblW w:w="0" w:type="auto"/>
        <w:tblLook w:val="04A0" w:firstRow="1" w:lastRow="0" w:firstColumn="1" w:lastColumn="0" w:noHBand="0" w:noVBand="1"/>
      </w:tblPr>
      <w:tblGrid>
        <w:gridCol w:w="7083"/>
        <w:gridCol w:w="2771"/>
      </w:tblGrid>
      <w:tr w:rsidR="00A64D24" w:rsidRPr="0031526C" w14:paraId="46CE26EE" w14:textId="77777777" w:rsidTr="00A064C5">
        <w:tc>
          <w:tcPr>
            <w:tcW w:w="7083" w:type="dxa"/>
            <w:shd w:val="clear" w:color="auto" w:fill="D9D9D9"/>
          </w:tcPr>
          <w:p w14:paraId="793FC3A3" w14:textId="77777777" w:rsidR="00A64D24" w:rsidRPr="0031526C" w:rsidRDefault="00A64D24" w:rsidP="00A064C5">
            <w:pPr>
              <w:jc w:val="both"/>
              <w:rPr>
                <w:b/>
                <w:color w:val="0F0F0F"/>
              </w:rPr>
            </w:pPr>
            <w:r w:rsidRPr="0031526C">
              <w:rPr>
                <w:b/>
                <w:color w:val="0F0F0F"/>
              </w:rPr>
              <w:t xml:space="preserve">Campaign delivery </w:t>
            </w:r>
          </w:p>
        </w:tc>
        <w:tc>
          <w:tcPr>
            <w:tcW w:w="2771" w:type="dxa"/>
            <w:shd w:val="clear" w:color="auto" w:fill="D9D9D9"/>
          </w:tcPr>
          <w:p w14:paraId="1E413655" w14:textId="77777777" w:rsidR="00A64D24" w:rsidRPr="0031526C" w:rsidRDefault="00A64D24" w:rsidP="00A064C5">
            <w:pPr>
              <w:jc w:val="both"/>
              <w:rPr>
                <w:b/>
                <w:color w:val="0F0F0F"/>
                <w:highlight w:val="yellow"/>
              </w:rPr>
            </w:pPr>
            <w:r w:rsidRPr="0031526C">
              <w:rPr>
                <w:b/>
                <w:color w:val="0F0F0F"/>
              </w:rPr>
              <w:t>Weight: 15%</w:t>
            </w:r>
          </w:p>
        </w:tc>
      </w:tr>
      <w:tr w:rsidR="00A64D24" w:rsidRPr="0031526C" w14:paraId="06325DF7" w14:textId="77777777" w:rsidTr="00A064C5">
        <w:tc>
          <w:tcPr>
            <w:tcW w:w="9854" w:type="dxa"/>
            <w:gridSpan w:val="2"/>
          </w:tcPr>
          <w:p w14:paraId="6DB8604F" w14:textId="77777777" w:rsidR="00A64D24" w:rsidRPr="0031526C" w:rsidRDefault="00A64D24" w:rsidP="00A064C5">
            <w:pPr>
              <w:rPr>
                <w:b/>
                <w:color w:val="0F0F0F"/>
              </w:rPr>
            </w:pPr>
            <w:r w:rsidRPr="0031526C">
              <w:rPr>
                <w:b/>
                <w:color w:val="0F0F0F"/>
              </w:rPr>
              <w:t>Question</w:t>
            </w:r>
          </w:p>
          <w:p w14:paraId="5553AD76" w14:textId="77777777" w:rsidR="00A64D24" w:rsidRPr="0031526C" w:rsidRDefault="00A64D24" w:rsidP="00A064C5">
            <w:pPr>
              <w:rPr>
                <w:color w:val="0F0F0F"/>
              </w:rPr>
            </w:pPr>
            <w:r w:rsidRPr="0031526C">
              <w:rPr>
                <w:color w:val="0F0F0F"/>
              </w:rPr>
              <w:t xml:space="preserve"> Please outline how you would manage the delivery of the campaign from the design of the concepts to the final versions ready for distribution.</w:t>
            </w:r>
          </w:p>
        </w:tc>
      </w:tr>
      <w:tr w:rsidR="00A64D24" w:rsidRPr="0031526C" w14:paraId="1ADF4A8F" w14:textId="77777777" w:rsidTr="00A064C5">
        <w:tc>
          <w:tcPr>
            <w:tcW w:w="9854" w:type="dxa"/>
            <w:gridSpan w:val="2"/>
            <w:vAlign w:val="center"/>
          </w:tcPr>
          <w:p w14:paraId="554B74E4" w14:textId="77777777" w:rsidR="00A64D24" w:rsidRPr="0031526C" w:rsidRDefault="00A64D24" w:rsidP="00A064C5">
            <w:pPr>
              <w:spacing w:after="0"/>
              <w:rPr>
                <w:b/>
                <w:color w:val="0F0F0F"/>
              </w:rPr>
            </w:pPr>
            <w:r w:rsidRPr="0031526C">
              <w:rPr>
                <w:b/>
                <w:color w:val="0F0F0F"/>
              </w:rPr>
              <w:t>Response Guidance</w:t>
            </w:r>
          </w:p>
          <w:p w14:paraId="4AD03674" w14:textId="77777777" w:rsidR="00A64D24" w:rsidRPr="0031526C" w:rsidRDefault="00A64D24" w:rsidP="00A064C5">
            <w:pPr>
              <w:spacing w:after="0"/>
              <w:rPr>
                <w:color w:val="0F0F0F"/>
              </w:rPr>
            </w:pPr>
            <w:r w:rsidRPr="0031526C">
              <w:rPr>
                <w:color w:val="0F0F0F"/>
              </w:rPr>
              <w:t xml:space="preserve">Your response must clearly demonstrate: </w:t>
            </w:r>
          </w:p>
          <w:p w14:paraId="30C5E200" w14:textId="719B47F9" w:rsidR="00A64D24" w:rsidRPr="0031526C" w:rsidRDefault="00A64D24" w:rsidP="00A64D24">
            <w:pPr>
              <w:numPr>
                <w:ilvl w:val="0"/>
                <w:numId w:val="33"/>
              </w:numPr>
              <w:overflowPunct w:val="0"/>
              <w:autoSpaceDE w:val="0"/>
              <w:autoSpaceDN w:val="0"/>
              <w:adjustRightInd w:val="0"/>
              <w:spacing w:after="0"/>
              <w:jc w:val="both"/>
              <w:textAlignment w:val="baseline"/>
              <w:rPr>
                <w:color w:val="0F0F0F"/>
              </w:rPr>
            </w:pPr>
            <w:r w:rsidRPr="0031526C">
              <w:rPr>
                <w:color w:val="0F0F0F"/>
              </w:rPr>
              <w:t xml:space="preserve">An overview of the team which will be in place to complete the requirement, including their relevant knowledge and experience and roles and responsibilities for the project. </w:t>
            </w:r>
          </w:p>
          <w:p w14:paraId="327BD605" w14:textId="77777777" w:rsidR="00A64D24" w:rsidRPr="0031526C" w:rsidRDefault="00A64D24" w:rsidP="00A64D24">
            <w:pPr>
              <w:numPr>
                <w:ilvl w:val="0"/>
                <w:numId w:val="33"/>
              </w:numPr>
              <w:overflowPunct w:val="0"/>
              <w:autoSpaceDE w:val="0"/>
              <w:autoSpaceDN w:val="0"/>
              <w:adjustRightInd w:val="0"/>
              <w:spacing w:after="0"/>
              <w:jc w:val="both"/>
              <w:textAlignment w:val="baseline"/>
              <w:rPr>
                <w:color w:val="0F0F0F"/>
              </w:rPr>
            </w:pPr>
            <w:r w:rsidRPr="0031526C">
              <w:rPr>
                <w:color w:val="0F0F0F"/>
              </w:rPr>
              <w:t>The methodology of the project, from designing the concepts to completion of the agreed designs, including any KPIs to evaluate the effectiveness of this strategy.</w:t>
            </w:r>
          </w:p>
          <w:p w14:paraId="53CE4440" w14:textId="77777777" w:rsidR="00A64D24" w:rsidRPr="0031526C" w:rsidRDefault="00A64D24" w:rsidP="00A64D24">
            <w:pPr>
              <w:numPr>
                <w:ilvl w:val="0"/>
                <w:numId w:val="33"/>
              </w:numPr>
              <w:overflowPunct w:val="0"/>
              <w:autoSpaceDE w:val="0"/>
              <w:autoSpaceDN w:val="0"/>
              <w:adjustRightInd w:val="0"/>
              <w:spacing w:after="0"/>
              <w:jc w:val="both"/>
              <w:textAlignment w:val="baseline"/>
              <w:rPr>
                <w:color w:val="0F0F0F"/>
              </w:rPr>
            </w:pPr>
            <w:r w:rsidRPr="0031526C">
              <w:rPr>
                <w:color w:val="0F0F0F"/>
              </w:rPr>
              <w:t>A timescale for completing the delivery from start to finish. This should include allowances for rounds of amendments as stated in the design brief document, as well as any agreed milestone dates and your ability to work flexibly and to tight deadlines.</w:t>
            </w:r>
          </w:p>
          <w:p w14:paraId="76F30D5D" w14:textId="408044A7" w:rsidR="00A64D24" w:rsidRPr="0010006C" w:rsidRDefault="00A64D24" w:rsidP="00A064C5">
            <w:pPr>
              <w:numPr>
                <w:ilvl w:val="0"/>
                <w:numId w:val="33"/>
              </w:numPr>
              <w:overflowPunct w:val="0"/>
              <w:autoSpaceDE w:val="0"/>
              <w:autoSpaceDN w:val="0"/>
              <w:adjustRightInd w:val="0"/>
              <w:spacing w:after="0"/>
              <w:jc w:val="both"/>
              <w:textAlignment w:val="baseline"/>
              <w:rPr>
                <w:color w:val="0F0F0F"/>
              </w:rPr>
            </w:pPr>
            <w:r w:rsidRPr="0031526C">
              <w:rPr>
                <w:color w:val="0F0F0F"/>
              </w:rPr>
              <w:t>How the concepts will be tested with NHS staff to ensure that the messages will be understood by a variety of workforce groups.</w:t>
            </w:r>
            <w:r w:rsidR="0010006C">
              <w:rPr>
                <w:color w:val="0F0F0F"/>
              </w:rPr>
              <w:t xml:space="preserve"> </w:t>
            </w:r>
            <w:r w:rsidRPr="0010006C">
              <w:rPr>
                <w:color w:val="0F0F0F"/>
              </w:rPr>
              <w:t>Benchmarking staff understanding ahead of the campaign launch and after the campaign has run, as well as overall campaign evaluation</w:t>
            </w:r>
          </w:p>
          <w:p w14:paraId="65549248" w14:textId="77777777" w:rsidR="00A64D24" w:rsidRPr="0031526C" w:rsidRDefault="00A64D24" w:rsidP="00A064C5">
            <w:pPr>
              <w:overflowPunct w:val="0"/>
              <w:autoSpaceDE w:val="0"/>
              <w:autoSpaceDN w:val="0"/>
              <w:adjustRightInd w:val="0"/>
              <w:spacing w:after="0"/>
              <w:jc w:val="both"/>
              <w:textAlignment w:val="baseline"/>
              <w:rPr>
                <w:color w:val="0F0F0F"/>
              </w:rPr>
            </w:pPr>
          </w:p>
          <w:p w14:paraId="787CCAC4" w14:textId="77777777" w:rsidR="00A64D24" w:rsidRPr="0031526C" w:rsidRDefault="00A64D24" w:rsidP="00A064C5">
            <w:pPr>
              <w:overflowPunct w:val="0"/>
              <w:autoSpaceDE w:val="0"/>
              <w:autoSpaceDN w:val="0"/>
              <w:adjustRightInd w:val="0"/>
              <w:spacing w:after="0"/>
              <w:jc w:val="both"/>
              <w:textAlignment w:val="baseline"/>
              <w:rPr>
                <w:color w:val="0F0F0F"/>
              </w:rPr>
            </w:pPr>
            <w:r w:rsidRPr="0031526C">
              <w:rPr>
                <w:color w:val="0F0F0F"/>
              </w:rPr>
              <w:t>Your response should focus on the component parts of the question as above.</w:t>
            </w:r>
          </w:p>
          <w:p w14:paraId="667BAFA5" w14:textId="77777777" w:rsidR="00A64D24" w:rsidRPr="0031526C" w:rsidRDefault="00A64D24" w:rsidP="00A064C5">
            <w:pPr>
              <w:overflowPunct w:val="0"/>
              <w:autoSpaceDE w:val="0"/>
              <w:autoSpaceDN w:val="0"/>
              <w:adjustRightInd w:val="0"/>
              <w:spacing w:after="0"/>
              <w:jc w:val="both"/>
              <w:textAlignment w:val="baseline"/>
              <w:rPr>
                <w:color w:val="0F0F0F"/>
              </w:rPr>
            </w:pPr>
          </w:p>
          <w:p w14:paraId="320E4341" w14:textId="77777777" w:rsidR="00A64D24" w:rsidRPr="0031526C" w:rsidRDefault="00A64D24" w:rsidP="00A064C5">
            <w:pPr>
              <w:overflowPunct w:val="0"/>
              <w:autoSpaceDE w:val="0"/>
              <w:autoSpaceDN w:val="0"/>
              <w:adjustRightInd w:val="0"/>
              <w:spacing w:after="0"/>
              <w:jc w:val="both"/>
              <w:textAlignment w:val="baseline"/>
              <w:rPr>
                <w:color w:val="0F0F0F"/>
              </w:rPr>
            </w:pPr>
            <w:r w:rsidRPr="0031526C">
              <w:rPr>
                <w:color w:val="0F0F0F"/>
              </w:rPr>
              <w:t>You should refrain from making generalised statements and providing information not relevant to the topic.</w:t>
            </w:r>
          </w:p>
          <w:p w14:paraId="6836E72F" w14:textId="77777777" w:rsidR="00A64D24" w:rsidRPr="0031526C" w:rsidRDefault="00A64D24" w:rsidP="00A064C5">
            <w:pPr>
              <w:spacing w:after="0"/>
              <w:rPr>
                <w:color w:val="0F0F0F"/>
              </w:rPr>
            </w:pPr>
          </w:p>
          <w:p w14:paraId="1D4FD65C" w14:textId="77777777" w:rsidR="00A64D24" w:rsidRPr="0031526C" w:rsidRDefault="00A64D24" w:rsidP="00A064C5">
            <w:pPr>
              <w:spacing w:after="0"/>
              <w:rPr>
                <w:color w:val="0F0F0F"/>
              </w:rPr>
            </w:pPr>
            <w:r w:rsidRPr="0031526C">
              <w:rPr>
                <w:color w:val="0F0F0F"/>
              </w:rPr>
              <w:t>Whilst there will be no marks given to layout, spelling, punctuation and grammar, it will assist evaluators if attention is paid to these areas.</w:t>
            </w:r>
          </w:p>
        </w:tc>
      </w:tr>
      <w:tr w:rsidR="00A64D24" w:rsidRPr="0031526C" w14:paraId="2A55D999" w14:textId="77777777" w:rsidTr="00A064C5">
        <w:tc>
          <w:tcPr>
            <w:tcW w:w="9854" w:type="dxa"/>
            <w:gridSpan w:val="2"/>
          </w:tcPr>
          <w:p w14:paraId="033C2034" w14:textId="77777777" w:rsidR="00A64D24" w:rsidRPr="0031526C" w:rsidRDefault="00A64D24" w:rsidP="00A064C5">
            <w:pPr>
              <w:jc w:val="both"/>
              <w:rPr>
                <w:b/>
                <w:color w:val="0F0F0F"/>
              </w:rPr>
            </w:pPr>
            <w:r w:rsidRPr="0031526C">
              <w:rPr>
                <w:b/>
                <w:color w:val="0F0F0F"/>
              </w:rPr>
              <w:t>Response Limit</w:t>
            </w:r>
          </w:p>
          <w:p w14:paraId="34AC0C9C" w14:textId="1DCB3134" w:rsidR="00A64D24" w:rsidRPr="0031526C" w:rsidRDefault="00A64D24" w:rsidP="00A064C5">
            <w:pPr>
              <w:rPr>
                <w:color w:val="0F0F0F"/>
              </w:rPr>
            </w:pPr>
            <w:r w:rsidRPr="0031526C">
              <w:rPr>
                <w:color w:val="0F0F0F"/>
              </w:rPr>
              <w:t xml:space="preserve">Your response to this question is limited to </w:t>
            </w:r>
            <w:r w:rsidR="00866233">
              <w:rPr>
                <w:color w:val="0F0F0F"/>
              </w:rPr>
              <w:t>four</w:t>
            </w:r>
            <w:r w:rsidRPr="0031526C">
              <w:rPr>
                <w:color w:val="0F0F0F"/>
              </w:rPr>
              <w:t xml:space="preserve"> pages. A page is defined as one side of A4, font size Arial 11pt, single line spacing and minimum margin width of 2cm. </w:t>
            </w:r>
          </w:p>
          <w:p w14:paraId="476C8C79" w14:textId="77777777" w:rsidR="00A64D24" w:rsidRPr="0031526C" w:rsidRDefault="00A64D24" w:rsidP="00A064C5">
            <w:pPr>
              <w:rPr>
                <w:color w:val="0F0F0F"/>
              </w:rPr>
            </w:pPr>
            <w:r w:rsidRPr="0031526C">
              <w:rPr>
                <w:color w:val="0F0F0F"/>
              </w:rPr>
              <w:t>Anything in excess of the page limit will not be evaluated.</w:t>
            </w:r>
          </w:p>
        </w:tc>
      </w:tr>
    </w:tbl>
    <w:p w14:paraId="152E2E18" w14:textId="13D6A48B" w:rsidR="00861B9C" w:rsidRDefault="00861B9C" w:rsidP="008F4AF4">
      <w:pPr>
        <w:jc w:val="both"/>
        <w:rPr>
          <w:b/>
        </w:rPr>
      </w:pPr>
    </w:p>
    <w:p w14:paraId="2C733539" w14:textId="77777777" w:rsidR="0010006C" w:rsidRDefault="0010006C" w:rsidP="008F4AF4">
      <w:pPr>
        <w:jc w:val="both"/>
        <w:rPr>
          <w:b/>
        </w:rPr>
      </w:pPr>
    </w:p>
    <w:tbl>
      <w:tblPr>
        <w:tblStyle w:val="TableGrid"/>
        <w:tblW w:w="0" w:type="auto"/>
        <w:tblLook w:val="04A0" w:firstRow="1" w:lastRow="0" w:firstColumn="1" w:lastColumn="0" w:noHBand="0" w:noVBand="1"/>
      </w:tblPr>
      <w:tblGrid>
        <w:gridCol w:w="7083"/>
        <w:gridCol w:w="2771"/>
      </w:tblGrid>
      <w:tr w:rsidR="007A2F2F" w:rsidRPr="00271FD8" w14:paraId="2537C5E0" w14:textId="77777777" w:rsidTr="00A064C5">
        <w:tc>
          <w:tcPr>
            <w:tcW w:w="7083" w:type="dxa"/>
            <w:shd w:val="clear" w:color="auto" w:fill="D9D9D9"/>
          </w:tcPr>
          <w:p w14:paraId="78101158" w14:textId="77777777" w:rsidR="007A2F2F" w:rsidRPr="00271FD8" w:rsidRDefault="007A2F2F" w:rsidP="00A064C5">
            <w:pPr>
              <w:jc w:val="both"/>
              <w:rPr>
                <w:b/>
                <w:color w:val="0F0F0F"/>
              </w:rPr>
            </w:pPr>
            <w:r w:rsidRPr="00271FD8">
              <w:rPr>
                <w:b/>
                <w:color w:val="0F0F0F"/>
              </w:rPr>
              <w:t xml:space="preserve">Campaign materials </w:t>
            </w:r>
          </w:p>
        </w:tc>
        <w:tc>
          <w:tcPr>
            <w:tcW w:w="2771" w:type="dxa"/>
            <w:shd w:val="clear" w:color="auto" w:fill="D9D9D9"/>
          </w:tcPr>
          <w:p w14:paraId="1B765216" w14:textId="77777777" w:rsidR="007A2F2F" w:rsidRPr="00271FD8" w:rsidRDefault="007A2F2F" w:rsidP="00A064C5">
            <w:pPr>
              <w:jc w:val="both"/>
              <w:rPr>
                <w:b/>
                <w:color w:val="0F0F0F"/>
                <w:highlight w:val="yellow"/>
              </w:rPr>
            </w:pPr>
            <w:r w:rsidRPr="00271FD8">
              <w:rPr>
                <w:b/>
                <w:color w:val="0F0F0F"/>
              </w:rPr>
              <w:t>Weight: 15%</w:t>
            </w:r>
          </w:p>
        </w:tc>
      </w:tr>
      <w:tr w:rsidR="007A2F2F" w:rsidRPr="00271FD8" w14:paraId="3542E136" w14:textId="77777777" w:rsidTr="00A064C5">
        <w:tc>
          <w:tcPr>
            <w:tcW w:w="9854" w:type="dxa"/>
            <w:gridSpan w:val="2"/>
          </w:tcPr>
          <w:p w14:paraId="67AED879" w14:textId="77777777" w:rsidR="007A2F2F" w:rsidRPr="00271FD8" w:rsidRDefault="007A2F2F" w:rsidP="00A064C5">
            <w:pPr>
              <w:rPr>
                <w:b/>
                <w:color w:val="0F0F0F"/>
              </w:rPr>
            </w:pPr>
            <w:r w:rsidRPr="00271FD8">
              <w:rPr>
                <w:b/>
                <w:color w:val="0F0F0F"/>
              </w:rPr>
              <w:t>Question</w:t>
            </w:r>
          </w:p>
          <w:p w14:paraId="39B37957" w14:textId="77777777" w:rsidR="007A2F2F" w:rsidRPr="00271FD8" w:rsidRDefault="007A2F2F" w:rsidP="00A064C5">
            <w:pPr>
              <w:jc w:val="both"/>
              <w:rPr>
                <w:color w:val="0F0F0F"/>
              </w:rPr>
            </w:pPr>
            <w:r w:rsidRPr="00271FD8">
              <w:rPr>
                <w:color w:val="0F0F0F"/>
              </w:rPr>
              <w:t xml:space="preserve"> The toolkit must include a range of different communications materials.  Please outline the different materials that would be provided and the formats in which these will be delivered. Please explain why you believe the chosen mediums will have the desired effect.</w:t>
            </w:r>
          </w:p>
        </w:tc>
      </w:tr>
      <w:tr w:rsidR="007A2F2F" w:rsidRPr="00271FD8" w14:paraId="1F9B1EDB" w14:textId="77777777" w:rsidTr="00A064C5">
        <w:tc>
          <w:tcPr>
            <w:tcW w:w="9854" w:type="dxa"/>
            <w:gridSpan w:val="2"/>
            <w:vAlign w:val="center"/>
          </w:tcPr>
          <w:p w14:paraId="61C6AFF4" w14:textId="77777777" w:rsidR="007A2F2F" w:rsidRPr="00271FD8" w:rsidRDefault="007A2F2F" w:rsidP="00A064C5">
            <w:pPr>
              <w:spacing w:after="0"/>
              <w:rPr>
                <w:b/>
                <w:color w:val="0F0F0F"/>
              </w:rPr>
            </w:pPr>
            <w:r w:rsidRPr="00271FD8">
              <w:rPr>
                <w:b/>
                <w:color w:val="0F0F0F"/>
              </w:rPr>
              <w:t>Response Guidance</w:t>
            </w:r>
          </w:p>
          <w:p w14:paraId="1E590D97" w14:textId="77777777" w:rsidR="007A2F2F" w:rsidRPr="00271FD8" w:rsidRDefault="007A2F2F" w:rsidP="00A064C5">
            <w:pPr>
              <w:spacing w:after="0"/>
              <w:rPr>
                <w:color w:val="0F0F0F"/>
              </w:rPr>
            </w:pPr>
            <w:r w:rsidRPr="00271FD8">
              <w:rPr>
                <w:color w:val="0F0F0F"/>
              </w:rPr>
              <w:t xml:space="preserve">Your response must clearly demonstrate: </w:t>
            </w:r>
          </w:p>
          <w:p w14:paraId="596B2D8D" w14:textId="77777777" w:rsidR="007A2F2F" w:rsidRPr="00271FD8" w:rsidRDefault="007A2F2F" w:rsidP="007A2F2F">
            <w:pPr>
              <w:numPr>
                <w:ilvl w:val="0"/>
                <w:numId w:val="34"/>
              </w:numPr>
              <w:overflowPunct w:val="0"/>
              <w:autoSpaceDE w:val="0"/>
              <w:autoSpaceDN w:val="0"/>
              <w:adjustRightInd w:val="0"/>
              <w:spacing w:after="0"/>
              <w:jc w:val="both"/>
              <w:textAlignment w:val="baseline"/>
              <w:rPr>
                <w:color w:val="0F0F0F"/>
              </w:rPr>
            </w:pPr>
            <w:r w:rsidRPr="00271FD8">
              <w:rPr>
                <w:color w:val="0F0F0F"/>
              </w:rPr>
              <w:t>A list/short description of the types of materials available for use.</w:t>
            </w:r>
          </w:p>
          <w:p w14:paraId="7FBF4FF0" w14:textId="77777777" w:rsidR="007A2F2F" w:rsidRPr="00271FD8" w:rsidRDefault="007A2F2F" w:rsidP="007A2F2F">
            <w:pPr>
              <w:numPr>
                <w:ilvl w:val="0"/>
                <w:numId w:val="34"/>
              </w:numPr>
              <w:overflowPunct w:val="0"/>
              <w:autoSpaceDE w:val="0"/>
              <w:autoSpaceDN w:val="0"/>
              <w:adjustRightInd w:val="0"/>
              <w:spacing w:after="0"/>
              <w:jc w:val="both"/>
              <w:textAlignment w:val="baseline"/>
              <w:rPr>
                <w:color w:val="0F0F0F"/>
              </w:rPr>
            </w:pPr>
            <w:r w:rsidRPr="00271FD8">
              <w:rPr>
                <w:color w:val="0F0F0F"/>
              </w:rPr>
              <w:t>The formats which would be deemed most suitable to provide the toolkit materials.</w:t>
            </w:r>
          </w:p>
          <w:p w14:paraId="696AA298" w14:textId="77777777" w:rsidR="007A2F2F" w:rsidRPr="00271FD8" w:rsidRDefault="007A2F2F" w:rsidP="00A064C5">
            <w:pPr>
              <w:spacing w:after="0"/>
              <w:rPr>
                <w:color w:val="0F0F0F"/>
              </w:rPr>
            </w:pPr>
          </w:p>
          <w:p w14:paraId="3AEC9D87" w14:textId="77777777" w:rsidR="007A2F2F" w:rsidRPr="00271FD8" w:rsidRDefault="007A2F2F" w:rsidP="00A064C5">
            <w:pPr>
              <w:overflowPunct w:val="0"/>
              <w:autoSpaceDE w:val="0"/>
              <w:autoSpaceDN w:val="0"/>
              <w:adjustRightInd w:val="0"/>
              <w:spacing w:after="0"/>
              <w:jc w:val="both"/>
              <w:textAlignment w:val="baseline"/>
              <w:rPr>
                <w:color w:val="0F0F0F"/>
              </w:rPr>
            </w:pPr>
            <w:r w:rsidRPr="00271FD8">
              <w:rPr>
                <w:color w:val="0F0F0F"/>
              </w:rPr>
              <w:t>Your response should focus on the component parts of the question as above.</w:t>
            </w:r>
          </w:p>
          <w:p w14:paraId="226404A2" w14:textId="77777777" w:rsidR="007A2F2F" w:rsidRPr="00271FD8" w:rsidRDefault="007A2F2F" w:rsidP="00A064C5">
            <w:pPr>
              <w:overflowPunct w:val="0"/>
              <w:autoSpaceDE w:val="0"/>
              <w:autoSpaceDN w:val="0"/>
              <w:adjustRightInd w:val="0"/>
              <w:spacing w:after="0"/>
              <w:jc w:val="both"/>
              <w:textAlignment w:val="baseline"/>
              <w:rPr>
                <w:color w:val="0F0F0F"/>
              </w:rPr>
            </w:pPr>
          </w:p>
          <w:p w14:paraId="7212845A" w14:textId="77777777" w:rsidR="007A2F2F" w:rsidRPr="00271FD8" w:rsidRDefault="007A2F2F" w:rsidP="00A064C5">
            <w:pPr>
              <w:overflowPunct w:val="0"/>
              <w:autoSpaceDE w:val="0"/>
              <w:autoSpaceDN w:val="0"/>
              <w:adjustRightInd w:val="0"/>
              <w:spacing w:after="0"/>
              <w:jc w:val="both"/>
              <w:textAlignment w:val="baseline"/>
              <w:rPr>
                <w:color w:val="0F0F0F"/>
              </w:rPr>
            </w:pPr>
            <w:r w:rsidRPr="00271FD8">
              <w:rPr>
                <w:color w:val="0F0F0F"/>
              </w:rPr>
              <w:t>You should refrain from making generalised statements and providing information not relevant to the topic.</w:t>
            </w:r>
          </w:p>
          <w:p w14:paraId="4B6C782A" w14:textId="77777777" w:rsidR="007A2F2F" w:rsidRPr="00271FD8" w:rsidRDefault="007A2F2F" w:rsidP="00A064C5">
            <w:pPr>
              <w:overflowPunct w:val="0"/>
              <w:autoSpaceDE w:val="0"/>
              <w:autoSpaceDN w:val="0"/>
              <w:adjustRightInd w:val="0"/>
              <w:spacing w:after="0"/>
              <w:jc w:val="both"/>
              <w:textAlignment w:val="baseline"/>
              <w:rPr>
                <w:color w:val="0F0F0F"/>
              </w:rPr>
            </w:pPr>
          </w:p>
          <w:p w14:paraId="1B4ACCAF" w14:textId="77777777" w:rsidR="007A2F2F" w:rsidRPr="00271FD8" w:rsidRDefault="007A2F2F" w:rsidP="00A064C5">
            <w:pPr>
              <w:spacing w:after="0"/>
              <w:jc w:val="both"/>
              <w:rPr>
                <w:color w:val="0F0F0F"/>
              </w:rPr>
            </w:pPr>
            <w:r w:rsidRPr="00271FD8">
              <w:rPr>
                <w:color w:val="0F0F0F"/>
              </w:rPr>
              <w:t>Whilst there will be no marks given to layout, spelling, punctuation and grammar, it will assist evaluators if attention is paid to these areas.</w:t>
            </w:r>
          </w:p>
        </w:tc>
      </w:tr>
      <w:tr w:rsidR="007A2F2F" w:rsidRPr="00271FD8" w14:paraId="377FBDC4" w14:textId="77777777" w:rsidTr="00A064C5">
        <w:tc>
          <w:tcPr>
            <w:tcW w:w="9854" w:type="dxa"/>
            <w:gridSpan w:val="2"/>
          </w:tcPr>
          <w:p w14:paraId="1CFB83C3" w14:textId="77777777" w:rsidR="007A2F2F" w:rsidRPr="00271FD8" w:rsidRDefault="007A2F2F" w:rsidP="00A064C5">
            <w:pPr>
              <w:jc w:val="both"/>
              <w:rPr>
                <w:b/>
                <w:color w:val="0F0F0F"/>
              </w:rPr>
            </w:pPr>
            <w:r w:rsidRPr="00271FD8">
              <w:rPr>
                <w:b/>
                <w:color w:val="0F0F0F"/>
              </w:rPr>
              <w:t xml:space="preserve"> Response Limit</w:t>
            </w:r>
          </w:p>
          <w:p w14:paraId="77FA9F43" w14:textId="1F47EF75" w:rsidR="007A2F2F" w:rsidRPr="00271FD8" w:rsidRDefault="007A2F2F" w:rsidP="00A064C5">
            <w:pPr>
              <w:jc w:val="both"/>
              <w:rPr>
                <w:color w:val="0F0F0F"/>
              </w:rPr>
            </w:pPr>
            <w:r w:rsidRPr="00271FD8">
              <w:rPr>
                <w:color w:val="0F0F0F"/>
              </w:rPr>
              <w:t xml:space="preserve">Your response to this question is limited to </w:t>
            </w:r>
            <w:r w:rsidR="00AF7DAB">
              <w:rPr>
                <w:color w:val="0F0F0F"/>
              </w:rPr>
              <w:t>three</w:t>
            </w:r>
            <w:r w:rsidRPr="00271FD8">
              <w:rPr>
                <w:color w:val="0F0F0F"/>
              </w:rPr>
              <w:t xml:space="preserve"> pages. A page is defined as one side of A4, font size Arial 11pt, single line spacing and minimum </w:t>
            </w:r>
            <w:bookmarkStart w:id="18" w:name="_GoBack"/>
            <w:bookmarkEnd w:id="18"/>
            <w:r w:rsidRPr="00271FD8">
              <w:rPr>
                <w:color w:val="0F0F0F"/>
              </w:rPr>
              <w:t xml:space="preserve">margin width of 2cm. </w:t>
            </w:r>
          </w:p>
          <w:p w14:paraId="64BCBBDB" w14:textId="77777777" w:rsidR="007A2F2F" w:rsidRPr="00271FD8" w:rsidRDefault="007A2F2F" w:rsidP="00A064C5">
            <w:pPr>
              <w:jc w:val="both"/>
              <w:rPr>
                <w:color w:val="0F0F0F"/>
              </w:rPr>
            </w:pPr>
            <w:r w:rsidRPr="00271FD8">
              <w:rPr>
                <w:color w:val="0F0F0F"/>
              </w:rPr>
              <w:t>Anything in excess of the page limit will not be evaluated.</w:t>
            </w:r>
          </w:p>
        </w:tc>
      </w:tr>
    </w:tbl>
    <w:p w14:paraId="6B4EB454" w14:textId="77777777" w:rsidR="00866233" w:rsidRDefault="00866233" w:rsidP="008F4AF4">
      <w:pPr>
        <w:jc w:val="both"/>
        <w:rPr>
          <w:b/>
        </w:rPr>
      </w:pPr>
    </w:p>
    <w:tbl>
      <w:tblPr>
        <w:tblStyle w:val="TableGrid"/>
        <w:tblW w:w="0" w:type="auto"/>
        <w:tblLook w:val="04A0" w:firstRow="1" w:lastRow="0" w:firstColumn="1" w:lastColumn="0" w:noHBand="0" w:noVBand="1"/>
      </w:tblPr>
      <w:tblGrid>
        <w:gridCol w:w="7083"/>
        <w:gridCol w:w="2771"/>
      </w:tblGrid>
      <w:tr w:rsidR="00D026AF" w:rsidRPr="0031526C" w14:paraId="76F644B0" w14:textId="77777777" w:rsidTr="00A064C5">
        <w:tc>
          <w:tcPr>
            <w:tcW w:w="7083" w:type="dxa"/>
            <w:shd w:val="clear" w:color="auto" w:fill="D9D9D9"/>
          </w:tcPr>
          <w:p w14:paraId="2F823D77" w14:textId="77777777" w:rsidR="00D026AF" w:rsidRPr="0031526C" w:rsidRDefault="00D026AF" w:rsidP="00A064C5">
            <w:pPr>
              <w:jc w:val="both"/>
              <w:rPr>
                <w:b/>
                <w:color w:val="0F0F0F"/>
              </w:rPr>
            </w:pPr>
            <w:r>
              <w:rPr>
                <w:b/>
                <w:color w:val="0F0F0F"/>
              </w:rPr>
              <w:t>Brand guideline compliance</w:t>
            </w:r>
          </w:p>
        </w:tc>
        <w:tc>
          <w:tcPr>
            <w:tcW w:w="2771" w:type="dxa"/>
            <w:shd w:val="clear" w:color="auto" w:fill="D9D9D9"/>
          </w:tcPr>
          <w:p w14:paraId="327CC09E" w14:textId="77777777" w:rsidR="00D026AF" w:rsidRPr="0031526C" w:rsidRDefault="00D026AF" w:rsidP="00A064C5">
            <w:pPr>
              <w:jc w:val="both"/>
              <w:rPr>
                <w:b/>
                <w:color w:val="0F0F0F"/>
                <w:highlight w:val="yellow"/>
              </w:rPr>
            </w:pPr>
            <w:r w:rsidRPr="0031526C">
              <w:rPr>
                <w:b/>
                <w:color w:val="0F0F0F"/>
              </w:rPr>
              <w:t xml:space="preserve">Weight: </w:t>
            </w:r>
            <w:r>
              <w:rPr>
                <w:b/>
                <w:color w:val="0F0F0F"/>
              </w:rPr>
              <w:t>10</w:t>
            </w:r>
            <w:r w:rsidRPr="0031526C">
              <w:rPr>
                <w:b/>
                <w:color w:val="0F0F0F"/>
              </w:rPr>
              <w:t>%</w:t>
            </w:r>
          </w:p>
        </w:tc>
      </w:tr>
      <w:tr w:rsidR="00D026AF" w:rsidRPr="0031526C" w14:paraId="33C8A0E6" w14:textId="77777777" w:rsidTr="00A064C5">
        <w:tc>
          <w:tcPr>
            <w:tcW w:w="9854" w:type="dxa"/>
            <w:gridSpan w:val="2"/>
          </w:tcPr>
          <w:p w14:paraId="60B6053A" w14:textId="77777777" w:rsidR="00D026AF" w:rsidRPr="00271FD8" w:rsidRDefault="00D026AF" w:rsidP="00A064C5">
            <w:pPr>
              <w:rPr>
                <w:b/>
                <w:color w:val="0F0F0F"/>
              </w:rPr>
            </w:pPr>
            <w:r w:rsidRPr="00271FD8">
              <w:rPr>
                <w:b/>
                <w:color w:val="0F0F0F"/>
              </w:rPr>
              <w:t>Question</w:t>
            </w:r>
          </w:p>
          <w:p w14:paraId="41F3747C" w14:textId="0B45C42D" w:rsidR="00D026AF" w:rsidRPr="0031526C" w:rsidRDefault="00D026AF" w:rsidP="00A064C5">
            <w:pPr>
              <w:rPr>
                <w:color w:val="0F0F0F"/>
              </w:rPr>
            </w:pPr>
            <w:r w:rsidRPr="00271FD8">
              <w:rPr>
                <w:color w:val="0F0F0F"/>
              </w:rPr>
              <w:t xml:space="preserve">The campaign must comply with and follow NHS </w:t>
            </w:r>
            <w:r w:rsidR="00EF5E94">
              <w:rPr>
                <w:color w:val="0F0F0F"/>
              </w:rPr>
              <w:t xml:space="preserve">Digital </w:t>
            </w:r>
            <w:r w:rsidRPr="00271FD8">
              <w:rPr>
                <w:color w:val="0F0F0F"/>
              </w:rPr>
              <w:t>brand guidelines</w:t>
            </w:r>
            <w:r w:rsidR="00890CC5">
              <w:rPr>
                <w:color w:val="0F0F0F"/>
              </w:rPr>
              <w:t xml:space="preserve"> and adopt the overall NHS identity</w:t>
            </w:r>
            <w:r w:rsidRPr="00271FD8">
              <w:rPr>
                <w:color w:val="0F0F0F"/>
              </w:rPr>
              <w:t>. Please confirm in your brief that the brand guidelines will be incorporated into the concepts.</w:t>
            </w:r>
          </w:p>
        </w:tc>
      </w:tr>
      <w:tr w:rsidR="00D026AF" w:rsidRPr="0031526C" w14:paraId="3EDFDD7D" w14:textId="77777777" w:rsidTr="00A064C5">
        <w:tc>
          <w:tcPr>
            <w:tcW w:w="9854" w:type="dxa"/>
            <w:gridSpan w:val="2"/>
            <w:vAlign w:val="center"/>
          </w:tcPr>
          <w:p w14:paraId="32D167F4" w14:textId="77777777" w:rsidR="00D026AF" w:rsidRPr="00271FD8" w:rsidRDefault="00D026AF" w:rsidP="00A064C5">
            <w:pPr>
              <w:spacing w:after="0"/>
              <w:rPr>
                <w:b/>
                <w:color w:val="0F0F0F"/>
              </w:rPr>
            </w:pPr>
            <w:r w:rsidRPr="00271FD8">
              <w:rPr>
                <w:b/>
                <w:color w:val="0F0F0F"/>
              </w:rPr>
              <w:t>Response Guidance</w:t>
            </w:r>
          </w:p>
          <w:p w14:paraId="268DD1A9" w14:textId="77777777" w:rsidR="00D026AF" w:rsidRPr="00271FD8" w:rsidRDefault="00D026AF" w:rsidP="00A064C5">
            <w:pPr>
              <w:spacing w:after="0"/>
              <w:rPr>
                <w:color w:val="0F0F0F"/>
              </w:rPr>
            </w:pPr>
            <w:r w:rsidRPr="00271FD8">
              <w:rPr>
                <w:color w:val="0F0F0F"/>
              </w:rPr>
              <w:t xml:space="preserve">Your response must clearly demonstrate: </w:t>
            </w:r>
          </w:p>
          <w:p w14:paraId="29B107F4" w14:textId="77777777" w:rsidR="00D026AF" w:rsidRPr="00271FD8" w:rsidRDefault="00D026AF" w:rsidP="00D026AF">
            <w:pPr>
              <w:numPr>
                <w:ilvl w:val="0"/>
                <w:numId w:val="40"/>
              </w:numPr>
              <w:overflowPunct w:val="0"/>
              <w:autoSpaceDE w:val="0"/>
              <w:autoSpaceDN w:val="0"/>
              <w:adjustRightInd w:val="0"/>
              <w:spacing w:after="0"/>
              <w:jc w:val="both"/>
              <w:textAlignment w:val="baseline"/>
              <w:rPr>
                <w:color w:val="0F0F0F"/>
              </w:rPr>
            </w:pPr>
            <w:r w:rsidRPr="00271FD8">
              <w:rPr>
                <w:color w:val="0F0F0F"/>
              </w:rPr>
              <w:t>Previous experience of conforming to brand guidelines of the NHS or other organisations.</w:t>
            </w:r>
          </w:p>
          <w:p w14:paraId="078AE107" w14:textId="271AAC19" w:rsidR="00D026AF" w:rsidRPr="00271FD8" w:rsidRDefault="00D026AF" w:rsidP="00D026AF">
            <w:pPr>
              <w:numPr>
                <w:ilvl w:val="0"/>
                <w:numId w:val="40"/>
              </w:numPr>
              <w:overflowPunct w:val="0"/>
              <w:autoSpaceDE w:val="0"/>
              <w:autoSpaceDN w:val="0"/>
              <w:adjustRightInd w:val="0"/>
              <w:spacing w:after="0"/>
              <w:jc w:val="both"/>
              <w:textAlignment w:val="baseline"/>
              <w:rPr>
                <w:color w:val="0F0F0F"/>
              </w:rPr>
            </w:pPr>
            <w:r w:rsidRPr="00271FD8">
              <w:rPr>
                <w:color w:val="0F0F0F"/>
              </w:rPr>
              <w:t xml:space="preserve">Overview of how you will comply with and adopt the NHS </w:t>
            </w:r>
            <w:r w:rsidR="00972D91">
              <w:rPr>
                <w:color w:val="0F0F0F"/>
              </w:rPr>
              <w:t xml:space="preserve">Digital </w:t>
            </w:r>
            <w:r w:rsidRPr="00271FD8">
              <w:rPr>
                <w:color w:val="0F0F0F"/>
              </w:rPr>
              <w:t>brand guidelines.</w:t>
            </w:r>
          </w:p>
          <w:p w14:paraId="75E784A9" w14:textId="77777777" w:rsidR="00A064C5" w:rsidRPr="00271FD8" w:rsidRDefault="00A064C5" w:rsidP="00A064C5">
            <w:pPr>
              <w:overflowPunct w:val="0"/>
              <w:autoSpaceDE w:val="0"/>
              <w:autoSpaceDN w:val="0"/>
              <w:adjustRightInd w:val="0"/>
              <w:spacing w:after="0"/>
              <w:jc w:val="both"/>
              <w:textAlignment w:val="baseline"/>
              <w:rPr>
                <w:color w:val="0F0F0F"/>
              </w:rPr>
            </w:pPr>
          </w:p>
          <w:p w14:paraId="4DD92D4C" w14:textId="77777777" w:rsidR="00D026AF" w:rsidRPr="00271FD8" w:rsidRDefault="00D026AF" w:rsidP="00A064C5">
            <w:pPr>
              <w:overflowPunct w:val="0"/>
              <w:autoSpaceDE w:val="0"/>
              <w:autoSpaceDN w:val="0"/>
              <w:adjustRightInd w:val="0"/>
              <w:spacing w:after="0"/>
              <w:jc w:val="both"/>
              <w:textAlignment w:val="baseline"/>
              <w:rPr>
                <w:color w:val="0F0F0F"/>
              </w:rPr>
            </w:pPr>
            <w:r w:rsidRPr="00271FD8">
              <w:rPr>
                <w:color w:val="0F0F0F"/>
              </w:rPr>
              <w:t>Your response should focus on the component parts of the question as above.</w:t>
            </w:r>
          </w:p>
          <w:p w14:paraId="1FAB97A6" w14:textId="77777777" w:rsidR="00D026AF" w:rsidRPr="00271FD8" w:rsidRDefault="00D026AF" w:rsidP="00A064C5">
            <w:pPr>
              <w:overflowPunct w:val="0"/>
              <w:autoSpaceDE w:val="0"/>
              <w:autoSpaceDN w:val="0"/>
              <w:adjustRightInd w:val="0"/>
              <w:spacing w:after="0"/>
              <w:jc w:val="both"/>
              <w:textAlignment w:val="baseline"/>
              <w:rPr>
                <w:color w:val="0F0F0F"/>
              </w:rPr>
            </w:pPr>
          </w:p>
          <w:p w14:paraId="14E58962" w14:textId="77777777" w:rsidR="00D026AF" w:rsidRPr="00271FD8" w:rsidRDefault="00D026AF" w:rsidP="00A064C5">
            <w:pPr>
              <w:overflowPunct w:val="0"/>
              <w:autoSpaceDE w:val="0"/>
              <w:autoSpaceDN w:val="0"/>
              <w:adjustRightInd w:val="0"/>
              <w:spacing w:after="0"/>
              <w:jc w:val="both"/>
              <w:textAlignment w:val="baseline"/>
              <w:rPr>
                <w:color w:val="0F0F0F"/>
              </w:rPr>
            </w:pPr>
            <w:r w:rsidRPr="00271FD8">
              <w:rPr>
                <w:color w:val="0F0F0F"/>
              </w:rPr>
              <w:t>You should refrain from making generalised statements and providing information not relevant to the topic.</w:t>
            </w:r>
          </w:p>
          <w:p w14:paraId="44D4326B" w14:textId="77777777" w:rsidR="00D026AF" w:rsidRPr="00271FD8" w:rsidRDefault="00D026AF" w:rsidP="00A064C5">
            <w:pPr>
              <w:overflowPunct w:val="0"/>
              <w:autoSpaceDE w:val="0"/>
              <w:autoSpaceDN w:val="0"/>
              <w:adjustRightInd w:val="0"/>
              <w:spacing w:after="0"/>
              <w:jc w:val="both"/>
              <w:textAlignment w:val="baseline"/>
              <w:rPr>
                <w:color w:val="0F0F0F"/>
              </w:rPr>
            </w:pPr>
          </w:p>
          <w:p w14:paraId="1B9F0718" w14:textId="77777777" w:rsidR="00D026AF" w:rsidRPr="0031526C" w:rsidRDefault="00D026AF" w:rsidP="00A064C5">
            <w:pPr>
              <w:spacing w:after="0"/>
              <w:rPr>
                <w:color w:val="0F0F0F"/>
              </w:rPr>
            </w:pPr>
            <w:r w:rsidRPr="00271FD8">
              <w:rPr>
                <w:color w:val="0F0F0F"/>
              </w:rPr>
              <w:t>Whilst there will be no marks given to layout, spelling, punctuation and grammar, it will assist evaluators if attention is paid to these areas.</w:t>
            </w:r>
          </w:p>
        </w:tc>
      </w:tr>
      <w:tr w:rsidR="00D026AF" w:rsidRPr="0031526C" w14:paraId="60AEC783" w14:textId="77777777" w:rsidTr="00A064C5">
        <w:tc>
          <w:tcPr>
            <w:tcW w:w="9854" w:type="dxa"/>
            <w:gridSpan w:val="2"/>
          </w:tcPr>
          <w:p w14:paraId="2D40DFF9" w14:textId="77777777" w:rsidR="00D026AF" w:rsidRPr="00271FD8" w:rsidRDefault="00D026AF" w:rsidP="00A064C5">
            <w:pPr>
              <w:jc w:val="both"/>
              <w:rPr>
                <w:b/>
                <w:color w:val="0F0F0F"/>
              </w:rPr>
            </w:pPr>
            <w:r w:rsidRPr="00271FD8">
              <w:rPr>
                <w:b/>
                <w:color w:val="0F0F0F"/>
              </w:rPr>
              <w:t>Response Limit</w:t>
            </w:r>
          </w:p>
          <w:p w14:paraId="2CDD2BF3" w14:textId="77777777" w:rsidR="00D026AF" w:rsidRPr="00271FD8" w:rsidRDefault="00D026AF" w:rsidP="00A064C5">
            <w:pPr>
              <w:rPr>
                <w:color w:val="0F0F0F"/>
              </w:rPr>
            </w:pPr>
            <w:r w:rsidRPr="00271FD8">
              <w:rPr>
                <w:color w:val="0F0F0F"/>
              </w:rPr>
              <w:lastRenderedPageBreak/>
              <w:t xml:space="preserve">Your response to this question is limited to one page. A page is defined as one side of A4, font size Arial 11pt, single line spacing and minimum margin width of 2cm. </w:t>
            </w:r>
          </w:p>
          <w:p w14:paraId="3BEBD09C" w14:textId="77777777" w:rsidR="00D026AF" w:rsidRPr="0031526C" w:rsidRDefault="00D026AF" w:rsidP="00A064C5">
            <w:pPr>
              <w:rPr>
                <w:color w:val="0F0F0F"/>
              </w:rPr>
            </w:pPr>
            <w:r w:rsidRPr="00271FD8">
              <w:rPr>
                <w:color w:val="0F0F0F"/>
              </w:rPr>
              <w:t>Anything in excess of the page limit will not be evaluated.</w:t>
            </w:r>
          </w:p>
        </w:tc>
      </w:tr>
    </w:tbl>
    <w:p w14:paraId="7B9E40DF" w14:textId="77777777" w:rsidR="000B3164" w:rsidRDefault="000B3164" w:rsidP="000B3164">
      <w:pPr>
        <w:pStyle w:val="Heading1"/>
      </w:pPr>
      <w:bookmarkStart w:id="19" w:name="_Toc528656310"/>
      <w:r>
        <w:lastRenderedPageBreak/>
        <w:t>Commercial Envelope</w:t>
      </w:r>
      <w:bookmarkEnd w:id="19"/>
    </w:p>
    <w:p w14:paraId="012B9B09" w14:textId="52A7720B" w:rsidR="000B3164" w:rsidRDefault="000B3164" w:rsidP="000B3164">
      <w:pPr>
        <w:jc w:val="both"/>
        <w:rPr>
          <w:b/>
        </w:rPr>
      </w:pPr>
      <w:r>
        <w:t xml:space="preserve">The commercial envelope has an overall weighting of </w:t>
      </w:r>
      <w:r w:rsidR="00940680">
        <w:rPr>
          <w:b/>
        </w:rPr>
        <w:t>2</w:t>
      </w:r>
      <w:r w:rsidRPr="005A0BD0">
        <w:rPr>
          <w:b/>
        </w:rPr>
        <w:t>0%</w:t>
      </w:r>
      <w:r>
        <w:rPr>
          <w:b/>
        </w:rPr>
        <w:t>.</w:t>
      </w:r>
    </w:p>
    <w:p w14:paraId="00E74AAA" w14:textId="77777777" w:rsidR="000B3164" w:rsidRDefault="000B3164" w:rsidP="000B3164">
      <w:pPr>
        <w:jc w:val="both"/>
      </w:pPr>
      <w:r>
        <w:t xml:space="preserve">The successful tenderer’s pricing proposal will be inserted at Schedule 6 (Commercial Schedule) of the contract document. </w:t>
      </w:r>
    </w:p>
    <w:p w14:paraId="44281D8C" w14:textId="77777777" w:rsidR="000B3164" w:rsidRDefault="000B3164" w:rsidP="000B3164">
      <w:pPr>
        <w:jc w:val="both"/>
      </w:pPr>
      <w:r>
        <w:t xml:space="preserve">Section 3.1.1 of the Commercial Envelope contains a file for you to download and insert your pricing proposal. </w:t>
      </w:r>
      <w:proofErr w:type="gramStart"/>
      <w:r>
        <w:t>That file,</w:t>
      </w:r>
      <w:proofErr w:type="gramEnd"/>
      <w:r>
        <w:t xml:space="preserve"> once completed should be uploaded in Bravo as your response to Section 3.1.1.</w:t>
      </w:r>
    </w:p>
    <w:p w14:paraId="52025544" w14:textId="77777777" w:rsidR="000B3164" w:rsidRDefault="000B3164" w:rsidP="000B3164">
      <w:pPr>
        <w:jc w:val="both"/>
      </w:pPr>
      <w:r>
        <w:t>Please refer to the document attached at 3.1.1 in the Commercial Envelope.</w:t>
      </w:r>
    </w:p>
    <w:p w14:paraId="3E8DF549" w14:textId="77777777" w:rsidR="000B3164" w:rsidRDefault="000B3164" w:rsidP="000B3164">
      <w:pPr>
        <w:jc w:val="both"/>
      </w:pPr>
      <w:r>
        <w:t xml:space="preserve">The total amount (total cost) should be entered at 3.1.2. </w:t>
      </w:r>
    </w:p>
    <w:p w14:paraId="6707B45A" w14:textId="77777777" w:rsidR="000B3164" w:rsidRPr="00B239F5" w:rsidRDefault="000B3164" w:rsidP="000B3164">
      <w:pPr>
        <w:jc w:val="both"/>
      </w:pPr>
      <w:r>
        <w:t>Your proposed pricing will be scored as follows.</w:t>
      </w:r>
    </w:p>
    <w:p w14:paraId="2D9EE1CC" w14:textId="77777777" w:rsidR="000B3164" w:rsidRDefault="000B3164" w:rsidP="000B3164">
      <w:pPr>
        <w:tabs>
          <w:tab w:val="num" w:pos="1800"/>
        </w:tabs>
        <w:jc w:val="both"/>
      </w:pPr>
      <w:r>
        <w:t>The maximum commercial envelope score will be awarded to the tender with the lowest price.</w:t>
      </w:r>
    </w:p>
    <w:p w14:paraId="434927AD" w14:textId="77777777" w:rsidR="000B3164" w:rsidRDefault="000B3164" w:rsidP="000B3164">
      <w:pPr>
        <w:tabs>
          <w:tab w:val="num" w:pos="1800"/>
        </w:tabs>
        <w:jc w:val="both"/>
      </w:pPr>
      <w:r>
        <w:t>The remaining tender responses will receive a mark based on the amount by which their price deviates from the lowest price, and which will be calculated as follows:</w:t>
      </w:r>
    </w:p>
    <w:p w14:paraId="6883E625" w14:textId="77777777" w:rsidR="000B3164" w:rsidRDefault="000B3164" w:rsidP="000B3164">
      <w:pPr>
        <w:jc w:val="both"/>
      </w:pPr>
      <w:r>
        <w:t>Cost Score = n% * (</w:t>
      </w:r>
      <w:r>
        <w:rPr>
          <w:u w:val="single"/>
        </w:rPr>
        <w:t>lowest price * Scaler) - price</w:t>
      </w:r>
    </w:p>
    <w:p w14:paraId="27211287" w14:textId="77777777" w:rsidR="000B3164" w:rsidRDefault="000B3164" w:rsidP="000B3164">
      <w:pPr>
        <w:jc w:val="both"/>
      </w:pPr>
      <w:r>
        <w:tab/>
      </w:r>
      <w:r>
        <w:tab/>
      </w:r>
      <w:r>
        <w:tab/>
        <w:t>(Scaler-1) * lowest price</w:t>
      </w:r>
    </w:p>
    <w:p w14:paraId="3AD08CE6" w14:textId="77777777" w:rsidR="000B3164" w:rsidRDefault="000B3164" w:rsidP="000B3164">
      <w:pPr>
        <w:jc w:val="both"/>
      </w:pPr>
      <w:r>
        <w:t>Where:</w:t>
      </w:r>
    </w:p>
    <w:p w14:paraId="6DBA34CF" w14:textId="4D19FADD" w:rsidR="000B3164" w:rsidRDefault="000B3164" w:rsidP="000B3164">
      <w:pPr>
        <w:jc w:val="both"/>
      </w:pPr>
      <w:r>
        <w:t>Scaler = 2</w:t>
      </w:r>
    </w:p>
    <w:p w14:paraId="1B88E090" w14:textId="77777777" w:rsidR="000B3164" w:rsidRDefault="000B3164" w:rsidP="000B3164">
      <w:pPr>
        <w:jc w:val="both"/>
      </w:pPr>
      <w:r>
        <w:t>A negative calculation attracts a score of zero (0%)</w:t>
      </w:r>
    </w:p>
    <w:p w14:paraId="703FA0AC" w14:textId="2F285000" w:rsidR="00540EEE" w:rsidRDefault="000B3164" w:rsidP="00540EEE">
      <w:pPr>
        <w:tabs>
          <w:tab w:val="num" w:pos="720"/>
        </w:tabs>
        <w:jc w:val="both"/>
      </w:pPr>
      <w:r>
        <w:t xml:space="preserve">NHS Digital reserves its right to seek clarification where it believes the price is abnormally low, and to reject tenders where the evidence supplied does not satisfactorily account for the low level of the price proposed. </w:t>
      </w:r>
      <w:bookmarkEnd w:id="4"/>
    </w:p>
    <w:p w14:paraId="738C2F1E" w14:textId="60049691" w:rsidR="00704CCA" w:rsidRPr="00704CCA" w:rsidRDefault="00704CCA" w:rsidP="00704CCA">
      <w:pPr>
        <w:jc w:val="both"/>
      </w:pPr>
      <w:r>
        <w:t xml:space="preserve"> </w:t>
      </w:r>
    </w:p>
    <w:sectPr w:rsidR="00704CCA" w:rsidRPr="00704CCA">
      <w:headerReference w:type="default" r:id="rId13"/>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26EE" w14:textId="77777777" w:rsidR="00C44D58" w:rsidRDefault="00C44D58">
      <w:pPr>
        <w:spacing w:after="0"/>
      </w:pPr>
      <w:r>
        <w:separator/>
      </w:r>
    </w:p>
    <w:p w14:paraId="243740C5" w14:textId="77777777" w:rsidR="00C44D58" w:rsidRDefault="00C44D58"/>
  </w:endnote>
  <w:endnote w:type="continuationSeparator" w:id="0">
    <w:p w14:paraId="391D39EB" w14:textId="77777777" w:rsidR="00C44D58" w:rsidRDefault="00C44D58">
      <w:pPr>
        <w:spacing w:after="0"/>
      </w:pPr>
      <w:r>
        <w:continuationSeparator/>
      </w:r>
    </w:p>
    <w:p w14:paraId="3143AFBC" w14:textId="77777777" w:rsidR="00C44D58" w:rsidRDefault="00C44D58"/>
  </w:endnote>
  <w:endnote w:type="continuationNotice" w:id="1">
    <w:p w14:paraId="4326F413" w14:textId="77777777" w:rsidR="00C44D58" w:rsidRDefault="00C44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3A3A" w14:textId="77777777" w:rsidR="00C44D58" w:rsidRDefault="00C44D58">
      <w:pPr>
        <w:spacing w:after="0"/>
      </w:pPr>
      <w:r>
        <w:separator/>
      </w:r>
    </w:p>
    <w:p w14:paraId="792A6FA6" w14:textId="77777777" w:rsidR="00C44D58" w:rsidRDefault="00C44D58"/>
  </w:footnote>
  <w:footnote w:type="continuationSeparator" w:id="0">
    <w:p w14:paraId="5ED6EF01" w14:textId="77777777" w:rsidR="00C44D58" w:rsidRDefault="00C44D58">
      <w:pPr>
        <w:spacing w:after="0"/>
      </w:pPr>
      <w:r>
        <w:continuationSeparator/>
      </w:r>
    </w:p>
    <w:p w14:paraId="769BD97E" w14:textId="77777777" w:rsidR="00C44D58" w:rsidRDefault="00C44D58"/>
  </w:footnote>
  <w:footnote w:type="continuationNotice" w:id="1">
    <w:p w14:paraId="480183AB" w14:textId="77777777" w:rsidR="00C44D58" w:rsidRDefault="00C44D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7367" w14:textId="29428D5E" w:rsidR="005B0688" w:rsidRDefault="005B0688" w:rsidP="001F584B">
    <w:pPr>
      <w:tabs>
        <w:tab w:val="center" w:pos="4153"/>
        <w:tab w:val="right" w:pos="8306"/>
      </w:tabs>
      <w:ind w:left="720"/>
      <w:jc w:val="center"/>
      <w:rPr>
        <w:color w:val="auto"/>
        <w:sz w:val="20"/>
        <w:szCs w:val="20"/>
      </w:rPr>
    </w:pPr>
    <w:r>
      <w:rPr>
        <w:sz w:val="20"/>
        <w:szCs w:val="20"/>
      </w:rPr>
      <w:t>Invitation to Tender and Instructions to Tenderers</w:t>
    </w:r>
  </w:p>
  <w:p w14:paraId="386EAC13" w14:textId="2732168E" w:rsidR="00BB19E3" w:rsidRPr="009E31E8" w:rsidRDefault="00843D3E" w:rsidP="00BB19E3">
    <w:pPr>
      <w:tabs>
        <w:tab w:val="center" w:pos="4153"/>
        <w:tab w:val="right" w:pos="8306"/>
      </w:tabs>
      <w:ind w:left="720"/>
      <w:jc w:val="center"/>
      <w:rPr>
        <w:rFonts w:cs="Arial"/>
        <w:sz w:val="20"/>
        <w:szCs w:val="20"/>
      </w:rPr>
    </w:pPr>
    <w:r>
      <w:rPr>
        <w:rFonts w:cs="Arial"/>
        <w:sz w:val="20"/>
        <w:szCs w:val="20"/>
      </w:rPr>
      <w:t>Workforce Cyber Security Campaign Design</w:t>
    </w:r>
  </w:p>
  <w:p w14:paraId="08CC3557" w14:textId="4360BC9A" w:rsidR="00BB19E3" w:rsidRPr="005334EA" w:rsidRDefault="00BB19E3" w:rsidP="00BB19E3">
    <w:pPr>
      <w:tabs>
        <w:tab w:val="center" w:pos="4153"/>
        <w:tab w:val="right" w:pos="8306"/>
      </w:tabs>
      <w:ind w:left="720"/>
      <w:jc w:val="center"/>
      <w:rPr>
        <w:sz w:val="20"/>
        <w:szCs w:val="20"/>
      </w:rPr>
    </w:pPr>
    <w:r w:rsidRPr="0059773C">
      <w:rPr>
        <w:rFonts w:cs="Arial"/>
        <w:sz w:val="20"/>
        <w:szCs w:val="20"/>
      </w:rPr>
      <w:t>PRJ_18</w:t>
    </w:r>
    <w:r w:rsidR="00843D3E">
      <w:rPr>
        <w:rFonts w:cs="Arial"/>
        <w:sz w:val="20"/>
        <w:szCs w:val="20"/>
      </w:rPr>
      <w:t>26</w:t>
    </w:r>
  </w:p>
  <w:p w14:paraId="06337938" w14:textId="77777777" w:rsidR="005B0688" w:rsidRDefault="005B0688">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A0C"/>
    <w:multiLevelType w:val="hybridMultilevel"/>
    <w:tmpl w:val="2E1AFB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B6546"/>
    <w:multiLevelType w:val="hybridMultilevel"/>
    <w:tmpl w:val="FA007900"/>
    <w:lvl w:ilvl="0" w:tplc="D138EC88">
      <w:start w:val="1"/>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647A3B"/>
    <w:multiLevelType w:val="hybridMultilevel"/>
    <w:tmpl w:val="F790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A0B5F"/>
    <w:multiLevelType w:val="hybridMultilevel"/>
    <w:tmpl w:val="B762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5120A"/>
    <w:multiLevelType w:val="hybridMultilevel"/>
    <w:tmpl w:val="6B6C7376"/>
    <w:lvl w:ilvl="0" w:tplc="D138EC88">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5016D"/>
    <w:multiLevelType w:val="hybridMultilevel"/>
    <w:tmpl w:val="D95C2A78"/>
    <w:lvl w:ilvl="0" w:tplc="D138EC88">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7337C"/>
    <w:multiLevelType w:val="hybridMultilevel"/>
    <w:tmpl w:val="BFD02C74"/>
    <w:lvl w:ilvl="0" w:tplc="D138EC88">
      <w:start w:val="1"/>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E564D3"/>
    <w:multiLevelType w:val="multilevel"/>
    <w:tmpl w:val="42C8582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sz w:val="22"/>
        <w:szCs w:val="22"/>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0" w15:restartNumberingAfterBreak="0">
    <w:nsid w:val="188613AC"/>
    <w:multiLevelType w:val="hybridMultilevel"/>
    <w:tmpl w:val="E446D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E449D6"/>
    <w:multiLevelType w:val="hybridMultilevel"/>
    <w:tmpl w:val="3A94999A"/>
    <w:lvl w:ilvl="0" w:tplc="A142CC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67553"/>
    <w:multiLevelType w:val="hybridMultilevel"/>
    <w:tmpl w:val="71CA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43587"/>
    <w:multiLevelType w:val="hybridMultilevel"/>
    <w:tmpl w:val="DEFAC5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321AAC"/>
    <w:multiLevelType w:val="hybridMultilevel"/>
    <w:tmpl w:val="CC18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A2DA7"/>
    <w:multiLevelType w:val="hybridMultilevel"/>
    <w:tmpl w:val="48D8F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ED56E5"/>
    <w:multiLevelType w:val="hybridMultilevel"/>
    <w:tmpl w:val="A0DA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928E9"/>
    <w:multiLevelType w:val="hybridMultilevel"/>
    <w:tmpl w:val="59C44120"/>
    <w:lvl w:ilvl="0" w:tplc="D138EC88">
      <w:start w:val="1"/>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1E166B"/>
    <w:multiLevelType w:val="hybridMultilevel"/>
    <w:tmpl w:val="79DC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07E00"/>
    <w:multiLevelType w:val="hybridMultilevel"/>
    <w:tmpl w:val="4A2E390E"/>
    <w:lvl w:ilvl="0" w:tplc="D138EC88">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EC78C8"/>
    <w:multiLevelType w:val="hybridMultilevel"/>
    <w:tmpl w:val="B252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24817"/>
    <w:multiLevelType w:val="hybridMultilevel"/>
    <w:tmpl w:val="C4A09F78"/>
    <w:lvl w:ilvl="0" w:tplc="CA26BC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63FD4"/>
    <w:multiLevelType w:val="hybridMultilevel"/>
    <w:tmpl w:val="E8CE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D3527"/>
    <w:multiLevelType w:val="hybridMultilevel"/>
    <w:tmpl w:val="9F1EC296"/>
    <w:lvl w:ilvl="0" w:tplc="D138EC88">
      <w:start w:val="1"/>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171C5C"/>
    <w:multiLevelType w:val="hybridMultilevel"/>
    <w:tmpl w:val="385C8DC2"/>
    <w:lvl w:ilvl="0" w:tplc="D138EC88">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27C01"/>
    <w:multiLevelType w:val="hybridMultilevel"/>
    <w:tmpl w:val="F6ACCEBA"/>
    <w:lvl w:ilvl="0" w:tplc="D138EC88">
      <w:start w:val="1"/>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725FFA"/>
    <w:multiLevelType w:val="hybridMultilevel"/>
    <w:tmpl w:val="9760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3461B"/>
    <w:multiLevelType w:val="hybridMultilevel"/>
    <w:tmpl w:val="7D581C3E"/>
    <w:lvl w:ilvl="0" w:tplc="D138EC88">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54746"/>
    <w:multiLevelType w:val="hybridMultilevel"/>
    <w:tmpl w:val="005E5C48"/>
    <w:lvl w:ilvl="0" w:tplc="D138EC88">
      <w:start w:val="1"/>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195A77"/>
    <w:multiLevelType w:val="hybridMultilevel"/>
    <w:tmpl w:val="A0AA1ADE"/>
    <w:lvl w:ilvl="0" w:tplc="CA26BC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228E8"/>
    <w:multiLevelType w:val="hybridMultilevel"/>
    <w:tmpl w:val="CA6C1F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2B40D0"/>
    <w:multiLevelType w:val="multilevel"/>
    <w:tmpl w:val="54C6B91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160"/>
        </w:tabs>
        <w:ind w:left="2160" w:hanging="144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2CD61EA"/>
    <w:multiLevelType w:val="multilevel"/>
    <w:tmpl w:val="0364648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3C2531"/>
    <w:multiLevelType w:val="hybridMultilevel"/>
    <w:tmpl w:val="1DE067EE"/>
    <w:lvl w:ilvl="0" w:tplc="D138EC88">
      <w:start w:val="1"/>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866A67"/>
    <w:multiLevelType w:val="hybridMultilevel"/>
    <w:tmpl w:val="DE6A083A"/>
    <w:lvl w:ilvl="0" w:tplc="D138EC88">
      <w:start w:val="1"/>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07872"/>
    <w:multiLevelType w:val="hybridMultilevel"/>
    <w:tmpl w:val="DE2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0646A"/>
    <w:multiLevelType w:val="hybridMultilevel"/>
    <w:tmpl w:val="DD824D4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AF7189"/>
    <w:multiLevelType w:val="hybridMultilevel"/>
    <w:tmpl w:val="CA6C1F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6644CB"/>
    <w:multiLevelType w:val="hybridMultilevel"/>
    <w:tmpl w:val="CCD0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401AB"/>
    <w:multiLevelType w:val="hybridMultilevel"/>
    <w:tmpl w:val="8460F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25"/>
  </w:num>
  <w:num w:numId="4">
    <w:abstractNumId w:val="12"/>
  </w:num>
  <w:num w:numId="5">
    <w:abstractNumId w:val="35"/>
  </w:num>
  <w:num w:numId="6">
    <w:abstractNumId w:val="6"/>
  </w:num>
  <w:num w:numId="7">
    <w:abstractNumId w:val="19"/>
  </w:num>
  <w:num w:numId="8">
    <w:abstractNumId w:val="17"/>
  </w:num>
  <w:num w:numId="9">
    <w:abstractNumId w:val="23"/>
  </w:num>
  <w:num w:numId="10">
    <w:abstractNumId w:val="34"/>
  </w:num>
  <w:num w:numId="11">
    <w:abstractNumId w:val="2"/>
  </w:num>
  <w:num w:numId="12">
    <w:abstractNumId w:val="5"/>
  </w:num>
  <w:num w:numId="13">
    <w:abstractNumId w:val="7"/>
  </w:num>
  <w:num w:numId="14">
    <w:abstractNumId w:val="24"/>
  </w:num>
  <w:num w:numId="15">
    <w:abstractNumId w:val="26"/>
  </w:num>
  <w:num w:numId="16">
    <w:abstractNumId w:val="11"/>
  </w:num>
  <w:num w:numId="17">
    <w:abstractNumId w:val="18"/>
  </w:num>
  <w:num w:numId="18">
    <w:abstractNumId w:val="10"/>
  </w:num>
  <w:num w:numId="19">
    <w:abstractNumId w:val="29"/>
  </w:num>
  <w:num w:numId="20">
    <w:abstractNumId w:val="28"/>
  </w:num>
  <w:num w:numId="21">
    <w:abstractNumId w:val="14"/>
  </w:num>
  <w:num w:numId="22">
    <w:abstractNumId w:val="15"/>
  </w:num>
  <w:num w:numId="23">
    <w:abstractNumId w:val="3"/>
  </w:num>
  <w:num w:numId="24">
    <w:abstractNumId w:val="32"/>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8"/>
  </w:num>
  <w:num w:numId="28">
    <w:abstractNumId w:val="4"/>
  </w:num>
  <w:num w:numId="29">
    <w:abstractNumId w:val="20"/>
  </w:num>
  <w:num w:numId="30">
    <w:abstractNumId w:val="39"/>
  </w:num>
  <w:num w:numId="31">
    <w:abstractNumId w:val="9"/>
  </w:num>
  <w:num w:numId="32">
    <w:abstractNumId w:val="37"/>
  </w:num>
  <w:num w:numId="33">
    <w:abstractNumId w:val="0"/>
  </w:num>
  <w:num w:numId="34">
    <w:abstractNumId w:val="13"/>
  </w:num>
  <w:num w:numId="35">
    <w:abstractNumId w:val="16"/>
  </w:num>
  <w:num w:numId="36">
    <w:abstractNumId w:val="30"/>
  </w:num>
  <w:num w:numId="37">
    <w:abstractNumId w:val="21"/>
  </w:num>
  <w:num w:numId="38">
    <w:abstractNumId w:val="22"/>
  </w:num>
  <w:num w:numId="39">
    <w:abstractNumId w:val="40"/>
  </w:num>
  <w:num w:numId="40">
    <w:abstractNumId w:val="31"/>
  </w:num>
  <w:num w:numId="41">
    <w:abstractNumId w:val="27"/>
  </w:num>
  <w:num w:numId="42">
    <w:abstractNumId w:val="3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attachedTemplate r:id="rId1"/>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C9"/>
    <w:rsid w:val="00001B3C"/>
    <w:rsid w:val="00001E67"/>
    <w:rsid w:val="000046B9"/>
    <w:rsid w:val="00006CEE"/>
    <w:rsid w:val="00021F72"/>
    <w:rsid w:val="00022122"/>
    <w:rsid w:val="00023905"/>
    <w:rsid w:val="00034947"/>
    <w:rsid w:val="00037025"/>
    <w:rsid w:val="0004210B"/>
    <w:rsid w:val="00043402"/>
    <w:rsid w:val="00050D54"/>
    <w:rsid w:val="00052A17"/>
    <w:rsid w:val="00056844"/>
    <w:rsid w:val="000579EB"/>
    <w:rsid w:val="00063B8B"/>
    <w:rsid w:val="00067665"/>
    <w:rsid w:val="00073386"/>
    <w:rsid w:val="000755A8"/>
    <w:rsid w:val="000779FF"/>
    <w:rsid w:val="00084B9E"/>
    <w:rsid w:val="0009374F"/>
    <w:rsid w:val="000A0C20"/>
    <w:rsid w:val="000A29DA"/>
    <w:rsid w:val="000A7A27"/>
    <w:rsid w:val="000B135C"/>
    <w:rsid w:val="000B284C"/>
    <w:rsid w:val="000B3164"/>
    <w:rsid w:val="000B592E"/>
    <w:rsid w:val="000B6CA6"/>
    <w:rsid w:val="000C14A1"/>
    <w:rsid w:val="000C22E0"/>
    <w:rsid w:val="000C2635"/>
    <w:rsid w:val="000D34DF"/>
    <w:rsid w:val="000D3EA1"/>
    <w:rsid w:val="000E13A9"/>
    <w:rsid w:val="000E4578"/>
    <w:rsid w:val="000F1F49"/>
    <w:rsid w:val="000F6092"/>
    <w:rsid w:val="0010006C"/>
    <w:rsid w:val="0010067D"/>
    <w:rsid w:val="001031FD"/>
    <w:rsid w:val="00111D63"/>
    <w:rsid w:val="00124BD5"/>
    <w:rsid w:val="00133889"/>
    <w:rsid w:val="001355DC"/>
    <w:rsid w:val="0014692E"/>
    <w:rsid w:val="00154643"/>
    <w:rsid w:val="00156192"/>
    <w:rsid w:val="00156838"/>
    <w:rsid w:val="001653DA"/>
    <w:rsid w:val="001746AE"/>
    <w:rsid w:val="00180F71"/>
    <w:rsid w:val="00183323"/>
    <w:rsid w:val="00185DE2"/>
    <w:rsid w:val="00190D7A"/>
    <w:rsid w:val="0019761D"/>
    <w:rsid w:val="001A0338"/>
    <w:rsid w:val="001B6AD7"/>
    <w:rsid w:val="001C264B"/>
    <w:rsid w:val="001C2D16"/>
    <w:rsid w:val="001C6B01"/>
    <w:rsid w:val="001C7BD3"/>
    <w:rsid w:val="001D0E52"/>
    <w:rsid w:val="001D45DD"/>
    <w:rsid w:val="001E0C4F"/>
    <w:rsid w:val="001E54BF"/>
    <w:rsid w:val="001E58E0"/>
    <w:rsid w:val="001F584B"/>
    <w:rsid w:val="00205705"/>
    <w:rsid w:val="0021553E"/>
    <w:rsid w:val="0021758D"/>
    <w:rsid w:val="00222633"/>
    <w:rsid w:val="00230843"/>
    <w:rsid w:val="0023146C"/>
    <w:rsid w:val="0023417B"/>
    <w:rsid w:val="00234952"/>
    <w:rsid w:val="00243970"/>
    <w:rsid w:val="00243CFF"/>
    <w:rsid w:val="00246D46"/>
    <w:rsid w:val="00253841"/>
    <w:rsid w:val="002558D4"/>
    <w:rsid w:val="00260D56"/>
    <w:rsid w:val="002617CA"/>
    <w:rsid w:val="0026466A"/>
    <w:rsid w:val="0026559B"/>
    <w:rsid w:val="00271B18"/>
    <w:rsid w:val="002769DE"/>
    <w:rsid w:val="00277336"/>
    <w:rsid w:val="002814A0"/>
    <w:rsid w:val="002827F9"/>
    <w:rsid w:val="00282810"/>
    <w:rsid w:val="0028634E"/>
    <w:rsid w:val="002920A1"/>
    <w:rsid w:val="00295262"/>
    <w:rsid w:val="002A7F10"/>
    <w:rsid w:val="002B598A"/>
    <w:rsid w:val="002C0934"/>
    <w:rsid w:val="002C2490"/>
    <w:rsid w:val="002C273A"/>
    <w:rsid w:val="002E17CD"/>
    <w:rsid w:val="002E2A4E"/>
    <w:rsid w:val="002F50C5"/>
    <w:rsid w:val="002F54BC"/>
    <w:rsid w:val="002F5D8B"/>
    <w:rsid w:val="0030172E"/>
    <w:rsid w:val="00302525"/>
    <w:rsid w:val="003078D9"/>
    <w:rsid w:val="00312485"/>
    <w:rsid w:val="00316209"/>
    <w:rsid w:val="00325947"/>
    <w:rsid w:val="003332C7"/>
    <w:rsid w:val="00342343"/>
    <w:rsid w:val="00344EE5"/>
    <w:rsid w:val="00345D88"/>
    <w:rsid w:val="003573C9"/>
    <w:rsid w:val="0036497B"/>
    <w:rsid w:val="003662F8"/>
    <w:rsid w:val="00367F04"/>
    <w:rsid w:val="00370EF8"/>
    <w:rsid w:val="00384516"/>
    <w:rsid w:val="00384A3E"/>
    <w:rsid w:val="003869EB"/>
    <w:rsid w:val="003A693C"/>
    <w:rsid w:val="003A7D86"/>
    <w:rsid w:val="003B10BE"/>
    <w:rsid w:val="003B7288"/>
    <w:rsid w:val="003B7D69"/>
    <w:rsid w:val="003C181F"/>
    <w:rsid w:val="003C6267"/>
    <w:rsid w:val="003E013B"/>
    <w:rsid w:val="00401902"/>
    <w:rsid w:val="00407A5E"/>
    <w:rsid w:val="00432189"/>
    <w:rsid w:val="00434CBA"/>
    <w:rsid w:val="00437060"/>
    <w:rsid w:val="00442E23"/>
    <w:rsid w:val="00447834"/>
    <w:rsid w:val="00453297"/>
    <w:rsid w:val="0045648B"/>
    <w:rsid w:val="00464FD2"/>
    <w:rsid w:val="004669DE"/>
    <w:rsid w:val="00477F5C"/>
    <w:rsid w:val="00480DBE"/>
    <w:rsid w:val="0048171F"/>
    <w:rsid w:val="00481B8C"/>
    <w:rsid w:val="00485224"/>
    <w:rsid w:val="004859CE"/>
    <w:rsid w:val="004A07BE"/>
    <w:rsid w:val="004A259C"/>
    <w:rsid w:val="004A2A32"/>
    <w:rsid w:val="004A49F3"/>
    <w:rsid w:val="004A523C"/>
    <w:rsid w:val="004A55BD"/>
    <w:rsid w:val="004B0D6F"/>
    <w:rsid w:val="004C213F"/>
    <w:rsid w:val="004C449B"/>
    <w:rsid w:val="004C5C78"/>
    <w:rsid w:val="004E249A"/>
    <w:rsid w:val="004E3E6D"/>
    <w:rsid w:val="004F145A"/>
    <w:rsid w:val="004F7330"/>
    <w:rsid w:val="005126ED"/>
    <w:rsid w:val="00525965"/>
    <w:rsid w:val="00527609"/>
    <w:rsid w:val="00540EEE"/>
    <w:rsid w:val="005412B3"/>
    <w:rsid w:val="00551948"/>
    <w:rsid w:val="00552894"/>
    <w:rsid w:val="005648D8"/>
    <w:rsid w:val="00566F5A"/>
    <w:rsid w:val="00574481"/>
    <w:rsid w:val="00574E2C"/>
    <w:rsid w:val="005761B8"/>
    <w:rsid w:val="00577D4B"/>
    <w:rsid w:val="00585F4A"/>
    <w:rsid w:val="00592B55"/>
    <w:rsid w:val="005A2E41"/>
    <w:rsid w:val="005A50F4"/>
    <w:rsid w:val="005A7272"/>
    <w:rsid w:val="005B0688"/>
    <w:rsid w:val="005B1530"/>
    <w:rsid w:val="005B3B2C"/>
    <w:rsid w:val="005B4A05"/>
    <w:rsid w:val="005B4C6B"/>
    <w:rsid w:val="005C371E"/>
    <w:rsid w:val="005C3E10"/>
    <w:rsid w:val="005C78D9"/>
    <w:rsid w:val="005D688D"/>
    <w:rsid w:val="005E484D"/>
    <w:rsid w:val="005E683C"/>
    <w:rsid w:val="00602421"/>
    <w:rsid w:val="00604DA7"/>
    <w:rsid w:val="00610076"/>
    <w:rsid w:val="00611D13"/>
    <w:rsid w:val="006137B8"/>
    <w:rsid w:val="00616B69"/>
    <w:rsid w:val="006265AE"/>
    <w:rsid w:val="00626DC0"/>
    <w:rsid w:val="0063216D"/>
    <w:rsid w:val="00634F1F"/>
    <w:rsid w:val="00642970"/>
    <w:rsid w:val="006431D9"/>
    <w:rsid w:val="006537DA"/>
    <w:rsid w:val="00656A20"/>
    <w:rsid w:val="00657A8C"/>
    <w:rsid w:val="00660BE7"/>
    <w:rsid w:val="00665E32"/>
    <w:rsid w:val="006670AC"/>
    <w:rsid w:val="00667FED"/>
    <w:rsid w:val="00670C62"/>
    <w:rsid w:val="00674D42"/>
    <w:rsid w:val="00676967"/>
    <w:rsid w:val="0068140F"/>
    <w:rsid w:val="006825EF"/>
    <w:rsid w:val="00684443"/>
    <w:rsid w:val="0068604D"/>
    <w:rsid w:val="0068642B"/>
    <w:rsid w:val="006A1A9C"/>
    <w:rsid w:val="006A2C74"/>
    <w:rsid w:val="006A3095"/>
    <w:rsid w:val="006B2FAC"/>
    <w:rsid w:val="006B4F3C"/>
    <w:rsid w:val="006C1CF6"/>
    <w:rsid w:val="006C3153"/>
    <w:rsid w:val="006C4D94"/>
    <w:rsid w:val="006C77E5"/>
    <w:rsid w:val="006D5AF3"/>
    <w:rsid w:val="006D6905"/>
    <w:rsid w:val="006E3DB6"/>
    <w:rsid w:val="006E4E2D"/>
    <w:rsid w:val="006F0FEA"/>
    <w:rsid w:val="006F3F24"/>
    <w:rsid w:val="00701D14"/>
    <w:rsid w:val="0070378B"/>
    <w:rsid w:val="00704C28"/>
    <w:rsid w:val="00704CCA"/>
    <w:rsid w:val="007109D7"/>
    <w:rsid w:val="00711EA0"/>
    <w:rsid w:val="00721296"/>
    <w:rsid w:val="00722D8A"/>
    <w:rsid w:val="00725D92"/>
    <w:rsid w:val="00726742"/>
    <w:rsid w:val="007271C6"/>
    <w:rsid w:val="00732098"/>
    <w:rsid w:val="00736BD7"/>
    <w:rsid w:val="00741A47"/>
    <w:rsid w:val="007447C8"/>
    <w:rsid w:val="00744F81"/>
    <w:rsid w:val="00750A0A"/>
    <w:rsid w:val="00751705"/>
    <w:rsid w:val="007570D5"/>
    <w:rsid w:val="00765773"/>
    <w:rsid w:val="00782795"/>
    <w:rsid w:val="00787E41"/>
    <w:rsid w:val="007962CB"/>
    <w:rsid w:val="007A2F2F"/>
    <w:rsid w:val="007B478F"/>
    <w:rsid w:val="007C4902"/>
    <w:rsid w:val="007C4E5A"/>
    <w:rsid w:val="007C5715"/>
    <w:rsid w:val="007D03A7"/>
    <w:rsid w:val="007D7F42"/>
    <w:rsid w:val="007E4CD0"/>
    <w:rsid w:val="007E7871"/>
    <w:rsid w:val="007F1FB9"/>
    <w:rsid w:val="008018BD"/>
    <w:rsid w:val="00803928"/>
    <w:rsid w:val="00806E39"/>
    <w:rsid w:val="00807A5E"/>
    <w:rsid w:val="00816C1A"/>
    <w:rsid w:val="0082305A"/>
    <w:rsid w:val="00823338"/>
    <w:rsid w:val="00833CBD"/>
    <w:rsid w:val="00843D3E"/>
    <w:rsid w:val="00857167"/>
    <w:rsid w:val="00860809"/>
    <w:rsid w:val="00861B9C"/>
    <w:rsid w:val="008633C7"/>
    <w:rsid w:val="00865671"/>
    <w:rsid w:val="00866233"/>
    <w:rsid w:val="008759B7"/>
    <w:rsid w:val="0088008D"/>
    <w:rsid w:val="008814C7"/>
    <w:rsid w:val="00882B3F"/>
    <w:rsid w:val="008870F2"/>
    <w:rsid w:val="00890CC5"/>
    <w:rsid w:val="008942FF"/>
    <w:rsid w:val="008947AD"/>
    <w:rsid w:val="008A01B8"/>
    <w:rsid w:val="008B1A9C"/>
    <w:rsid w:val="008C7E19"/>
    <w:rsid w:val="008D08D1"/>
    <w:rsid w:val="008E1FC1"/>
    <w:rsid w:val="008E2E05"/>
    <w:rsid w:val="008E385A"/>
    <w:rsid w:val="008E618E"/>
    <w:rsid w:val="008F17BA"/>
    <w:rsid w:val="008F2752"/>
    <w:rsid w:val="008F4AF4"/>
    <w:rsid w:val="008F5B18"/>
    <w:rsid w:val="0090747F"/>
    <w:rsid w:val="0090794E"/>
    <w:rsid w:val="009152C8"/>
    <w:rsid w:val="00916245"/>
    <w:rsid w:val="00916A9C"/>
    <w:rsid w:val="0092085A"/>
    <w:rsid w:val="00921DF3"/>
    <w:rsid w:val="00924ED1"/>
    <w:rsid w:val="00926D38"/>
    <w:rsid w:val="00930029"/>
    <w:rsid w:val="00930EF7"/>
    <w:rsid w:val="00932568"/>
    <w:rsid w:val="00933078"/>
    <w:rsid w:val="0093397A"/>
    <w:rsid w:val="009368A5"/>
    <w:rsid w:val="00940680"/>
    <w:rsid w:val="00946834"/>
    <w:rsid w:val="00947E05"/>
    <w:rsid w:val="00952B79"/>
    <w:rsid w:val="00957AA6"/>
    <w:rsid w:val="0096201E"/>
    <w:rsid w:val="00962075"/>
    <w:rsid w:val="00963FB7"/>
    <w:rsid w:val="009654F9"/>
    <w:rsid w:val="00966246"/>
    <w:rsid w:val="00971DB8"/>
    <w:rsid w:val="00972D91"/>
    <w:rsid w:val="00974AB8"/>
    <w:rsid w:val="0097571C"/>
    <w:rsid w:val="00982C66"/>
    <w:rsid w:val="0098462A"/>
    <w:rsid w:val="00986AC2"/>
    <w:rsid w:val="009A0851"/>
    <w:rsid w:val="009A5431"/>
    <w:rsid w:val="009B4507"/>
    <w:rsid w:val="009B496B"/>
    <w:rsid w:val="009C0193"/>
    <w:rsid w:val="009C403A"/>
    <w:rsid w:val="009C4556"/>
    <w:rsid w:val="009D2C0D"/>
    <w:rsid w:val="009D7007"/>
    <w:rsid w:val="009D7D14"/>
    <w:rsid w:val="009F2B1D"/>
    <w:rsid w:val="009F7C8C"/>
    <w:rsid w:val="00A00009"/>
    <w:rsid w:val="00A043F0"/>
    <w:rsid w:val="00A04430"/>
    <w:rsid w:val="00A04F3C"/>
    <w:rsid w:val="00A064C5"/>
    <w:rsid w:val="00A10617"/>
    <w:rsid w:val="00A11943"/>
    <w:rsid w:val="00A20A1B"/>
    <w:rsid w:val="00A268CA"/>
    <w:rsid w:val="00A270E1"/>
    <w:rsid w:val="00A41879"/>
    <w:rsid w:val="00A43EE0"/>
    <w:rsid w:val="00A44768"/>
    <w:rsid w:val="00A44828"/>
    <w:rsid w:val="00A508FB"/>
    <w:rsid w:val="00A51901"/>
    <w:rsid w:val="00A51966"/>
    <w:rsid w:val="00A51C26"/>
    <w:rsid w:val="00A55E6B"/>
    <w:rsid w:val="00A5624F"/>
    <w:rsid w:val="00A64D24"/>
    <w:rsid w:val="00A71E1D"/>
    <w:rsid w:val="00A721BA"/>
    <w:rsid w:val="00A76E91"/>
    <w:rsid w:val="00A82CA2"/>
    <w:rsid w:val="00A861DD"/>
    <w:rsid w:val="00A91092"/>
    <w:rsid w:val="00AA167F"/>
    <w:rsid w:val="00AA6A38"/>
    <w:rsid w:val="00AB387A"/>
    <w:rsid w:val="00AB5EE2"/>
    <w:rsid w:val="00AC43BF"/>
    <w:rsid w:val="00AC7224"/>
    <w:rsid w:val="00AD49DA"/>
    <w:rsid w:val="00AE1568"/>
    <w:rsid w:val="00AE5549"/>
    <w:rsid w:val="00AF040E"/>
    <w:rsid w:val="00AF3C75"/>
    <w:rsid w:val="00AF7DAB"/>
    <w:rsid w:val="00B007B1"/>
    <w:rsid w:val="00B02934"/>
    <w:rsid w:val="00B11721"/>
    <w:rsid w:val="00B20FCC"/>
    <w:rsid w:val="00B228B7"/>
    <w:rsid w:val="00B307CA"/>
    <w:rsid w:val="00B37771"/>
    <w:rsid w:val="00B40C8A"/>
    <w:rsid w:val="00B43E14"/>
    <w:rsid w:val="00B45EB1"/>
    <w:rsid w:val="00B47862"/>
    <w:rsid w:val="00B73D09"/>
    <w:rsid w:val="00B74B8E"/>
    <w:rsid w:val="00B9098E"/>
    <w:rsid w:val="00BA05B8"/>
    <w:rsid w:val="00BA07AC"/>
    <w:rsid w:val="00BA48F8"/>
    <w:rsid w:val="00BA6BA8"/>
    <w:rsid w:val="00BB19E3"/>
    <w:rsid w:val="00BB5B13"/>
    <w:rsid w:val="00BB6D4C"/>
    <w:rsid w:val="00BC7F57"/>
    <w:rsid w:val="00BD5814"/>
    <w:rsid w:val="00BE6C23"/>
    <w:rsid w:val="00BF1645"/>
    <w:rsid w:val="00C01EF6"/>
    <w:rsid w:val="00C07C03"/>
    <w:rsid w:val="00C12CAC"/>
    <w:rsid w:val="00C13028"/>
    <w:rsid w:val="00C15235"/>
    <w:rsid w:val="00C168C5"/>
    <w:rsid w:val="00C22AFF"/>
    <w:rsid w:val="00C34D64"/>
    <w:rsid w:val="00C34DAA"/>
    <w:rsid w:val="00C44D58"/>
    <w:rsid w:val="00C47DD5"/>
    <w:rsid w:val="00C47FAC"/>
    <w:rsid w:val="00C54014"/>
    <w:rsid w:val="00C54238"/>
    <w:rsid w:val="00C55724"/>
    <w:rsid w:val="00C60C84"/>
    <w:rsid w:val="00C6532A"/>
    <w:rsid w:val="00C66CE8"/>
    <w:rsid w:val="00C72112"/>
    <w:rsid w:val="00C74055"/>
    <w:rsid w:val="00C74BD8"/>
    <w:rsid w:val="00C879A9"/>
    <w:rsid w:val="00C92177"/>
    <w:rsid w:val="00C926F8"/>
    <w:rsid w:val="00C94AF3"/>
    <w:rsid w:val="00C95678"/>
    <w:rsid w:val="00CA0C62"/>
    <w:rsid w:val="00CA7778"/>
    <w:rsid w:val="00CA7F74"/>
    <w:rsid w:val="00CB1492"/>
    <w:rsid w:val="00CB1D5C"/>
    <w:rsid w:val="00CB4CA2"/>
    <w:rsid w:val="00CB502B"/>
    <w:rsid w:val="00CC452F"/>
    <w:rsid w:val="00CD084D"/>
    <w:rsid w:val="00CD2A55"/>
    <w:rsid w:val="00CD30EE"/>
    <w:rsid w:val="00CD7ECF"/>
    <w:rsid w:val="00CE6815"/>
    <w:rsid w:val="00CF588C"/>
    <w:rsid w:val="00D0184E"/>
    <w:rsid w:val="00D026AF"/>
    <w:rsid w:val="00D05290"/>
    <w:rsid w:val="00D20FDF"/>
    <w:rsid w:val="00D21ADB"/>
    <w:rsid w:val="00D22B9A"/>
    <w:rsid w:val="00D242E2"/>
    <w:rsid w:val="00D2544E"/>
    <w:rsid w:val="00D256DE"/>
    <w:rsid w:val="00D256FB"/>
    <w:rsid w:val="00D2583D"/>
    <w:rsid w:val="00D319B5"/>
    <w:rsid w:val="00D361F9"/>
    <w:rsid w:val="00D517B4"/>
    <w:rsid w:val="00D531A7"/>
    <w:rsid w:val="00D57EA3"/>
    <w:rsid w:val="00D620E0"/>
    <w:rsid w:val="00D736C3"/>
    <w:rsid w:val="00D753CD"/>
    <w:rsid w:val="00D80977"/>
    <w:rsid w:val="00D8631F"/>
    <w:rsid w:val="00D87571"/>
    <w:rsid w:val="00D903CA"/>
    <w:rsid w:val="00D91516"/>
    <w:rsid w:val="00D93C4F"/>
    <w:rsid w:val="00DA0C2E"/>
    <w:rsid w:val="00DC1143"/>
    <w:rsid w:val="00DC3944"/>
    <w:rsid w:val="00DD71FE"/>
    <w:rsid w:val="00DE0298"/>
    <w:rsid w:val="00DE09E2"/>
    <w:rsid w:val="00DE3C4D"/>
    <w:rsid w:val="00DF1ECE"/>
    <w:rsid w:val="00E02EC0"/>
    <w:rsid w:val="00E04AF3"/>
    <w:rsid w:val="00E20AA1"/>
    <w:rsid w:val="00E2465A"/>
    <w:rsid w:val="00E25E20"/>
    <w:rsid w:val="00E27032"/>
    <w:rsid w:val="00E30029"/>
    <w:rsid w:val="00E34C24"/>
    <w:rsid w:val="00E372C5"/>
    <w:rsid w:val="00E41721"/>
    <w:rsid w:val="00E428F0"/>
    <w:rsid w:val="00E4540E"/>
    <w:rsid w:val="00E6115A"/>
    <w:rsid w:val="00E660B4"/>
    <w:rsid w:val="00E66D66"/>
    <w:rsid w:val="00E72156"/>
    <w:rsid w:val="00E73E6B"/>
    <w:rsid w:val="00E76855"/>
    <w:rsid w:val="00E771DA"/>
    <w:rsid w:val="00E83A04"/>
    <w:rsid w:val="00E91A74"/>
    <w:rsid w:val="00E93C7F"/>
    <w:rsid w:val="00E97E61"/>
    <w:rsid w:val="00EA2978"/>
    <w:rsid w:val="00EB0DE4"/>
    <w:rsid w:val="00EB2CAC"/>
    <w:rsid w:val="00EB39AD"/>
    <w:rsid w:val="00EC41F6"/>
    <w:rsid w:val="00EC666E"/>
    <w:rsid w:val="00ED0BCB"/>
    <w:rsid w:val="00ED431C"/>
    <w:rsid w:val="00ED48AB"/>
    <w:rsid w:val="00ED58D7"/>
    <w:rsid w:val="00ED70CC"/>
    <w:rsid w:val="00ED7E19"/>
    <w:rsid w:val="00EE2250"/>
    <w:rsid w:val="00EF5E94"/>
    <w:rsid w:val="00F04A89"/>
    <w:rsid w:val="00F07DE3"/>
    <w:rsid w:val="00F10BAA"/>
    <w:rsid w:val="00F130BB"/>
    <w:rsid w:val="00F155E9"/>
    <w:rsid w:val="00F15B07"/>
    <w:rsid w:val="00F2630F"/>
    <w:rsid w:val="00F35645"/>
    <w:rsid w:val="00F477F0"/>
    <w:rsid w:val="00F550D1"/>
    <w:rsid w:val="00F576C9"/>
    <w:rsid w:val="00F62F2C"/>
    <w:rsid w:val="00F63564"/>
    <w:rsid w:val="00F667CB"/>
    <w:rsid w:val="00F74F9B"/>
    <w:rsid w:val="00F75B28"/>
    <w:rsid w:val="00F8421C"/>
    <w:rsid w:val="00F86C5A"/>
    <w:rsid w:val="00F900EC"/>
    <w:rsid w:val="00F94943"/>
    <w:rsid w:val="00FA048A"/>
    <w:rsid w:val="00FA0888"/>
    <w:rsid w:val="00FB7DBF"/>
    <w:rsid w:val="00FC039D"/>
    <w:rsid w:val="00FC1BB8"/>
    <w:rsid w:val="00FD19B4"/>
    <w:rsid w:val="00FD1F56"/>
    <w:rsid w:val="00FD3BBD"/>
    <w:rsid w:val="00FD5F4B"/>
    <w:rsid w:val="00FE2C46"/>
    <w:rsid w:val="00FE68E6"/>
    <w:rsid w:val="00FE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1C0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0"/>
      <w:textboxTightWrap w:val="lastLineOnly"/>
    </w:pPr>
    <w:rPr>
      <w:rFonts w:ascii="Arial" w:hAnsi="Arial"/>
      <w:color w:val="0F0F0F" w:themeColor="text1"/>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autoRedefine/>
    <w:qFormat/>
    <w:pPr>
      <w:keepNext/>
      <w:numPr>
        <w:ilvl w:val="1"/>
        <w:numId w:val="24"/>
      </w:numPr>
      <w:tabs>
        <w:tab w:val="clear" w:pos="720"/>
        <w:tab w:val="num" w:pos="131"/>
      </w:tabs>
      <w:spacing w:before="60" w:after="120"/>
      <w:ind w:left="131" w:hanging="131"/>
      <w:jc w:val="both"/>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eading2"/>
    <w:next w:val="Normal"/>
    <w:link w:val="Heading3Char"/>
    <w:autoRedefine/>
    <w:qFormat/>
    <w:pPr>
      <w:numPr>
        <w:ilvl w:val="2"/>
      </w:numPr>
      <w:tabs>
        <w:tab w:val="clear" w:pos="2160"/>
        <w:tab w:val="num" w:pos="851"/>
      </w:tabs>
      <w:ind w:left="851" w:hanging="851"/>
      <w:outlineLvl w:val="2"/>
    </w:pPr>
    <w:rPr>
      <w:rFonts w:cs="Arial"/>
      <w:sz w:val="30"/>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keepNext/>
      <w:spacing w:before="60" w:after="60"/>
      <w:outlineLvl w:val="3"/>
    </w:pPr>
    <w:rPr>
      <w:b/>
      <w:color w:val="005EB8" w:themeColor="accent1"/>
      <w:szCs w:val="20"/>
    </w:rPr>
  </w:style>
  <w:style w:type="paragraph" w:styleId="Heading5">
    <w:name w:val="heading 5"/>
    <w:basedOn w:val="Normal"/>
    <w:next w:val="Normal"/>
    <w:link w:val="Heading5Char"/>
    <w:uiPriority w:val="9"/>
    <w:semiHidden/>
    <w:unhideWhenUsed/>
    <w:pPr>
      <w:keepNext/>
      <w:keepLines/>
      <w:spacing w:before="200" w:after="0"/>
      <w:ind w:left="1008" w:hanging="1008"/>
      <w:outlineLvl w:val="4"/>
    </w:pPr>
    <w:rPr>
      <w:rFonts w:asciiTheme="majorHAnsi" w:eastAsiaTheme="majorEastAsia" w:hAnsiTheme="majorHAnsi" w:cstheme="majorBidi"/>
      <w:color w:val="002E5B" w:themeColor="accent1" w:themeShade="7F"/>
    </w:rPr>
  </w:style>
  <w:style w:type="paragraph" w:styleId="Heading6">
    <w:name w:val="heading 6"/>
    <w:basedOn w:val="Normal"/>
    <w:next w:val="Normal"/>
    <w:link w:val="Heading6Char"/>
    <w:uiPriority w:val="9"/>
    <w:semiHidden/>
    <w:unhideWhenUsed/>
    <w:pPr>
      <w:keepNext/>
      <w:keepLines/>
      <w:spacing w:before="200" w:after="0"/>
      <w:ind w:left="1152" w:hanging="1152"/>
      <w:outlineLvl w:val="5"/>
    </w:pPr>
    <w:rPr>
      <w:rFonts w:asciiTheme="majorHAnsi" w:eastAsiaTheme="majorEastAsia" w:hAnsiTheme="majorHAnsi" w:cstheme="majorBidi"/>
      <w:i/>
      <w:iCs/>
      <w:color w:val="002E5B" w:themeColor="accent1" w:themeShade="7F"/>
    </w:rPr>
  </w:style>
  <w:style w:type="paragraph" w:styleId="Heading7">
    <w:name w:val="heading 7"/>
    <w:basedOn w:val="Normal"/>
    <w:next w:val="Normal"/>
    <w:link w:val="Heading7Char"/>
    <w:semiHidden/>
    <w:unhideWhenUsed/>
    <w:qFormat/>
    <w:pPr>
      <w:keepNext/>
      <w:keepLines/>
      <w:spacing w:before="200" w:after="0"/>
      <w:ind w:left="1296" w:hanging="1296"/>
      <w:outlineLvl w:val="6"/>
    </w:pPr>
    <w:rPr>
      <w:rFonts w:asciiTheme="majorHAnsi" w:eastAsiaTheme="majorEastAsia" w:hAnsiTheme="majorHAnsi" w:cstheme="majorBidi"/>
      <w:i/>
      <w:iCs/>
      <w:color w:val="4B4B4B" w:themeColor="text1" w:themeTint="BF"/>
    </w:rPr>
  </w:style>
  <w:style w:type="paragraph" w:styleId="Heading8">
    <w:name w:val="heading 8"/>
    <w:basedOn w:val="Normal"/>
    <w:next w:val="Normal"/>
    <w:link w:val="Heading8Char"/>
    <w:semiHidden/>
    <w:unhideWhenUsed/>
    <w:qFormat/>
    <w:pPr>
      <w:keepNext/>
      <w:keepLines/>
      <w:spacing w:before="200" w:after="0"/>
      <w:ind w:left="1440" w:hanging="1440"/>
      <w:outlineLvl w:val="7"/>
    </w:pPr>
    <w:rPr>
      <w:rFonts w:asciiTheme="majorHAnsi" w:eastAsiaTheme="majorEastAsia" w:hAnsiTheme="majorHAnsi" w:cstheme="majorBidi"/>
      <w:color w:val="4B4B4B" w:themeColor="text1" w:themeTint="BF"/>
      <w:sz w:val="20"/>
      <w:szCs w:val="20"/>
    </w:rPr>
  </w:style>
  <w:style w:type="paragraph" w:styleId="Heading9">
    <w:name w:val="heading 9"/>
    <w:basedOn w:val="Normal"/>
    <w:next w:val="Normal"/>
    <w:link w:val="Heading9Char"/>
    <w:semiHidden/>
    <w:unhideWhenUsed/>
    <w:qFormat/>
    <w:pPr>
      <w:keepNext/>
      <w:keepLines/>
      <w:spacing w:before="200" w:after="0"/>
      <w:ind w:left="1584" w:hanging="1584"/>
      <w:outlineLvl w:val="8"/>
    </w:pPr>
    <w:rPr>
      <w:rFonts w:asciiTheme="majorHAnsi" w:eastAsiaTheme="majorEastAsia" w:hAnsiTheme="majorHAnsi" w:cstheme="majorBidi"/>
      <w:i/>
      <w:iCs/>
      <w:color w:val="4B4B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Pr>
      <w:rFonts w:ascii="Arial" w:hAnsi="Arial" w:cs="Arial"/>
      <w:b/>
      <w:bCs/>
      <w:color w:val="005EB8" w:themeColor="accent1"/>
      <w:spacing w:val="-14"/>
      <w:kern w:val="28"/>
      <w:sz w:val="42"/>
      <w:szCs w:val="32"/>
      <w14:ligatures w14:val="standardContextual"/>
    </w:rPr>
  </w:style>
  <w:style w:type="paragraph" w:styleId="ListParagraph">
    <w:name w:val="List Paragraph"/>
    <w:aliases w:val="Dot pt,F5 List Paragraph,List Paragraph1,Numbered Para 1,No Spacing1,List Paragraph Char Char Char,Indicator Text,Bullet Points,MAIN CONTENT,Bullet List"/>
    <w:basedOn w:val="Normal"/>
    <w:link w:val="ListParagraphChar"/>
    <w:uiPriority w:val="34"/>
    <w:qFormat/>
    <w:pPr>
      <w:spacing w:after="180"/>
      <w:ind w:firstLine="360"/>
    </w:p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Pr>
      <w:rFonts w:ascii="Arial" w:eastAsia="MS Mincho" w:hAnsi="Arial" w:cs="Arial"/>
      <w:b/>
      <w:color w:val="005EB8" w:themeColor="accent1"/>
      <w:spacing w:val="-6"/>
      <w:kern w:val="28"/>
      <w:sz w:val="30"/>
      <w:szCs w:val="24"/>
      <w14:ligatures w14:val="standardContextual"/>
    </w:rPr>
  </w:style>
  <w:style w:type="paragraph" w:customStyle="1" w:styleId="Bulletlist">
    <w:name w:val="Bullet list"/>
    <w:basedOn w:val="ListParagraph"/>
    <w:link w:val="BulletlistChar"/>
    <w:autoRedefine/>
    <w:qFormat/>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Pr>
      <w:rFonts w:ascii="Arial" w:hAnsi="Arial" w:cs="FrutigerLTStd-Light"/>
      <w:color w:val="0F0F0F" w:themeColor="text1"/>
      <w:sz w:val="18"/>
      <w:szCs w:val="18"/>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Pr>
      <w:rFonts w:ascii="Arial" w:hAnsi="Arial"/>
      <w:b/>
      <w:color w:val="005EB8" w:themeColor="accent1"/>
      <w:sz w:val="24"/>
    </w:rPr>
  </w:style>
  <w:style w:type="character" w:styleId="Hyperlink">
    <w:name w:val="Hyperlink"/>
    <w:basedOn w:val="DefaultParagraphFont"/>
    <w:uiPriority w:val="99"/>
    <w:unhideWhenUsed/>
    <w:qFormat/>
    <w:rPr>
      <w:rFonts w:asciiTheme="minorHAnsi" w:hAnsiTheme="minorHAnsi"/>
      <w:color w:val="003087" w:themeColor="accent3"/>
      <w:u w:val="none"/>
    </w:rPr>
  </w:style>
  <w:style w:type="paragraph" w:customStyle="1" w:styleId="Standfirst">
    <w:name w:val="Standfirst"/>
    <w:basedOn w:val="Normal"/>
    <w:link w:val="StandfirstChar"/>
    <w:autoRedefine/>
    <w:qFormat/>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Pr>
      <w:b/>
      <w:color w:val="FFFFFF" w:themeColor="background1"/>
      <w:sz w:val="84"/>
      <w:szCs w:val="84"/>
    </w:rPr>
  </w:style>
  <w:style w:type="character" w:customStyle="1" w:styleId="FrontpageTitleChar">
    <w:name w:val="Frontpage_Title Char"/>
    <w:basedOn w:val="DefaultParagraphFont"/>
    <w:link w:val="FrontpageTitle"/>
    <w:rPr>
      <w:rFonts w:ascii="Arial" w:hAnsi="Arial"/>
      <w:b/>
      <w:color w:val="FFFFFF" w:themeColor="background1"/>
      <w:sz w:val="84"/>
      <w:szCs w:val="84"/>
    </w:rPr>
  </w:style>
  <w:style w:type="paragraph" w:customStyle="1" w:styleId="Frontpagesubhead">
    <w:name w:val="Frontpage_subhead"/>
    <w:basedOn w:val="Normal"/>
    <w:link w:val="FrontpagesubheadChar"/>
    <w:autoRedefine/>
    <w:qFormat/>
    <w:rPr>
      <w:b/>
      <w:color w:val="F2F2F2" w:themeColor="background1" w:themeShade="F2"/>
      <w:sz w:val="56"/>
      <w:szCs w:val="36"/>
    </w:rPr>
  </w:style>
  <w:style w:type="character" w:customStyle="1" w:styleId="FrontpagesubheadChar">
    <w:name w:val="Frontpage_subhead Char"/>
    <w:basedOn w:val="DefaultParagraphFont"/>
    <w:link w:val="Frontpagesubhead"/>
    <w:rPr>
      <w:rFonts w:ascii="Arial" w:hAnsi="Arial"/>
      <w:b/>
      <w:color w:val="F2F2F2" w:themeColor="background1" w:themeShade="F2"/>
      <w:sz w:val="56"/>
      <w:szCs w:val="36"/>
    </w:rPr>
  </w:style>
  <w:style w:type="paragraph" w:customStyle="1" w:styleId="Footnoteseparator">
    <w:name w:val="Footnote_separator"/>
    <w:basedOn w:val="Heading3"/>
    <w:link w:val="FootnoteseparatorChar"/>
    <w:rPr>
      <w:noProof/>
      <w:w w:val="200"/>
      <w:sz w:val="16"/>
      <w:szCs w:val="16"/>
    </w:rPr>
  </w:style>
  <w:style w:type="character" w:customStyle="1" w:styleId="FootnoteseparatorChar">
    <w:name w:val="Footnote_separator Char"/>
    <w:basedOn w:val="Heading3Char"/>
    <w:link w:val="Footnoteseparator"/>
    <w:rPr>
      <w:rFonts w:ascii="Arial" w:eastAsia="MS Mincho" w:hAnsi="Arial" w:cs="Arial"/>
      <w:b/>
      <w:bCs w:val="0"/>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pPr>
      <w:spacing w:after="140"/>
      <w:ind w:left="510" w:hanging="510"/>
    </w:pPr>
  </w:style>
  <w:style w:type="character" w:customStyle="1" w:styleId="NumberedlistChar">
    <w:name w:val="Numbered list Char"/>
    <w:basedOn w:val="DefaultParagraphFont"/>
    <w:link w:val="Numberedlist"/>
    <w:rPr>
      <w:rFonts w:ascii="Arial" w:hAnsi="Arial"/>
      <w:sz w:val="24"/>
      <w:szCs w:val="24"/>
    </w:rPr>
  </w:style>
  <w:style w:type="paragraph" w:styleId="TOC2">
    <w:name w:val="toc 2"/>
    <w:basedOn w:val="Normal"/>
    <w:next w:val="Normal"/>
    <w:autoRedefine/>
    <w:uiPriority w:val="39"/>
    <w:unhideWhenUsed/>
    <w:qFormat/>
    <w:pPr>
      <w:spacing w:after="100"/>
      <w:ind w:left="220"/>
    </w:pPr>
    <w:rPr>
      <w:color w:val="424D58" w:themeColor="accent6"/>
    </w:rPr>
  </w:style>
  <w:style w:type="paragraph" w:styleId="TOC3">
    <w:name w:val="toc 3"/>
    <w:basedOn w:val="Normal"/>
    <w:next w:val="Normal"/>
    <w:autoRedefine/>
    <w:uiPriority w:val="39"/>
    <w:semiHidden/>
    <w:unhideWhenUsed/>
    <w:qFormat/>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Pr>
      <w:rFonts w:ascii="Arial" w:hAnsi="Arial"/>
      <w:color w:val="84919C" w:themeColor="accent2"/>
      <w:szCs w:val="24"/>
    </w:rPr>
  </w:style>
  <w:style w:type="paragraph" w:styleId="Footer">
    <w:name w:val="footer"/>
    <w:basedOn w:val="Normal"/>
    <w:link w:val="FooterChar"/>
    <w:autoRedefine/>
    <w:uiPriority w:val="99"/>
    <w:unhideWhenUsed/>
    <w:qFormat/>
    <w:pPr>
      <w:tabs>
        <w:tab w:val="right" w:pos="9866"/>
      </w:tabs>
      <w:spacing w:after="0"/>
    </w:pPr>
    <w:rPr>
      <w:color w:val="84919C" w:themeColor="accent2"/>
      <w:sz w:val="18"/>
    </w:rPr>
  </w:style>
  <w:style w:type="character" w:customStyle="1" w:styleId="FooterChar">
    <w:name w:val="Footer Char"/>
    <w:basedOn w:val="DefaultParagraphFont"/>
    <w:link w:val="Footer"/>
    <w:uiPriority w:val="99"/>
    <w:rPr>
      <w:rFonts w:ascii="Arial" w:hAnsi="Arial"/>
      <w:color w:val="84919C" w:themeColor="accent2"/>
      <w:sz w:val="18"/>
      <w:szCs w:val="24"/>
    </w:rPr>
  </w:style>
  <w:style w:type="character" w:styleId="Strong">
    <w:name w:val="Strong"/>
    <w:aliases w:val="Bold"/>
    <w:qFormat/>
    <w:rPr>
      <w:rFonts w:asciiTheme="minorHAnsi" w:hAnsiTheme="minorHAnsi"/>
      <w:b/>
      <w:bCs/>
    </w:rPr>
  </w:style>
  <w:style w:type="paragraph" w:styleId="Quote">
    <w:name w:val="Quote"/>
    <w:basedOn w:val="Normal"/>
    <w:next w:val="Normal"/>
    <w:link w:val="QuoteChar"/>
    <w:uiPriority w:val="29"/>
    <w:qFormat/>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Pr>
      <w:rFonts w:asciiTheme="minorHAnsi" w:hAnsiTheme="minorHAnsi"/>
      <w:i/>
      <w:iCs/>
      <w:color w:val="005EB8" w:themeColor="accent1"/>
      <w:sz w:val="30"/>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List Char"/>
    <w:basedOn w:val="DefaultParagraphFont"/>
    <w:link w:val="ListParagraph"/>
    <w:uiPriority w:val="34"/>
    <w:rPr>
      <w:rFonts w:ascii="Arial" w:hAnsi="Arial"/>
      <w:sz w:val="24"/>
      <w:szCs w:val="24"/>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customStyle="1" w:styleId="Publisheddate">
    <w:name w:val="Published date"/>
    <w:basedOn w:val="Heading4"/>
    <w:link w:val="PublisheddateChar"/>
    <w:qFormat/>
    <w:rPr>
      <w:b w:val="0"/>
      <w:color w:val="FFFFFF" w:themeColor="background1"/>
      <w:sz w:val="30"/>
    </w:rPr>
  </w:style>
  <w:style w:type="character" w:customStyle="1" w:styleId="PublisheddateChar">
    <w:name w:val="Published date Char"/>
    <w:basedOn w:val="Heading4Char"/>
    <w:link w:val="Publisheddate"/>
    <w:rPr>
      <w:rFonts w:ascii="Arial" w:hAnsi="Arial"/>
      <w:b w:val="0"/>
      <w:color w:val="FFFFFF" w:themeColor="background1"/>
      <w:sz w:val="30"/>
    </w:rPr>
  </w:style>
  <w:style w:type="table" w:styleId="TableGrid">
    <w:name w:val="Table Grid"/>
    <w:aliases w:val="Header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olor w:val="0F0F0F" w:themeColor="text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color w:val="0F0F0F" w:themeColor="text1"/>
    </w:rPr>
  </w:style>
  <w:style w:type="character" w:customStyle="1" w:styleId="cosearchterm">
    <w:name w:val="co_searchterm"/>
    <w:basedOn w:val="DefaultParagraphFont"/>
  </w:style>
  <w:style w:type="paragraph" w:styleId="Revision">
    <w:name w:val="Revision"/>
    <w:hidden/>
    <w:uiPriority w:val="99"/>
    <w:semiHidden/>
    <w:rPr>
      <w:rFonts w:ascii="Arial" w:hAnsi="Arial"/>
      <w:color w:val="0F0F0F" w:themeColor="text1"/>
      <w:sz w:val="24"/>
      <w:szCs w:val="24"/>
    </w:rPr>
  </w:style>
  <w:style w:type="paragraph" w:styleId="Title">
    <w:name w:val="Title"/>
    <w:basedOn w:val="Normal"/>
    <w:next w:val="Normal"/>
    <w:link w:val="TitleChar"/>
    <w:uiPriority w:val="10"/>
    <w:pPr>
      <w:pBdr>
        <w:bottom w:val="single" w:sz="8" w:space="4" w:color="005EB8" w:themeColor="accent1"/>
      </w:pBdr>
      <w:spacing w:after="300"/>
      <w:contextualSpacing/>
    </w:pPr>
    <w:rPr>
      <w:rFonts w:eastAsiaTheme="majorEastAsia" w:cstheme="majorBidi"/>
      <w:b/>
      <w:color w:val="005EB8"/>
      <w:spacing w:val="5"/>
      <w:kern w:val="28"/>
      <w:sz w:val="42"/>
      <w:szCs w:val="52"/>
    </w:rPr>
  </w:style>
  <w:style w:type="character" w:customStyle="1" w:styleId="TitleChar">
    <w:name w:val="Title Char"/>
    <w:basedOn w:val="DefaultParagraphFont"/>
    <w:link w:val="Title"/>
    <w:uiPriority w:val="10"/>
    <w:rPr>
      <w:rFonts w:ascii="Arial" w:eastAsiaTheme="majorEastAsia" w:hAnsi="Arial" w:cstheme="majorBidi"/>
      <w:b/>
      <w:color w:val="005EB8"/>
      <w:spacing w:val="5"/>
      <w:kern w:val="28"/>
      <w:sz w:val="42"/>
      <w:szCs w:val="5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2E5B"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2E5B"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B4B4B"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B4B4B"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B4B4B" w:themeColor="text1" w:themeTint="BF"/>
    </w:rPr>
  </w:style>
  <w:style w:type="paragraph" w:styleId="Subtitle">
    <w:name w:val="Subtitle"/>
    <w:basedOn w:val="Normal"/>
    <w:next w:val="Normal"/>
    <w:link w:val="SubtitleChar"/>
    <w:uiPriority w:val="11"/>
    <w:pPr>
      <w:numPr>
        <w:ilvl w:val="1"/>
      </w:numPr>
    </w:pPr>
    <w:rPr>
      <w:rFonts w:eastAsiaTheme="majorEastAsia" w:cstheme="majorBidi"/>
      <w:b/>
      <w:iCs/>
      <w:color w:val="005EB8" w:themeColor="accent1"/>
      <w:spacing w:val="15"/>
      <w:sz w:val="36"/>
    </w:rPr>
  </w:style>
  <w:style w:type="character" w:customStyle="1" w:styleId="SubtitleChar">
    <w:name w:val="Subtitle Char"/>
    <w:basedOn w:val="DefaultParagraphFont"/>
    <w:link w:val="Subtitle"/>
    <w:uiPriority w:val="11"/>
    <w:rPr>
      <w:rFonts w:ascii="Arial" w:eastAsiaTheme="majorEastAsia" w:hAnsi="Arial" w:cstheme="majorBidi"/>
      <w:b/>
      <w:iCs/>
      <w:color w:val="005EB8" w:themeColor="accent1"/>
      <w:spacing w:val="15"/>
      <w:sz w:val="36"/>
      <w:szCs w:val="24"/>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Arial" w:hAnsi="Arial"/>
      <w:color w:val="0F0F0F" w:themeColor="text1"/>
    </w:rPr>
  </w:style>
  <w:style w:type="paragraph" w:customStyle="1" w:styleId="MarginText">
    <w:name w:val="Margin Text"/>
    <w:basedOn w:val="Normal"/>
    <w:link w:val="MarginTextChar"/>
    <w:uiPriority w:val="99"/>
    <w:rsid w:val="0082305A"/>
    <w:pPr>
      <w:adjustRightInd w:val="0"/>
      <w:spacing w:before="60" w:after="60"/>
      <w:jc w:val="both"/>
      <w:textboxTightWrap w:val="none"/>
    </w:pPr>
    <w:rPr>
      <w:rFonts w:eastAsia="STZhongsong"/>
      <w:color w:val="auto"/>
      <w:sz w:val="20"/>
      <w:szCs w:val="20"/>
      <w:lang w:eastAsia="zh-CN"/>
    </w:rPr>
  </w:style>
  <w:style w:type="character" w:customStyle="1" w:styleId="MarginTextChar">
    <w:name w:val="Margin Text Char"/>
    <w:basedOn w:val="DefaultParagraphFont"/>
    <w:link w:val="MarginText"/>
    <w:uiPriority w:val="99"/>
    <w:rsid w:val="0082305A"/>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3652">
      <w:bodyDiv w:val="1"/>
      <w:marLeft w:val="0"/>
      <w:marRight w:val="0"/>
      <w:marTop w:val="0"/>
      <w:marBottom w:val="0"/>
      <w:divBdr>
        <w:top w:val="none" w:sz="0" w:space="0" w:color="auto"/>
        <w:left w:val="none" w:sz="0" w:space="0" w:color="auto"/>
        <w:bottom w:val="none" w:sz="0" w:space="0" w:color="auto"/>
        <w:right w:val="none" w:sz="0" w:space="0" w:color="auto"/>
      </w:divBdr>
      <w:divsChild>
        <w:div w:id="1958372726">
          <w:marLeft w:val="0"/>
          <w:marRight w:val="0"/>
          <w:marTop w:val="0"/>
          <w:marBottom w:val="0"/>
          <w:divBdr>
            <w:top w:val="none" w:sz="0" w:space="0" w:color="auto"/>
            <w:left w:val="none" w:sz="0" w:space="0" w:color="auto"/>
            <w:bottom w:val="none" w:sz="0" w:space="0" w:color="auto"/>
            <w:right w:val="none" w:sz="0" w:space="0" w:color="auto"/>
          </w:divBdr>
          <w:divsChild>
            <w:div w:id="177503439">
              <w:marLeft w:val="0"/>
              <w:marRight w:val="0"/>
              <w:marTop w:val="0"/>
              <w:marBottom w:val="0"/>
              <w:divBdr>
                <w:top w:val="none" w:sz="0" w:space="0" w:color="auto"/>
                <w:left w:val="none" w:sz="0" w:space="0" w:color="auto"/>
                <w:bottom w:val="none" w:sz="0" w:space="0" w:color="auto"/>
                <w:right w:val="none" w:sz="0" w:space="0" w:color="auto"/>
              </w:divBdr>
              <w:divsChild>
                <w:div w:id="1520583411">
                  <w:marLeft w:val="0"/>
                  <w:marRight w:val="0"/>
                  <w:marTop w:val="0"/>
                  <w:marBottom w:val="0"/>
                  <w:divBdr>
                    <w:top w:val="none" w:sz="0" w:space="0" w:color="auto"/>
                    <w:left w:val="none" w:sz="0" w:space="0" w:color="auto"/>
                    <w:bottom w:val="none" w:sz="0" w:space="0" w:color="auto"/>
                    <w:right w:val="none" w:sz="0" w:space="0" w:color="auto"/>
                  </w:divBdr>
                </w:div>
              </w:divsChild>
            </w:div>
            <w:div w:id="480538425">
              <w:marLeft w:val="0"/>
              <w:marRight w:val="0"/>
              <w:marTop w:val="0"/>
              <w:marBottom w:val="0"/>
              <w:divBdr>
                <w:top w:val="none" w:sz="0" w:space="0" w:color="auto"/>
                <w:left w:val="none" w:sz="0" w:space="0" w:color="auto"/>
                <w:bottom w:val="none" w:sz="0" w:space="0" w:color="auto"/>
                <w:right w:val="none" w:sz="0" w:space="0" w:color="auto"/>
              </w:divBdr>
              <w:divsChild>
                <w:div w:id="1264804101">
                  <w:marLeft w:val="0"/>
                  <w:marRight w:val="0"/>
                  <w:marTop w:val="0"/>
                  <w:marBottom w:val="0"/>
                  <w:divBdr>
                    <w:top w:val="none" w:sz="0" w:space="0" w:color="auto"/>
                    <w:left w:val="none" w:sz="0" w:space="0" w:color="auto"/>
                    <w:bottom w:val="none" w:sz="0" w:space="0" w:color="auto"/>
                    <w:right w:val="none" w:sz="0" w:space="0" w:color="auto"/>
                  </w:divBdr>
                </w:div>
              </w:divsChild>
            </w:div>
            <w:div w:id="601912981">
              <w:marLeft w:val="0"/>
              <w:marRight w:val="0"/>
              <w:marTop w:val="0"/>
              <w:marBottom w:val="0"/>
              <w:divBdr>
                <w:top w:val="none" w:sz="0" w:space="0" w:color="auto"/>
                <w:left w:val="none" w:sz="0" w:space="0" w:color="auto"/>
                <w:bottom w:val="none" w:sz="0" w:space="0" w:color="auto"/>
                <w:right w:val="none" w:sz="0" w:space="0" w:color="auto"/>
              </w:divBdr>
              <w:divsChild>
                <w:div w:id="21099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6165">
      <w:bodyDiv w:val="1"/>
      <w:marLeft w:val="0"/>
      <w:marRight w:val="0"/>
      <w:marTop w:val="0"/>
      <w:marBottom w:val="0"/>
      <w:divBdr>
        <w:top w:val="none" w:sz="0" w:space="0" w:color="auto"/>
        <w:left w:val="none" w:sz="0" w:space="0" w:color="auto"/>
        <w:bottom w:val="none" w:sz="0" w:space="0" w:color="auto"/>
        <w:right w:val="none" w:sz="0" w:space="0" w:color="auto"/>
      </w:divBdr>
    </w:div>
    <w:div w:id="15479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bu1\AppData\Local\Microsoft\Windows\Temporary%20Internet%20Files\Content.IE5\LJ3LJN6A\02_NHSDigital_basic_template_Plain_Blue_v1.dotx" TargetMode="External"/></Relationships>
</file>

<file path=word/theme/theme1.xml><?xml version="1.0" encoding="utf-8"?>
<a:theme xmlns:a="http://schemas.openxmlformats.org/drawingml/2006/main" name="HSCIC_Corporate">
  <a:themeElements>
    <a:clrScheme name="01-NHS-DIGI-PALETTE-01">
      <a:dk1>
        <a:srgbClr val="0F0F0F"/>
      </a:dk1>
      <a:lt1>
        <a:srgbClr val="FFFFFF"/>
      </a:lt1>
      <a:dk2>
        <a:srgbClr val="033F85"/>
      </a:dk2>
      <a:lt2>
        <a:srgbClr val="F9F9F9"/>
      </a:lt2>
      <a:accent1>
        <a:srgbClr val="005EB8"/>
      </a:accent1>
      <a:accent2>
        <a:srgbClr val="84919C"/>
      </a:accent2>
      <a:accent3>
        <a:srgbClr val="003087"/>
      </a:accent3>
      <a:accent4>
        <a:srgbClr val="5EBCE8"/>
      </a:accent4>
      <a:accent5>
        <a:srgbClr val="CED1D5"/>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99708293631468BE0D6A6F443A2C1" ma:contentTypeVersion="10" ma:contentTypeDescription="Create a new document." ma:contentTypeScope="" ma:versionID="4a6fa1b61786966b344bb7c76768c4d8">
  <xsd:schema xmlns:xsd="http://www.w3.org/2001/XMLSchema" xmlns:xs="http://www.w3.org/2001/XMLSchema" xmlns:p="http://schemas.microsoft.com/office/2006/metadata/properties" xmlns:ns1="http://schemas.microsoft.com/sharepoint/v3" xmlns:ns2="b538a2fb-d67d-4290-91ee-6c6f3d90262e" xmlns:ns3="38fddb45-92ec-4940-bf7f-3232a2a2bac9" targetNamespace="http://schemas.microsoft.com/office/2006/metadata/properties" ma:root="true" ma:fieldsID="58d183cb359349d7601d5c69178fe305" ns1:_="" ns2:_="" ns3:_="">
    <xsd:import namespace="http://schemas.microsoft.com/sharepoint/v3"/>
    <xsd:import namespace="b538a2fb-d67d-4290-91ee-6c6f3d90262e"/>
    <xsd:import namespace="38fddb45-92ec-4940-bf7f-3232a2a2ba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8a2fb-d67d-4290-91ee-6c6f3d9026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ddb45-92ec-4940-bf7f-3232a2a2ba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38a2fb-d67d-4290-91ee-6c6f3d90262e">NHSD-2016-362951521-76721</_dlc_DocId>
    <_dlc_DocIdUrl xmlns="b538a2fb-d67d-4290-91ee-6c6f3d90262e">
      <Url>https://hscic365.sharepoint.com/sites/NDC/Category/_layouts/15/DocIdRedir.aspx?ID=NHSD-2016-362951521-76721</Url>
      <Description>NHSD-2016-362951521-76721</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CDFA-EEC8-476E-8283-71F64B7D7032}">
  <ds:schemaRefs>
    <ds:schemaRef ds:uri="http://schemas.microsoft.com/sharepoint/v3/contenttype/forms"/>
  </ds:schemaRefs>
</ds:datastoreItem>
</file>

<file path=customXml/itemProps2.xml><?xml version="1.0" encoding="utf-8"?>
<ds:datastoreItem xmlns:ds="http://schemas.openxmlformats.org/officeDocument/2006/customXml" ds:itemID="{4D7BFC1A-CFB1-4D0C-BF54-840AC00C4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8a2fb-d67d-4290-91ee-6c6f3d90262e"/>
    <ds:schemaRef ds:uri="38fddb45-92ec-4940-bf7f-3232a2a2b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62AB1-82FA-489C-A949-139AA75B4A30}">
  <ds:schemaRefs>
    <ds:schemaRef ds:uri="http://schemas.openxmlformats.org/package/2006/metadata/core-properties"/>
    <ds:schemaRef ds:uri="http://purl.org/dc/terms/"/>
    <ds:schemaRef ds:uri="http://schemas.microsoft.com/sharepoint/v3"/>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38fddb45-92ec-4940-bf7f-3232a2a2bac9"/>
    <ds:schemaRef ds:uri="b538a2fb-d67d-4290-91ee-6c6f3d90262e"/>
    <ds:schemaRef ds:uri="http://www.w3.org/XML/1998/namespace"/>
  </ds:schemaRefs>
</ds:datastoreItem>
</file>

<file path=customXml/itemProps4.xml><?xml version="1.0" encoding="utf-8"?>
<ds:datastoreItem xmlns:ds="http://schemas.openxmlformats.org/officeDocument/2006/customXml" ds:itemID="{9098F9E2-22C0-4D7C-AE33-394B5B2D93DA}">
  <ds:schemaRefs>
    <ds:schemaRef ds:uri="http://schemas.microsoft.com/sharepoint/events"/>
  </ds:schemaRefs>
</ds:datastoreItem>
</file>

<file path=customXml/itemProps5.xml><?xml version="1.0" encoding="utf-8"?>
<ds:datastoreItem xmlns:ds="http://schemas.openxmlformats.org/officeDocument/2006/customXml" ds:itemID="{B997D462-C46A-4493-B2EA-5D0297C5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02_NHSDigital_basic_template_Plain_Blue_v1</Template>
  <TotalTime>0</TotalTime>
  <Pages>13</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2019-01-17T11:31:00Z</dcterms:created>
  <dcterms:modified xsi:type="dcterms:W3CDTF">2019-01-17T14:56:00Z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24 March 2017 D1V2</vt:lpwstr>
  </property>
  <property fmtid="{D5CDD505-2E9C-101B-9397-08002B2CF9AE}" pid="3" name="MAIL_MSG_ID1">
    <vt:lpwstr>GEAAO+/T9t20xwnhpuPiTKFlNnnyNxwDvApDs3w2ZfSka8+zlJaPf4I4qRgG9MG2H+Wha11OkkxW2lUj
LIPaJNDEW8kLFPwJdTms0JVJj1GUKSXDq3ThXZQO/yfVwq+bzBbn39OOdWLuDaD+A451r9Vw16DW
I4vm3D0TcTuU5Dbwz852nK7nUxDc5jnPx5o0dhC9AuKGeommv/38Yp/64EdrkMzQDoqskqzEhror
n2Rbj9+NijqnO6hQe</vt:lpwstr>
  </property>
  <property fmtid="{D5CDD505-2E9C-101B-9397-08002B2CF9AE}" pid="4" name="MAIL_MSG_ID2">
    <vt:lpwstr>1aPn9XZc2Qy</vt:lpwstr>
  </property>
  <property fmtid="{D5CDD505-2E9C-101B-9397-08002B2CF9AE}" pid="5" name="RESPONSE_SENDER_NAME">
    <vt:lpwstr>sAAAE9kkUq3pEoIfrgYAFjcb4ex7YIyg2fFimb/2u/5yzWo=</vt:lpwstr>
  </property>
  <property fmtid="{D5CDD505-2E9C-101B-9397-08002B2CF9AE}" pid="6" name="EMAIL_OWNER_ADDRESS">
    <vt:lpwstr>ABAAMV6B7YzPbaImQgBEZibx40Ue+Pc2u0tlt5i0VVG+0hVV0YDsfL1W/yHKEDuZi7WL</vt:lpwstr>
  </property>
  <property fmtid="{D5CDD505-2E9C-101B-9397-08002B2CF9AE}" pid="7" name="ContentTypeId">
    <vt:lpwstr>0x0101000B699708293631468BE0D6A6F443A2C1</vt:lpwstr>
  </property>
  <property fmtid="{D5CDD505-2E9C-101B-9397-08002B2CF9AE}" pid="8" name="_dlc_DocIdItemGuid">
    <vt:lpwstr>9aded6ed-b6cc-4a26-8137-a5ce1c853bd6</vt:lpwstr>
  </property>
  <property fmtid="{D5CDD505-2E9C-101B-9397-08002B2CF9AE}" pid="9" name="AuthorIds_UIVersion_1024">
    <vt:lpwstr>198</vt:lpwstr>
  </property>
  <property fmtid="{D5CDD505-2E9C-101B-9397-08002B2CF9AE}" pid="10" name="AuthorIds_UIVersion_4096">
    <vt:lpwstr>529</vt:lpwstr>
  </property>
  <property fmtid="{D5CDD505-2E9C-101B-9397-08002B2CF9AE}" pid="11" name="AuthorIds_UIVersion_512">
    <vt:lpwstr>529</vt:lpwstr>
  </property>
</Properties>
</file>