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F88D" w14:textId="2CE85DF4" w:rsidR="00EE7716" w:rsidRPr="003765B7" w:rsidRDefault="0062699D">
      <w:pPr>
        <w:rPr>
          <w:b/>
          <w:sz w:val="24"/>
          <w:szCs w:val="24"/>
        </w:rPr>
      </w:pPr>
      <w:r w:rsidRPr="003765B7">
        <w:rPr>
          <w:b/>
          <w:sz w:val="24"/>
          <w:szCs w:val="24"/>
        </w:rPr>
        <w:t>Query Log</w:t>
      </w:r>
      <w:r w:rsidR="009B4652" w:rsidRPr="003765B7">
        <w:rPr>
          <w:b/>
          <w:sz w:val="24"/>
          <w:szCs w:val="24"/>
        </w:rPr>
        <w:t xml:space="preserve"> – as at </w:t>
      </w:r>
      <w:r w:rsidR="00422BA4">
        <w:rPr>
          <w:b/>
          <w:sz w:val="24"/>
          <w:szCs w:val="24"/>
        </w:rPr>
        <w:t>10</w:t>
      </w:r>
      <w:r w:rsidR="00016324" w:rsidRPr="003765B7">
        <w:rPr>
          <w:b/>
          <w:sz w:val="24"/>
          <w:szCs w:val="24"/>
        </w:rPr>
        <w:t xml:space="preserve"> </w:t>
      </w:r>
      <w:r w:rsidR="00422BA4">
        <w:rPr>
          <w:b/>
          <w:sz w:val="24"/>
          <w:szCs w:val="24"/>
        </w:rPr>
        <w:t xml:space="preserve">January </w:t>
      </w:r>
      <w:r w:rsidR="00016324" w:rsidRPr="003765B7">
        <w:rPr>
          <w:b/>
          <w:sz w:val="24"/>
          <w:szCs w:val="24"/>
        </w:rPr>
        <w:t>2019</w:t>
      </w:r>
    </w:p>
    <w:p w14:paraId="7FDB1A67" w14:textId="77777777" w:rsidR="0062699D" w:rsidRPr="003765B7" w:rsidRDefault="0062699D">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896"/>
        <w:gridCol w:w="5052"/>
      </w:tblGrid>
      <w:tr w:rsidR="00016324" w:rsidRPr="003765B7" w14:paraId="1A6CC0ED" w14:textId="77777777" w:rsidTr="003765B7">
        <w:trPr>
          <w:tblHeader/>
          <w:jc w:val="center"/>
        </w:trPr>
        <w:tc>
          <w:tcPr>
            <w:tcW w:w="1068" w:type="dxa"/>
            <w:shd w:val="clear" w:color="auto" w:fill="CC99FF"/>
            <w:vAlign w:val="center"/>
          </w:tcPr>
          <w:p w14:paraId="1390D1D0" w14:textId="77777777" w:rsidR="0062699D" w:rsidRPr="003765B7" w:rsidRDefault="0062699D" w:rsidP="0062699D">
            <w:pPr>
              <w:spacing w:before="60" w:after="120"/>
              <w:rPr>
                <w:rFonts w:cs="Arial"/>
                <w:b/>
                <w:color w:val="FFFFFF"/>
                <w:sz w:val="24"/>
                <w:szCs w:val="24"/>
              </w:rPr>
            </w:pPr>
            <w:r w:rsidRPr="003765B7">
              <w:rPr>
                <w:rFonts w:cs="Arial"/>
                <w:sz w:val="24"/>
                <w:szCs w:val="24"/>
              </w:rPr>
              <w:br w:type="page"/>
            </w:r>
            <w:r w:rsidRPr="003765B7">
              <w:rPr>
                <w:rFonts w:cs="Arial"/>
                <w:b/>
                <w:color w:val="FFFFFF"/>
                <w:sz w:val="24"/>
                <w:szCs w:val="24"/>
              </w:rPr>
              <w:t xml:space="preserve"> Date</w:t>
            </w:r>
          </w:p>
        </w:tc>
        <w:tc>
          <w:tcPr>
            <w:tcW w:w="2896" w:type="dxa"/>
            <w:shd w:val="clear" w:color="auto" w:fill="CC99FF"/>
            <w:vAlign w:val="center"/>
          </w:tcPr>
          <w:p w14:paraId="35CDDDB9" w14:textId="77777777" w:rsidR="0062699D" w:rsidRPr="003765B7" w:rsidRDefault="0062699D" w:rsidP="0062699D">
            <w:pPr>
              <w:spacing w:before="60" w:after="120"/>
              <w:rPr>
                <w:rFonts w:cs="Arial"/>
                <w:b/>
                <w:color w:val="FFFFFF"/>
                <w:sz w:val="24"/>
                <w:szCs w:val="24"/>
              </w:rPr>
            </w:pPr>
            <w:r w:rsidRPr="003765B7">
              <w:rPr>
                <w:rFonts w:cs="Arial"/>
                <w:b/>
                <w:color w:val="FFFFFF"/>
                <w:sz w:val="24"/>
                <w:szCs w:val="24"/>
              </w:rPr>
              <w:t>Query</w:t>
            </w:r>
          </w:p>
        </w:tc>
        <w:tc>
          <w:tcPr>
            <w:tcW w:w="5052" w:type="dxa"/>
            <w:shd w:val="clear" w:color="auto" w:fill="CC99FF"/>
            <w:vAlign w:val="center"/>
          </w:tcPr>
          <w:p w14:paraId="35BFCEC9" w14:textId="77777777" w:rsidR="0062699D" w:rsidRPr="003765B7" w:rsidRDefault="0062699D" w:rsidP="006509FA">
            <w:pPr>
              <w:spacing w:before="60" w:after="120"/>
              <w:jc w:val="center"/>
              <w:rPr>
                <w:rFonts w:cs="Arial"/>
                <w:b/>
                <w:color w:val="FFFFFF"/>
                <w:sz w:val="24"/>
                <w:szCs w:val="24"/>
              </w:rPr>
            </w:pPr>
            <w:r w:rsidRPr="003765B7">
              <w:rPr>
                <w:rFonts w:cs="Arial"/>
                <w:b/>
                <w:color w:val="FFFFFF"/>
                <w:sz w:val="24"/>
                <w:szCs w:val="24"/>
              </w:rPr>
              <w:t>LC response</w:t>
            </w:r>
          </w:p>
        </w:tc>
      </w:tr>
      <w:tr w:rsidR="00016324" w:rsidRPr="003765B7" w14:paraId="604B32C8" w14:textId="77777777" w:rsidTr="00422BA4">
        <w:trPr>
          <w:trHeight w:val="4676"/>
          <w:jc w:val="center"/>
        </w:trPr>
        <w:tc>
          <w:tcPr>
            <w:tcW w:w="1068" w:type="dxa"/>
            <w:shd w:val="clear" w:color="auto" w:fill="auto"/>
            <w:vAlign w:val="center"/>
          </w:tcPr>
          <w:p w14:paraId="5931F7A6" w14:textId="4C8FFA85" w:rsidR="0062699D" w:rsidRPr="003765B7" w:rsidRDefault="007A0BC6" w:rsidP="00AF2AA6">
            <w:pPr>
              <w:spacing w:before="60" w:after="120"/>
              <w:rPr>
                <w:rFonts w:cstheme="minorHAnsi"/>
                <w:sz w:val="24"/>
                <w:szCs w:val="24"/>
              </w:rPr>
            </w:pPr>
            <w:r w:rsidRPr="003765B7">
              <w:rPr>
                <w:rFonts w:cstheme="minorHAnsi"/>
                <w:sz w:val="24"/>
                <w:szCs w:val="24"/>
              </w:rPr>
              <w:t>02.01.19</w:t>
            </w:r>
          </w:p>
        </w:tc>
        <w:tc>
          <w:tcPr>
            <w:tcW w:w="2896" w:type="dxa"/>
            <w:shd w:val="clear" w:color="auto" w:fill="auto"/>
            <w:vAlign w:val="center"/>
          </w:tcPr>
          <w:p w14:paraId="6CF673F1" w14:textId="77777777" w:rsidR="0062699D" w:rsidRPr="003765B7" w:rsidRDefault="0062699D" w:rsidP="00422BA4">
            <w:pPr>
              <w:pStyle w:val="NoSpacing"/>
            </w:pPr>
            <w:r w:rsidRPr="003765B7">
              <w:t>Please could you clarify if there is a maximum budget for this opportunity</w:t>
            </w:r>
          </w:p>
        </w:tc>
        <w:tc>
          <w:tcPr>
            <w:tcW w:w="5052" w:type="dxa"/>
            <w:shd w:val="clear" w:color="auto" w:fill="auto"/>
            <w:vAlign w:val="center"/>
          </w:tcPr>
          <w:p w14:paraId="45CAE02F" w14:textId="77777777" w:rsidR="0062699D" w:rsidRPr="003765B7" w:rsidRDefault="008C2235" w:rsidP="00422BA4">
            <w:pPr>
              <w:pStyle w:val="NoSpacing"/>
            </w:pPr>
            <w:r w:rsidRPr="003765B7">
              <w:t>London Councils policy is not to provide a maximum budget, in order to ensure value for money.</w:t>
            </w:r>
          </w:p>
          <w:p w14:paraId="1A89BCF3" w14:textId="77777777" w:rsidR="00F565C6" w:rsidRDefault="00F565C6" w:rsidP="00422BA4">
            <w:pPr>
              <w:pStyle w:val="NoSpacing"/>
            </w:pPr>
          </w:p>
          <w:p w14:paraId="130739D4" w14:textId="1757B364" w:rsidR="008C2235" w:rsidRPr="003765B7" w:rsidRDefault="008C2235" w:rsidP="00422BA4">
            <w:pPr>
              <w:pStyle w:val="NoSpacing"/>
            </w:pPr>
            <w:r w:rsidRPr="003765B7">
              <w:t xml:space="preserve">We are open to proposals that are clearly costed and where optional elements are </w:t>
            </w:r>
            <w:r w:rsidR="00FA7163" w:rsidRPr="003765B7">
              <w:t>separately</w:t>
            </w:r>
            <w:r w:rsidRPr="003765B7">
              <w:t xml:space="preserve"> outlined so that we can compare like with like during the evaluation process. </w:t>
            </w:r>
          </w:p>
          <w:p w14:paraId="142B15A7" w14:textId="77777777" w:rsidR="00F565C6" w:rsidRDefault="00F565C6" w:rsidP="00422BA4">
            <w:pPr>
              <w:pStyle w:val="NoSpacing"/>
            </w:pPr>
          </w:p>
          <w:p w14:paraId="174229D3" w14:textId="312283E7" w:rsidR="00016324" w:rsidRPr="003765B7" w:rsidRDefault="00FA7163" w:rsidP="00422BA4">
            <w:pPr>
              <w:pStyle w:val="NoSpacing"/>
            </w:pPr>
            <w:bookmarkStart w:id="0" w:name="_GoBack"/>
            <w:bookmarkEnd w:id="0"/>
            <w:r w:rsidRPr="003765B7">
              <w:t>London Councils is not bound to accept the lowest tender, but rather London Councils intends to commission the most economically advantageous tender and reserves the right to accept or reject all or any part of any tender.</w:t>
            </w:r>
          </w:p>
        </w:tc>
      </w:tr>
      <w:tr w:rsidR="00422BA4" w:rsidRPr="003765B7" w14:paraId="3CBE41B8" w14:textId="77777777" w:rsidTr="00422BA4">
        <w:trPr>
          <w:trHeight w:val="1624"/>
          <w:jc w:val="center"/>
        </w:trPr>
        <w:tc>
          <w:tcPr>
            <w:tcW w:w="1068" w:type="dxa"/>
            <w:vMerge w:val="restart"/>
            <w:shd w:val="clear" w:color="auto" w:fill="auto"/>
            <w:vAlign w:val="center"/>
          </w:tcPr>
          <w:p w14:paraId="31BD11FC" w14:textId="3E865193" w:rsidR="00422BA4" w:rsidRPr="003765B7" w:rsidRDefault="00422BA4" w:rsidP="00016324">
            <w:pPr>
              <w:spacing w:before="60" w:after="120"/>
              <w:rPr>
                <w:rFonts w:cstheme="minorHAnsi"/>
                <w:sz w:val="24"/>
                <w:szCs w:val="24"/>
              </w:rPr>
            </w:pPr>
            <w:r w:rsidRPr="003765B7">
              <w:rPr>
                <w:rFonts w:cstheme="minorHAnsi"/>
                <w:sz w:val="24"/>
                <w:szCs w:val="24"/>
              </w:rPr>
              <w:t>02.01.19</w:t>
            </w:r>
          </w:p>
        </w:tc>
        <w:tc>
          <w:tcPr>
            <w:tcW w:w="2896" w:type="dxa"/>
            <w:shd w:val="clear" w:color="auto" w:fill="auto"/>
            <w:vAlign w:val="center"/>
          </w:tcPr>
          <w:p w14:paraId="3D67B183" w14:textId="303C26CE" w:rsidR="00422BA4" w:rsidRPr="00422BA4" w:rsidRDefault="00422BA4" w:rsidP="00422BA4">
            <w:pPr>
              <w:pStyle w:val="NoSpacing"/>
            </w:pPr>
            <w:r w:rsidRPr="003765B7">
              <w:t>Will London Councils assign a reason for the rejection of any tender?</w:t>
            </w:r>
          </w:p>
        </w:tc>
        <w:tc>
          <w:tcPr>
            <w:tcW w:w="5052" w:type="dxa"/>
            <w:shd w:val="clear" w:color="auto" w:fill="auto"/>
            <w:vAlign w:val="center"/>
          </w:tcPr>
          <w:p w14:paraId="31C71004" w14:textId="0EA97C30" w:rsidR="00422BA4" w:rsidRPr="003765B7" w:rsidRDefault="00422BA4" w:rsidP="00422BA4">
            <w:pPr>
              <w:pStyle w:val="NoSpacing"/>
            </w:pPr>
            <w:r w:rsidRPr="003765B7">
              <w:t>London Councils can provide feedback to bidders on request. We will also endeavour to provide a reason for the rejection of any tender, but whether we do this automatically may depend on the number of tenders received.</w:t>
            </w:r>
          </w:p>
        </w:tc>
      </w:tr>
      <w:tr w:rsidR="00422BA4" w:rsidRPr="003765B7" w14:paraId="5E4ABA6C" w14:textId="77777777" w:rsidTr="00422BA4">
        <w:trPr>
          <w:trHeight w:val="1624"/>
          <w:jc w:val="center"/>
        </w:trPr>
        <w:tc>
          <w:tcPr>
            <w:tcW w:w="1068" w:type="dxa"/>
            <w:vMerge/>
            <w:shd w:val="clear" w:color="auto" w:fill="auto"/>
            <w:vAlign w:val="center"/>
          </w:tcPr>
          <w:p w14:paraId="0E220A54" w14:textId="77777777" w:rsidR="00422BA4" w:rsidRPr="003765B7" w:rsidRDefault="00422BA4" w:rsidP="00016324">
            <w:pPr>
              <w:spacing w:before="60" w:after="120"/>
              <w:rPr>
                <w:rFonts w:cstheme="minorHAnsi"/>
                <w:sz w:val="24"/>
                <w:szCs w:val="24"/>
              </w:rPr>
            </w:pPr>
          </w:p>
        </w:tc>
        <w:tc>
          <w:tcPr>
            <w:tcW w:w="2896" w:type="dxa"/>
            <w:shd w:val="clear" w:color="auto" w:fill="auto"/>
            <w:vAlign w:val="center"/>
          </w:tcPr>
          <w:p w14:paraId="4AF2E300" w14:textId="22A1C388" w:rsidR="00422BA4" w:rsidRPr="003765B7" w:rsidRDefault="00422BA4" w:rsidP="00422BA4">
            <w:pPr>
              <w:pStyle w:val="NoSpacing"/>
            </w:pPr>
            <w:r w:rsidRPr="003765B7">
              <w:t>Will London Councils automatically reject or penalise proposals from organisations with a turnover of below £240,000?</w:t>
            </w:r>
          </w:p>
        </w:tc>
        <w:tc>
          <w:tcPr>
            <w:tcW w:w="5052" w:type="dxa"/>
            <w:shd w:val="clear" w:color="auto" w:fill="auto"/>
            <w:vAlign w:val="center"/>
          </w:tcPr>
          <w:p w14:paraId="62FB5076" w14:textId="32D6FC98" w:rsidR="00422BA4" w:rsidRPr="003765B7" w:rsidRDefault="00422BA4" w:rsidP="00422BA4">
            <w:pPr>
              <w:pStyle w:val="NoSpacing"/>
            </w:pPr>
            <w:r w:rsidRPr="003765B7">
              <w:t>Bids from organisations with a turnover of below £240,000 will not be rejected automatically. The financial information will be used with other factors to assess a provider’s suitability.</w:t>
            </w:r>
          </w:p>
        </w:tc>
      </w:tr>
      <w:tr w:rsidR="00422BA4" w:rsidRPr="003765B7" w14:paraId="233E721E" w14:textId="77777777" w:rsidTr="00422BA4">
        <w:trPr>
          <w:trHeight w:val="2054"/>
          <w:jc w:val="center"/>
        </w:trPr>
        <w:tc>
          <w:tcPr>
            <w:tcW w:w="1068" w:type="dxa"/>
            <w:vMerge/>
            <w:shd w:val="clear" w:color="auto" w:fill="auto"/>
            <w:vAlign w:val="center"/>
          </w:tcPr>
          <w:p w14:paraId="7B58E86E" w14:textId="77777777" w:rsidR="00422BA4" w:rsidRPr="003765B7" w:rsidRDefault="00422BA4" w:rsidP="00016324">
            <w:pPr>
              <w:spacing w:before="60" w:after="120"/>
              <w:rPr>
                <w:rFonts w:cstheme="minorHAnsi"/>
                <w:sz w:val="24"/>
                <w:szCs w:val="24"/>
              </w:rPr>
            </w:pPr>
          </w:p>
        </w:tc>
        <w:tc>
          <w:tcPr>
            <w:tcW w:w="2896" w:type="dxa"/>
            <w:shd w:val="clear" w:color="auto" w:fill="auto"/>
            <w:vAlign w:val="center"/>
          </w:tcPr>
          <w:p w14:paraId="1CD9C13E" w14:textId="77BE6AE9" w:rsidR="00422BA4" w:rsidRPr="003765B7" w:rsidRDefault="00422BA4" w:rsidP="00422BA4">
            <w:pPr>
              <w:pStyle w:val="NoSpacing"/>
            </w:pPr>
            <w:r w:rsidRPr="003765B7">
              <w:rPr>
                <w:rFonts w:eastAsia="Times New Roman"/>
              </w:rPr>
              <w:t>What is the turnover threshold mentioned at the bottom of the table included in the ‘economic and financial standing’ section?</w:t>
            </w:r>
          </w:p>
        </w:tc>
        <w:tc>
          <w:tcPr>
            <w:tcW w:w="5052" w:type="dxa"/>
            <w:shd w:val="clear" w:color="auto" w:fill="auto"/>
            <w:vAlign w:val="center"/>
          </w:tcPr>
          <w:p w14:paraId="68D735F9" w14:textId="70290416" w:rsidR="00422BA4" w:rsidRPr="003765B7" w:rsidRDefault="00422BA4" w:rsidP="00422BA4">
            <w:pPr>
              <w:pStyle w:val="NoSpacing"/>
            </w:pPr>
            <w:r w:rsidRPr="003765B7">
              <w:t>There is no threshold. We removed the requirement for the threshold figure from Q1 – the text you mention refers to the previous iteration of that question. It is an oversight on our part that we did not adjust the wording accordingly following this change. Thank you for bringing this to our attention.</w:t>
            </w:r>
          </w:p>
        </w:tc>
      </w:tr>
      <w:tr w:rsidR="00422BA4" w:rsidRPr="003765B7" w14:paraId="17716C0E" w14:textId="77777777" w:rsidTr="00746EDF">
        <w:trPr>
          <w:trHeight w:val="4988"/>
          <w:jc w:val="center"/>
        </w:trPr>
        <w:tc>
          <w:tcPr>
            <w:tcW w:w="1068" w:type="dxa"/>
            <w:shd w:val="clear" w:color="auto" w:fill="auto"/>
            <w:vAlign w:val="center"/>
          </w:tcPr>
          <w:p w14:paraId="5EF55558" w14:textId="01520D68" w:rsidR="00422BA4" w:rsidRPr="003765B7" w:rsidRDefault="00746EDF" w:rsidP="00016324">
            <w:pPr>
              <w:spacing w:before="60" w:after="120"/>
              <w:rPr>
                <w:rFonts w:cstheme="minorHAnsi"/>
                <w:sz w:val="24"/>
                <w:szCs w:val="24"/>
              </w:rPr>
            </w:pPr>
            <w:r>
              <w:rPr>
                <w:rFonts w:cstheme="minorHAnsi"/>
                <w:sz w:val="24"/>
                <w:szCs w:val="24"/>
              </w:rPr>
              <w:lastRenderedPageBreak/>
              <w:t>10.01.19</w:t>
            </w:r>
          </w:p>
        </w:tc>
        <w:tc>
          <w:tcPr>
            <w:tcW w:w="2896" w:type="dxa"/>
            <w:shd w:val="clear" w:color="auto" w:fill="auto"/>
            <w:vAlign w:val="center"/>
          </w:tcPr>
          <w:p w14:paraId="1AC45EC8" w14:textId="5199ED74" w:rsidR="00422BA4" w:rsidRPr="00422BA4" w:rsidRDefault="00422BA4" w:rsidP="00422BA4">
            <w:pPr>
              <w:pStyle w:val="NoSpacing"/>
              <w:rPr>
                <w:rFonts w:eastAsia="Times New Roman"/>
              </w:rPr>
            </w:pPr>
            <w:r w:rsidRPr="00422BA4">
              <w:rPr>
                <w:rFonts w:eastAsia="Times New Roman"/>
              </w:rPr>
              <w:t>On Page 7, you mention that the contractor will be able to access the raw data from the quantitative survey on London borough's spend on high needs and CSC -</w:t>
            </w:r>
          </w:p>
          <w:p w14:paraId="4DF46127" w14:textId="77777777" w:rsidR="00746EDF" w:rsidRDefault="00422BA4" w:rsidP="00422BA4">
            <w:pPr>
              <w:pStyle w:val="NoSpacing"/>
              <w:numPr>
                <w:ilvl w:val="0"/>
                <w:numId w:val="3"/>
              </w:numPr>
              <w:rPr>
                <w:rFonts w:eastAsia="Times New Roman"/>
              </w:rPr>
            </w:pPr>
            <w:r w:rsidRPr="00422BA4">
              <w:rPr>
                <w:rFonts w:eastAsia="Times New Roman"/>
              </w:rPr>
              <w:t>What timeframe does the survey data cover, i.e. how many years does it go back?</w:t>
            </w:r>
          </w:p>
          <w:p w14:paraId="04D7FCDF" w14:textId="51734394" w:rsidR="00422BA4" w:rsidRPr="00746EDF" w:rsidRDefault="00422BA4" w:rsidP="00422BA4">
            <w:pPr>
              <w:pStyle w:val="NoSpacing"/>
              <w:numPr>
                <w:ilvl w:val="0"/>
                <w:numId w:val="3"/>
              </w:numPr>
              <w:rPr>
                <w:rFonts w:eastAsia="Times New Roman"/>
              </w:rPr>
            </w:pPr>
            <w:r w:rsidRPr="00746EDF">
              <w:rPr>
                <w:rFonts w:eastAsia="Times New Roman"/>
              </w:rPr>
              <w:t>Beyond the survey, will there be any child-level data available/accessible for the analysis (e.g. levels of need, services received)?</w:t>
            </w:r>
          </w:p>
        </w:tc>
        <w:tc>
          <w:tcPr>
            <w:tcW w:w="5052" w:type="dxa"/>
            <w:shd w:val="clear" w:color="auto" w:fill="auto"/>
            <w:vAlign w:val="center"/>
          </w:tcPr>
          <w:p w14:paraId="6D0C99B3" w14:textId="046D8530" w:rsidR="00422BA4" w:rsidRPr="003765B7" w:rsidRDefault="00746EDF" w:rsidP="00422BA4">
            <w:pPr>
              <w:pStyle w:val="NoSpacing"/>
            </w:pPr>
            <w:r>
              <w:rPr>
                <w:rFonts w:eastAsia="Times New Roman"/>
              </w:rPr>
              <w:t>The data collected in the survey mainly covers financial year 2017/18. Several indicators also cover 2016/17, and a small number go back to 2013/14.</w:t>
            </w:r>
            <w:r>
              <w:rPr>
                <w:rFonts w:eastAsia="Times New Roman"/>
              </w:rPr>
              <w:br/>
            </w:r>
            <w:r>
              <w:rPr>
                <w:rFonts w:eastAsia="Times New Roman"/>
              </w:rPr>
              <w:br/>
              <w:t>London Councils does not hold any child level data; the survey only collected data on a borough level basis. If you believe that analysing child level data would help better fulfil the requirements of the project, please feel free to propose this in your methodology and cost this element separately.</w:t>
            </w:r>
          </w:p>
        </w:tc>
      </w:tr>
    </w:tbl>
    <w:p w14:paraId="7EB8D2CA" w14:textId="77777777" w:rsidR="0062699D" w:rsidRDefault="0062699D" w:rsidP="003765B7"/>
    <w:sectPr w:rsidR="006269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10F8" w14:textId="77777777" w:rsidR="009B4652" w:rsidRDefault="009B4652" w:rsidP="009B4652">
      <w:pPr>
        <w:spacing w:after="0" w:line="240" w:lineRule="auto"/>
      </w:pPr>
      <w:r>
        <w:separator/>
      </w:r>
    </w:p>
  </w:endnote>
  <w:endnote w:type="continuationSeparator" w:id="0">
    <w:p w14:paraId="38908DE5" w14:textId="77777777" w:rsidR="009B4652" w:rsidRDefault="009B4652"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B7EA8" w14:textId="77777777" w:rsidR="009B4652" w:rsidRDefault="009B4652" w:rsidP="009B4652">
      <w:pPr>
        <w:spacing w:after="0" w:line="240" w:lineRule="auto"/>
      </w:pPr>
      <w:r>
        <w:separator/>
      </w:r>
    </w:p>
  </w:footnote>
  <w:footnote w:type="continuationSeparator" w:id="0">
    <w:p w14:paraId="0F9D6C3B" w14:textId="77777777" w:rsidR="009B4652" w:rsidRDefault="009B4652"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36D49"/>
    <w:rsid w:val="0032023A"/>
    <w:rsid w:val="003765B7"/>
    <w:rsid w:val="00422BA4"/>
    <w:rsid w:val="00584177"/>
    <w:rsid w:val="0062699D"/>
    <w:rsid w:val="006509FA"/>
    <w:rsid w:val="006C1CA3"/>
    <w:rsid w:val="00746EDF"/>
    <w:rsid w:val="00750194"/>
    <w:rsid w:val="007A0BC6"/>
    <w:rsid w:val="008C2235"/>
    <w:rsid w:val="009B4652"/>
    <w:rsid w:val="00AF2AA6"/>
    <w:rsid w:val="00B9299B"/>
    <w:rsid w:val="00EE7716"/>
    <w:rsid w:val="00F565C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20A5-3978-4C11-925A-E89BD174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Sima Maqbool</cp:lastModifiedBy>
  <cp:revision>4</cp:revision>
  <cp:lastPrinted>2018-11-14T15:52:00Z</cp:lastPrinted>
  <dcterms:created xsi:type="dcterms:W3CDTF">2019-01-10T17:23:00Z</dcterms:created>
  <dcterms:modified xsi:type="dcterms:W3CDTF">2019-01-10T17:32:00Z</dcterms:modified>
</cp:coreProperties>
</file>