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8866" w14:textId="77777777" w:rsidR="00FC5B2C" w:rsidRDefault="006476AA">
      <w:pPr>
        <w:rPr>
          <w:rFonts w:ascii="Arial" w:eastAsia="Arial" w:hAnsi="Arial" w:cs="Arial"/>
          <w:b/>
          <w:sz w:val="36"/>
          <w:szCs w:val="36"/>
        </w:rPr>
      </w:pPr>
      <w:r>
        <w:rPr>
          <w:rFonts w:ascii="Arial" w:eastAsia="Arial" w:hAnsi="Arial" w:cs="Arial"/>
          <w:b/>
          <w:sz w:val="36"/>
          <w:szCs w:val="36"/>
        </w:rPr>
        <w:t>Joint Schedule 4 (Commercially Sensitive Information)</w:t>
      </w:r>
    </w:p>
    <w:p w14:paraId="0CF82EDB" w14:textId="77777777" w:rsidR="00FC5B2C" w:rsidRDefault="006476AA">
      <w:pPr>
        <w:numPr>
          <w:ilvl w:val="0"/>
          <w:numId w:val="1"/>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3F78A56D" w14:textId="77777777" w:rsidR="00FC5B2C" w:rsidRDefault="006476A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FC5B2C" w:rsidRDefault="006476A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FC5B2C" w:rsidRDefault="006476AA">
      <w:pPr>
        <w:numPr>
          <w:ilvl w:val="1"/>
          <w:numId w:val="1"/>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72A6659" w14:textId="77777777" w:rsidR="00FC5B2C" w:rsidRDefault="00FC5B2C">
      <w:pPr>
        <w:pBdr>
          <w:top w:val="nil"/>
          <w:left w:val="nil"/>
          <w:bottom w:val="nil"/>
          <w:right w:val="nil"/>
          <w:between w:val="nil"/>
        </w:pBdr>
        <w:tabs>
          <w:tab w:val="left" w:pos="1134"/>
        </w:tabs>
        <w:spacing w:before="120" w:after="120" w:line="240" w:lineRule="auto"/>
        <w:ind w:left="644" w:hanging="576"/>
        <w:jc w:val="both"/>
        <w:rPr>
          <w:color w:val="000000"/>
        </w:rPr>
      </w:pPr>
    </w:p>
    <w:tbl>
      <w:tblPr>
        <w:tblStyle w:val="a0"/>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1710"/>
        <w:gridCol w:w="3011"/>
        <w:gridCol w:w="2238"/>
      </w:tblGrid>
      <w:tr w:rsidR="00FC5B2C" w14:paraId="17061101" w14:textId="77777777">
        <w:tc>
          <w:tcPr>
            <w:tcW w:w="990" w:type="dxa"/>
            <w:tcBorders>
              <w:bottom w:val="single" w:sz="4" w:space="0" w:color="000000"/>
            </w:tcBorders>
          </w:tcPr>
          <w:p w14:paraId="32AFB29E" w14:textId="77777777" w:rsidR="00FC5B2C" w:rsidRDefault="006476A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No.</w:t>
            </w:r>
          </w:p>
        </w:tc>
        <w:tc>
          <w:tcPr>
            <w:tcW w:w="1710" w:type="dxa"/>
            <w:tcBorders>
              <w:bottom w:val="single" w:sz="4" w:space="0" w:color="000000"/>
            </w:tcBorders>
          </w:tcPr>
          <w:p w14:paraId="491072FA" w14:textId="77777777" w:rsidR="00FC5B2C" w:rsidRDefault="006476A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Date</w:t>
            </w:r>
          </w:p>
        </w:tc>
        <w:tc>
          <w:tcPr>
            <w:tcW w:w="3011" w:type="dxa"/>
            <w:tcBorders>
              <w:bottom w:val="single" w:sz="4" w:space="0" w:color="000000"/>
            </w:tcBorders>
          </w:tcPr>
          <w:p w14:paraId="1217085E" w14:textId="77777777" w:rsidR="00FC5B2C" w:rsidRDefault="006476A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Item(s)</w:t>
            </w:r>
          </w:p>
        </w:tc>
        <w:tc>
          <w:tcPr>
            <w:tcW w:w="2238" w:type="dxa"/>
            <w:tcBorders>
              <w:bottom w:val="single" w:sz="4" w:space="0" w:color="000000"/>
            </w:tcBorders>
          </w:tcPr>
          <w:p w14:paraId="2665BA0D" w14:textId="77777777" w:rsidR="00FC5B2C" w:rsidRDefault="006476AA">
            <w:pPr>
              <w:keepNext/>
              <w:pBdr>
                <w:top w:val="nil"/>
                <w:left w:val="nil"/>
                <w:bottom w:val="nil"/>
                <w:right w:val="nil"/>
                <w:between w:val="nil"/>
              </w:pBdr>
              <w:spacing w:before="240" w:after="120"/>
              <w:ind w:left="142"/>
              <w:jc w:val="center"/>
              <w:rPr>
                <w:rFonts w:ascii="Arial" w:eastAsia="Arial" w:hAnsi="Arial" w:cs="Arial"/>
                <w:b/>
                <w:sz w:val="24"/>
                <w:szCs w:val="24"/>
              </w:rPr>
            </w:pPr>
            <w:r>
              <w:rPr>
                <w:rFonts w:ascii="Arial" w:eastAsia="Arial" w:hAnsi="Arial" w:cs="Arial"/>
                <w:b/>
                <w:sz w:val="24"/>
                <w:szCs w:val="24"/>
              </w:rPr>
              <w:t>Duration of Confidentiality</w:t>
            </w:r>
          </w:p>
        </w:tc>
      </w:tr>
    </w:tbl>
    <w:p w14:paraId="0A37501D" w14:textId="77777777" w:rsidR="00FC5B2C" w:rsidRDefault="00FC5B2C">
      <w:pPr>
        <w:widowControl w:val="0"/>
        <w:pBdr>
          <w:top w:val="nil"/>
          <w:left w:val="nil"/>
          <w:bottom w:val="nil"/>
          <w:right w:val="nil"/>
          <w:between w:val="nil"/>
        </w:pBdr>
        <w:spacing w:after="0"/>
        <w:rPr>
          <w:rFonts w:ascii="Arial" w:eastAsia="Arial" w:hAnsi="Arial" w:cs="Arial"/>
          <w:b/>
          <w:color w:val="000000"/>
          <w:sz w:val="24"/>
          <w:szCs w:val="24"/>
        </w:rPr>
      </w:pPr>
    </w:p>
    <w:tbl>
      <w:tblPr>
        <w:tblStyle w:val="a1"/>
        <w:tblW w:w="793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8"/>
      </w:tblGrid>
      <w:tr w:rsidR="00FC5B2C" w14:paraId="700EA92F" w14:textId="77777777">
        <w:tc>
          <w:tcPr>
            <w:tcW w:w="7938" w:type="dxa"/>
          </w:tcPr>
          <w:p w14:paraId="71B993E3" w14:textId="77777777" w:rsidR="00FC5B2C" w:rsidRDefault="006476AA">
            <w:pPr>
              <w:rPr>
                <w:rFonts w:ascii="Arial" w:eastAsia="Arial" w:hAnsi="Arial" w:cs="Arial"/>
                <w:sz w:val="24"/>
                <w:szCs w:val="24"/>
              </w:rPr>
            </w:pPr>
            <w:bookmarkStart w:id="0" w:name="_heading=h.gjdgxs" w:colFirst="0" w:colLast="0"/>
            <w:bookmarkEnd w:id="0"/>
            <w:r>
              <w:rPr>
                <w:rFonts w:ascii="Arial" w:eastAsia="Arial" w:hAnsi="Arial" w:cs="Arial"/>
                <w:sz w:val="24"/>
                <w:szCs w:val="24"/>
              </w:rPr>
              <w:t xml:space="preserve">Date: </w:t>
            </w:r>
            <w:r>
              <w:rPr>
                <w:rFonts w:ascii="Arial" w:eastAsia="Arial" w:hAnsi="Arial" w:cs="Arial"/>
                <w:sz w:val="24"/>
                <w:szCs w:val="24"/>
              </w:rPr>
              <w:br/>
              <w:t>Details: Rates</w:t>
            </w:r>
            <w:r>
              <w:rPr>
                <w:rFonts w:ascii="Arial" w:eastAsia="Arial" w:hAnsi="Arial" w:cs="Arial"/>
                <w:sz w:val="24"/>
                <w:szCs w:val="24"/>
              </w:rPr>
              <w:br/>
              <w:t>Duration of confidentiality: perpetual</w:t>
            </w:r>
          </w:p>
        </w:tc>
      </w:tr>
    </w:tbl>
    <w:p w14:paraId="5DAB6C7B" w14:textId="77777777" w:rsidR="00FC5B2C" w:rsidRDefault="00FC5B2C"/>
    <w:sectPr w:rsidR="00FC5B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6476AA" w:rsidRDefault="006476AA">
      <w:pPr>
        <w:spacing w:after="0" w:line="240" w:lineRule="auto"/>
      </w:pPr>
      <w:r>
        <w:separator/>
      </w:r>
    </w:p>
  </w:endnote>
  <w:endnote w:type="continuationSeparator" w:id="0">
    <w:p w14:paraId="72A3D3EC" w14:textId="77777777" w:rsidR="006476AA" w:rsidRDefault="0064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2010600040101010101"/>
    <w:charset w:val="86"/>
    <w:family w:val="auto"/>
    <w:pitch w:val="variable"/>
    <w:sig w:usb0="00000287" w:usb1="080F0000" w:usb2="00000010" w:usb3="00000000" w:csb0="0004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1E4C" w14:textId="77777777" w:rsidR="00FC5B2C" w:rsidRDefault="00FC5B2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530A" w14:textId="77777777" w:rsidR="00FC5B2C" w:rsidRDefault="006476A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RM6263</w:t>
    </w:r>
    <w:r>
      <w:rPr>
        <w:rFonts w:ascii="Arial" w:eastAsia="Arial" w:hAnsi="Arial" w:cs="Arial"/>
        <w:sz w:val="20"/>
        <w:szCs w:val="20"/>
      </w:rPr>
      <w:tab/>
      <w:t xml:space="preserve">                                           </w:t>
    </w:r>
  </w:p>
  <w:p w14:paraId="7CD89AEC" w14:textId="77777777" w:rsidR="00FC5B2C" w:rsidRDefault="006476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5FBB3DC3" w14:textId="77777777" w:rsidR="00FC5B2C" w:rsidRDefault="00647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1" w:name="bookmark=id.30j0zll" w:colFirst="0" w:colLast="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809" w14:textId="77777777" w:rsidR="00FC5B2C" w:rsidRDefault="00FC5B2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6476AA" w:rsidRDefault="006476AA">
      <w:pPr>
        <w:spacing w:after="0" w:line="240" w:lineRule="auto"/>
      </w:pPr>
      <w:r>
        <w:separator/>
      </w:r>
    </w:p>
  </w:footnote>
  <w:footnote w:type="continuationSeparator" w:id="0">
    <w:p w14:paraId="0E27B00A" w14:textId="77777777" w:rsidR="006476AA" w:rsidRDefault="00647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378F" w14:textId="77777777" w:rsidR="00FC5B2C" w:rsidRDefault="00FC5B2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C72E" w14:textId="77777777" w:rsidR="00FC5B2C" w:rsidRDefault="006476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4314ACD" w14:textId="77777777" w:rsidR="00FC5B2C" w:rsidRDefault="006476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BBE3" w14:textId="77777777" w:rsidR="00FC5B2C" w:rsidRDefault="00FC5B2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95D04"/>
    <w:multiLevelType w:val="multilevel"/>
    <w:tmpl w:val="FFFFFFFF"/>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3193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C"/>
    <w:rsid w:val="001A486E"/>
    <w:rsid w:val="002760A8"/>
    <w:rsid w:val="006476AA"/>
    <w:rsid w:val="00FC5B2C"/>
    <w:rsid w:val="4A8130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A083F80"/>
  <w15:docId w15:val="{0CFC45EC-00F2-4D28-9002-578D3640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1A40AE"/>
    <w:pPr>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1A40A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YXQYyvtwRtdsWeKw+VeGceoW0w==">AMUW2mUT7vSlxuhP6THvnNmimPrJDYuX4bdgVYAYbjg4UHqtPoutSfJ7LDpkSxa/Ao6JzvvTLGDGandQh4aYTM8iZSGsnAJwp6tXqe1DVJKEZx7UfcobVamvLkaJ1ymHvt/rutwq/QlOd9gU2Dd/sjncbGdFRIriKQ==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2024-09-05T08:17:02+00:00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FW3FWKAUFMYU-1609052614-127830</_dlc_DocId>
    <_dlc_DocIdUrl xmlns="675feb15-d659-41c3-803e-6c5b49d6f474">
      <Url>https://dbis.sharepoint.com/sites/dit129_1/_layouts/15/DocIdRedir.aspx?ID=FW3FWKAUFMYU-1609052614-127830</Url>
      <Description>FW3FWKAUFMYU-1609052614-127830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2" ma:contentTypeDescription="Create a new document." ma:contentTypeScope="" ma:versionID="f9d91e625ab4bb7ee877b997c84ac94c">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64209caa9c101b79cb1c507103d00f2f"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A1EAB0F-0CB6-4149-B4C3-655BB107ADEF}">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3.xml><?xml version="1.0" encoding="utf-8"?>
<ds:datastoreItem xmlns:ds="http://schemas.openxmlformats.org/officeDocument/2006/customXml" ds:itemID="{0BD05DF8-E51B-47E7-BD2A-15BC3BA25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AE499-238C-40F4-A485-4735DB0F98E5}">
  <ds:schemaRefs>
    <ds:schemaRef ds:uri="http://schemas.microsoft.com/sharepoint/events"/>
  </ds:schemaRefs>
</ds:datastoreItem>
</file>

<file path=customXml/itemProps5.xml><?xml version="1.0" encoding="utf-8"?>
<ds:datastoreItem xmlns:ds="http://schemas.openxmlformats.org/officeDocument/2006/customXml" ds:itemID="{F5557C48-645A-4926-A193-6B2E918E5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Abubaker SHARIF (DBT)</cp:lastModifiedBy>
  <cp:revision>2</cp:revision>
  <dcterms:created xsi:type="dcterms:W3CDTF">2024-09-05T15:40:00Z</dcterms:created>
  <dcterms:modified xsi:type="dcterms:W3CDTF">2024-09-05T15:40:00Z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0x0101003CDDD78ED0230D4E8BB3166B2836AEDD</vt:lpwstr>
  </property>
  <property fmtid="{D5CDD505-2E9C-101B-9397-08002B2CF9AE}" pid="4" name="Business Unit">
    <vt:lpwstr>1;#Commercial_Team|cea85937-c14d-4825-9642-6811f6a2ca54</vt:lpwstr>
  </property>
  <property fmtid="{D5CDD505-2E9C-101B-9397-08002B2CF9AE}" pid="5" name="_dlc_DocIdItemGuid">
    <vt:lpwstr>bdb33cd0-2fc1-47d7-9ef9-8e020b53f154</vt:lpwstr>
  </property>
  <property fmtid="{D5CDD505-2E9C-101B-9397-08002B2CF9AE}" pid="6" name="MSIP_Label_c1c05e37-788c-4c59-b50e-5c98323c0a70_Enabled">
    <vt:lpwstr>true</vt:lpwstr>
  </property>
  <property fmtid="{D5CDD505-2E9C-101B-9397-08002B2CF9AE}" pid="7" name="MSIP_Label_c1c05e37-788c-4c59-b50e-5c98323c0a70_SetDate">
    <vt:lpwstr>2024-09-05T15:40:47Z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63a300a8-d4c8-48dc-979b-f23a9a2e9cf0</vt:lpwstr>
  </property>
  <property fmtid="{D5CDD505-2E9C-101B-9397-08002B2CF9AE}" pid="12" name="MSIP_Label_c1c05e37-788c-4c59-b50e-5c98323c0a70_ContentBits">
    <vt:lpwstr>0</vt:lpwstr>
  </property>
  <property fmtid="{D5CDD505-2E9C-101B-9397-08002B2CF9AE}" pid="13" name="MediaServiceImageTags">
    <vt:lpwstr/>
  </property>
</Properties>
</file>