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273" w:rsidRDefault="006B4273">
      <w:pPr>
        <w:widowControl w:val="0"/>
        <w:pBdr>
          <w:top w:val="nil"/>
          <w:left w:val="nil"/>
          <w:bottom w:val="nil"/>
          <w:right w:val="nil"/>
          <w:between w:val="nil"/>
        </w:pBdr>
        <w:spacing w:line="276" w:lineRule="auto"/>
      </w:pPr>
    </w:p>
    <w:p w:rsidR="006B4273" w:rsidRDefault="006B4273">
      <w:pPr>
        <w:widowControl w:val="0"/>
        <w:pBdr>
          <w:top w:val="nil"/>
          <w:left w:val="nil"/>
          <w:bottom w:val="nil"/>
          <w:right w:val="nil"/>
          <w:between w:val="nil"/>
        </w:pBdr>
        <w:spacing w:line="276" w:lineRule="auto"/>
      </w:pPr>
    </w:p>
    <w:p w:rsidR="006B4273" w:rsidRDefault="006B4273">
      <w:pPr>
        <w:spacing w:after="160" w:line="259" w:lineRule="auto"/>
        <w:jc w:val="both"/>
      </w:pPr>
    </w:p>
    <w:p w:rsidR="006B4273" w:rsidRDefault="006B4273">
      <w:pPr>
        <w:spacing w:after="160" w:line="259" w:lineRule="auto"/>
        <w:jc w:val="both"/>
      </w:pPr>
    </w:p>
    <w:p w:rsidR="006B4273" w:rsidRDefault="006B4273">
      <w:pPr>
        <w:spacing w:after="160" w:line="259" w:lineRule="auto"/>
        <w:jc w:val="both"/>
      </w:pPr>
    </w:p>
    <w:p w:rsidR="006B4273" w:rsidRDefault="006B4273">
      <w:pPr>
        <w:spacing w:after="160" w:line="259" w:lineRule="auto"/>
        <w:jc w:val="both"/>
      </w:pPr>
    </w:p>
    <w:p w:rsidR="006B4273" w:rsidRDefault="006B4273">
      <w:pPr>
        <w:spacing w:after="160" w:line="259" w:lineRule="auto"/>
        <w:jc w:val="both"/>
      </w:pPr>
    </w:p>
    <w:p w:rsidR="006B4273" w:rsidRDefault="006B4273">
      <w:pPr>
        <w:spacing w:after="160" w:line="259" w:lineRule="auto"/>
        <w:jc w:val="both"/>
      </w:pPr>
    </w:p>
    <w:p w:rsidR="006B4273" w:rsidRDefault="006B4273">
      <w:pPr>
        <w:spacing w:after="160" w:line="259" w:lineRule="auto"/>
        <w:jc w:val="both"/>
        <w:rPr>
          <w:b/>
          <w:sz w:val="36"/>
          <w:szCs w:val="36"/>
        </w:rPr>
      </w:pPr>
    </w:p>
    <w:p w:rsidR="006B4273" w:rsidRDefault="00FA0DF5">
      <w:pPr>
        <w:spacing w:after="160" w:line="259" w:lineRule="auto"/>
        <w:jc w:val="both"/>
        <w:rPr>
          <w:b/>
          <w:sz w:val="36"/>
          <w:szCs w:val="36"/>
        </w:rPr>
      </w:pPr>
      <w:r>
        <w:rPr>
          <w:b/>
          <w:sz w:val="36"/>
          <w:szCs w:val="36"/>
        </w:rPr>
        <w:t>LVPS</w:t>
      </w:r>
    </w:p>
    <w:p w:rsidR="006B4273" w:rsidRDefault="00FA0DF5">
      <w:pPr>
        <w:spacing w:after="160" w:line="259" w:lineRule="auto"/>
        <w:jc w:val="both"/>
        <w:rPr>
          <w:b/>
          <w:sz w:val="36"/>
          <w:szCs w:val="36"/>
        </w:rPr>
        <w:sectPr w:rsidR="006B4273">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rsidR="006B4273" w:rsidRDefault="006B4273">
      <w:pPr>
        <w:shd w:val="clear" w:color="auto" w:fill="FFFFFF"/>
        <w:rPr>
          <w:color w:val="000000"/>
        </w:rPr>
      </w:pPr>
    </w:p>
    <w:p w:rsidR="006B4273" w:rsidRDefault="006B4273">
      <w:pPr>
        <w:shd w:val="clear" w:color="auto" w:fill="FFFFFF"/>
        <w:rPr>
          <w:color w:val="000000"/>
        </w:rPr>
      </w:pPr>
    </w:p>
    <w:p w:rsidR="006B4273" w:rsidRDefault="00FA0DF5">
      <w:pPr>
        <w:shd w:val="clear" w:color="auto" w:fill="FFFFFF"/>
        <w:rPr>
          <w:color w:val="000000"/>
        </w:rPr>
      </w:pPr>
      <w:r>
        <w:rPr>
          <w:color w:val="000000"/>
        </w:rPr>
        <w:t>Andy Bounds LTD</w:t>
      </w:r>
    </w:p>
    <w:p w:rsidR="006B4273" w:rsidRDefault="00FA0DF5">
      <w:pPr>
        <w:rPr>
          <w:b/>
          <w:color w:val="000000"/>
        </w:rPr>
      </w:pPr>
      <w:r>
        <w:rPr>
          <w:b/>
          <w:color w:val="000000"/>
        </w:rPr>
        <w:t xml:space="preserve">Redacted under FOIA section 40, Personal Information </w:t>
      </w:r>
    </w:p>
    <w:p w:rsidR="006B4273" w:rsidRDefault="00FA0DF5">
      <w:pPr>
        <w:jc w:val="right"/>
      </w:pPr>
      <w:r>
        <w:t>18/07/2024</w:t>
      </w:r>
    </w:p>
    <w:p w:rsidR="006B4273" w:rsidRDefault="006B4273"/>
    <w:p w:rsidR="006B4273" w:rsidRDefault="006B4273"/>
    <w:p w:rsidR="006B4273" w:rsidRDefault="00FA0DF5">
      <w:pPr>
        <w:jc w:val="both"/>
      </w:pPr>
      <w:r>
        <w:t xml:space="preserve">Dear </w:t>
      </w:r>
      <w:r>
        <w:rPr>
          <w:b/>
        </w:rPr>
        <w:t>Redacted under FOIA section 40, Personal Information</w:t>
      </w:r>
      <w:r>
        <w:t>,</w:t>
      </w:r>
    </w:p>
    <w:p w:rsidR="006B4273" w:rsidRDefault="006B4273">
      <w:pPr>
        <w:jc w:val="both"/>
      </w:pPr>
    </w:p>
    <w:p w:rsidR="006B4273" w:rsidRDefault="006B4273">
      <w:pPr>
        <w:jc w:val="both"/>
      </w:pPr>
    </w:p>
    <w:p w:rsidR="006B4273" w:rsidRDefault="00FA0DF5">
      <w:pPr>
        <w:jc w:val="center"/>
        <w:rPr>
          <w:u w:val="single"/>
        </w:rPr>
      </w:pPr>
      <w:r>
        <w:rPr>
          <w:b/>
          <w:u w:val="single"/>
        </w:rPr>
        <w:t>Award of Buyer Contract under LVPS –</w:t>
      </w:r>
      <w:r>
        <w:rPr>
          <w:u w:val="single"/>
        </w:rPr>
        <w:t xml:space="preserve"> CCOG24A01– Provision of Training Services</w:t>
      </w:r>
    </w:p>
    <w:p w:rsidR="006B4273" w:rsidRDefault="006B4273">
      <w:pPr>
        <w:jc w:val="both"/>
      </w:pPr>
    </w:p>
    <w:p w:rsidR="006B4273" w:rsidRDefault="006B4273">
      <w:pPr>
        <w:jc w:val="both"/>
      </w:pPr>
    </w:p>
    <w:p w:rsidR="006B4273" w:rsidRDefault="00FA0DF5">
      <w:pPr>
        <w:jc w:val="both"/>
        <w:rPr>
          <w:color w:val="222222"/>
          <w:highlight w:val="white"/>
        </w:rPr>
      </w:pPr>
      <w:r>
        <w:t xml:space="preserve">I am writing to inform you that </w:t>
      </w:r>
      <w:r>
        <w:rPr>
          <w:b/>
        </w:rPr>
        <w:t xml:space="preserve">Crown Commercial Service </w:t>
      </w:r>
      <w:r>
        <w:t>(the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6B4273" w:rsidRDefault="006B4273">
      <w:pPr>
        <w:jc w:val="both"/>
        <w:rPr>
          <w:color w:val="222222"/>
          <w:highlight w:val="white"/>
        </w:rPr>
      </w:pPr>
    </w:p>
    <w:p w:rsidR="006B4273" w:rsidRDefault="00FA0DF5">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6B4273" w:rsidRDefault="006B4273">
      <w:pPr>
        <w:jc w:val="both"/>
      </w:pPr>
    </w:p>
    <w:p w:rsidR="006B4273" w:rsidRDefault="00FA0DF5">
      <w:pPr>
        <w:jc w:val="both"/>
        <w:rPr>
          <w:i/>
          <w:u w:val="single"/>
        </w:rPr>
      </w:pPr>
      <w:r>
        <w:rPr>
          <w:i/>
          <w:color w:val="222222"/>
          <w:u w:val="single"/>
        </w:rPr>
        <w:t>The Buyer Contract</w:t>
      </w:r>
    </w:p>
    <w:p w:rsidR="006B4273" w:rsidRDefault="006B4273">
      <w:pPr>
        <w:jc w:val="both"/>
      </w:pPr>
    </w:p>
    <w:p w:rsidR="006B4273" w:rsidRDefault="00FA0DF5">
      <w:pPr>
        <w:jc w:val="both"/>
      </w:pPr>
      <w:r>
        <w:t>The Buyer Contract shall be as follows:</w:t>
      </w:r>
    </w:p>
    <w:p w:rsidR="006B4273" w:rsidRDefault="006B4273">
      <w:pPr>
        <w:jc w:val="both"/>
      </w:pPr>
    </w:p>
    <w:p w:rsidR="006B4273" w:rsidRDefault="00FA0DF5">
      <w:pPr>
        <w:numPr>
          <w:ilvl w:val="0"/>
          <w:numId w:val="14"/>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6B4273" w:rsidRDefault="006B4273">
      <w:pPr>
        <w:pBdr>
          <w:top w:val="nil"/>
          <w:left w:val="nil"/>
          <w:bottom w:val="nil"/>
          <w:right w:val="nil"/>
          <w:between w:val="nil"/>
        </w:pBdr>
        <w:ind w:left="426"/>
        <w:jc w:val="both"/>
        <w:rPr>
          <w:color w:val="000000"/>
        </w:rPr>
      </w:pPr>
    </w:p>
    <w:p w:rsidR="006B4273" w:rsidRDefault="00FA0DF5">
      <w:pPr>
        <w:numPr>
          <w:ilvl w:val="0"/>
          <w:numId w:val="14"/>
        </w:numPr>
        <w:pBdr>
          <w:top w:val="nil"/>
          <w:left w:val="nil"/>
          <w:bottom w:val="nil"/>
          <w:right w:val="nil"/>
          <w:between w:val="nil"/>
        </w:pBdr>
        <w:ind w:left="426"/>
        <w:jc w:val="both"/>
      </w:pPr>
      <w:r>
        <w:rPr>
          <w:color w:val="000000"/>
        </w:rPr>
        <w:t>The Charges for the Deliverables are specified in Part 2 of Annex F.</w:t>
      </w:r>
    </w:p>
    <w:p w:rsidR="006B4273" w:rsidRDefault="006B4273">
      <w:pPr>
        <w:pBdr>
          <w:top w:val="nil"/>
          <w:left w:val="nil"/>
          <w:bottom w:val="nil"/>
          <w:right w:val="nil"/>
          <w:between w:val="nil"/>
        </w:pBdr>
        <w:ind w:left="426"/>
        <w:rPr>
          <w:color w:val="000000"/>
        </w:rPr>
      </w:pPr>
    </w:p>
    <w:p w:rsidR="006B4273" w:rsidRDefault="00FA0DF5">
      <w:pPr>
        <w:numPr>
          <w:ilvl w:val="0"/>
          <w:numId w:val="14"/>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6B4273" w:rsidRDefault="006B4273">
      <w:pPr>
        <w:pBdr>
          <w:top w:val="nil"/>
          <w:left w:val="nil"/>
          <w:bottom w:val="nil"/>
          <w:right w:val="nil"/>
          <w:between w:val="nil"/>
        </w:pBdr>
        <w:ind w:left="720"/>
        <w:rPr>
          <w:color w:val="000000"/>
        </w:rPr>
      </w:pPr>
    </w:p>
    <w:p w:rsidR="006B4273" w:rsidRDefault="00FA0DF5">
      <w:pPr>
        <w:numPr>
          <w:ilvl w:val="0"/>
          <w:numId w:val="14"/>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6B4273" w:rsidRDefault="006B4273">
      <w:pPr>
        <w:pBdr>
          <w:top w:val="nil"/>
          <w:left w:val="nil"/>
          <w:bottom w:val="nil"/>
          <w:right w:val="nil"/>
          <w:between w:val="nil"/>
        </w:pBdr>
        <w:ind w:left="426"/>
        <w:rPr>
          <w:color w:val="000000"/>
        </w:rPr>
      </w:pPr>
    </w:p>
    <w:p w:rsidR="006B4273" w:rsidRDefault="00FA0DF5">
      <w:pPr>
        <w:numPr>
          <w:ilvl w:val="0"/>
          <w:numId w:val="14"/>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6B4273" w:rsidRDefault="006B4273">
      <w:pPr>
        <w:pBdr>
          <w:top w:val="nil"/>
          <w:left w:val="nil"/>
          <w:bottom w:val="nil"/>
          <w:right w:val="nil"/>
          <w:between w:val="nil"/>
        </w:pBdr>
        <w:ind w:left="426"/>
        <w:rPr>
          <w:color w:val="000000"/>
        </w:rPr>
      </w:pPr>
    </w:p>
    <w:p w:rsidR="006B4273" w:rsidRDefault="00FA0DF5">
      <w:pPr>
        <w:numPr>
          <w:ilvl w:val="0"/>
          <w:numId w:val="14"/>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Pr>
          <w:b/>
          <w:color w:val="000000"/>
        </w:rPr>
        <w:t>17</w:t>
      </w:r>
      <w:r>
        <w:rPr>
          <w:b/>
          <w:color w:val="000000"/>
          <w:vertAlign w:val="superscript"/>
        </w:rPr>
        <w:t>th</w:t>
      </w:r>
      <w:r>
        <w:rPr>
          <w:b/>
          <w:color w:val="000000"/>
        </w:rPr>
        <w:t xml:space="preserve"> February 202</w:t>
      </w:r>
      <w:r>
        <w:rPr>
          <w:b/>
        </w:rPr>
        <w:t>5</w:t>
      </w:r>
      <w:r>
        <w:rPr>
          <w:b/>
          <w:color w:val="000000"/>
        </w:rPr>
        <w:t xml:space="preserve"> </w:t>
      </w:r>
      <w:r>
        <w:rPr>
          <w:color w:val="000000"/>
        </w:rPr>
        <w:t>unless it is otherwise extended or terminated in accordance with the terms and conditions of the Buyer Contract.</w:t>
      </w:r>
    </w:p>
    <w:p w:rsidR="006B4273" w:rsidRDefault="006B4273">
      <w:pPr>
        <w:pBdr>
          <w:top w:val="nil"/>
          <w:left w:val="nil"/>
          <w:bottom w:val="nil"/>
          <w:right w:val="nil"/>
          <w:between w:val="nil"/>
        </w:pBdr>
        <w:ind w:left="426"/>
        <w:rPr>
          <w:color w:val="000000"/>
        </w:rPr>
      </w:pPr>
    </w:p>
    <w:p w:rsidR="006B4273" w:rsidRDefault="00FA0DF5">
      <w:pPr>
        <w:numPr>
          <w:ilvl w:val="0"/>
          <w:numId w:val="14"/>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6B4273" w:rsidRDefault="006B4273">
      <w:pPr>
        <w:jc w:val="both"/>
      </w:pPr>
    </w:p>
    <w:p w:rsidR="006B4273" w:rsidRDefault="006B4273">
      <w:pPr>
        <w:jc w:val="both"/>
        <w:rPr>
          <w:i/>
          <w:color w:val="222222"/>
          <w:u w:val="single"/>
        </w:rPr>
      </w:pPr>
    </w:p>
    <w:p w:rsidR="006B4273" w:rsidRDefault="006B4273">
      <w:pPr>
        <w:jc w:val="both"/>
        <w:rPr>
          <w:i/>
          <w:color w:val="222222"/>
          <w:u w:val="single"/>
        </w:rPr>
      </w:pPr>
    </w:p>
    <w:p w:rsidR="006B4273" w:rsidRDefault="00FA0DF5">
      <w:pPr>
        <w:jc w:val="both"/>
        <w:rPr>
          <w:i/>
          <w:color w:val="222222"/>
          <w:u w:val="single"/>
        </w:rPr>
      </w:pPr>
      <w:r>
        <w:rPr>
          <w:i/>
          <w:color w:val="222222"/>
          <w:u w:val="single"/>
        </w:rPr>
        <w:t>Accepting the offer of the Buyer Contract</w:t>
      </w:r>
    </w:p>
    <w:p w:rsidR="006B4273" w:rsidRDefault="006B4273">
      <w:pPr>
        <w:jc w:val="both"/>
        <w:rPr>
          <w:color w:val="222222"/>
          <w:highlight w:val="white"/>
        </w:rPr>
      </w:pPr>
    </w:p>
    <w:p w:rsidR="006B4273" w:rsidRDefault="00FA0DF5">
      <w:pPr>
        <w:jc w:val="both"/>
      </w:pPr>
      <w:r>
        <w:rPr>
          <w:b/>
          <w:color w:val="222222"/>
          <w:highlight w:val="white"/>
        </w:rPr>
        <w:t>Crown Commercial Service</w:t>
      </w:r>
      <w:r>
        <w:rPr>
          <w:color w:val="222222"/>
        </w:rPr>
        <w:t xml:space="preserve"> </w:t>
      </w:r>
      <w:r>
        <w:t xml:space="preserve">proposes to enter into the Buyer Contract by an exchange of correspondence rather than signing hard copies of the Buyer Contract. I confirm that I am </w:t>
      </w:r>
      <w:proofErr w:type="spellStart"/>
      <w:r>
        <w:t>authorised</w:t>
      </w:r>
      <w:proofErr w:type="spellEnd"/>
      <w:r>
        <w:t xml:space="preserve"> by </w:t>
      </w:r>
      <w:r>
        <w:rPr>
          <w:b/>
        </w:rPr>
        <w:t>the Minister for the Cabinet Office</w:t>
      </w:r>
      <w:r>
        <w:t xml:space="preserve"> to accept the terms of the Buyer Contract and this letter expresses my intention to authenticate the Buyer Contract.</w:t>
      </w:r>
    </w:p>
    <w:p w:rsidR="006B4273" w:rsidRDefault="006B4273">
      <w:pPr>
        <w:jc w:val="both"/>
      </w:pPr>
    </w:p>
    <w:p w:rsidR="006B4273" w:rsidRDefault="00FA0DF5">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Pr>
          <w:b/>
        </w:rPr>
        <w:t>Redacted under FOIA section 40, Personal Information</w:t>
      </w:r>
      <w:r>
        <w:t xml:space="preserve">, using the </w:t>
      </w:r>
      <w:r>
        <w:lastRenderedPageBreak/>
        <w:t>heading ‘</w:t>
      </w:r>
      <w:r>
        <w:rPr>
          <w:b/>
        </w:rPr>
        <w:t xml:space="preserve">Acceptance of Contract – CCOG24A01 – Provision of Training Services’ </w:t>
      </w:r>
      <w:r>
        <w:t>the Supplier’s acceptance of the Buyer Contract using the wording set out below.</w:t>
      </w:r>
    </w:p>
    <w:p w:rsidR="006B4273" w:rsidRDefault="006B4273">
      <w:pPr>
        <w:jc w:val="both"/>
      </w:pPr>
    </w:p>
    <w:p w:rsidR="006B4273" w:rsidRDefault="00FA0DF5">
      <w:pPr>
        <w:jc w:val="both"/>
      </w:pPr>
      <w:r>
        <w:t xml:space="preserve">To assist us in managing the process, please inform us of your decision as to whether or not to accept the Buyer Contract by 17:00 on </w:t>
      </w:r>
      <w:r>
        <w:rPr>
          <w:b/>
        </w:rPr>
        <w:t>22/07/2024</w:t>
      </w:r>
      <w:r>
        <w:t xml:space="preserve">. </w:t>
      </w:r>
    </w:p>
    <w:p w:rsidR="006B4273" w:rsidRDefault="006B4273">
      <w:pPr>
        <w:jc w:val="both"/>
      </w:pPr>
    </w:p>
    <w:p w:rsidR="006B4273" w:rsidRDefault="00FA0DF5">
      <w:pPr>
        <w:jc w:val="both"/>
      </w:pPr>
      <w:r>
        <w:t>Please state the following in your email:</w:t>
      </w:r>
    </w:p>
    <w:p w:rsidR="006B4273" w:rsidRDefault="006B4273">
      <w:pPr>
        <w:jc w:val="both"/>
      </w:pPr>
    </w:p>
    <w:p w:rsidR="006B4273" w:rsidRDefault="00FA0DF5">
      <w:pPr>
        <w:jc w:val="both"/>
      </w:pPr>
      <w:r>
        <w:t>“</w:t>
      </w:r>
      <w:r>
        <w:rPr>
          <w:i/>
        </w:rPr>
        <w:t xml:space="preserve">I refer to your letter dated </w:t>
      </w:r>
      <w:r>
        <w:rPr>
          <w:b/>
          <w:i/>
        </w:rPr>
        <w:t>18/07/2024</w:t>
      </w:r>
      <w:r>
        <w:rPr>
          <w:i/>
        </w:rPr>
        <w:t xml:space="preserve"> (the “</w:t>
      </w:r>
      <w:r>
        <w:rPr>
          <w:b/>
          <w:i/>
        </w:rPr>
        <w:t>Letter</w:t>
      </w:r>
      <w:r>
        <w:rPr>
          <w:i/>
        </w:rPr>
        <w:t xml:space="preserve">”) in respect of the contract </w:t>
      </w:r>
      <w:r>
        <w:rPr>
          <w:b/>
        </w:rPr>
        <w:t>CCOG24A01 – Provision of Training Services’</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Pr>
          <w:b/>
          <w:i/>
        </w:rPr>
        <w:t>Andy Bounds Ltd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rsidR="006B4273" w:rsidRDefault="006B4273">
      <w:pPr>
        <w:jc w:val="both"/>
      </w:pPr>
    </w:p>
    <w:p w:rsidR="006B4273" w:rsidRDefault="00FA0DF5">
      <w:pPr>
        <w:jc w:val="both"/>
      </w:pPr>
      <w:r>
        <w:t>Please make sure that your name and job title are included in the email and attach a copy of this letter to your email.</w:t>
      </w:r>
    </w:p>
    <w:p w:rsidR="006B4273" w:rsidRDefault="006B4273">
      <w:pPr>
        <w:jc w:val="both"/>
      </w:pPr>
    </w:p>
    <w:p w:rsidR="006B4273" w:rsidRDefault="00FA0DF5">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6B4273" w:rsidRDefault="006B4273">
      <w:pPr>
        <w:jc w:val="both"/>
      </w:pPr>
    </w:p>
    <w:p w:rsidR="006B4273" w:rsidRDefault="00FA0DF5">
      <w:pPr>
        <w:jc w:val="both"/>
        <w:rPr>
          <w:u w:val="single"/>
        </w:rPr>
      </w:pPr>
      <w:r>
        <w:rPr>
          <w:i/>
          <w:u w:val="single"/>
        </w:rPr>
        <w:t>Contract management information</w:t>
      </w:r>
    </w:p>
    <w:p w:rsidR="006B4273" w:rsidRDefault="006B4273">
      <w:pPr>
        <w:jc w:val="both"/>
      </w:pPr>
    </w:p>
    <w:p w:rsidR="006B4273" w:rsidRDefault="00FA0DF5">
      <w:pPr>
        <w:jc w:val="both"/>
      </w:pPr>
      <w:r>
        <w:t>In order to make the Buyer Contract operate properly, you will need the information set out in Annex C to this letter.</w:t>
      </w:r>
    </w:p>
    <w:p w:rsidR="006B4273" w:rsidRDefault="006B4273">
      <w:pPr>
        <w:jc w:val="both"/>
      </w:pPr>
    </w:p>
    <w:p w:rsidR="006B4273" w:rsidRDefault="00FA0DF5">
      <w:pPr>
        <w:jc w:val="both"/>
      </w:pPr>
      <w:r>
        <w:t>If you accept the Buyer Contract, please provide the following information with your email of acceptance:</w:t>
      </w:r>
    </w:p>
    <w:p w:rsidR="006B4273" w:rsidRDefault="006B4273">
      <w:pPr>
        <w:jc w:val="both"/>
      </w:pPr>
    </w:p>
    <w:p w:rsidR="006B4273" w:rsidRDefault="00FA0DF5">
      <w:pPr>
        <w:numPr>
          <w:ilvl w:val="0"/>
          <w:numId w:val="1"/>
        </w:numPr>
        <w:pBdr>
          <w:top w:val="nil"/>
          <w:left w:val="nil"/>
          <w:bottom w:val="nil"/>
          <w:right w:val="nil"/>
          <w:between w:val="nil"/>
        </w:pBdr>
        <w:jc w:val="both"/>
      </w:pPr>
      <w:r>
        <w:rPr>
          <w:color w:val="000000"/>
        </w:rPr>
        <w:t>Commercially Sensitive Information (not applicable or insert your Commercially Sensitive Information)</w:t>
      </w:r>
    </w:p>
    <w:p w:rsidR="006B4273" w:rsidRDefault="00FA0DF5">
      <w:pPr>
        <w:numPr>
          <w:ilvl w:val="0"/>
          <w:numId w:val="1"/>
        </w:numPr>
        <w:pBdr>
          <w:top w:val="nil"/>
          <w:left w:val="nil"/>
          <w:bottom w:val="nil"/>
          <w:right w:val="nil"/>
          <w:between w:val="nil"/>
        </w:pBdr>
        <w:jc w:val="both"/>
      </w:pPr>
      <w:r>
        <w:rPr>
          <w:color w:val="000000"/>
        </w:rPr>
        <w:t>Supplier Address for notices (if different to the Supplier’s Registered Address)</w:t>
      </w:r>
    </w:p>
    <w:p w:rsidR="006B4273" w:rsidRDefault="00FA0DF5">
      <w:pPr>
        <w:numPr>
          <w:ilvl w:val="0"/>
          <w:numId w:val="1"/>
        </w:numPr>
        <w:pBdr>
          <w:top w:val="nil"/>
          <w:left w:val="nil"/>
          <w:bottom w:val="nil"/>
          <w:right w:val="nil"/>
          <w:between w:val="nil"/>
        </w:pBdr>
        <w:jc w:val="both"/>
      </w:pPr>
      <w:r>
        <w:rPr>
          <w:color w:val="000000"/>
        </w:rPr>
        <w:t>Supplier’s account for payment of Charges</w:t>
      </w:r>
    </w:p>
    <w:p w:rsidR="006B4273" w:rsidRDefault="006B4273">
      <w:pPr>
        <w:jc w:val="both"/>
      </w:pPr>
    </w:p>
    <w:p w:rsidR="006B4273" w:rsidRDefault="00FA0DF5">
      <w:pPr>
        <w:jc w:val="both"/>
      </w:pPr>
      <w:r>
        <w:t>If you have any queries, please contact the team on</w:t>
      </w:r>
      <w:r>
        <w:rPr>
          <w:b/>
        </w:rPr>
        <w:t xml:space="preserve"> Redacted under FOIA section 40, Personal Information</w:t>
      </w:r>
      <w:r>
        <w:t>.</w:t>
      </w:r>
    </w:p>
    <w:p w:rsidR="006B4273" w:rsidRDefault="006B4273">
      <w:pPr>
        <w:jc w:val="both"/>
      </w:pPr>
    </w:p>
    <w:p w:rsidR="006B4273" w:rsidRDefault="006B4273">
      <w:pPr>
        <w:jc w:val="both"/>
      </w:pPr>
    </w:p>
    <w:p w:rsidR="006B4273" w:rsidRDefault="006B4273">
      <w:pPr>
        <w:jc w:val="both"/>
      </w:pPr>
    </w:p>
    <w:p w:rsidR="006B4273" w:rsidRDefault="00FA0DF5">
      <w:pPr>
        <w:jc w:val="both"/>
      </w:pPr>
      <w:r>
        <w:t>Yours faithfully,</w:t>
      </w:r>
    </w:p>
    <w:p w:rsidR="006B4273" w:rsidRDefault="006B4273">
      <w:pPr>
        <w:jc w:val="both"/>
      </w:pPr>
    </w:p>
    <w:p w:rsidR="006B4273" w:rsidRDefault="006B4273">
      <w:pPr>
        <w:jc w:val="both"/>
      </w:pPr>
      <w:bookmarkStart w:id="1" w:name="_heading=h.30j0zll" w:colFirst="0" w:colLast="0"/>
      <w:bookmarkEnd w:id="1"/>
    </w:p>
    <w:p w:rsidR="006B4273" w:rsidRDefault="00FA0DF5">
      <w:pPr>
        <w:jc w:val="both"/>
        <w:rPr>
          <w:b/>
        </w:rPr>
      </w:pPr>
      <w:r>
        <w:rPr>
          <w:b/>
        </w:rPr>
        <w:t xml:space="preserve">Redacted under FOIA section 40, Personal Information </w:t>
      </w:r>
    </w:p>
    <w:p w:rsidR="006B4273" w:rsidRDefault="00FA0DF5">
      <w:pPr>
        <w:jc w:val="both"/>
        <w:rPr>
          <w:b/>
        </w:rPr>
      </w:pPr>
      <w:r>
        <w:rPr>
          <w:b/>
        </w:rPr>
        <w:t>Crown Commercial Service</w:t>
      </w:r>
    </w:p>
    <w:p w:rsidR="006B4273" w:rsidRDefault="006B4273">
      <w:pPr>
        <w:jc w:val="both"/>
        <w:rPr>
          <w:b/>
        </w:rPr>
      </w:pPr>
    </w:p>
    <w:p w:rsidR="006B4273" w:rsidRDefault="00FA0DF5">
      <w:pPr>
        <w:jc w:val="center"/>
        <w:rPr>
          <w:b/>
          <w:color w:val="000000"/>
        </w:rPr>
      </w:pPr>
      <w:r>
        <w:br w:type="page"/>
      </w:r>
      <w:r>
        <w:rPr>
          <w:b/>
          <w:color w:val="000000"/>
        </w:rPr>
        <w:lastRenderedPageBreak/>
        <w:t>Annex A</w:t>
      </w:r>
    </w:p>
    <w:p w:rsidR="006B4273" w:rsidRDefault="00FA0DF5">
      <w:pPr>
        <w:jc w:val="center"/>
        <w:rPr>
          <w:color w:val="000000"/>
        </w:rPr>
      </w:pPr>
      <w:r>
        <w:rPr>
          <w:b/>
          <w:color w:val="000000"/>
        </w:rPr>
        <w:t>Conditions</w:t>
      </w:r>
    </w:p>
    <w:p w:rsidR="006B4273" w:rsidRDefault="006B4273">
      <w:pPr>
        <w:jc w:val="center"/>
        <w:rPr>
          <w:color w:val="000000"/>
        </w:rPr>
      </w:pPr>
    </w:p>
    <w:p w:rsidR="006B4273" w:rsidRDefault="00FA0DF5">
      <w:pPr>
        <w:pStyle w:val="Heading1"/>
        <w:numPr>
          <w:ilvl w:val="0"/>
          <w:numId w:val="2"/>
        </w:numPr>
        <w:tabs>
          <w:tab w:val="left" w:pos="709"/>
        </w:tabs>
        <w:spacing w:before="0" w:after="0"/>
        <w:ind w:left="709"/>
        <w:jc w:val="both"/>
        <w:rPr>
          <w:b/>
          <w:sz w:val="20"/>
          <w:szCs w:val="20"/>
        </w:rPr>
      </w:pPr>
      <w:r>
        <w:rPr>
          <w:b/>
          <w:smallCaps/>
          <w:sz w:val="20"/>
          <w:szCs w:val="20"/>
        </w:rPr>
        <w:t>DEFINITIONS USED IN THE BUYER CONTRACT</w:t>
      </w:r>
    </w:p>
    <w:p w:rsidR="006B4273" w:rsidRDefault="006B4273">
      <w:pPr>
        <w:numPr>
          <w:ilvl w:val="0"/>
          <w:numId w:val="4"/>
        </w:numPr>
        <w:pBdr>
          <w:top w:val="nil"/>
          <w:left w:val="nil"/>
          <w:bottom w:val="nil"/>
          <w:right w:val="nil"/>
          <w:between w:val="nil"/>
        </w:pBdr>
        <w:tabs>
          <w:tab w:val="left" w:pos="709"/>
        </w:tabs>
        <w:ind w:left="709"/>
        <w:jc w:val="both"/>
        <w:rPr>
          <w:color w:val="000000"/>
        </w:rPr>
      </w:pPr>
    </w:p>
    <w:p w:rsidR="006B4273" w:rsidRDefault="00FA0DF5">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6B4273" w:rsidRDefault="006B4273">
      <w:pPr>
        <w:numPr>
          <w:ilvl w:val="0"/>
          <w:numId w:val="4"/>
        </w:numPr>
        <w:pBdr>
          <w:top w:val="nil"/>
          <w:left w:val="nil"/>
          <w:bottom w:val="nil"/>
          <w:right w:val="nil"/>
          <w:between w:val="nil"/>
        </w:pBdr>
        <w:tabs>
          <w:tab w:val="left" w:pos="709"/>
        </w:tabs>
        <w:ind w:left="0"/>
        <w:jc w:val="both"/>
        <w:rPr>
          <w:color w:val="000000"/>
        </w:rPr>
      </w:pPr>
    </w:p>
    <w:tbl>
      <w:tblPr>
        <w:tblStyle w:val="ab"/>
        <w:tblW w:w="8244" w:type="dxa"/>
        <w:tblInd w:w="828"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000" w:firstRow="0" w:lastRow="0" w:firstColumn="0" w:lastColumn="0" w:noHBand="0" w:noVBand="0"/>
      </w:tblPr>
      <w:tblGrid>
        <w:gridCol w:w="1939"/>
        <w:gridCol w:w="6305"/>
      </w:tblGrid>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“Buyer”</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the person identified in the letterhead of the Letter;</w:t>
            </w:r>
          </w:p>
          <w:p w:rsidR="006B4273" w:rsidRDefault="006B4273">
            <w:pPr>
              <w:pBdr>
                <w:top w:val="nil"/>
                <w:left w:val="nil"/>
                <w:bottom w:val="nil"/>
                <w:right w:val="nil"/>
                <w:between w:val="nil"/>
              </w:pBdr>
              <w:tabs>
                <w:tab w:val="left" w:pos="709"/>
              </w:tabs>
              <w:ind w:right="617"/>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"Buyer Cause"</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“Buyer Contract”</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Letter;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“CCS”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B4273">
        <w:tc>
          <w:tcPr>
            <w:tcW w:w="1939" w:type="dxa"/>
          </w:tcPr>
          <w:p w:rsidR="006B4273" w:rsidRDefault="006B4273">
            <w:pPr>
              <w:widowControl w:val="0"/>
              <w:tabs>
                <w:tab w:val="left" w:pos="709"/>
              </w:tabs>
              <w:rPr>
                <w:rFonts w:ascii="Arial" w:eastAsia="Arial" w:hAnsi="Arial" w:cs="Arial"/>
              </w:rPr>
            </w:pPr>
          </w:p>
        </w:tc>
        <w:tc>
          <w:tcPr>
            <w:tcW w:w="6305" w:type="dxa"/>
          </w:tcPr>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"Central Government Body"</w:t>
            </w:r>
          </w:p>
        </w:tc>
        <w:tc>
          <w:tcPr>
            <w:tcW w:w="6305" w:type="dxa"/>
          </w:tcPr>
          <w:p w:rsidR="006B4273" w:rsidRDefault="00FA0DF5">
            <w:pPr>
              <w:pBdr>
                <w:top w:val="nil"/>
                <w:left w:val="nil"/>
                <w:bottom w:val="nil"/>
                <w:right w:val="nil"/>
                <w:between w:val="nil"/>
              </w:pBdr>
              <w:tabs>
                <w:tab w:val="left" w:pos="709"/>
              </w:tabs>
              <w:ind w:right="617"/>
              <w:rPr>
                <w:rFonts w:ascii="Arial" w:eastAsia="Arial" w:hAnsi="Arial" w:cs="Arial"/>
              </w:rPr>
            </w:pPr>
            <w:r>
              <w:rPr>
                <w:rFonts w:ascii="Arial" w:eastAsia="Arial" w:hAnsi="Arial" w:cs="Arial"/>
              </w:rPr>
              <w:t>means a body listed in one of the following sub-categories of the Central Government classification of the Public Sector Classification Guide, as published and amended from time to time by the Office for National Statistics:</w:t>
            </w:r>
          </w:p>
          <w:p w:rsidR="006B4273" w:rsidRDefault="00FA0DF5">
            <w:pPr>
              <w:widowControl w:val="0"/>
              <w:numPr>
                <w:ilvl w:val="0"/>
                <w:numId w:val="3"/>
              </w:numPr>
              <w:tabs>
                <w:tab w:val="left" w:pos="709"/>
              </w:tabs>
              <w:ind w:left="0" w:firstLine="0"/>
              <w:rPr>
                <w:rFonts w:ascii="Arial" w:eastAsia="Arial" w:hAnsi="Arial" w:cs="Arial"/>
              </w:rPr>
            </w:pPr>
            <w:r>
              <w:rPr>
                <w:rFonts w:ascii="Arial" w:eastAsia="Arial" w:hAnsi="Arial" w:cs="Arial"/>
              </w:rPr>
              <w:t>Government Department;</w:t>
            </w:r>
          </w:p>
          <w:p w:rsidR="006B4273" w:rsidRDefault="00FA0DF5">
            <w:pPr>
              <w:widowControl w:val="0"/>
              <w:numPr>
                <w:ilvl w:val="0"/>
                <w:numId w:val="3"/>
              </w:numPr>
              <w:tabs>
                <w:tab w:val="left" w:pos="709"/>
              </w:tabs>
              <w:ind w:left="0" w:firstLine="0"/>
              <w:rPr>
                <w:rFonts w:ascii="Arial" w:eastAsia="Arial" w:hAnsi="Arial" w:cs="Arial"/>
              </w:rPr>
            </w:pPr>
            <w:r>
              <w:rPr>
                <w:rFonts w:ascii="Arial" w:eastAsia="Arial" w:hAnsi="Arial" w:cs="Arial"/>
              </w:rPr>
              <w:lastRenderedPageBreak/>
              <w:t>Non-Departmental Public Body or Assembly Sponsored Public Body (advisory, executive, or tribunal);</w:t>
            </w:r>
          </w:p>
          <w:p w:rsidR="006B4273" w:rsidRDefault="00FA0DF5">
            <w:pPr>
              <w:widowControl w:val="0"/>
              <w:numPr>
                <w:ilvl w:val="0"/>
                <w:numId w:val="3"/>
              </w:numPr>
              <w:tabs>
                <w:tab w:val="left" w:pos="709"/>
              </w:tabs>
              <w:ind w:left="0" w:firstLine="0"/>
              <w:rPr>
                <w:rFonts w:ascii="Arial" w:eastAsia="Arial" w:hAnsi="Arial" w:cs="Arial"/>
              </w:rPr>
            </w:pPr>
            <w:r>
              <w:rPr>
                <w:rFonts w:ascii="Arial" w:eastAsia="Arial" w:hAnsi="Arial" w:cs="Arial"/>
              </w:rPr>
              <w:t>Non-Ministerial Department; or</w:t>
            </w:r>
          </w:p>
          <w:p w:rsidR="006B4273" w:rsidRDefault="00FA0DF5">
            <w:pPr>
              <w:widowControl w:val="0"/>
              <w:numPr>
                <w:ilvl w:val="0"/>
                <w:numId w:val="3"/>
              </w:numPr>
              <w:tabs>
                <w:tab w:val="left" w:pos="709"/>
              </w:tabs>
              <w:ind w:left="0" w:firstLine="0"/>
              <w:rPr>
                <w:rFonts w:ascii="Arial" w:eastAsia="Arial" w:hAnsi="Arial" w:cs="Arial"/>
              </w:rPr>
            </w:pPr>
            <w:r>
              <w:rPr>
                <w:rFonts w:ascii="Arial" w:eastAsia="Arial" w:hAnsi="Arial" w:cs="Arial"/>
              </w:rPr>
              <w:t>Executive Agency;</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"Charges"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the charges specified in Part 2 of Annex F and which in aggregate shall in no circumstances exceed the thresholds set out in regulation 5 of the Regulations;</w:t>
            </w:r>
          </w:p>
          <w:p w:rsidR="006B4273" w:rsidRDefault="00FA0DF5">
            <w:pPr>
              <w:widowControl w:val="0"/>
              <w:tabs>
                <w:tab w:val="left" w:pos="709"/>
              </w:tabs>
              <w:rPr>
                <w:rFonts w:ascii="Arial" w:eastAsia="Arial" w:hAnsi="Arial" w:cs="Arial"/>
              </w:rPr>
            </w:pPr>
            <w:r>
              <w:rPr>
                <w:rFonts w:ascii="Arial" w:eastAsia="Arial" w:hAnsi="Arial" w:cs="Arial"/>
              </w:rPr>
              <w:t xml:space="preserve">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“Commercially Sensitive Information”</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"Confidential Information"</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all information, whether written or oral (however recorded), provided by the disclosing Party to the receiving Party and which (</w:t>
            </w:r>
            <w:proofErr w:type="spellStart"/>
            <w:r>
              <w:rPr>
                <w:rFonts w:ascii="Arial" w:eastAsia="Arial" w:hAnsi="Arial" w:cs="Arial"/>
              </w:rPr>
              <w:t>i</w:t>
            </w:r>
            <w:proofErr w:type="spellEnd"/>
            <w:r>
              <w:rPr>
                <w:rFonts w:ascii="Arial" w:eastAsia="Arial" w:hAnsi="Arial" w:cs="Arial"/>
              </w:rPr>
              <w:t>) is known by the receiving Party to be confidential; (ii) is marked as or stated to be confidential; or (iii) ought reasonably to be considered by the receiving Party to be confidential;</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"Controller"</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UK GDPR;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"Data </w:t>
            </w:r>
            <w:r>
              <w:rPr>
                <w:rFonts w:ascii="Arial" w:eastAsia="Arial" w:hAnsi="Arial" w:cs="Arial"/>
              </w:rPr>
              <w:lastRenderedPageBreak/>
              <w:t>Protection Impact Assessment"</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an assessment by the Controller of the impact of the </w:t>
            </w:r>
            <w:r>
              <w:rPr>
                <w:rFonts w:ascii="Arial" w:eastAsia="Arial" w:hAnsi="Arial" w:cs="Arial"/>
              </w:rPr>
              <w:lastRenderedPageBreak/>
              <w:t xml:space="preserve">envisaged Processing on the protection of Personal Data;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"Data Protection Legislation" </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UK GDPR, as amended from time to time, (ii) the Data Protection Act 2018 to the extent that it relates to Processing of Personal Data and privacy; (iii) all applicable Law about the Processing of Personal Data and privacy; </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"Data Protection Officer" </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UK GDPR;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"Data Subject" </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UK GDPR;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"Data Subject Access </w:t>
            </w:r>
          </w:p>
          <w:p w:rsidR="006B4273" w:rsidRDefault="00FA0DF5">
            <w:pPr>
              <w:widowControl w:val="0"/>
              <w:tabs>
                <w:tab w:val="left" w:pos="709"/>
              </w:tabs>
              <w:rPr>
                <w:rFonts w:ascii="Arial" w:eastAsia="Arial" w:hAnsi="Arial" w:cs="Arial"/>
              </w:rPr>
            </w:pPr>
            <w:r>
              <w:rPr>
                <w:rFonts w:ascii="Arial" w:eastAsia="Arial" w:hAnsi="Arial" w:cs="Arial"/>
              </w:rPr>
              <w:t xml:space="preserve">Request" </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a request made by, or on behalf of, a Data Subject in accordance with rights granted pursuant to the Data Protection Legislation to access their Personal Data;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"Deliver"</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hand over the Deliverables to the Buyer at the address and on the date specified in Annex C, which shall include unloading and any other specific arrangements agreed in any Special Term. “Delivered”, “Deliveries” and “Delivery” shall be construed accordingly;</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“Deliverables”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Offered Deliverables that are ordered under the Buyer Contract and described in Part 1 of Annex F;</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“DOTAS”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pBdr>
                <w:top w:val="nil"/>
                <w:left w:val="nil"/>
                <w:bottom w:val="nil"/>
                <w:right w:val="nil"/>
                <w:between w:val="nil"/>
              </w:pBdr>
              <w:tabs>
                <w:tab w:val="left" w:pos="709"/>
              </w:tabs>
              <w:spacing w:after="120"/>
              <w:ind w:left="339" w:hanging="567"/>
              <w:rPr>
                <w:rFonts w:ascii="Arial" w:eastAsia="Arial" w:hAnsi="Arial" w:cs="Arial"/>
              </w:rPr>
            </w:pPr>
            <w:r>
              <w:rPr>
                <w:rFonts w:ascii="Arial" w:eastAsia="Arial" w:hAnsi="Arial" w:cs="Arial"/>
              </w:rPr>
              <w:t>“Electronic Invoice”</w:t>
            </w:r>
          </w:p>
          <w:p w:rsidR="006B4273" w:rsidRDefault="006B4273">
            <w:pPr>
              <w:pBdr>
                <w:top w:val="nil"/>
                <w:left w:val="nil"/>
                <w:bottom w:val="nil"/>
                <w:right w:val="nil"/>
                <w:between w:val="nil"/>
              </w:pBdr>
              <w:tabs>
                <w:tab w:val="left" w:pos="709"/>
              </w:tabs>
              <w:spacing w:after="120"/>
              <w:ind w:left="1418" w:hanging="567"/>
              <w:rPr>
                <w:rFonts w:ascii="Arial" w:eastAsia="Arial" w:hAnsi="Arial" w:cs="Arial"/>
              </w:rPr>
            </w:pPr>
          </w:p>
        </w:tc>
        <w:tc>
          <w:tcPr>
            <w:tcW w:w="6305" w:type="dxa"/>
          </w:tcPr>
          <w:p w:rsidR="006B4273" w:rsidRDefault="00FA0DF5">
            <w:pPr>
              <w:pBdr>
                <w:top w:val="nil"/>
                <w:left w:val="nil"/>
                <w:bottom w:val="nil"/>
                <w:right w:val="nil"/>
                <w:between w:val="nil"/>
              </w:pBdr>
              <w:tabs>
                <w:tab w:val="left" w:pos="709"/>
              </w:tabs>
              <w:spacing w:after="120"/>
              <w:ind w:left="97"/>
              <w:rPr>
                <w:rFonts w:ascii="Arial" w:eastAsia="Arial" w:hAnsi="Arial" w:cs="Arial"/>
              </w:rPr>
            </w:pPr>
            <w:r>
              <w:rPr>
                <w:rFonts w:ascii="Arial" w:eastAsia="Arial" w:hAnsi="Arial" w:cs="Arial"/>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"Existing IPR"</w:t>
            </w:r>
          </w:p>
          <w:p w:rsidR="006B4273" w:rsidRDefault="006B4273">
            <w:pPr>
              <w:widowControl w:val="0"/>
              <w:tabs>
                <w:tab w:val="left" w:pos="709"/>
              </w:tabs>
              <w:rPr>
                <w:rFonts w:ascii="Arial" w:eastAsia="Arial" w:hAnsi="Arial" w:cs="Arial"/>
              </w:rPr>
            </w:pPr>
          </w:p>
        </w:tc>
        <w:tc>
          <w:tcPr>
            <w:tcW w:w="6305" w:type="dxa"/>
          </w:tcPr>
          <w:p w:rsidR="006B4273" w:rsidRDefault="00FA0DF5">
            <w:pPr>
              <w:pBdr>
                <w:top w:val="nil"/>
                <w:left w:val="nil"/>
                <w:bottom w:val="nil"/>
                <w:right w:val="nil"/>
                <w:between w:val="nil"/>
              </w:pBdr>
              <w:tabs>
                <w:tab w:val="left" w:pos="709"/>
              </w:tabs>
              <w:spacing w:after="120"/>
              <w:ind w:left="97"/>
              <w:rPr>
                <w:rFonts w:ascii="Arial" w:eastAsia="Arial" w:hAnsi="Arial" w:cs="Arial"/>
              </w:rPr>
            </w:pPr>
            <w:r>
              <w:rPr>
                <w:rFonts w:ascii="Arial" w:eastAsia="Arial" w:hAnsi="Arial" w:cs="Arial"/>
              </w:rPr>
              <w:t>any and all intellectual property rights that are owned by or licensed to either Party and which have been developed independently of the Buyer Contract (whether prior to the date of the Buyer Contract or otherwise);</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"Expiry Date"</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the date for expiry of the Buyer Contract as set out in the Letter;</w:t>
            </w:r>
          </w:p>
          <w:p w:rsidR="006B4273" w:rsidRDefault="00FA0DF5">
            <w:pPr>
              <w:widowControl w:val="0"/>
              <w:tabs>
                <w:tab w:val="left" w:pos="709"/>
              </w:tabs>
              <w:rPr>
                <w:rFonts w:ascii="Arial" w:eastAsia="Arial" w:hAnsi="Arial" w:cs="Arial"/>
              </w:rPr>
            </w:pPr>
            <w:r>
              <w:rPr>
                <w:rFonts w:ascii="Arial" w:eastAsia="Arial" w:hAnsi="Arial" w:cs="Arial"/>
              </w:rPr>
              <w:t xml:space="preserve">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"FOIA"</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means the Freedom of Information Act 2000 together with any guidance and/or codes of practice issued by the Information Commissioner or relevant Government department in relation to such legislation;</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"Force Majeure Event"</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rPr>
                <w:rFonts w:ascii="Arial" w:eastAsia="Arial" w:hAnsi="Arial" w:cs="Arial"/>
              </w:rPr>
              <w:t>wilful</w:t>
            </w:r>
            <w:proofErr w:type="spellEnd"/>
            <w:r>
              <w:rPr>
                <w:rFonts w:ascii="Arial" w:eastAsia="Arial" w:hAnsi="Arial" w:cs="Arial"/>
              </w:rPr>
              <w:t xml:space="preserve"> act, neglect or failure to take reasonable preventative action by the affected Party, including:</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a)</w:t>
            </w:r>
            <w:r>
              <w:rPr>
                <w:rFonts w:ascii="Arial" w:eastAsia="Arial" w:hAnsi="Arial" w:cs="Arial"/>
              </w:rPr>
              <w:tab/>
              <w:t>riots, civil commotion, war or armed conflict;</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b)</w:t>
            </w:r>
            <w:r>
              <w:rPr>
                <w:rFonts w:ascii="Arial" w:eastAsia="Arial" w:hAnsi="Arial" w:cs="Arial"/>
              </w:rPr>
              <w:tab/>
              <w:t>acts of terrorism;</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c)</w:t>
            </w:r>
            <w:r>
              <w:rPr>
                <w:rFonts w:ascii="Arial" w:eastAsia="Arial" w:hAnsi="Arial" w:cs="Arial"/>
              </w:rPr>
              <w:tab/>
              <w:t>acts of a Central Government Body, local government or regulatory bodies;</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d)</w:t>
            </w:r>
            <w:r>
              <w:rPr>
                <w:rFonts w:ascii="Arial" w:eastAsia="Arial" w:hAnsi="Arial" w:cs="Arial"/>
              </w:rPr>
              <w:tab/>
              <w:t>fire, flood, storm or earthquake or other natural disaster,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but excluding any industrial dispute relating to the Supplier, the Supplier Staff, or any other failure in the Supplier or the subcontractor's supply chain;</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"General Anti-Abuse Rule"</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w:t>
            </w:r>
            <w:r>
              <w:rPr>
                <w:rFonts w:ascii="Arial" w:eastAsia="Arial" w:hAnsi="Arial" w:cs="Arial"/>
              </w:rPr>
              <w:tab/>
              <w:t xml:space="preserve">the legislation in Part 5 of the Finance Act 2013; and </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b)</w:t>
            </w:r>
            <w:r>
              <w:rPr>
                <w:rFonts w:ascii="Arial" w:eastAsia="Arial" w:hAnsi="Arial" w:cs="Arial"/>
              </w:rPr>
              <w:tab/>
              <w:t>any future legislation introduced into parliament to counteract tax advantages arising from abusive arrangements to avoid National Insurance contributions;</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"Goods"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the goods to be supplied by the Supplier to the Buyer under the Buyer Contract;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"Good Industry Practice" </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"Government Data"</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rPr>
                <w:rFonts w:ascii="Arial" w:eastAsia="Arial" w:hAnsi="Arial" w:cs="Arial"/>
              </w:rPr>
              <w:t>i</w:t>
            </w:r>
            <w:proofErr w:type="spellEnd"/>
            <w:r>
              <w:rPr>
                <w:rFonts w:ascii="Arial" w:eastAsia="Arial" w:hAnsi="Arial" w:cs="Arial"/>
              </w:rPr>
              <w:t>) are supplied to the Supplier by or on behalf of the Buyer; or ii) the Supplier is required to generate, process, store or transmit pursuant to the Buyer Contract; or b) any Personal Data for which the Buyer is the Data Controller;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“Halifax Abuse Principle”</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principle explained in the CJEU Case C-255/02 Halifax and others;</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“Independent Control”</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"Information"</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has the meaning given under section 84 of the FOIA;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"Information Commissioner" </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the UK’s independent authority which deals with ensuring information relating to rights in the public interest and data privacy for individuals is met, whilst promoting openness by public bodies;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"Insolvency Event"</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“IR35”</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the off-payroll rules requiring individuals who work through their company pay the same tax and National Insurance contributions as an employee which can be found online at: </w:t>
            </w:r>
            <w:hyperlink r:id="rId11">
              <w:r>
                <w:rPr>
                  <w:rFonts w:ascii="Arial" w:eastAsia="Arial" w:hAnsi="Arial" w:cs="Arial"/>
                  <w:color w:val="0000FF"/>
                  <w:u w:val="single"/>
                </w:rPr>
                <w:t>https://www.gov.uk/guidance/ir35-find-out-if-it-applies</w:t>
              </w:r>
            </w:hyperlink>
            <w:r>
              <w:rPr>
                <w:rFonts w:ascii="Arial" w:eastAsia="Arial" w:hAnsi="Arial" w:cs="Arial"/>
              </w:rPr>
              <w:t>;</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“Joint Controller Agreement”</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agreement (if any) entered into between the Buyer and the Supplier substantially in the form set out in Appendix 2 of Annex D;</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“Joint Control”</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where two or more Controllers jointly determine the purposes and means of Processing and “Joint Controller” shall be construed accordingly;</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“Law”</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“Letter”</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letter from the Buyer to the Supplier offering to enter into the Buyer Contract;</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“Losses”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all losses, liabilities, damages, costs, expenses (including legal fees), disbursements, costs of investigation, </w:t>
            </w:r>
            <w:r>
              <w:rPr>
                <w:rFonts w:ascii="Arial" w:eastAsia="Arial" w:hAnsi="Arial" w:cs="Arial"/>
              </w:rPr>
              <w:lastRenderedPageBreak/>
              <w:t>litigation, settlement, judgment, interest and penalties whether arising in contract, tort (including negligence), breach of statutory duty, misrepresentation or otherwise;</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“LVPS”</w:t>
            </w:r>
          </w:p>
        </w:tc>
        <w:tc>
          <w:tcPr>
            <w:tcW w:w="6305" w:type="dxa"/>
          </w:tcPr>
          <w:p w:rsidR="006B4273" w:rsidRDefault="00FA0DF5">
            <w:pPr>
              <w:pBdr>
                <w:top w:val="nil"/>
                <w:left w:val="nil"/>
                <w:bottom w:val="nil"/>
                <w:right w:val="nil"/>
                <w:between w:val="nil"/>
              </w:pBdr>
              <w:tabs>
                <w:tab w:val="left" w:pos="709"/>
              </w:tabs>
              <w:ind w:right="617"/>
              <w:rPr>
                <w:rFonts w:ascii="Arial" w:eastAsia="Arial" w:hAnsi="Arial" w:cs="Arial"/>
              </w:rPr>
            </w:pPr>
            <w:r>
              <w:rPr>
                <w:rFonts w:ascii="Arial" w:eastAsia="Arial" w:hAnsi="Arial" w:cs="Arial"/>
              </w:rPr>
              <w:t>has the meaning given to it in the Letter;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“LVPS Contract”</w:t>
            </w:r>
          </w:p>
        </w:tc>
        <w:tc>
          <w:tcPr>
            <w:tcW w:w="6305" w:type="dxa"/>
          </w:tcPr>
          <w:p w:rsidR="006B4273" w:rsidRDefault="00FA0DF5">
            <w:pPr>
              <w:pBdr>
                <w:top w:val="nil"/>
                <w:left w:val="nil"/>
                <w:bottom w:val="nil"/>
                <w:right w:val="nil"/>
                <w:between w:val="nil"/>
              </w:pBdr>
              <w:tabs>
                <w:tab w:val="left" w:pos="709"/>
              </w:tabs>
              <w:ind w:right="617"/>
              <w:rPr>
                <w:rFonts w:ascii="Arial" w:eastAsia="Arial" w:hAnsi="Arial" w:cs="Arial"/>
              </w:rPr>
            </w:pPr>
            <w:r>
              <w:rPr>
                <w:rFonts w:ascii="Arial" w:eastAsia="Arial" w:hAnsi="Arial" w:cs="Arial"/>
              </w:rPr>
              <w:t>the contract between CCS and the Supplier for the admission of the Supplier to the LVPS pursuant to which the Supplier makes the Offered Deliverables available for sale under this Buyer Contract;</w:t>
            </w:r>
          </w:p>
          <w:p w:rsidR="006B4273" w:rsidRDefault="006B4273">
            <w:pPr>
              <w:pBdr>
                <w:top w:val="nil"/>
                <w:left w:val="nil"/>
                <w:bottom w:val="nil"/>
                <w:right w:val="nil"/>
                <w:between w:val="nil"/>
              </w:pBdr>
              <w:tabs>
                <w:tab w:val="left" w:pos="709"/>
              </w:tabs>
              <w:ind w:right="617"/>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“Maximum Liability Amount”</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amount specified in Annex C of the Letter;</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“Minimum Warranty Period”</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minimum period for which the Supplier warrants the Deliverables specified in Annex C of Letter;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"New IPR"</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all intellectual property rights in any materials created or developed by or on behalf of the Supplier pursuant to the Buyer Contract but shall not include the Supplier's Existing IPR;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“Occasion of Tax Non-</w:t>
            </w:r>
            <w:r>
              <w:rPr>
                <w:rFonts w:ascii="Arial" w:eastAsia="Arial" w:hAnsi="Arial" w:cs="Arial"/>
              </w:rPr>
              <w:lastRenderedPageBreak/>
              <w:t>Compliance”</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where: </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lastRenderedPageBreak/>
              <w:t>a)</w:t>
            </w:r>
            <w:r>
              <w:rPr>
                <w:rFonts w:ascii="Arial" w:eastAsia="Arial" w:hAnsi="Arial" w:cs="Arial"/>
              </w:rPr>
              <w:tab/>
              <w:t>any tax return of the Supplier submitted to a Relevant Tax Authority on or after 1 October 2012 which is found on or after 1 April 2013 to be incorrect as a result of:</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ii)</w:t>
            </w:r>
            <w:r>
              <w:rPr>
                <w:rFonts w:ascii="Arial" w:eastAsia="Arial" w:hAnsi="Arial" w:cs="Arial"/>
              </w:rPr>
              <w:tab/>
              <w:t>the failure of an avoidance scheme which the Supplier was involved in, and which was, or should have been, notified to a Relevant Tax Authority under the DOTAS or any equivalent or similar regime in any jurisdiction; and/or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b)</w:t>
            </w:r>
            <w:r>
              <w:rPr>
                <w:rFonts w:ascii="Arial" w:eastAsia="Arial" w:hAnsi="Arial" w:cs="Arial"/>
              </w:rP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"Offered Deliverables"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Goods and/or Services which meet the description of the service heading relating to the Deliverables and the location of the Deliverables as detailed in the LVPS;</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"Party"</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the Supplier or the Buyer (as appropriate) and "Parties" shall mean both of them;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"Personal Data"</w:t>
            </w:r>
          </w:p>
          <w:p w:rsidR="006B4273" w:rsidRDefault="00FA0DF5">
            <w:pPr>
              <w:widowControl w:val="0"/>
              <w:tabs>
                <w:tab w:val="left" w:pos="709"/>
              </w:tabs>
              <w:rPr>
                <w:rFonts w:ascii="Arial" w:eastAsia="Arial" w:hAnsi="Arial" w:cs="Arial"/>
              </w:rPr>
            </w:pPr>
            <w:r>
              <w:rPr>
                <w:rFonts w:ascii="Arial" w:eastAsia="Arial" w:hAnsi="Arial" w:cs="Arial"/>
              </w:rPr>
              <w:t xml:space="preserve"> </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has the meaning given to it in the UK GDPR;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"Personal Data Breach" </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has the meaning given to it in the UK GDPR;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“Processing”</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UK GDPR;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"Processor"</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has the meaning given to it in the UK GDPR;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“Processor Personnel”</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all directors, officers, employees, agents, consultants and suppliers of the Processor and/or of any </w:t>
            </w:r>
            <w:proofErr w:type="spellStart"/>
            <w:r>
              <w:rPr>
                <w:rFonts w:ascii="Arial" w:eastAsia="Arial" w:hAnsi="Arial" w:cs="Arial"/>
              </w:rPr>
              <w:t>Subprocessor</w:t>
            </w:r>
            <w:proofErr w:type="spellEnd"/>
            <w:r>
              <w:rPr>
                <w:rFonts w:ascii="Arial" w:eastAsia="Arial" w:hAnsi="Arial" w:cs="Arial"/>
              </w:rPr>
              <w:t xml:space="preserve"> engaged in the performance of its obligations under the Buyer Contract;</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“Prohibited Acts”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w:t>
            </w:r>
            <w:r>
              <w:rPr>
                <w:rFonts w:ascii="Arial" w:eastAsia="Arial" w:hAnsi="Arial" w:cs="Arial"/>
              </w:rPr>
              <w:tab/>
              <w:t>to directly or indirectly offer, promise or give any person working for or engaged by the Buyer or any other public body a financial or other advantage to:</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induce that person to perform improperly a relevant function or activity; 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lastRenderedPageBreak/>
              <w:t>ii)</w:t>
            </w:r>
            <w:r>
              <w:rPr>
                <w:rFonts w:ascii="Arial" w:eastAsia="Arial" w:hAnsi="Arial" w:cs="Arial"/>
              </w:rPr>
              <w:tab/>
              <w:t xml:space="preserve">reward that person for improper performance of a relevant function or activity; </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b)</w:t>
            </w:r>
            <w:r>
              <w:rPr>
                <w:rFonts w:ascii="Arial" w:eastAsia="Arial" w:hAnsi="Arial" w:cs="Arial"/>
              </w:rPr>
              <w:tab/>
              <w:t>to directly or indirectly request, agree to receive or accept any financial or other advantage as an inducement or a reward for improper performance of a relevant function or activity in connection with the Buyer Contract; 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c)</w:t>
            </w:r>
            <w:r>
              <w:rPr>
                <w:rFonts w:ascii="Arial" w:eastAsia="Arial" w:hAnsi="Arial" w:cs="Arial"/>
              </w:rPr>
              <w:tab/>
              <w:t>committing any offence:</w:t>
            </w:r>
            <w:r>
              <w:rPr>
                <w:rFonts w:ascii="Arial" w:eastAsia="Arial" w:hAnsi="Arial" w:cs="Arial"/>
              </w:rPr>
              <w:tab/>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under the Bribery Act 2010 (or any legislation repealed or revoked by such Act); 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ii)</w:t>
            </w:r>
            <w:r>
              <w:rPr>
                <w:rFonts w:ascii="Arial" w:eastAsia="Arial" w:hAnsi="Arial" w:cs="Arial"/>
              </w:rPr>
              <w:tab/>
              <w:t>under legislation or common law concerning fraudulent acts; 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iii)</w:t>
            </w:r>
            <w:r>
              <w:rPr>
                <w:rFonts w:ascii="Arial" w:eastAsia="Arial" w:hAnsi="Arial" w:cs="Arial"/>
              </w:rPr>
              <w:tab/>
              <w:t xml:space="preserve">defrauding, attempting to defraud or conspiring to defraud the Buyer or other public body; or </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d)</w:t>
            </w:r>
            <w:r>
              <w:rPr>
                <w:rFonts w:ascii="Arial" w:eastAsia="Arial" w:hAnsi="Arial" w:cs="Arial"/>
              </w:rPr>
              <w:tab/>
              <w:t>any activity, practice or conduct which would constitute one of the offences listed under (c) above if such activity, practice or conduct had been carried out in the UK;</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“Protective </w:t>
            </w:r>
            <w:r>
              <w:rPr>
                <w:rFonts w:ascii="Arial" w:eastAsia="Arial" w:hAnsi="Arial" w:cs="Arial"/>
              </w:rPr>
              <w:lastRenderedPageBreak/>
              <w:t>Measures”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appropriate technical and </w:t>
            </w:r>
            <w:proofErr w:type="spellStart"/>
            <w:r>
              <w:rPr>
                <w:rFonts w:ascii="Arial" w:eastAsia="Arial" w:hAnsi="Arial" w:cs="Arial"/>
              </w:rPr>
              <w:t>organisational</w:t>
            </w:r>
            <w:proofErr w:type="spellEnd"/>
            <w:r>
              <w:rPr>
                <w:rFonts w:ascii="Arial" w:eastAsia="Arial" w:hAnsi="Arial" w:cs="Arial"/>
              </w:rPr>
              <w:t xml:space="preserve"> measures which </w:t>
            </w:r>
            <w:r>
              <w:rPr>
                <w:rFonts w:ascii="Arial" w:eastAsia="Arial" w:hAnsi="Arial" w:cs="Arial"/>
              </w:rPr>
              <w:lastRenderedPageBreak/>
              <w:t xml:space="preserve">may include: </w:t>
            </w:r>
            <w:proofErr w:type="spellStart"/>
            <w:r>
              <w:rPr>
                <w:rFonts w:ascii="Arial" w:eastAsia="Arial" w:hAnsi="Arial" w:cs="Arial"/>
              </w:rPr>
              <w:t>pseudonymising</w:t>
            </w:r>
            <w:proofErr w:type="spellEnd"/>
            <w:r>
              <w:rPr>
                <w:rFonts w:ascii="Arial" w:eastAsia="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"Purchase Order Number"</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the Buyer’s unique number relating to the order for Deliverables to be supplied by the Supplier to the Buyer in accordance with the terms of the Buyer Contract;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“Recall”</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 request by the Supplier to return Goods to the Supplier or the manufacturer after the discovery of safety issues or defects (including defects in the right intellectual property rights) that might endanger health or hinder performance;</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“Relevant Requirements”</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applicable Law relating to bribery, corruption and fraud, including the Bribery Act 2010 and any guidance issued by the Secretary of State pursuant to section 9 of the Bribery Act 2010;</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“Relevant Tax Authority”</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HMRC, or, if applicable, the tax authority in the jurisdiction in which the Supplier is established;</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"Regulations"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the Public Contracts Regulations 2015 and/or the Public Contracts (Scotland) Regulations 2015 (as the context </w:t>
            </w:r>
            <w:r>
              <w:rPr>
                <w:rFonts w:ascii="Arial" w:eastAsia="Arial" w:hAnsi="Arial" w:cs="Arial"/>
              </w:rPr>
              <w:lastRenderedPageBreak/>
              <w:t>requires) as amended from time to time;</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"Request for Information"</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has the meaning set out in the FOIA or the Environmental Information Regulations 2004 as relevant (where the meaning set out for the term "request" shall apply);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"Services"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the services to be supplied by the Supplier to the Buyer under the Buyer Contract;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“Special Term” </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any special term specified in Annex B to the Letter;</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"Staff Vetting Procedures"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vetting procedures that accord with good industry practice or, where applicable, the Buyer’s procedures for the vetting of personnel as provided to the Supplier from time to time;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“Suitability Assessment Questionnaire”</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questionnaire completed by the Supplier as part of its application for inclusion in the LVPS, as set out at Annex E;</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w:t>
            </w:r>
            <w:proofErr w:type="spellStart"/>
            <w:r>
              <w:rPr>
                <w:rFonts w:ascii="Arial" w:eastAsia="Arial" w:hAnsi="Arial" w:cs="Arial"/>
              </w:rPr>
              <w:t>Subprocessor</w:t>
            </w:r>
            <w:proofErr w:type="spellEnd"/>
            <w:r>
              <w:rPr>
                <w:rFonts w:ascii="Arial" w:eastAsia="Arial" w:hAnsi="Arial" w:cs="Arial"/>
              </w:rPr>
              <w:t>"</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any third Party appointed to process Personal Data on behalf of the Supplier related to the Buyer Contract;</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 xml:space="preserve">"Supplier Staff" </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all directors, officers, employees, agents, consultants and contractors of the Supplier and/or of any subcontractor engaged in the performance of the Supplier’s obligations under the Buyer Contract;</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"Supplier"</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the person named as Supplier in the Letter;</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"Term"</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“Transparency Information”</w:t>
            </w: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content of the Buyer Contract, including any changes to the Buyer Contract agreed from time to time, except for:</w:t>
            </w:r>
          </w:p>
          <w:p w:rsidR="006B4273" w:rsidRDefault="006B4273">
            <w:pPr>
              <w:widowControl w:val="0"/>
              <w:tabs>
                <w:tab w:val="left" w:pos="709"/>
              </w:tabs>
              <w:rPr>
                <w:rFonts w:ascii="Arial" w:eastAsia="Arial" w:hAnsi="Arial" w:cs="Arial"/>
              </w:rPr>
            </w:pPr>
          </w:p>
          <w:p w:rsidR="006B4273" w:rsidRDefault="00FA0DF5">
            <w:pPr>
              <w:widowControl w:val="0"/>
              <w:tabs>
                <w:tab w:val="left" w:pos="709"/>
              </w:tabs>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any information which is exempt from disclosure in accordance with the provisions of the FOIA, which shall be determined by the Buyer; and</w:t>
            </w:r>
          </w:p>
          <w:p w:rsidR="006B4273" w:rsidRDefault="00FA0DF5">
            <w:pPr>
              <w:widowControl w:val="0"/>
              <w:tabs>
                <w:tab w:val="left" w:pos="709"/>
              </w:tabs>
              <w:rPr>
                <w:rFonts w:ascii="Arial" w:eastAsia="Arial" w:hAnsi="Arial" w:cs="Arial"/>
              </w:rPr>
            </w:pPr>
            <w:r>
              <w:rPr>
                <w:rFonts w:ascii="Arial" w:eastAsia="Arial" w:hAnsi="Arial" w:cs="Arial"/>
              </w:rPr>
              <w:tab/>
            </w:r>
          </w:p>
          <w:p w:rsidR="006B4273" w:rsidRDefault="00FA0DF5">
            <w:pPr>
              <w:widowControl w:val="0"/>
              <w:tabs>
                <w:tab w:val="left" w:pos="709"/>
              </w:tabs>
              <w:rPr>
                <w:rFonts w:ascii="Arial" w:eastAsia="Arial" w:hAnsi="Arial" w:cs="Arial"/>
              </w:rPr>
            </w:pPr>
            <w:r>
              <w:rPr>
                <w:rFonts w:ascii="Arial" w:eastAsia="Arial" w:hAnsi="Arial" w:cs="Arial"/>
              </w:rPr>
              <w:t>(ii)</w:t>
            </w:r>
            <w:r>
              <w:rPr>
                <w:rFonts w:ascii="Arial" w:eastAsia="Arial" w:hAnsi="Arial" w:cs="Arial"/>
              </w:rPr>
              <w:tab/>
              <w:t>Commercially Sensitive Information;</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 xml:space="preserve">"UK GDPR" </w:t>
            </w: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the retained EU law version of the General Data Protection Regulation (Regulation (EU) 2016/679);</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lastRenderedPageBreak/>
              <w:t>"VAT"</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 xml:space="preserve">means value added tax in accordance with the provisions of the Value Added Tax Act 1994; </w:t>
            </w: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"Workers"</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any one of the Supplier Staff which the Buyer, in its reasonable opinion, considers is an individual to which Procurement Policy Note 08/15 (Tax Arrangements of Public Appointees) (</w:t>
            </w:r>
            <w:hyperlink r:id="rId12">
              <w:r>
                <w:rPr>
                  <w:rFonts w:ascii="Arial" w:eastAsia="Arial" w:hAnsi="Arial" w:cs="Arial"/>
                  <w:color w:val="0000FF"/>
                  <w:u w:val="single"/>
                </w:rPr>
                <w:t>https://www.gov.uk/government/publications/procurement-policynote-0815-tax-arrangements-of-appointees</w:t>
              </w:r>
            </w:hyperlink>
            <w:r>
              <w:rPr>
                <w:rFonts w:ascii="Arial" w:eastAsia="Arial" w:hAnsi="Arial" w:cs="Arial"/>
              </w:rPr>
              <w:t>) applies in respect of the Deliverables; and</w:t>
            </w:r>
          </w:p>
          <w:p w:rsidR="006B4273" w:rsidRDefault="006B4273">
            <w:pPr>
              <w:widowControl w:val="0"/>
              <w:tabs>
                <w:tab w:val="left" w:pos="709"/>
              </w:tabs>
              <w:rPr>
                <w:rFonts w:ascii="Arial" w:eastAsia="Arial" w:hAnsi="Arial" w:cs="Arial"/>
              </w:rPr>
            </w:pPr>
          </w:p>
        </w:tc>
      </w:tr>
      <w:tr w:rsidR="006B4273">
        <w:tc>
          <w:tcPr>
            <w:tcW w:w="1939" w:type="dxa"/>
          </w:tcPr>
          <w:p w:rsidR="006B4273" w:rsidRDefault="00FA0DF5">
            <w:pPr>
              <w:widowControl w:val="0"/>
              <w:tabs>
                <w:tab w:val="left" w:pos="709"/>
              </w:tabs>
              <w:rPr>
                <w:rFonts w:ascii="Arial" w:eastAsia="Arial" w:hAnsi="Arial" w:cs="Arial"/>
              </w:rPr>
            </w:pPr>
            <w:r>
              <w:rPr>
                <w:rFonts w:ascii="Arial" w:eastAsia="Arial" w:hAnsi="Arial" w:cs="Arial"/>
              </w:rPr>
              <w:t>"Working Day"</w:t>
            </w:r>
          </w:p>
          <w:p w:rsidR="006B4273" w:rsidRDefault="006B4273">
            <w:pPr>
              <w:widowControl w:val="0"/>
              <w:tabs>
                <w:tab w:val="left" w:pos="709"/>
              </w:tabs>
              <w:rPr>
                <w:rFonts w:ascii="Arial" w:eastAsia="Arial" w:hAnsi="Arial" w:cs="Arial"/>
              </w:rPr>
            </w:pPr>
          </w:p>
          <w:p w:rsidR="006B4273" w:rsidRDefault="006B4273">
            <w:pPr>
              <w:widowControl w:val="0"/>
              <w:tabs>
                <w:tab w:val="left" w:pos="709"/>
              </w:tabs>
              <w:rPr>
                <w:rFonts w:ascii="Arial" w:eastAsia="Arial" w:hAnsi="Arial" w:cs="Arial"/>
              </w:rPr>
            </w:pPr>
          </w:p>
        </w:tc>
        <w:tc>
          <w:tcPr>
            <w:tcW w:w="6305" w:type="dxa"/>
          </w:tcPr>
          <w:p w:rsidR="006B4273" w:rsidRDefault="00FA0DF5">
            <w:pPr>
              <w:widowControl w:val="0"/>
              <w:tabs>
                <w:tab w:val="left" w:pos="709"/>
              </w:tabs>
              <w:rPr>
                <w:rFonts w:ascii="Arial" w:eastAsia="Arial" w:hAnsi="Arial" w:cs="Arial"/>
              </w:rPr>
            </w:pPr>
            <w:r>
              <w:rPr>
                <w:rFonts w:ascii="Arial" w:eastAsia="Arial" w:hAnsi="Arial" w:cs="Arial"/>
              </w:rPr>
              <w:t>means a day (other than a Saturday or Sunday) on which banks are open for business in the City of London.</w:t>
            </w:r>
          </w:p>
        </w:tc>
      </w:tr>
    </w:tbl>
    <w:p w:rsidR="006B4273" w:rsidRDefault="00FA0DF5">
      <w:pPr>
        <w:pStyle w:val="Heading1"/>
        <w:numPr>
          <w:ilvl w:val="0"/>
          <w:numId w:val="2"/>
        </w:numPr>
        <w:tabs>
          <w:tab w:val="left" w:pos="709"/>
        </w:tabs>
        <w:spacing w:before="0" w:after="0"/>
        <w:ind w:left="709"/>
        <w:jc w:val="both"/>
        <w:rPr>
          <w:b/>
          <w:sz w:val="20"/>
          <w:szCs w:val="20"/>
        </w:rPr>
      </w:pPr>
      <w:r>
        <w:rPr>
          <w:b/>
          <w:smallCaps/>
          <w:sz w:val="20"/>
          <w:szCs w:val="20"/>
        </w:rPr>
        <w:t>UNDERSTANDING THE BUYER CONTRACT</w:t>
      </w:r>
    </w:p>
    <w:p w:rsidR="006B4273" w:rsidRDefault="006B4273">
      <w:pPr>
        <w:widowControl w:val="0"/>
        <w:pBdr>
          <w:top w:val="nil"/>
          <w:left w:val="nil"/>
          <w:bottom w:val="nil"/>
          <w:right w:val="nil"/>
          <w:between w:val="nil"/>
        </w:pBdr>
        <w:tabs>
          <w:tab w:val="left" w:pos="709"/>
        </w:tabs>
        <w:ind w:left="709" w:firstLine="540"/>
        <w:rPr>
          <w:color w:val="000000"/>
        </w:rPr>
      </w:pPr>
    </w:p>
    <w:p w:rsidR="006B4273" w:rsidRDefault="00FA0DF5">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6B4273" w:rsidRDefault="006B4273">
      <w:pPr>
        <w:pStyle w:val="Heading2"/>
        <w:keepNext w:val="0"/>
        <w:tabs>
          <w:tab w:val="left" w:pos="993"/>
        </w:tabs>
        <w:spacing w:before="0" w:after="240"/>
        <w:ind w:left="709"/>
        <w:rPr>
          <w:color w:val="000000"/>
          <w:sz w:val="20"/>
          <w:szCs w:val="20"/>
        </w:rPr>
      </w:pP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6B4273" w:rsidRDefault="00FA0DF5">
      <w:pPr>
        <w:pStyle w:val="Heading2"/>
        <w:keepNext w:val="0"/>
        <w:numPr>
          <w:ilvl w:val="1"/>
          <w:numId w:val="2"/>
        </w:numPr>
        <w:tabs>
          <w:tab w:val="left" w:pos="993"/>
        </w:tabs>
        <w:spacing w:before="0" w:after="240"/>
        <w:ind w:left="709" w:hanging="709"/>
        <w:rPr>
          <w:color w:val="000000"/>
          <w:sz w:val="20"/>
          <w:szCs w:val="20"/>
        </w:rPr>
      </w:pPr>
      <w:r>
        <w:rPr>
          <w:color w:val="000000"/>
          <w:sz w:val="20"/>
          <w:szCs w:val="20"/>
        </w:rPr>
        <w:lastRenderedPageBreak/>
        <w:t>the word ‘including’, "for example" and similar words shall be understood as if they were immediately followed by the words "without limitation".</w:t>
      </w: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HOW THE BUYER CONTRACT WORKS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verify the accuracy of any information provided to the Supplier by or on behalf of the Buyer prior to the first day of the Term; or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properly perform its own adequate checks.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6B4273" w:rsidRDefault="006B4273">
      <w:pPr>
        <w:tabs>
          <w:tab w:val="left" w:pos="709"/>
        </w:tabs>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WHAT NEEDS TO BE DELIVERED</w:t>
      </w:r>
    </w:p>
    <w:p w:rsidR="006B4273" w:rsidRDefault="006B4273"/>
    <w:p w:rsidR="006B4273" w:rsidRDefault="00FA0DF5">
      <w:pPr>
        <w:pStyle w:val="Heading2"/>
        <w:keepNext w:val="0"/>
        <w:numPr>
          <w:ilvl w:val="1"/>
          <w:numId w:val="2"/>
        </w:numPr>
        <w:tabs>
          <w:tab w:val="left" w:pos="993"/>
        </w:tabs>
        <w:spacing w:before="0" w:after="240"/>
        <w:ind w:left="709" w:hanging="709"/>
        <w:rPr>
          <w:b/>
          <w:color w:val="000000"/>
          <w:sz w:val="20"/>
          <w:szCs w:val="20"/>
        </w:rPr>
      </w:pPr>
      <w:r>
        <w:rPr>
          <w:b/>
          <w:color w:val="000000"/>
          <w:sz w:val="20"/>
          <w:szCs w:val="20"/>
        </w:rPr>
        <w:t>All Deliverables</w:t>
      </w:r>
    </w:p>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The Supplier must provide Deliverables:</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in accordance with the Offered Deliverables;</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to a professional standard;</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using reasonable skill and care;</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using Good Industry Practice;</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on the dates agreed; and</w:t>
      </w: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that comply with all Law.</w:t>
      </w:r>
    </w:p>
    <w:p w:rsidR="006B4273" w:rsidRDefault="006B4273"/>
    <w:p w:rsidR="006B4273" w:rsidRDefault="00FA0DF5">
      <w:pPr>
        <w:pStyle w:val="Heading3"/>
        <w:keepNext w:val="0"/>
        <w:keepLines w:val="0"/>
        <w:numPr>
          <w:ilvl w:val="2"/>
          <w:numId w:val="2"/>
        </w:numPr>
        <w:spacing w:before="0" w:after="0"/>
        <w:ind w:left="1276" w:hanging="567"/>
        <w:rPr>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6B4273" w:rsidRDefault="006B4273"/>
    <w:p w:rsidR="006B4273" w:rsidRDefault="00FA0DF5">
      <w:pPr>
        <w:pStyle w:val="Heading3"/>
        <w:keepNext w:val="0"/>
        <w:keepLines w:val="0"/>
        <w:numPr>
          <w:ilvl w:val="2"/>
          <w:numId w:val="2"/>
        </w:numPr>
        <w:spacing w:before="0" w:after="0"/>
        <w:ind w:left="1276" w:hanging="567"/>
        <w:rPr>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6B4273" w:rsidRDefault="006B4273">
      <w:pPr>
        <w:pStyle w:val="Heading2"/>
        <w:tabs>
          <w:tab w:val="left" w:pos="709"/>
        </w:tabs>
        <w:spacing w:before="0" w:after="0"/>
        <w:ind w:left="709"/>
        <w:rPr>
          <w:b/>
          <w:color w:val="000000"/>
          <w:sz w:val="20"/>
          <w:szCs w:val="20"/>
        </w:rPr>
      </w:pPr>
    </w:p>
    <w:p w:rsidR="006B4273" w:rsidRDefault="00FA0DF5">
      <w:pPr>
        <w:pStyle w:val="Heading2"/>
        <w:numPr>
          <w:ilvl w:val="1"/>
          <w:numId w:val="2"/>
        </w:numPr>
        <w:tabs>
          <w:tab w:val="left" w:pos="709"/>
        </w:tabs>
        <w:spacing w:before="0" w:after="0"/>
        <w:ind w:left="709" w:hanging="709"/>
        <w:rPr>
          <w:b/>
          <w:color w:val="000000"/>
          <w:sz w:val="20"/>
          <w:szCs w:val="20"/>
        </w:rPr>
      </w:pPr>
      <w:r>
        <w:rPr>
          <w:b/>
          <w:color w:val="000000"/>
          <w:sz w:val="20"/>
          <w:szCs w:val="20"/>
        </w:rPr>
        <w:t>Goods clauses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All Goods delivered must be new, or as new if recycled, unused and of recent origin.</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All manufacturer warranties covering the Goods must be assignable to the Buyer on request and for free.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transfers ownership of the Goods on completion of Delivery or payment for those Goods, whichever is earlier.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warrants that it has full and unrestricted ownership of the Goods at the time of transfer of ownership.</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provide sufficient packaging for the Goods to reach the point of Delivery safely and undamaged.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All Deliveries must have a delivery note attached that specifies the order number, type and quantity of Goods.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provide all tools, information and instructions the Buyer needs to make use of the Goods.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indemnify the Buyer against the costs of any Recall of the Goods and will give notice of actual or anticipated action about the Recall of the Goods.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6B4273" w:rsidRDefault="006B4273"/>
    <w:p w:rsidR="006B4273" w:rsidRDefault="00FA0DF5">
      <w:pPr>
        <w:pStyle w:val="Heading2"/>
        <w:numPr>
          <w:ilvl w:val="1"/>
          <w:numId w:val="2"/>
        </w:numPr>
        <w:tabs>
          <w:tab w:val="left" w:pos="709"/>
        </w:tabs>
        <w:spacing w:before="0" w:after="0"/>
        <w:ind w:left="709" w:hanging="709"/>
        <w:rPr>
          <w:b/>
          <w:color w:val="000000"/>
          <w:sz w:val="20"/>
          <w:szCs w:val="20"/>
        </w:rPr>
      </w:pPr>
      <w:r>
        <w:rPr>
          <w:b/>
          <w:color w:val="000000"/>
          <w:sz w:val="20"/>
          <w:szCs w:val="20"/>
        </w:rPr>
        <w:t>Services clauses</w:t>
      </w:r>
    </w:p>
    <w:p w:rsidR="006B4273" w:rsidRDefault="006B4273">
      <w:pPr>
        <w:pStyle w:val="Heading3"/>
        <w:keepNext w:val="0"/>
        <w:keepLines w:val="0"/>
        <w:tabs>
          <w:tab w:val="left" w:pos="1276"/>
        </w:tabs>
        <w:spacing w:before="0" w:after="0"/>
        <w:ind w:left="1276"/>
        <w:rPr>
          <w:sz w:val="20"/>
          <w:szCs w:val="20"/>
        </w:rPr>
      </w:pPr>
    </w:p>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Late Delivery of the Services will be a default of the Buyer Contract.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at its own risk and expense provide all equipment required to Deliver the Services.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allocate sufficient resources and appropriate expertise to the Buyer Contract.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take all reasonable care to ensure performance does not disrupt the Buyer's operations, employees or other contractors.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Supplier must ensure all Services, and anything used to Deliver the Services, are of good quality and free from defects.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Buyer is entitled to withhold payment for partially or undelivered Services, but doing so does not stop it from using its other rights under the Buyer Contract.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PRICING AND PAYMENTS</w:t>
      </w:r>
    </w:p>
    <w:p w:rsidR="006B4273" w:rsidRDefault="006B4273">
      <w:pPr>
        <w:pStyle w:val="Heading2"/>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6B4273" w:rsidRDefault="006B4273">
      <w:pPr>
        <w:pStyle w:val="Heading2"/>
        <w:keepNext w:val="0"/>
        <w:tabs>
          <w:tab w:val="left" w:pos="709"/>
        </w:tabs>
        <w:spacing w:before="0" w:after="0"/>
        <w:ind w:left="3272"/>
        <w:rPr>
          <w:color w:val="000000"/>
          <w:sz w:val="20"/>
          <w:szCs w:val="20"/>
        </w:rPr>
      </w:pPr>
    </w:p>
    <w:p w:rsidR="006B4273" w:rsidRDefault="00FA0DF5">
      <w:pPr>
        <w:pStyle w:val="Heading2"/>
        <w:keepNext w:val="0"/>
        <w:numPr>
          <w:ilvl w:val="1"/>
          <w:numId w:val="2"/>
        </w:numPr>
        <w:tabs>
          <w:tab w:val="left" w:pos="709"/>
        </w:tabs>
        <w:spacing w:before="0" w:after="0"/>
        <w:ind w:hanging="3272"/>
        <w:rPr>
          <w:color w:val="000000"/>
          <w:sz w:val="20"/>
          <w:szCs w:val="20"/>
        </w:rPr>
      </w:pPr>
      <w:r>
        <w:rPr>
          <w:color w:val="000000"/>
          <w:sz w:val="20"/>
          <w:szCs w:val="20"/>
        </w:rPr>
        <w:t>All Charges:</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exclude VAT, which is payable on provision of a valid VAT invoice;</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include all costs connected with the supply of Deliverables.</w:t>
      </w:r>
    </w:p>
    <w:p w:rsidR="006B4273" w:rsidRDefault="006B4273">
      <w:pPr>
        <w:pStyle w:val="Heading3"/>
        <w:tabs>
          <w:tab w:val="left" w:pos="709"/>
        </w:tabs>
        <w:spacing w:after="0"/>
        <w:ind w:left="1440" w:firstLine="1263"/>
        <w:rPr>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6B4273" w:rsidRDefault="006B4273">
      <w:pPr>
        <w:pStyle w:val="Heading2"/>
        <w:keepNext w:val="0"/>
        <w:tabs>
          <w:tab w:val="left" w:pos="709"/>
        </w:tabs>
        <w:spacing w:before="0" w:after="0"/>
        <w:ind w:left="3272"/>
        <w:rPr>
          <w:color w:val="000000"/>
          <w:sz w:val="20"/>
          <w:szCs w:val="20"/>
        </w:rPr>
      </w:pPr>
    </w:p>
    <w:p w:rsidR="006B4273" w:rsidRDefault="00FA0DF5">
      <w:pPr>
        <w:pStyle w:val="Heading2"/>
        <w:keepNext w:val="0"/>
        <w:numPr>
          <w:ilvl w:val="1"/>
          <w:numId w:val="2"/>
        </w:numPr>
        <w:tabs>
          <w:tab w:val="left" w:pos="709"/>
        </w:tabs>
        <w:spacing w:before="0" w:after="0"/>
        <w:ind w:hanging="3272"/>
        <w:rPr>
          <w:color w:val="000000"/>
          <w:sz w:val="20"/>
          <w:szCs w:val="20"/>
        </w:rPr>
      </w:pPr>
      <w:r>
        <w:rPr>
          <w:color w:val="000000"/>
          <w:sz w:val="20"/>
          <w:szCs w:val="20"/>
        </w:rPr>
        <w:t>A Supplier invoice is only valid if it:</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includes all appropriate references including the Purchase Order Number and other details reasonably requested by the Buyer;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includes a detailed breakdown of Deliverables which have been Delivered (if any); and</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does not include any Management Charge (the Supplier must not charge the Buyer in any way for the Management Charge).</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6B4273" w:rsidRDefault="006B4273">
      <w:pPr>
        <w:pStyle w:val="Heading2"/>
        <w:keepNext w:val="0"/>
        <w:tabs>
          <w:tab w:val="left" w:pos="709"/>
        </w:tabs>
        <w:spacing w:before="0" w:after="0"/>
        <w:ind w:left="709"/>
        <w:rPr>
          <w:color w:val="000000"/>
          <w:sz w:val="20"/>
          <w:szCs w:val="20"/>
        </w:rPr>
      </w:pPr>
      <w:bookmarkStart w:id="6" w:name="_heading=h.3dy6vkm" w:colFirst="0" w:colLast="0"/>
      <w:bookmarkEnd w:id="6"/>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6B4273" w:rsidRDefault="006B4273">
      <w:pPr>
        <w:tabs>
          <w:tab w:val="left" w:pos="709"/>
        </w:tabs>
        <w:ind w:firstLine="1264"/>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THE BUYER'S OBLIGATIONS TO THE SUPPLIER</w:t>
      </w:r>
    </w:p>
    <w:p w:rsidR="006B4273" w:rsidRDefault="006B4273">
      <w:pPr>
        <w:pStyle w:val="Heading2"/>
        <w:tabs>
          <w:tab w:val="left" w:pos="709"/>
        </w:tabs>
        <w:spacing w:before="0" w:after="0"/>
        <w:ind w:left="3272"/>
        <w:rPr>
          <w:color w:val="000000"/>
          <w:sz w:val="20"/>
          <w:szCs w:val="20"/>
        </w:rPr>
      </w:pPr>
      <w:bookmarkStart w:id="7" w:name="_heading=h.1t3h5sf" w:colFirst="0" w:colLast="0"/>
      <w:bookmarkEnd w:id="7"/>
    </w:p>
    <w:p w:rsidR="006B4273" w:rsidRDefault="00FA0DF5">
      <w:pPr>
        <w:pStyle w:val="Heading2"/>
        <w:numPr>
          <w:ilvl w:val="1"/>
          <w:numId w:val="2"/>
        </w:numPr>
        <w:tabs>
          <w:tab w:val="left" w:pos="709"/>
        </w:tabs>
        <w:spacing w:before="0" w:after="0"/>
        <w:ind w:left="708" w:hanging="708"/>
        <w:rPr>
          <w:color w:val="000000"/>
          <w:sz w:val="20"/>
          <w:szCs w:val="20"/>
        </w:rPr>
      </w:pPr>
      <w:r>
        <w:rPr>
          <w:color w:val="000000"/>
          <w:sz w:val="20"/>
          <w:szCs w:val="20"/>
        </w:rPr>
        <w:t>If the Supplier fails to comply with the Buyer Contract as a result of a Buyer Cause:</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Buyer cannot terminate the Buyer Contract under clause 11;</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Supplier is entitled to reasonable and proven additional expenses and to relief from liability under this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Supplier is entitled to additional time needed to Deliver the Deliverables;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Supplier cannot suspend the ongoing supply of Deliverables.</w:t>
      </w:r>
    </w:p>
    <w:p w:rsidR="006B4273" w:rsidRDefault="006B4273">
      <w:pPr>
        <w:pStyle w:val="Heading2"/>
        <w:tabs>
          <w:tab w:val="left" w:pos="709"/>
        </w:tabs>
        <w:spacing w:before="0" w:after="0"/>
        <w:rPr>
          <w:color w:val="000000"/>
          <w:sz w:val="20"/>
          <w:szCs w:val="20"/>
        </w:rPr>
      </w:pPr>
    </w:p>
    <w:p w:rsidR="006B4273" w:rsidRDefault="00FA0DF5">
      <w:pPr>
        <w:pStyle w:val="Heading2"/>
        <w:numPr>
          <w:ilvl w:val="1"/>
          <w:numId w:val="2"/>
        </w:numPr>
        <w:tabs>
          <w:tab w:val="left" w:pos="709"/>
        </w:tabs>
        <w:spacing w:before="0" w:after="0"/>
        <w:ind w:left="-142" w:firstLine="142"/>
        <w:rPr>
          <w:color w:val="000000"/>
          <w:sz w:val="20"/>
          <w:szCs w:val="20"/>
        </w:rPr>
      </w:pPr>
      <w:r>
        <w:rPr>
          <w:color w:val="000000"/>
          <w:sz w:val="20"/>
          <w:szCs w:val="20"/>
        </w:rPr>
        <w:t>Clause 6.1 only applies if the Supplier:</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gives notice to the Buyer within 10 Working Days of becoming aware;</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demonstrates that the failure would not have occurred but for the Buyer Cause;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mitigated the impact of the Buyer Cause.</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RECORD KEEPING AND REPORTING</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6B4273" w:rsidRDefault="006B4273"/>
    <w:p w:rsidR="006B4273" w:rsidRDefault="00FA0DF5">
      <w:pPr>
        <w:pStyle w:val="Heading2"/>
        <w:keepNext w:val="0"/>
        <w:numPr>
          <w:ilvl w:val="2"/>
          <w:numId w:val="2"/>
        </w:numPr>
        <w:tabs>
          <w:tab w:val="left" w:pos="709"/>
        </w:tabs>
        <w:spacing w:before="0" w:after="0"/>
        <w:rPr>
          <w:color w:val="000000"/>
          <w:sz w:val="20"/>
          <w:szCs w:val="20"/>
        </w:rPr>
      </w:pPr>
      <w:r>
        <w:rPr>
          <w:color w:val="000000"/>
          <w:sz w:val="20"/>
          <w:szCs w:val="20"/>
        </w:rPr>
        <w:t>during the term of the Buyer Contract;</w:t>
      </w:r>
    </w:p>
    <w:p w:rsidR="006B4273" w:rsidRDefault="006B4273"/>
    <w:p w:rsidR="006B4273" w:rsidRDefault="00FA0DF5">
      <w:pPr>
        <w:pStyle w:val="Heading2"/>
        <w:keepNext w:val="0"/>
        <w:numPr>
          <w:ilvl w:val="2"/>
          <w:numId w:val="2"/>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6B4273" w:rsidRDefault="006B4273"/>
    <w:p w:rsidR="006B4273" w:rsidRDefault="00FA0DF5">
      <w:pPr>
        <w:numPr>
          <w:ilvl w:val="2"/>
          <w:numId w:val="2"/>
        </w:numPr>
        <w:pBdr>
          <w:top w:val="nil"/>
          <w:left w:val="nil"/>
          <w:bottom w:val="nil"/>
          <w:right w:val="nil"/>
          <w:between w:val="nil"/>
        </w:pBdr>
      </w:pPr>
      <w:r>
        <w:rPr>
          <w:color w:val="000000"/>
        </w:rPr>
        <w:t>in accordance with UK GDPR.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or an auditor can audit the Supplier.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tell the Buyer and give reasons;</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propose corrective action;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provide a deadline for completing the corrective action.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SUPPLIER STAFF</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be appropriately trained and qualified;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be vetted using Good Industry Practice and in accordance with the Staff Vetting Procedures;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comply with all conduct requirements when on the Buyer's premises.</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6B4273" w:rsidRDefault="006B4273">
      <w:pPr>
        <w:pStyle w:val="Heading2"/>
        <w:tabs>
          <w:tab w:val="left" w:pos="709"/>
        </w:tabs>
        <w:spacing w:before="0" w:after="0"/>
        <w:ind w:left="709"/>
        <w:rPr>
          <w:color w:val="000000"/>
          <w:sz w:val="20"/>
          <w:szCs w:val="20"/>
        </w:rPr>
      </w:pPr>
    </w:p>
    <w:p w:rsidR="006B4273" w:rsidRDefault="00FA0DF5">
      <w:pPr>
        <w:pStyle w:val="Heading2"/>
        <w:numPr>
          <w:ilvl w:val="1"/>
          <w:numId w:val="2"/>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requested to do so by the Buyer (not to be unreasonably withheld or delayed);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person concerned resigns, retires or dies or is on maternity or long-term sick leave; or</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person's employment or contractual arrangement with the Supplier or any subcontractor is terminated for material breach of contract by the employee.</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RIGHTS AND PROTECTION</w:t>
      </w:r>
    </w:p>
    <w:p w:rsidR="006B4273" w:rsidRDefault="006B4273"/>
    <w:p w:rsidR="006B4273" w:rsidRDefault="00FA0DF5">
      <w:pPr>
        <w:pStyle w:val="Heading2"/>
        <w:keepNext w:val="0"/>
        <w:numPr>
          <w:ilvl w:val="1"/>
          <w:numId w:val="2"/>
        </w:numPr>
        <w:tabs>
          <w:tab w:val="left" w:pos="709"/>
        </w:tabs>
        <w:spacing w:before="0" w:after="0"/>
        <w:ind w:left="1275" w:hanging="1275"/>
        <w:rPr>
          <w:color w:val="000000"/>
          <w:sz w:val="20"/>
          <w:szCs w:val="20"/>
        </w:rPr>
      </w:pPr>
      <w:bookmarkStart w:id="8" w:name="_heading=h.4d34og8" w:colFirst="0" w:colLast="0"/>
      <w:bookmarkEnd w:id="8"/>
      <w:r>
        <w:rPr>
          <w:color w:val="000000"/>
          <w:sz w:val="20"/>
          <w:szCs w:val="20"/>
        </w:rPr>
        <w:t>The Supplier warrants and represents that: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 has full capacity and authority to enter into and to perform the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 does not have any contractual obligations which are likely to have a material adverse effect on its ability to perform the Buyer Contract;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 is not impacted by an Insolvency Event.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willful misconduct of the Supplier, any of its subcontractor and/or Supplier Staff that impacts the Buyer Contract;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non-payment by the Supplier of any tax or National Insurance.</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receive and use the Deliverables; and</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use the New IPR.</w:t>
      </w:r>
    </w:p>
    <w:p w:rsidR="006B4273" w:rsidRDefault="006B4273">
      <w:pPr>
        <w:pStyle w:val="Heading2"/>
        <w:keepNext w:val="0"/>
        <w:tabs>
          <w:tab w:val="left" w:pos="709"/>
        </w:tabs>
        <w:spacing w:before="0" w:after="0"/>
        <w:ind w:left="709"/>
        <w:rPr>
          <w:color w:val="000000"/>
          <w:sz w:val="20"/>
          <w:szCs w:val="20"/>
        </w:rPr>
      </w:pPr>
      <w:bookmarkStart w:id="11" w:name="_heading=h.3rdcrjn" w:colFirst="0" w:colLast="0"/>
      <w:bookmarkEnd w:id="11"/>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6B4273" w:rsidRDefault="006B4273"/>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ENDING THE CONTRACT</w:t>
      </w:r>
    </w:p>
    <w:p w:rsidR="006B4273" w:rsidRDefault="006B4273"/>
    <w:p w:rsidR="006B4273" w:rsidRDefault="00FA0DF5">
      <w:pPr>
        <w:pStyle w:val="Heading2"/>
        <w:keepNext w:val="0"/>
        <w:numPr>
          <w:ilvl w:val="1"/>
          <w:numId w:val="2"/>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6B4273" w:rsidRDefault="00FA0DF5">
      <w:pPr>
        <w:pStyle w:val="Heading3"/>
        <w:tabs>
          <w:tab w:val="left" w:pos="709"/>
        </w:tabs>
        <w:spacing w:after="0"/>
        <w:ind w:left="709"/>
        <w:rPr>
          <w:b w:val="0"/>
          <w:sz w:val="20"/>
          <w:szCs w:val="20"/>
        </w:rPr>
      </w:pPr>
      <w:r>
        <w:rPr>
          <w:b w:val="0"/>
          <w:sz w:val="20"/>
          <w:szCs w:val="20"/>
        </w:rPr>
        <w:lastRenderedPageBreak/>
        <w:t>The Buyer has the right to terminate the Buyer Contract at any time without reason or liability by giving the Supplier not less than 30 days' written notice.</w:t>
      </w:r>
    </w:p>
    <w:p w:rsidR="006B4273" w:rsidRDefault="006B4273">
      <w:pPr>
        <w:pStyle w:val="Heading2"/>
        <w:tabs>
          <w:tab w:val="left" w:pos="709"/>
        </w:tabs>
        <w:spacing w:before="0" w:after="0"/>
        <w:ind w:left="3272"/>
        <w:rPr>
          <w:b/>
          <w:color w:val="000000"/>
          <w:sz w:val="20"/>
          <w:szCs w:val="20"/>
        </w:rPr>
      </w:pPr>
      <w:bookmarkStart w:id="13" w:name="_heading=h.lnxbz9" w:colFirst="0" w:colLast="0"/>
      <w:bookmarkEnd w:id="13"/>
    </w:p>
    <w:p w:rsidR="006B4273" w:rsidRDefault="00FA0DF5">
      <w:pPr>
        <w:pStyle w:val="Heading2"/>
        <w:numPr>
          <w:ilvl w:val="1"/>
          <w:numId w:val="2"/>
        </w:numPr>
        <w:tabs>
          <w:tab w:val="left" w:pos="709"/>
        </w:tabs>
        <w:spacing w:before="0" w:after="0"/>
        <w:ind w:left="708" w:hanging="708"/>
        <w:rPr>
          <w:b/>
          <w:color w:val="000000"/>
          <w:sz w:val="20"/>
          <w:szCs w:val="20"/>
        </w:rPr>
      </w:pPr>
      <w:r>
        <w:rPr>
          <w:b/>
          <w:color w:val="000000"/>
          <w:sz w:val="20"/>
          <w:szCs w:val="20"/>
        </w:rPr>
        <w:t>When the Buyer can end the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there is a Supplier Insolvency Event;</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there is any material breach of the Buyer Contract;</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there is a material default of any Joint Controller Agreement relating to the Buyer Contract;</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there is a breach of clauses 3.6, 3.7, 10, 14, 15, 26 or 31;</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6B4273" w:rsidRDefault="006B4273"/>
    <w:p w:rsidR="006B4273" w:rsidRDefault="00FA0DF5">
      <w:pPr>
        <w:pStyle w:val="Heading4"/>
        <w:keepNext w:val="0"/>
        <w:keepLines w:val="0"/>
        <w:numPr>
          <w:ilvl w:val="3"/>
          <w:numId w:val="2"/>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if there is a declaration of ineffectiveness in respect of any change to the Buyer Contract.</w:t>
      </w:r>
    </w:p>
    <w:p w:rsidR="006B4273" w:rsidRDefault="006B4273">
      <w:pPr>
        <w:pStyle w:val="Heading2"/>
        <w:tabs>
          <w:tab w:val="left" w:pos="709"/>
        </w:tabs>
        <w:spacing w:before="0" w:after="0"/>
        <w:ind w:left="3272"/>
        <w:rPr>
          <w:b/>
          <w:color w:val="000000"/>
          <w:sz w:val="20"/>
          <w:szCs w:val="20"/>
        </w:rPr>
      </w:pPr>
    </w:p>
    <w:p w:rsidR="006B4273" w:rsidRDefault="00FA0DF5">
      <w:pPr>
        <w:pStyle w:val="Heading2"/>
        <w:numPr>
          <w:ilvl w:val="1"/>
          <w:numId w:val="2"/>
        </w:numPr>
        <w:tabs>
          <w:tab w:val="left" w:pos="709"/>
        </w:tabs>
        <w:spacing w:before="0" w:after="0"/>
        <w:ind w:left="708" w:hanging="708"/>
        <w:rPr>
          <w:b/>
          <w:color w:val="000000"/>
          <w:sz w:val="20"/>
          <w:szCs w:val="20"/>
        </w:rPr>
      </w:pPr>
      <w:bookmarkStart w:id="16" w:name="_heading=h.44sinio" w:colFirst="0" w:colLast="0"/>
      <w:bookmarkEnd w:id="16"/>
      <w:r>
        <w:rPr>
          <w:b/>
          <w:color w:val="000000"/>
          <w:sz w:val="20"/>
          <w:szCs w:val="20"/>
        </w:rPr>
        <w:t>When the Supplier can end the Buyer Contract</w:t>
      </w:r>
    </w:p>
    <w:p w:rsidR="006B4273" w:rsidRDefault="006B4273"/>
    <w:p w:rsidR="006B4273" w:rsidRDefault="00FA0DF5">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6B4273" w:rsidRDefault="006B4273"/>
    <w:p w:rsidR="006B4273" w:rsidRDefault="00FA0DF5">
      <w:pPr>
        <w:pStyle w:val="Heading2"/>
        <w:numPr>
          <w:ilvl w:val="1"/>
          <w:numId w:val="2"/>
        </w:numPr>
        <w:pBdr>
          <w:top w:val="nil"/>
          <w:left w:val="nil"/>
          <w:bottom w:val="nil"/>
          <w:right w:val="nil"/>
          <w:between w:val="nil"/>
        </w:pBdr>
        <w:tabs>
          <w:tab w:val="left" w:pos="709"/>
        </w:tabs>
        <w:spacing w:before="0" w:after="0"/>
        <w:ind w:left="708" w:hanging="708"/>
        <w:rPr>
          <w:b/>
          <w:sz w:val="20"/>
          <w:szCs w:val="20"/>
        </w:rPr>
      </w:pPr>
      <w:bookmarkStart w:id="18" w:name="_heading=h.1734rb5zhssl" w:colFirst="0" w:colLast="0"/>
      <w:bookmarkEnd w:id="18"/>
      <w:r>
        <w:rPr>
          <w:b/>
          <w:color w:val="000000"/>
          <w:sz w:val="20"/>
          <w:szCs w:val="20"/>
        </w:rPr>
        <w:t>What happens if the Buyer Contract ends</w:t>
      </w:r>
    </w:p>
    <w:p w:rsidR="006B4273" w:rsidRDefault="006B4273">
      <w:pPr>
        <w:pStyle w:val="Heading3"/>
        <w:keepNext w:val="0"/>
        <w:keepLines w:val="0"/>
        <w:tabs>
          <w:tab w:val="left" w:pos="709"/>
        </w:tabs>
        <w:spacing w:before="0" w:after="0"/>
        <w:ind w:left="1276"/>
        <w:rPr>
          <w:b w:val="0"/>
          <w:sz w:val="20"/>
          <w:szCs w:val="20"/>
        </w:rPr>
      </w:pPr>
    </w:p>
    <w:p w:rsidR="006B4273" w:rsidRDefault="00FA0DF5">
      <w:pPr>
        <w:pStyle w:val="Heading3"/>
        <w:keepNext w:val="0"/>
        <w:keepLines w:val="0"/>
        <w:numPr>
          <w:ilvl w:val="2"/>
          <w:numId w:val="2"/>
        </w:numPr>
        <w:tabs>
          <w:tab w:val="left" w:pos="709"/>
        </w:tabs>
        <w:spacing w:before="0" w:after="0"/>
        <w:ind w:left="1276" w:hanging="556"/>
        <w:rPr>
          <w:sz w:val="20"/>
          <w:szCs w:val="20"/>
        </w:rPr>
      </w:pPr>
      <w:bookmarkStart w:id="19" w:name="_heading=h.z337ya" w:colFirst="0" w:colLast="0"/>
      <w:bookmarkEnd w:id="19"/>
      <w:r>
        <w:rPr>
          <w:b w:val="0"/>
          <w:sz w:val="20"/>
          <w:szCs w:val="20"/>
        </w:rPr>
        <w:t>Where a Party terminates the Buyer Contract under any of clauses 11.1, 11.2(a), 11.2(b), 11.3, 20.2, 23.4 or 31.3 all of the following apply:</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bookmarkStart w:id="20" w:name="_heading=h.3j2qqm3" w:colFirst="0" w:colLast="0"/>
      <w:bookmarkEnd w:id="20"/>
      <w:r>
        <w:rPr>
          <w:b w:val="0"/>
          <w:sz w:val="20"/>
          <w:szCs w:val="20"/>
        </w:rPr>
        <w:t>the Buyer's payment obligations under the terminated Buyer Contract stop immediately;</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accumulated rights of the Parties are not affected;</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bookmarkStart w:id="21" w:name="_heading=h.1y810tw" w:colFirst="0" w:colLast="0"/>
      <w:bookmarkEnd w:id="21"/>
      <w:r>
        <w:rPr>
          <w:b w:val="0"/>
          <w:sz w:val="20"/>
          <w:szCs w:val="20"/>
        </w:rPr>
        <w:t>the Supplier must promptly delete or return the Government Data except where required to retain copies by Law;</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the Supplier must promptly return any of the Buyer's property provided under the Buyer Contract;</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6B4273" w:rsidRDefault="006B4273"/>
    <w:p w:rsidR="006B4273" w:rsidRDefault="00FA0DF5">
      <w:pPr>
        <w:numPr>
          <w:ilvl w:val="2"/>
          <w:numId w:val="2"/>
        </w:numPr>
        <w:pBdr>
          <w:top w:val="nil"/>
          <w:left w:val="nil"/>
          <w:bottom w:val="nil"/>
          <w:right w:val="nil"/>
          <w:between w:val="nil"/>
        </w:pBdr>
      </w:pPr>
      <w:bookmarkStart w:id="22" w:name="_heading=h.4i7ojhp" w:colFirst="0" w:colLast="0"/>
      <w:bookmarkEnd w:id="22"/>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6B4273" w:rsidRDefault="006B4273">
      <w:pPr>
        <w:pBdr>
          <w:top w:val="nil"/>
          <w:left w:val="nil"/>
          <w:bottom w:val="nil"/>
          <w:right w:val="nil"/>
          <w:between w:val="nil"/>
        </w:pBdr>
        <w:ind w:left="1440"/>
        <w:rPr>
          <w:color w:val="000000"/>
        </w:rPr>
      </w:pPr>
    </w:p>
    <w:p w:rsidR="006B4273" w:rsidRDefault="00FA0DF5">
      <w:pPr>
        <w:numPr>
          <w:ilvl w:val="2"/>
          <w:numId w:val="2"/>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6B4273" w:rsidRDefault="006B4273">
      <w:pPr>
        <w:pBdr>
          <w:top w:val="nil"/>
          <w:left w:val="nil"/>
          <w:bottom w:val="nil"/>
          <w:right w:val="nil"/>
          <w:between w:val="nil"/>
        </w:pBdr>
        <w:ind w:left="720"/>
        <w:rPr>
          <w:color w:val="000000"/>
        </w:rPr>
      </w:pPr>
    </w:p>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the Buyer must promptly pay all outstanding Charges incurred to the Supplier; and</w:t>
      </w:r>
    </w:p>
    <w:p w:rsidR="006B4273" w:rsidRDefault="006B4273"/>
    <w:p w:rsidR="006B4273" w:rsidRDefault="00FA0DF5">
      <w:pPr>
        <w:pStyle w:val="Heading3"/>
        <w:keepNext w:val="0"/>
        <w:keepLines w:val="0"/>
        <w:numPr>
          <w:ilvl w:val="3"/>
          <w:numId w:val="2"/>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6B4273" w:rsidRDefault="006B4273">
      <w:pPr>
        <w:pBdr>
          <w:top w:val="nil"/>
          <w:left w:val="nil"/>
          <w:bottom w:val="nil"/>
          <w:right w:val="nil"/>
          <w:between w:val="nil"/>
        </w:pBdr>
        <w:ind w:left="1440"/>
        <w:rPr>
          <w:color w:val="000000"/>
        </w:rPr>
      </w:pPr>
    </w:p>
    <w:p w:rsidR="006B4273" w:rsidRDefault="00FA0DF5">
      <w:pPr>
        <w:numPr>
          <w:ilvl w:val="2"/>
          <w:numId w:val="2"/>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6B4273" w:rsidRDefault="006B4273">
      <w:pPr>
        <w:pStyle w:val="Heading3"/>
        <w:keepNext w:val="0"/>
        <w:keepLines w:val="0"/>
        <w:tabs>
          <w:tab w:val="left" w:pos="709"/>
        </w:tabs>
        <w:spacing w:before="0" w:after="0"/>
        <w:rPr>
          <w:b w:val="0"/>
          <w:sz w:val="20"/>
          <w:szCs w:val="20"/>
        </w:rPr>
      </w:pPr>
    </w:p>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following clauses survive the termination of the Buyer Contract: 7, 8.5, 10, 12, 14, 15, 16, 17, 18, 33, 34 and any clauses which are expressly or by implication intended to continue.</w:t>
      </w:r>
    </w:p>
    <w:p w:rsidR="006B4273" w:rsidRDefault="006B4273">
      <w:pPr>
        <w:pStyle w:val="Heading2"/>
        <w:tabs>
          <w:tab w:val="left" w:pos="709"/>
        </w:tabs>
        <w:spacing w:before="0" w:after="0"/>
        <w:ind w:left="3272"/>
        <w:rPr>
          <w:b/>
          <w:color w:val="000000"/>
          <w:sz w:val="20"/>
          <w:szCs w:val="20"/>
        </w:rPr>
      </w:pPr>
      <w:bookmarkStart w:id="23" w:name="_heading=h.2xcytpi" w:colFirst="0" w:colLast="0"/>
      <w:bookmarkEnd w:id="23"/>
    </w:p>
    <w:p w:rsidR="006B4273" w:rsidRDefault="00FA0DF5">
      <w:pPr>
        <w:pStyle w:val="Heading2"/>
        <w:numPr>
          <w:ilvl w:val="1"/>
          <w:numId w:val="2"/>
        </w:numPr>
        <w:pBdr>
          <w:top w:val="nil"/>
          <w:left w:val="nil"/>
          <w:bottom w:val="nil"/>
          <w:right w:val="nil"/>
          <w:between w:val="nil"/>
        </w:pBdr>
        <w:tabs>
          <w:tab w:val="left" w:pos="709"/>
        </w:tabs>
        <w:spacing w:before="0" w:after="0"/>
        <w:ind w:left="708" w:hanging="708"/>
        <w:rPr>
          <w:b/>
          <w:sz w:val="20"/>
          <w:szCs w:val="20"/>
        </w:rPr>
      </w:pPr>
      <w:bookmarkStart w:id="24" w:name="_heading=h.cgdiqq5zfpd" w:colFirst="0" w:colLast="0"/>
      <w:bookmarkEnd w:id="24"/>
      <w:r>
        <w:rPr>
          <w:b/>
          <w:color w:val="000000"/>
          <w:sz w:val="20"/>
          <w:szCs w:val="20"/>
        </w:rPr>
        <w:t>Partially ending and suspending the Buyer Contract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Buyer can only partially terminate or suspend the Buyer Contract if the remaining parts of it can still be used to effectively deliver the intended purpose.</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The Parties must agree (in accordance with clause 24) any necessary variation required by clause 11.5, but the Supplier may not either:</w:t>
      </w:r>
    </w:p>
    <w:p w:rsidR="006B4273" w:rsidRDefault="006B4273"/>
    <w:p w:rsidR="006B4273" w:rsidRDefault="00FA0DF5">
      <w:pPr>
        <w:pStyle w:val="Heading4"/>
        <w:keepNext w:val="0"/>
        <w:keepLines w:val="0"/>
        <w:numPr>
          <w:ilvl w:val="3"/>
          <w:numId w:val="2"/>
        </w:numPr>
        <w:tabs>
          <w:tab w:val="left" w:pos="709"/>
        </w:tabs>
        <w:spacing w:before="0" w:after="0"/>
        <w:ind w:left="1985" w:hanging="566"/>
        <w:rPr>
          <w:b w:val="0"/>
          <w:sz w:val="20"/>
          <w:szCs w:val="20"/>
        </w:rPr>
      </w:pPr>
      <w:r>
        <w:rPr>
          <w:b w:val="0"/>
          <w:sz w:val="20"/>
          <w:szCs w:val="20"/>
        </w:rPr>
        <w:t>reject the variation;</w:t>
      </w:r>
    </w:p>
    <w:p w:rsidR="006B4273" w:rsidRDefault="006B4273"/>
    <w:p w:rsidR="006B4273" w:rsidRDefault="00FA0DF5">
      <w:pPr>
        <w:pStyle w:val="Heading4"/>
        <w:keepNext w:val="0"/>
        <w:keepLines w:val="0"/>
        <w:numPr>
          <w:ilvl w:val="3"/>
          <w:numId w:val="2"/>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lastRenderedPageBreak/>
        <w:t>The Buyer can still use other rights available, or subsequently available to it if it acts on its rights under clause 11.5.</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HOW MUCH YOU CAN BE HELD RESPONSIBLE FOR</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25" w:name="_heading=h.1ci93xb" w:colFirst="0" w:colLast="0"/>
      <w:bookmarkEnd w:id="25"/>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No Party is liable to the other for: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any indirect Losses; or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loss of profits, turnover, savings, business opportunities or damage to goodwill (in each case whether direct or indirect).</w:t>
      </w:r>
    </w:p>
    <w:p w:rsidR="006B4273" w:rsidRDefault="006B4273">
      <w:pPr>
        <w:pStyle w:val="Heading2"/>
        <w:keepNext w:val="0"/>
        <w:tabs>
          <w:tab w:val="left" w:pos="709"/>
        </w:tabs>
        <w:spacing w:before="0" w:after="0"/>
        <w:ind w:left="3402"/>
        <w:rPr>
          <w:sz w:val="20"/>
          <w:szCs w:val="20"/>
        </w:rPr>
      </w:pPr>
    </w:p>
    <w:p w:rsidR="006B4273" w:rsidRDefault="00FA0DF5">
      <w:pPr>
        <w:pStyle w:val="Heading2"/>
        <w:keepNext w:val="0"/>
        <w:numPr>
          <w:ilvl w:val="1"/>
          <w:numId w:val="2"/>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its liability for death or personal injury caused by its negligence, or that of its employees, agents or subcontractors;</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its liability for bribery or fraud or fraudulent misrepresentation by it or its employees;</w:t>
      </w:r>
    </w:p>
    <w:p w:rsidR="006B4273" w:rsidRDefault="006B4273"/>
    <w:p w:rsidR="006B4273" w:rsidRDefault="00FA0DF5">
      <w:pPr>
        <w:pStyle w:val="Heading3"/>
        <w:keepNext w:val="0"/>
        <w:keepLines w:val="0"/>
        <w:numPr>
          <w:ilvl w:val="2"/>
          <w:numId w:val="2"/>
        </w:numPr>
        <w:tabs>
          <w:tab w:val="left" w:pos="709"/>
        </w:tabs>
        <w:spacing w:before="0" w:after="0"/>
        <w:ind w:left="1276" w:hanging="556"/>
      </w:pPr>
      <w:r>
        <w:rPr>
          <w:b w:val="0"/>
          <w:sz w:val="20"/>
          <w:szCs w:val="20"/>
        </w:rPr>
        <w:t>any liability that cannot be excluded or limited by Law; or</w:t>
      </w:r>
    </w:p>
    <w:p w:rsidR="006B4273" w:rsidRDefault="006B4273">
      <w:pPr>
        <w:pStyle w:val="Heading3"/>
        <w:keepNext w:val="0"/>
        <w:keepLines w:val="0"/>
        <w:tabs>
          <w:tab w:val="left" w:pos="709"/>
        </w:tabs>
        <w:spacing w:before="0" w:after="0"/>
        <w:ind w:left="1276"/>
      </w:pPr>
    </w:p>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OBEYING THE LAW</w:t>
      </w:r>
    </w:p>
    <w:p w:rsidR="006B4273" w:rsidRDefault="006B4273"/>
    <w:p w:rsidR="006B4273" w:rsidRDefault="00FA0DF5">
      <w:pPr>
        <w:pStyle w:val="Heading2"/>
        <w:keepNext w:val="0"/>
        <w:tabs>
          <w:tab w:val="left" w:pos="709"/>
        </w:tabs>
        <w:spacing w:before="0" w:after="0"/>
        <w:ind w:left="709"/>
        <w:rPr>
          <w:color w:val="000000"/>
          <w:sz w:val="20"/>
          <w:szCs w:val="20"/>
        </w:rPr>
      </w:pPr>
      <w:bookmarkStart w:id="26" w:name="_heading=h.3whwml4" w:colFirst="0" w:colLast="0"/>
      <w:bookmarkEnd w:id="26"/>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support the Buyer in fulfilling its Public Sector Equality duty under S149 of the Equality Act 2010;</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6B4273" w:rsidRDefault="006B4273"/>
    <w:p w:rsidR="006B4273" w:rsidRDefault="00FA0DF5">
      <w:pPr>
        <w:pStyle w:val="Heading3"/>
        <w:keepNext w:val="0"/>
        <w:keepLines w:val="0"/>
        <w:numPr>
          <w:ilvl w:val="2"/>
          <w:numId w:val="2"/>
        </w:numPr>
        <w:tabs>
          <w:tab w:val="left" w:pos="709"/>
        </w:tabs>
        <w:spacing w:before="0" w:after="0"/>
        <w:ind w:left="1276" w:hanging="556"/>
        <w:rPr>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rsidR="006B4273" w:rsidRDefault="006B4273">
      <w:pPr>
        <w:pStyle w:val="Heading2"/>
        <w:keepNext w:val="0"/>
        <w:tabs>
          <w:tab w:val="left" w:pos="709"/>
        </w:tabs>
        <w:spacing w:before="0" w:after="0"/>
        <w:rPr>
          <w:color w:val="000000"/>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bookmarkStart w:id="27" w:name="_heading=h.2bn6wsx" w:colFirst="0" w:colLast="0"/>
      <w:bookmarkEnd w:id="27"/>
      <w:r>
        <w:rPr>
          <w:b/>
          <w:smallCaps/>
          <w:sz w:val="20"/>
          <w:szCs w:val="20"/>
        </w:rPr>
        <w:lastRenderedPageBreak/>
        <w:t>DATA PROTECTION</w:t>
      </w:r>
    </w:p>
    <w:p w:rsidR="006B4273" w:rsidRDefault="006B4273">
      <w:pPr>
        <w:keepNext/>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6B4273" w:rsidRDefault="006B4273">
      <w:pPr>
        <w:pStyle w:val="Heading2"/>
        <w:keepNext w:val="0"/>
        <w:tabs>
          <w:tab w:val="left" w:pos="709"/>
        </w:tabs>
        <w:spacing w:before="0" w:after="0"/>
        <w:ind w:left="709"/>
        <w:rPr>
          <w:color w:val="000000"/>
          <w:sz w:val="20"/>
          <w:szCs w:val="20"/>
        </w:rPr>
      </w:pPr>
      <w:bookmarkStart w:id="28" w:name="_heading=h.qsh70q" w:colFirst="0" w:colLast="0"/>
      <w:bookmarkEnd w:id="28"/>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restore the Government Data itself or using a third party.</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must provide the Buyer with all Government Data in an agreed open format within 10 Working Days of a written request;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must have documented processes to guarantee prompt availability of Government Data if the Supplier stops trading;</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must securely destroy all Storage Media that has held Government Data at the end of life of that media using Good Industry Practice;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securely erase all Government Data and any copies it holds when asked to do so by the Buyer unless required by Law to retain it; and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indemnifies the Buyer against any and all Losses incurred if the Supplier breaches clause 14 and any Data Protection Legislation.</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29" w:name="_heading=h.3as4poj" w:colFirst="0" w:colLast="0"/>
      <w:bookmarkEnd w:id="29"/>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WHAT YOU MUST KEEP CONFIDENTIAL</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30" w:name="_heading=h.1pxezwc" w:colFirst="0" w:colLast="0"/>
      <w:bookmarkEnd w:id="30"/>
      <w:r>
        <w:rPr>
          <w:color w:val="000000"/>
          <w:sz w:val="20"/>
          <w:szCs w:val="20"/>
        </w:rPr>
        <w:t>Each Party must: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keep all Confidential Information it receives confidential and secure;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6B4273" w:rsidRDefault="006B4273">
      <w:pPr>
        <w:pStyle w:val="Heading2"/>
        <w:keepNext w:val="0"/>
        <w:tabs>
          <w:tab w:val="left" w:pos="709"/>
        </w:tabs>
        <w:spacing w:before="0" w:after="0"/>
        <w:ind w:left="709"/>
        <w:rPr>
          <w:color w:val="000000"/>
          <w:sz w:val="20"/>
          <w:szCs w:val="20"/>
        </w:rPr>
      </w:pPr>
      <w:bookmarkStart w:id="31" w:name="_heading=h.49x2ik5" w:colFirst="0" w:colLast="0"/>
      <w:bookmarkEnd w:id="31"/>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the recipient Party already had the information without obligation of confidentiality before it was disclosed by the disclosing Party;</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the information was given to it by a third party without obligation of confidentiality;</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the information was in the public domain at the time of the disclosure;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the information was independently developed without access to the disclosing Party's Confidential Information;</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on a confidential basis, to its auditors;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on a confidential basis, to its professional advisers on a need-to-know basis; or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6B4273" w:rsidRDefault="006B4273">
      <w:pPr>
        <w:pStyle w:val="Heading2"/>
        <w:keepNext w:val="0"/>
        <w:tabs>
          <w:tab w:val="left" w:pos="709"/>
        </w:tabs>
        <w:spacing w:before="0" w:after="0"/>
        <w:ind w:left="709"/>
        <w:rPr>
          <w:color w:val="000000"/>
          <w:sz w:val="20"/>
          <w:szCs w:val="20"/>
        </w:rPr>
      </w:pPr>
      <w:bookmarkStart w:id="32" w:name="_heading=h.2p2csry" w:colFirst="0" w:colLast="0"/>
      <w:bookmarkEnd w:id="32"/>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on a confidential basis to the employees, agents, consultants and contractors of the Buyer;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the Buyer (acting reasonably) considers disclosure necessary or appropriate to carry out its public functions;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where requested by Parliament; or </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under clauses 5.8 and 16.</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lastRenderedPageBreak/>
        <w:t>For the purposes of clauses 15.2 to 15.4 references to disclosure on a confidential basis means disclosure under a confidentiality agreement or arrangement including terms as strict as those required in clause 15.</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6B4273" w:rsidRDefault="006B4273">
      <w:pPr>
        <w:pStyle w:val="Heading1"/>
        <w:tabs>
          <w:tab w:val="left" w:pos="709"/>
        </w:tabs>
        <w:spacing w:before="0" w:after="0"/>
        <w:ind w:left="709"/>
        <w:jc w:val="both"/>
        <w:rPr>
          <w:b/>
          <w:smallCaps/>
          <w:sz w:val="20"/>
          <w:szCs w:val="20"/>
        </w:rPr>
      </w:pPr>
      <w:bookmarkStart w:id="33" w:name="_heading=h.147n2zr" w:colFirst="0" w:colLast="0"/>
      <w:bookmarkEnd w:id="33"/>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WHEN YOU CAN SHARE INFORMATION</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publish the Transparency Information;</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comply with any Freedom of Information Act (FOIA) request; and/or</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comply with any Environmental Information Regulations (EIR) request.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6B4273" w:rsidRDefault="006B4273">
      <w:pPr>
        <w:pStyle w:val="Heading1"/>
        <w:tabs>
          <w:tab w:val="left" w:pos="709"/>
        </w:tabs>
        <w:spacing w:before="120" w:after="0"/>
        <w:ind w:left="709"/>
        <w:rPr>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INVALID PARTS OF THE CONTRACT</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6B4273" w:rsidRDefault="006B4273">
      <w:pPr>
        <w:pBdr>
          <w:top w:val="nil"/>
          <w:left w:val="nil"/>
          <w:bottom w:val="nil"/>
          <w:right w:val="nil"/>
          <w:between w:val="nil"/>
        </w:pBdr>
        <w:tabs>
          <w:tab w:val="left" w:pos="709"/>
        </w:tabs>
        <w:ind w:left="709"/>
        <w:rPr>
          <w:color w:val="00000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NO OTHER TERMS APPLY</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6B4273" w:rsidRDefault="006B4273">
      <w:pPr>
        <w:numPr>
          <w:ilvl w:val="0"/>
          <w:numId w:val="4"/>
        </w:numPr>
        <w:pBdr>
          <w:top w:val="nil"/>
          <w:left w:val="nil"/>
          <w:bottom w:val="nil"/>
          <w:right w:val="nil"/>
          <w:between w:val="nil"/>
        </w:pBdr>
        <w:tabs>
          <w:tab w:val="left" w:pos="709"/>
        </w:tabs>
        <w:ind w:left="709" w:hanging="709"/>
        <w:rPr>
          <w:color w:val="00000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OTHER PEOPLE'S RIGHTS IN A CONTRACT</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6B4273" w:rsidRDefault="006B4273">
      <w:pPr>
        <w:numPr>
          <w:ilvl w:val="0"/>
          <w:numId w:val="4"/>
        </w:numPr>
        <w:pBdr>
          <w:top w:val="nil"/>
          <w:left w:val="nil"/>
          <w:bottom w:val="nil"/>
          <w:right w:val="nil"/>
          <w:between w:val="nil"/>
        </w:pBdr>
        <w:tabs>
          <w:tab w:val="left" w:pos="709"/>
        </w:tabs>
        <w:ind w:left="709" w:hanging="709"/>
        <w:rPr>
          <w:color w:val="00000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CIRCUMSTANCES BEYOND YOUR CONTROL</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provides written notice to the other Party; and</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uses all reasonable measures practical to reduce the impact of the Force Majeure Event.</w:t>
      </w:r>
    </w:p>
    <w:p w:rsidR="006B4273" w:rsidRDefault="006B4273">
      <w:pPr>
        <w:pStyle w:val="Heading2"/>
        <w:keepNext w:val="0"/>
        <w:tabs>
          <w:tab w:val="left" w:pos="709"/>
        </w:tabs>
        <w:spacing w:before="0" w:after="0"/>
        <w:ind w:left="709"/>
        <w:rPr>
          <w:color w:val="000000"/>
          <w:sz w:val="20"/>
          <w:szCs w:val="20"/>
        </w:rPr>
      </w:pPr>
      <w:bookmarkStart w:id="34" w:name="_heading=h.3o7alnk" w:colFirst="0" w:colLast="0"/>
      <w:bookmarkEnd w:id="34"/>
    </w:p>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35" w:name="_heading=h.23ckvvd" w:colFirst="0" w:colLast="0"/>
      <w:bookmarkEnd w:id="35"/>
      <w:r>
        <w:rPr>
          <w:color w:val="000000"/>
          <w:sz w:val="20"/>
          <w:szCs w:val="20"/>
        </w:rPr>
        <w:lastRenderedPageBreak/>
        <w:t>Either Party can partially or fully terminate the Buyer Contract if the provision of the Deliverables is materially affected by a Force Majeure Event which lasts for 90 days continuously.</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RELATIONSHIPS CREATED BY THE CONTRACT</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6B4273" w:rsidRDefault="006B4273">
      <w:pPr>
        <w:pBdr>
          <w:top w:val="nil"/>
          <w:left w:val="nil"/>
          <w:bottom w:val="nil"/>
          <w:right w:val="nil"/>
          <w:between w:val="nil"/>
        </w:pBdr>
        <w:tabs>
          <w:tab w:val="left" w:pos="709"/>
        </w:tabs>
        <w:ind w:left="709"/>
        <w:rPr>
          <w:color w:val="00000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GIVING UP CONTRACT RIGHTS</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6B4273" w:rsidRDefault="006B4273">
      <w:pPr>
        <w:numPr>
          <w:ilvl w:val="0"/>
          <w:numId w:val="4"/>
        </w:numPr>
        <w:pBdr>
          <w:top w:val="nil"/>
          <w:left w:val="nil"/>
          <w:bottom w:val="nil"/>
          <w:right w:val="nil"/>
          <w:between w:val="nil"/>
        </w:pBdr>
        <w:tabs>
          <w:tab w:val="left" w:pos="709"/>
        </w:tabs>
        <w:ind w:left="709" w:hanging="709"/>
        <w:rPr>
          <w:color w:val="00000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TRANSFERRING RESPONSIBILITIES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6B4273" w:rsidRDefault="006B4273">
      <w:pPr>
        <w:pStyle w:val="Heading2"/>
        <w:keepNext w:val="0"/>
        <w:tabs>
          <w:tab w:val="left" w:pos="709"/>
        </w:tabs>
        <w:spacing w:before="0" w:after="0"/>
        <w:ind w:left="709"/>
        <w:rPr>
          <w:color w:val="000000"/>
          <w:sz w:val="20"/>
          <w:szCs w:val="20"/>
        </w:rPr>
      </w:pPr>
      <w:bookmarkStart w:id="36" w:name="_heading=h.ihv636" w:colFirst="0" w:colLast="0"/>
      <w:bookmarkEnd w:id="36"/>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6B4273" w:rsidRDefault="006B4273"/>
    <w:p w:rsidR="006B4273" w:rsidRDefault="00FA0DF5">
      <w:pPr>
        <w:pStyle w:val="Heading3"/>
        <w:keepNext w:val="0"/>
        <w:keepLines w:val="0"/>
        <w:numPr>
          <w:ilvl w:val="2"/>
          <w:numId w:val="2"/>
        </w:numPr>
        <w:tabs>
          <w:tab w:val="left" w:pos="1276"/>
        </w:tabs>
        <w:spacing w:before="0" w:after="0"/>
        <w:ind w:left="709" w:firstLine="0"/>
        <w:rPr>
          <w:sz w:val="20"/>
          <w:szCs w:val="20"/>
        </w:rPr>
      </w:pPr>
      <w:r>
        <w:rPr>
          <w:b w:val="0"/>
          <w:sz w:val="20"/>
          <w:szCs w:val="20"/>
        </w:rPr>
        <w:t>their name;</w:t>
      </w:r>
    </w:p>
    <w:p w:rsidR="006B4273" w:rsidRDefault="006B4273"/>
    <w:p w:rsidR="006B4273" w:rsidRDefault="00FA0DF5">
      <w:pPr>
        <w:pStyle w:val="Heading3"/>
        <w:keepNext w:val="0"/>
        <w:keepLines w:val="0"/>
        <w:numPr>
          <w:ilvl w:val="2"/>
          <w:numId w:val="2"/>
        </w:numPr>
        <w:tabs>
          <w:tab w:val="left" w:pos="1276"/>
        </w:tabs>
        <w:spacing w:before="0" w:after="0"/>
        <w:ind w:left="709" w:firstLine="0"/>
        <w:rPr>
          <w:sz w:val="20"/>
          <w:szCs w:val="20"/>
        </w:rPr>
      </w:pPr>
      <w:r>
        <w:rPr>
          <w:b w:val="0"/>
          <w:sz w:val="20"/>
          <w:szCs w:val="20"/>
        </w:rPr>
        <w:t>the scope of their appointment; and</w:t>
      </w:r>
    </w:p>
    <w:p w:rsidR="006B4273" w:rsidRDefault="006B4273"/>
    <w:p w:rsidR="006B4273" w:rsidRDefault="00FA0DF5">
      <w:pPr>
        <w:pStyle w:val="Heading3"/>
        <w:keepNext w:val="0"/>
        <w:keepLines w:val="0"/>
        <w:numPr>
          <w:ilvl w:val="2"/>
          <w:numId w:val="2"/>
        </w:numPr>
        <w:tabs>
          <w:tab w:val="left" w:pos="1276"/>
        </w:tabs>
        <w:spacing w:before="0" w:after="0"/>
        <w:ind w:left="709" w:firstLine="0"/>
        <w:rPr>
          <w:sz w:val="20"/>
          <w:szCs w:val="20"/>
        </w:rPr>
      </w:pPr>
      <w:r>
        <w:rPr>
          <w:b w:val="0"/>
          <w:sz w:val="20"/>
          <w:szCs w:val="20"/>
        </w:rPr>
        <w:t>the duration of their appointment.</w:t>
      </w:r>
    </w:p>
    <w:p w:rsidR="006B4273" w:rsidRDefault="006B4273">
      <w:pPr>
        <w:pStyle w:val="Heading1"/>
        <w:tabs>
          <w:tab w:val="left" w:pos="709"/>
        </w:tabs>
        <w:spacing w:before="0" w:after="0"/>
        <w:ind w:left="709"/>
        <w:jc w:val="both"/>
        <w:rPr>
          <w:b/>
          <w:smallCaps/>
          <w:sz w:val="20"/>
          <w:szCs w:val="20"/>
        </w:rPr>
      </w:pPr>
      <w:bookmarkStart w:id="37" w:name="_heading=h.32hioqz" w:colFirst="0" w:colLast="0"/>
      <w:bookmarkEnd w:id="37"/>
    </w:p>
    <w:p w:rsidR="006B4273" w:rsidRDefault="00FA0DF5">
      <w:pPr>
        <w:pStyle w:val="Heading1"/>
        <w:numPr>
          <w:ilvl w:val="0"/>
          <w:numId w:val="2"/>
        </w:numPr>
        <w:tabs>
          <w:tab w:val="left" w:pos="709"/>
        </w:tabs>
        <w:spacing w:before="0" w:after="0"/>
        <w:ind w:left="709"/>
        <w:jc w:val="both"/>
        <w:rPr>
          <w:b/>
          <w:smallCaps/>
          <w:sz w:val="20"/>
          <w:szCs w:val="20"/>
        </w:rPr>
      </w:pPr>
      <w:bookmarkStart w:id="38" w:name="_heading=h.1hmsyys" w:colFirst="0" w:colLast="0"/>
      <w:bookmarkEnd w:id="38"/>
      <w:r>
        <w:rPr>
          <w:b/>
          <w:smallCaps/>
          <w:sz w:val="20"/>
          <w:szCs w:val="20"/>
        </w:rPr>
        <w:t>CHANGING THE CONTRACT</w:t>
      </w:r>
    </w:p>
    <w:p w:rsidR="006B4273" w:rsidRDefault="006B4273"/>
    <w:p w:rsidR="006B4273" w:rsidRDefault="00FA0DF5">
      <w:pPr>
        <w:pStyle w:val="Heading2"/>
        <w:keepNext w:val="0"/>
        <w:numPr>
          <w:ilvl w:val="1"/>
          <w:numId w:val="2"/>
        </w:numPr>
        <w:tabs>
          <w:tab w:val="left" w:pos="709"/>
        </w:tabs>
        <w:spacing w:before="0" w:after="0"/>
        <w:ind w:left="709" w:hanging="709"/>
        <w:rPr>
          <w:sz w:val="20"/>
          <w:szCs w:val="20"/>
        </w:rPr>
      </w:pPr>
      <w:bookmarkStart w:id="39" w:name="_heading=h.41mghml" w:colFirst="0" w:colLast="0"/>
      <w:bookmarkEnd w:id="39"/>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HOW TO COMMUNICATE ABOUT THE CONTRACT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lastRenderedPageBreak/>
        <w:t>Notices to the Buyer or Supplier must be sent to their address in the Letter or in the email of acceptance, respectively.</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6B4273" w:rsidRDefault="006B4273">
      <w:pPr>
        <w:pStyle w:val="Heading1"/>
        <w:tabs>
          <w:tab w:val="left" w:pos="709"/>
        </w:tabs>
        <w:spacing w:before="0" w:after="0"/>
        <w:ind w:left="709"/>
        <w:jc w:val="both"/>
        <w:rPr>
          <w:b/>
          <w:smallCaps/>
          <w:sz w:val="20"/>
          <w:szCs w:val="20"/>
        </w:rPr>
      </w:pPr>
      <w:bookmarkStart w:id="40" w:name="_heading=h.2grqrue" w:colFirst="0" w:colLast="0"/>
      <w:bookmarkEnd w:id="40"/>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PREVENTING FRAUD, BRIBERY AND CORRUPTION</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41" w:name="_heading=h.vx1227" w:colFirst="0" w:colLast="0"/>
      <w:bookmarkEnd w:id="41"/>
      <w:r>
        <w:rPr>
          <w:color w:val="000000"/>
          <w:sz w:val="20"/>
          <w:szCs w:val="20"/>
        </w:rPr>
        <w:t xml:space="preserve">The Supplier must not during the Term: </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commit a Prohibited Act or any other criminal offence referred to in Section 2 of the Suitability Assessment Questionnaire; or</w:t>
      </w:r>
    </w:p>
    <w:p w:rsidR="006B4273" w:rsidRDefault="006B4273"/>
    <w:p w:rsidR="006B4273" w:rsidRDefault="00FA0DF5">
      <w:pPr>
        <w:pStyle w:val="Heading3"/>
        <w:keepNext w:val="0"/>
        <w:keepLines w:val="0"/>
        <w:numPr>
          <w:ilvl w:val="2"/>
          <w:numId w:val="2"/>
        </w:numPr>
        <w:tabs>
          <w:tab w:val="left" w:pos="1276"/>
        </w:tabs>
        <w:spacing w:before="0" w:after="0"/>
        <w:ind w:left="1276" w:hanging="556"/>
        <w:rPr>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during the Term:</w:t>
      </w:r>
    </w:p>
    <w:p w:rsidR="006B4273" w:rsidRDefault="006B4273">
      <w:pPr>
        <w:pStyle w:val="Heading3"/>
        <w:keepNext w:val="0"/>
        <w:keepLines w:val="0"/>
        <w:tabs>
          <w:tab w:val="left" w:pos="1276"/>
        </w:tabs>
        <w:spacing w:before="0" w:after="0"/>
        <w:ind w:left="1276"/>
        <w:rPr>
          <w:b w:val="0"/>
          <w:sz w:val="20"/>
          <w:szCs w:val="20"/>
        </w:rPr>
      </w:pPr>
    </w:p>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keep full records to show it has complied with its obligations under clause 26 and give copies to the Buyer on request; and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6B4273" w:rsidRDefault="006B4273">
      <w:pPr>
        <w:pStyle w:val="Heading3"/>
        <w:keepNext w:val="0"/>
        <w:keepLines w:val="0"/>
        <w:tabs>
          <w:tab w:val="left" w:pos="1276"/>
        </w:tabs>
        <w:spacing w:before="0" w:after="0"/>
        <w:ind w:left="1276"/>
        <w:rPr>
          <w:b w:val="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been investigated or prosecuted for an alleged Prohibited Act;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received a request or demand for any undue financial or other advantage of any kind related to the Buyer Contract; or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suspected that any person or Party directly or indirectly related to the Buyer Contract has committed or attempted to commit a Prohibited Act.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Prohibited Act;</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 xml:space="preserve">identity of the Party who it thinks has committed the Prohibited Act; and </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action it has decided to take.</w:t>
      </w:r>
    </w:p>
    <w:p w:rsidR="006B4273" w:rsidRDefault="006B4273"/>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lastRenderedPageBreak/>
        <w:t>EQUALITY, DIVERSITY AND HUMAN RIGHTS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protections against discrimination on the grounds of race, sex, gender reassignment, religion or belief, disability, sexual orientation, pregnancy, maternity, age or otherwise; and</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any other requirements and instructions which the Buyer reasonably imposes related to equality Law.</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HEALTH AND SAFETY</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all applicable Law regarding health and safety; and</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the Buyer's current health and safety policy while at the Buyer’s premises, as provided to the Supplier.</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ENVIRONMENT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TAX</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6B4273" w:rsidRDefault="006B4273">
      <w:pPr>
        <w:pStyle w:val="Heading2"/>
        <w:keepNext w:val="0"/>
        <w:tabs>
          <w:tab w:val="left" w:pos="709"/>
        </w:tabs>
        <w:spacing w:before="0" w:after="0"/>
        <w:ind w:left="709"/>
        <w:rPr>
          <w:color w:val="000000"/>
          <w:sz w:val="20"/>
          <w:szCs w:val="20"/>
        </w:rPr>
      </w:pPr>
      <w:bookmarkStart w:id="42" w:name="_heading=h.3fwokq0" w:colFirst="0" w:colLast="0"/>
      <w:bookmarkEnd w:id="42"/>
    </w:p>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43" w:name="_heading=h.1v1yuxt" w:colFirst="0" w:colLast="0"/>
      <w:bookmarkEnd w:id="43"/>
      <w:r>
        <w:rPr>
          <w:color w:val="000000"/>
          <w:sz w:val="20"/>
          <w:szCs w:val="20"/>
        </w:rPr>
        <w:t>Where the Supplier or any Supplier Staff are liable to be taxed or to pay National Insurance contributions in the UK relating to payment received under the Buyer Contract, the Supplier must both:</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Worker's contract may be terminated at the Buyer's request if the Worker fails to provide the information requested by the Buyer within the time specified by the Buyer;</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6B4273" w:rsidRDefault="006B4273"/>
    <w:p w:rsidR="006B4273" w:rsidRDefault="00FA0DF5">
      <w:pPr>
        <w:pStyle w:val="Heading3"/>
        <w:keepNext w:val="0"/>
        <w:keepLines w:val="0"/>
        <w:numPr>
          <w:ilvl w:val="2"/>
          <w:numId w:val="2"/>
        </w:numPr>
        <w:tabs>
          <w:tab w:val="left" w:pos="1276"/>
        </w:tabs>
        <w:spacing w:before="0" w:after="0"/>
        <w:ind w:left="1276" w:hanging="567"/>
        <w:rPr>
          <w:sz w:val="20"/>
          <w:szCs w:val="20"/>
        </w:rPr>
      </w:pPr>
      <w:r>
        <w:rPr>
          <w:b w:val="0"/>
          <w:sz w:val="20"/>
          <w:szCs w:val="20"/>
        </w:rPr>
        <w:t>the Buyer may supply any information they receive from the Worker to HMRC for revenue collection and management.</w:t>
      </w:r>
    </w:p>
    <w:p w:rsidR="006B4273" w:rsidRDefault="006B4273">
      <w:pPr>
        <w:pStyle w:val="Heading1"/>
        <w:tabs>
          <w:tab w:val="left" w:pos="709"/>
        </w:tabs>
        <w:spacing w:before="0" w:after="0"/>
        <w:ind w:left="709"/>
        <w:jc w:val="both"/>
        <w:rPr>
          <w:b/>
          <w:smallCaps/>
          <w:sz w:val="20"/>
          <w:szCs w:val="20"/>
        </w:rPr>
      </w:pPr>
      <w:bookmarkStart w:id="44" w:name="_heading=h.4f1mdlm" w:colFirst="0" w:colLast="0"/>
      <w:bookmarkEnd w:id="44"/>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CONFLICT OF INTEREST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45" w:name="_heading=h.2u6wntf" w:colFirst="0" w:colLast="0"/>
      <w:bookmarkEnd w:id="45"/>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6B4273" w:rsidRDefault="006B4273">
      <w:pPr>
        <w:pStyle w:val="Heading1"/>
        <w:tabs>
          <w:tab w:val="left" w:pos="709"/>
        </w:tabs>
        <w:spacing w:before="0" w:after="0"/>
        <w:ind w:left="709"/>
        <w:jc w:val="both"/>
        <w:rPr>
          <w:b/>
          <w:smallCaps/>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REPORTING A BREACH OF THE CONTRACT</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bookmarkStart w:id="46" w:name="_heading=h.19c6y18" w:colFirst="0" w:colLast="0"/>
      <w:bookmarkEnd w:id="46"/>
      <w:r>
        <w:rPr>
          <w:color w:val="000000"/>
          <w:sz w:val="20"/>
          <w:szCs w:val="20"/>
        </w:rPr>
        <w:t>As soon as it is aware of it the Supplier and Supplier Staff must report to the Buyer any actual or suspected breach of Law, clause 13 or clauses 26 to 31.</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6B4273" w:rsidRDefault="006B4273">
      <w:pPr>
        <w:pStyle w:val="Heading1"/>
        <w:tabs>
          <w:tab w:val="left" w:pos="709"/>
        </w:tabs>
        <w:spacing w:before="0" w:after="0"/>
        <w:ind w:left="709"/>
        <w:jc w:val="both"/>
        <w:rPr>
          <w:b/>
          <w:smallCaps/>
          <w:sz w:val="20"/>
          <w:szCs w:val="20"/>
        </w:rPr>
      </w:pPr>
      <w:bookmarkStart w:id="47" w:name="_heading=h.3tbugp1" w:colFirst="0" w:colLast="0"/>
      <w:bookmarkEnd w:id="47"/>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RESOLVING DISPUTES</w:t>
      </w:r>
    </w:p>
    <w:p w:rsidR="006B4273" w:rsidRDefault="006B4273"/>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6B4273" w:rsidRDefault="006B4273">
      <w:pPr>
        <w:pStyle w:val="Heading2"/>
        <w:keepNext w:val="0"/>
        <w:tabs>
          <w:tab w:val="left" w:pos="709"/>
        </w:tabs>
        <w:spacing w:before="0" w:after="0"/>
        <w:ind w:left="709"/>
        <w:rPr>
          <w:color w:val="000000"/>
          <w:sz w:val="20"/>
          <w:szCs w:val="20"/>
        </w:rPr>
      </w:pPr>
      <w:bookmarkStart w:id="48" w:name="_heading=h.28h4qwu" w:colFirst="0" w:colLast="0"/>
      <w:bookmarkEnd w:id="48"/>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determine the dispute;</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grant interim remedies; and</w:t>
      </w:r>
    </w:p>
    <w:p w:rsidR="006B4273" w:rsidRDefault="006B4273"/>
    <w:p w:rsidR="006B4273" w:rsidRDefault="00FA0DF5">
      <w:pPr>
        <w:pStyle w:val="Heading3"/>
        <w:keepNext w:val="0"/>
        <w:keepLines w:val="0"/>
        <w:numPr>
          <w:ilvl w:val="2"/>
          <w:numId w:val="2"/>
        </w:numPr>
        <w:tabs>
          <w:tab w:val="left" w:pos="709"/>
        </w:tabs>
        <w:spacing w:before="0" w:after="0"/>
        <w:ind w:left="1276" w:hanging="567"/>
        <w:rPr>
          <w:sz w:val="20"/>
          <w:szCs w:val="20"/>
        </w:rPr>
      </w:pPr>
      <w:r>
        <w:rPr>
          <w:b w:val="0"/>
          <w:sz w:val="20"/>
          <w:szCs w:val="20"/>
        </w:rPr>
        <w:t>grant any other provisional or protective relief.</w:t>
      </w:r>
    </w:p>
    <w:p w:rsidR="006B4273" w:rsidRDefault="006B4273">
      <w:pPr>
        <w:pStyle w:val="Heading2"/>
        <w:keepNext w:val="0"/>
        <w:tabs>
          <w:tab w:val="left" w:pos="709"/>
        </w:tabs>
        <w:spacing w:before="0" w:after="0"/>
        <w:ind w:left="709"/>
        <w:rPr>
          <w:color w:val="000000"/>
          <w:sz w:val="20"/>
          <w:szCs w:val="20"/>
        </w:rPr>
      </w:pPr>
      <w:bookmarkStart w:id="49" w:name="_heading=h.nmf14n" w:colFirst="0" w:colLast="0"/>
      <w:bookmarkEnd w:id="49"/>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6B4273" w:rsidRDefault="006B4273">
      <w:pPr>
        <w:pStyle w:val="Heading2"/>
        <w:keepNext w:val="0"/>
        <w:tabs>
          <w:tab w:val="left" w:pos="709"/>
        </w:tabs>
        <w:spacing w:before="0" w:after="0"/>
        <w:ind w:left="709"/>
        <w:rPr>
          <w:color w:val="000000"/>
          <w:sz w:val="20"/>
          <w:szCs w:val="20"/>
        </w:rPr>
      </w:pPr>
      <w:bookmarkStart w:id="50" w:name="_heading=h.37m2jsg" w:colFirst="0" w:colLast="0"/>
      <w:bookmarkEnd w:id="50"/>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6B4273" w:rsidRDefault="006B4273">
      <w:pPr>
        <w:pStyle w:val="Heading2"/>
        <w:keepNext w:val="0"/>
        <w:tabs>
          <w:tab w:val="left" w:pos="709"/>
        </w:tabs>
        <w:spacing w:before="0" w:after="0"/>
        <w:ind w:left="709"/>
        <w:rPr>
          <w:color w:val="000000"/>
          <w:sz w:val="20"/>
          <w:szCs w:val="20"/>
        </w:rPr>
      </w:pPr>
    </w:p>
    <w:p w:rsidR="006B4273" w:rsidRDefault="00FA0DF5">
      <w:pPr>
        <w:pStyle w:val="Heading2"/>
        <w:keepNext w:val="0"/>
        <w:numPr>
          <w:ilvl w:val="1"/>
          <w:numId w:val="2"/>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6B4273" w:rsidRDefault="006B4273">
      <w:pPr>
        <w:pStyle w:val="Heading2"/>
        <w:tabs>
          <w:tab w:val="left" w:pos="709"/>
        </w:tabs>
        <w:spacing w:after="0"/>
        <w:rPr>
          <w:color w:val="000000"/>
          <w:sz w:val="20"/>
          <w:szCs w:val="20"/>
        </w:rPr>
      </w:pPr>
    </w:p>
    <w:p w:rsidR="006B4273" w:rsidRDefault="00FA0DF5">
      <w:pPr>
        <w:pStyle w:val="Heading1"/>
        <w:numPr>
          <w:ilvl w:val="0"/>
          <w:numId w:val="2"/>
        </w:numPr>
        <w:tabs>
          <w:tab w:val="left" w:pos="709"/>
        </w:tabs>
        <w:spacing w:before="0" w:after="0"/>
        <w:ind w:left="709"/>
        <w:jc w:val="both"/>
        <w:rPr>
          <w:b/>
          <w:smallCaps/>
          <w:sz w:val="20"/>
          <w:szCs w:val="20"/>
        </w:rPr>
      </w:pPr>
      <w:r>
        <w:rPr>
          <w:b/>
          <w:smallCaps/>
          <w:sz w:val="20"/>
          <w:szCs w:val="20"/>
        </w:rPr>
        <w:t>WHICH LAW APPLIES</w:t>
      </w:r>
    </w:p>
    <w:p w:rsidR="006B4273" w:rsidRDefault="006B4273"/>
    <w:p w:rsidR="006B4273" w:rsidRDefault="00FA0DF5">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6B4273" w:rsidRDefault="00FA0DF5">
      <w:pPr>
        <w:jc w:val="center"/>
      </w:pPr>
      <w:r>
        <w:br w:type="page"/>
      </w:r>
      <w:r>
        <w:rPr>
          <w:b/>
          <w:color w:val="000000"/>
        </w:rPr>
        <w:lastRenderedPageBreak/>
        <w:t>Annex B</w:t>
      </w:r>
    </w:p>
    <w:p w:rsidR="006B4273" w:rsidRDefault="00FA0DF5">
      <w:pPr>
        <w:jc w:val="center"/>
        <w:rPr>
          <w:b/>
          <w:color w:val="000000"/>
        </w:rPr>
      </w:pPr>
      <w:r>
        <w:rPr>
          <w:b/>
          <w:color w:val="000000"/>
        </w:rPr>
        <w:t>Special Terms – NOT USED</w:t>
      </w:r>
    </w:p>
    <w:p w:rsidR="006B4273" w:rsidRDefault="006B4273">
      <w:pPr>
        <w:jc w:val="center"/>
        <w:rPr>
          <w:b/>
          <w:color w:val="000000"/>
        </w:rPr>
      </w:pPr>
    </w:p>
    <w:p w:rsidR="006B4273" w:rsidRDefault="006B4273">
      <w:pPr>
        <w:numPr>
          <w:ilvl w:val="1"/>
          <w:numId w:val="12"/>
        </w:numPr>
        <w:pBdr>
          <w:top w:val="nil"/>
          <w:left w:val="nil"/>
          <w:bottom w:val="nil"/>
          <w:right w:val="nil"/>
          <w:between w:val="nil"/>
        </w:pBdr>
        <w:jc w:val="both"/>
        <w:rPr>
          <w:b/>
          <w:color w:val="000000"/>
        </w:rPr>
      </w:pPr>
    </w:p>
    <w:p w:rsidR="006B4273" w:rsidRDefault="00FA0DF5">
      <w:pPr>
        <w:rPr>
          <w:b/>
          <w:color w:val="000000"/>
        </w:rPr>
      </w:pPr>
      <w:r>
        <w:br w:type="page"/>
      </w:r>
    </w:p>
    <w:p w:rsidR="006B4273" w:rsidRDefault="00FA0DF5">
      <w:pPr>
        <w:jc w:val="center"/>
        <w:rPr>
          <w:b/>
          <w:color w:val="000000"/>
        </w:rPr>
      </w:pPr>
      <w:r>
        <w:rPr>
          <w:b/>
          <w:color w:val="000000"/>
        </w:rPr>
        <w:lastRenderedPageBreak/>
        <w:t>Annex C</w:t>
      </w:r>
    </w:p>
    <w:p w:rsidR="006B4273" w:rsidRDefault="00FA0DF5">
      <w:pPr>
        <w:jc w:val="center"/>
        <w:rPr>
          <w:b/>
          <w:color w:val="000000"/>
        </w:rPr>
      </w:pPr>
      <w:r>
        <w:rPr>
          <w:b/>
          <w:color w:val="000000"/>
        </w:rPr>
        <w:t>Contract Management Information</w:t>
      </w:r>
    </w:p>
    <w:p w:rsidR="006B4273" w:rsidRDefault="006B4273">
      <w:pPr>
        <w:jc w:val="center"/>
        <w:rPr>
          <w:color w:val="000000"/>
        </w:rPr>
      </w:pPr>
    </w:p>
    <w:p w:rsidR="006B4273" w:rsidRDefault="00FA0DF5">
      <w:pPr>
        <w:tabs>
          <w:tab w:val="left" w:pos="2257"/>
        </w:tabs>
      </w:pPr>
      <w:r>
        <w:t>PAYMENT</w:t>
      </w:r>
    </w:p>
    <w:p w:rsidR="006B4273" w:rsidRDefault="00FA0DF5">
      <w:pPr>
        <w:tabs>
          <w:tab w:val="left" w:pos="2257"/>
        </w:tabs>
      </w:pPr>
      <w:r>
        <w:t xml:space="preserve">All invoices must be sent, quoting a valid purchase order number (PO Number), to: </w:t>
      </w:r>
    </w:p>
    <w:p w:rsidR="006B4273" w:rsidRDefault="006B4273">
      <w:pPr>
        <w:tabs>
          <w:tab w:val="left" w:pos="2257"/>
        </w:tabs>
      </w:pPr>
    </w:p>
    <w:p w:rsidR="006B4273" w:rsidRDefault="00FA0DF5">
      <w:pPr>
        <w:tabs>
          <w:tab w:val="left" w:pos="2257"/>
        </w:tabs>
        <w:rPr>
          <w:b/>
        </w:rPr>
      </w:pPr>
      <w:r>
        <w:rPr>
          <w:b/>
        </w:rPr>
        <w:t>Redacted under FOIA section 40, Personal Information</w:t>
      </w:r>
    </w:p>
    <w:p w:rsidR="006B4273" w:rsidRDefault="006B4273">
      <w:pPr>
        <w:tabs>
          <w:tab w:val="left" w:pos="2257"/>
        </w:tabs>
      </w:pPr>
    </w:p>
    <w:p w:rsidR="006B4273" w:rsidRDefault="00FA0DF5">
      <w:pPr>
        <w:tabs>
          <w:tab w:val="left" w:pos="2257"/>
        </w:tabs>
      </w:pPr>
      <w:r>
        <w:t xml:space="preserve">Within 5 Working Days of receipt of your countersigned copy of this letter, we will send you a unique PO Number.  You must be in receipt of a valid PO Number before submitting an invoice. </w:t>
      </w:r>
    </w:p>
    <w:p w:rsidR="006B4273" w:rsidRDefault="00FA0DF5">
      <w:pPr>
        <w:tabs>
          <w:tab w:val="left" w:pos="2257"/>
        </w:tabs>
      </w:pPr>
      <w:r>
        <w:t xml:space="preserve"> </w:t>
      </w:r>
    </w:p>
    <w:p w:rsidR="006B4273" w:rsidRDefault="00FA0DF5">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6B4273" w:rsidRDefault="006B4273">
      <w:pPr>
        <w:tabs>
          <w:tab w:val="left" w:pos="2257"/>
        </w:tabs>
      </w:pPr>
    </w:p>
    <w:p w:rsidR="006B4273" w:rsidRDefault="00FA0DF5">
      <w:pPr>
        <w:tabs>
          <w:tab w:val="left" w:pos="2257"/>
        </w:tabs>
      </w:pPr>
      <w:r>
        <w:t xml:space="preserve">If you have a query regarding an outstanding payment please contact our Accounts Payable section either by email to </w:t>
      </w:r>
    </w:p>
    <w:p w:rsidR="006B4273" w:rsidRDefault="006B4273">
      <w:pPr>
        <w:tabs>
          <w:tab w:val="left" w:pos="2257"/>
        </w:tabs>
      </w:pPr>
    </w:p>
    <w:p w:rsidR="006B4273" w:rsidRDefault="00FA0DF5">
      <w:pPr>
        <w:tabs>
          <w:tab w:val="left" w:pos="2257"/>
        </w:tabs>
        <w:rPr>
          <w:b/>
        </w:rPr>
      </w:pPr>
      <w:r>
        <w:rPr>
          <w:b/>
        </w:rPr>
        <w:t>Redacted under FOIA section 40, Personal Information</w:t>
      </w:r>
    </w:p>
    <w:p w:rsidR="006B4273" w:rsidRDefault="006B4273">
      <w:pPr>
        <w:tabs>
          <w:tab w:val="left" w:pos="2257"/>
        </w:tabs>
      </w:pPr>
    </w:p>
    <w:p w:rsidR="006B4273" w:rsidRDefault="00FA0DF5">
      <w:pPr>
        <w:tabs>
          <w:tab w:val="left" w:pos="2257"/>
        </w:tabs>
      </w:pPr>
      <w:r>
        <w:t xml:space="preserve">Date and address for Delivery: </w:t>
      </w:r>
    </w:p>
    <w:p w:rsidR="006B4273" w:rsidRDefault="00FA0DF5">
      <w:pPr>
        <w:tabs>
          <w:tab w:val="left" w:pos="2257"/>
        </w:tabs>
      </w:pPr>
      <w:r>
        <w:t>23/07/2024 – 23/02/2025</w:t>
      </w:r>
    </w:p>
    <w:p w:rsidR="006B4273" w:rsidRDefault="00FA0DF5">
      <w:pPr>
        <w:tabs>
          <w:tab w:val="left" w:pos="2257"/>
        </w:tabs>
      </w:pPr>
      <w:r>
        <w:t>The Capital, Old Hall St, Liverpool, L3 9PP</w:t>
      </w:r>
    </w:p>
    <w:p w:rsidR="006B4273" w:rsidRDefault="006B4273">
      <w:pPr>
        <w:tabs>
          <w:tab w:val="left" w:pos="2257"/>
        </w:tabs>
      </w:pPr>
    </w:p>
    <w:p w:rsidR="006B4273" w:rsidRDefault="00FA0DF5">
      <w:pPr>
        <w:tabs>
          <w:tab w:val="left" w:pos="2257"/>
        </w:tabs>
      </w:pPr>
      <w:r>
        <w:t xml:space="preserve">BUYER’S ADDRESS FOR NOTICES / BUYER AUTHORISED REPRESENTATIVE: </w:t>
      </w:r>
    </w:p>
    <w:p w:rsidR="006B4273" w:rsidRDefault="00FA0DF5">
      <w:pPr>
        <w:tabs>
          <w:tab w:val="left" w:pos="2257"/>
        </w:tabs>
        <w:rPr>
          <w:b/>
        </w:rPr>
      </w:pPr>
      <w:r>
        <w:rPr>
          <w:b/>
        </w:rPr>
        <w:t xml:space="preserve">Redacted under FOIA section 40, Personal Information </w:t>
      </w:r>
    </w:p>
    <w:p w:rsidR="006B4273" w:rsidRDefault="00FA0DF5">
      <w:pPr>
        <w:tabs>
          <w:tab w:val="left" w:pos="2257"/>
        </w:tabs>
      </w:pPr>
      <w:r>
        <w:rPr>
          <w:b/>
        </w:rPr>
        <w:t>The Capital, Old Hall Street, L3 9PP</w:t>
      </w:r>
    </w:p>
    <w:p w:rsidR="006B4273" w:rsidRDefault="006B4273">
      <w:pPr>
        <w:tabs>
          <w:tab w:val="left" w:pos="2257"/>
        </w:tabs>
      </w:pPr>
    </w:p>
    <w:p w:rsidR="006B4273" w:rsidRDefault="006B4273">
      <w:pPr>
        <w:tabs>
          <w:tab w:val="left" w:pos="2257"/>
        </w:tabs>
      </w:pPr>
    </w:p>
    <w:p w:rsidR="006B4273" w:rsidRDefault="00FA0DF5">
      <w:pPr>
        <w:tabs>
          <w:tab w:val="left" w:pos="2257"/>
        </w:tabs>
      </w:pPr>
      <w:r>
        <w:t>PROCEDURES AND POLICIES</w:t>
      </w:r>
    </w:p>
    <w:p w:rsidR="006B4273" w:rsidRDefault="00FA0DF5">
      <w:pPr>
        <w:tabs>
          <w:tab w:val="left" w:pos="2257"/>
        </w:tabs>
        <w:rPr>
          <w:highlight w:val="yellow"/>
        </w:rPr>
      </w:pPr>
      <w:r>
        <w:t>For the purposes of the Buyer Contract the data security requirements can be found here: https://www.gov.uk/government/publications/security-policy-framework</w:t>
      </w:r>
    </w:p>
    <w:p w:rsidR="006B4273" w:rsidRDefault="006B4273">
      <w:pPr>
        <w:tabs>
          <w:tab w:val="left" w:pos="2257"/>
        </w:tabs>
      </w:pPr>
    </w:p>
    <w:p w:rsidR="006B4273" w:rsidRDefault="00FA0DF5">
      <w:pPr>
        <w:tabs>
          <w:tab w:val="left" w:pos="2257"/>
        </w:tabs>
      </w:pPr>
      <w:r>
        <w:t xml:space="preserve">The Buyer may require the Supplier to ensure that any person employed in the delivery of the Deliverables has undertaken a Disclosure and Barring Service check.  </w:t>
      </w:r>
    </w:p>
    <w:p w:rsidR="006B4273" w:rsidRDefault="006B4273">
      <w:pPr>
        <w:tabs>
          <w:tab w:val="left" w:pos="2257"/>
        </w:tabs>
      </w:pPr>
    </w:p>
    <w:p w:rsidR="006B4273" w:rsidRDefault="00FA0DF5">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6B4273" w:rsidRDefault="006B4273">
      <w:pPr>
        <w:tabs>
          <w:tab w:val="left" w:pos="2257"/>
        </w:tabs>
      </w:pPr>
    </w:p>
    <w:p w:rsidR="006B4273" w:rsidRDefault="006B4273">
      <w:pPr>
        <w:tabs>
          <w:tab w:val="left" w:pos="2257"/>
        </w:tabs>
      </w:pPr>
    </w:p>
    <w:p w:rsidR="006B4273" w:rsidRDefault="00FA0DF5">
      <w:pPr>
        <w:tabs>
          <w:tab w:val="left" w:pos="2257"/>
        </w:tabs>
      </w:pPr>
      <w:r>
        <w:t>MINIMUM WARRANTY PERIOD</w:t>
      </w:r>
    </w:p>
    <w:p w:rsidR="006B4273" w:rsidRDefault="00FA0DF5">
      <w:pPr>
        <w:tabs>
          <w:tab w:val="left" w:pos="2257"/>
        </w:tabs>
      </w:pPr>
      <w:r>
        <w:t>6 months</w:t>
      </w:r>
    </w:p>
    <w:p w:rsidR="006B4273" w:rsidRDefault="006B4273">
      <w:pPr>
        <w:tabs>
          <w:tab w:val="left" w:pos="2257"/>
        </w:tabs>
      </w:pPr>
    </w:p>
    <w:p w:rsidR="006B4273" w:rsidRDefault="00FA0DF5">
      <w:pPr>
        <w:tabs>
          <w:tab w:val="left" w:pos="2257"/>
        </w:tabs>
      </w:pPr>
      <w:r>
        <w:t>MAXIMUM LIABILITY AMOUNT</w:t>
      </w:r>
    </w:p>
    <w:p w:rsidR="006B4273" w:rsidRDefault="00FA0DF5">
      <w:pPr>
        <w:tabs>
          <w:tab w:val="left" w:pos="2257"/>
        </w:tabs>
      </w:pPr>
      <w:r>
        <w:t>£60,000</w:t>
      </w:r>
    </w:p>
    <w:p w:rsidR="006B4273" w:rsidRDefault="006B4273">
      <w:pPr>
        <w:tabs>
          <w:tab w:val="left" w:pos="2257"/>
        </w:tabs>
      </w:pPr>
    </w:p>
    <w:p w:rsidR="006B4273" w:rsidRDefault="006B4273">
      <w:pPr>
        <w:tabs>
          <w:tab w:val="left" w:pos="2257"/>
        </w:tabs>
      </w:pPr>
    </w:p>
    <w:p w:rsidR="006B4273" w:rsidRDefault="00FA0DF5">
      <w:r>
        <w:br w:type="page"/>
      </w:r>
    </w:p>
    <w:p w:rsidR="006B4273" w:rsidRDefault="00FA0DF5">
      <w:pPr>
        <w:tabs>
          <w:tab w:val="left" w:pos="2257"/>
        </w:tabs>
        <w:jc w:val="center"/>
        <w:rPr>
          <w:b/>
        </w:rPr>
      </w:pPr>
      <w:r>
        <w:rPr>
          <w:b/>
        </w:rPr>
        <w:lastRenderedPageBreak/>
        <w:t>Annex D</w:t>
      </w:r>
    </w:p>
    <w:p w:rsidR="006B4273" w:rsidRDefault="00FA0DF5">
      <w:pPr>
        <w:tabs>
          <w:tab w:val="left" w:pos="2257"/>
        </w:tabs>
        <w:jc w:val="center"/>
        <w:rPr>
          <w:b/>
        </w:rPr>
      </w:pPr>
      <w:r>
        <w:rPr>
          <w:b/>
        </w:rPr>
        <w:t>Processing Data</w:t>
      </w:r>
    </w:p>
    <w:p w:rsidR="006B4273" w:rsidRDefault="006B4273">
      <w:pPr>
        <w:tabs>
          <w:tab w:val="left" w:pos="2257"/>
        </w:tabs>
        <w:jc w:val="center"/>
        <w:rPr>
          <w:b/>
        </w:rPr>
      </w:pPr>
    </w:p>
    <w:p w:rsidR="006B4273" w:rsidRDefault="00FA0DF5">
      <w:pPr>
        <w:keepNext/>
        <w:pBdr>
          <w:top w:val="nil"/>
          <w:left w:val="nil"/>
          <w:bottom w:val="nil"/>
          <w:right w:val="nil"/>
          <w:between w:val="nil"/>
        </w:pBdr>
        <w:spacing w:after="120" w:line="360" w:lineRule="auto"/>
        <w:jc w:val="both"/>
        <w:rPr>
          <w:b/>
          <w:color w:val="000000"/>
        </w:rPr>
      </w:pPr>
      <w:r>
        <w:rPr>
          <w:b/>
          <w:color w:val="000000"/>
        </w:rPr>
        <w:t>Status of the Controller</w:t>
      </w:r>
    </w:p>
    <w:p w:rsidR="006B4273" w:rsidRDefault="00FA0DF5">
      <w:pPr>
        <w:numPr>
          <w:ilvl w:val="1"/>
          <w:numId w:val="6"/>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6B4273" w:rsidRDefault="00FA0DF5">
      <w:pPr>
        <w:numPr>
          <w:ilvl w:val="2"/>
          <w:numId w:val="6"/>
        </w:numPr>
        <w:pBdr>
          <w:top w:val="nil"/>
          <w:left w:val="nil"/>
          <w:bottom w:val="nil"/>
          <w:right w:val="nil"/>
          <w:between w:val="nil"/>
        </w:pBdr>
        <w:spacing w:before="280" w:after="120"/>
        <w:jc w:val="both"/>
      </w:pPr>
      <w:r>
        <w:t>“Controller” in respect of the other Party who is “Processor”;</w:t>
      </w:r>
    </w:p>
    <w:p w:rsidR="006B4273" w:rsidRDefault="00FA0DF5">
      <w:pPr>
        <w:numPr>
          <w:ilvl w:val="2"/>
          <w:numId w:val="6"/>
        </w:numPr>
        <w:pBdr>
          <w:top w:val="nil"/>
          <w:left w:val="nil"/>
          <w:bottom w:val="nil"/>
          <w:right w:val="nil"/>
          <w:between w:val="nil"/>
        </w:pBdr>
        <w:spacing w:before="280" w:after="120"/>
        <w:jc w:val="both"/>
      </w:pPr>
      <w:r>
        <w:t>“Processor” in respect of the other Party who is “Controller”;</w:t>
      </w:r>
    </w:p>
    <w:p w:rsidR="006B4273" w:rsidRDefault="00FA0DF5">
      <w:pPr>
        <w:numPr>
          <w:ilvl w:val="2"/>
          <w:numId w:val="6"/>
        </w:numPr>
        <w:pBdr>
          <w:top w:val="nil"/>
          <w:left w:val="nil"/>
          <w:bottom w:val="nil"/>
          <w:right w:val="nil"/>
          <w:between w:val="nil"/>
        </w:pBdr>
        <w:spacing w:before="280" w:after="120"/>
        <w:jc w:val="both"/>
      </w:pPr>
      <w:r>
        <w:t xml:space="preserve">“Joint Controller” with the other Party; </w:t>
      </w:r>
    </w:p>
    <w:p w:rsidR="006B4273" w:rsidRDefault="00FA0DF5">
      <w:pPr>
        <w:numPr>
          <w:ilvl w:val="2"/>
          <w:numId w:val="6"/>
        </w:numPr>
        <w:pBdr>
          <w:top w:val="nil"/>
          <w:left w:val="nil"/>
          <w:bottom w:val="nil"/>
          <w:right w:val="nil"/>
          <w:between w:val="nil"/>
        </w:pBdr>
        <w:spacing w:before="280" w:after="120"/>
        <w:jc w:val="both"/>
      </w:pPr>
      <w:r>
        <w:t>“Independent Controller” of the Personal Data where the other Party is also “Controller”,</w:t>
      </w:r>
    </w:p>
    <w:p w:rsidR="006B4273" w:rsidRDefault="00FA0DF5">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6B4273" w:rsidRDefault="00FA0DF5">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6B4273" w:rsidRDefault="00FA0DF5">
      <w:pPr>
        <w:numPr>
          <w:ilvl w:val="1"/>
          <w:numId w:val="6"/>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6B4273" w:rsidRDefault="00FA0DF5">
      <w:pPr>
        <w:numPr>
          <w:ilvl w:val="1"/>
          <w:numId w:val="6"/>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6B4273" w:rsidRDefault="00FA0DF5">
      <w:pPr>
        <w:numPr>
          <w:ilvl w:val="1"/>
          <w:numId w:val="6"/>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6B4273" w:rsidRDefault="00FA0DF5">
      <w:pPr>
        <w:numPr>
          <w:ilvl w:val="2"/>
          <w:numId w:val="6"/>
        </w:numPr>
        <w:pBdr>
          <w:top w:val="nil"/>
          <w:left w:val="nil"/>
          <w:bottom w:val="nil"/>
          <w:right w:val="nil"/>
          <w:between w:val="nil"/>
        </w:pBdr>
        <w:spacing w:after="120"/>
        <w:jc w:val="both"/>
      </w:pPr>
      <w:r>
        <w:t>a systematic description of the envisaged Processing and the purpose of the Processing;</w:t>
      </w:r>
    </w:p>
    <w:p w:rsidR="006B4273" w:rsidRDefault="00FA0DF5">
      <w:pPr>
        <w:numPr>
          <w:ilvl w:val="2"/>
          <w:numId w:val="6"/>
        </w:numPr>
        <w:pBdr>
          <w:top w:val="nil"/>
          <w:left w:val="nil"/>
          <w:bottom w:val="nil"/>
          <w:right w:val="nil"/>
          <w:between w:val="nil"/>
        </w:pBdr>
        <w:spacing w:after="120"/>
        <w:jc w:val="both"/>
      </w:pPr>
      <w:r>
        <w:t>an assessment of the necessity and proportionality of the Processing in relation to the Deliverables;</w:t>
      </w:r>
    </w:p>
    <w:p w:rsidR="006B4273" w:rsidRDefault="00FA0DF5">
      <w:pPr>
        <w:numPr>
          <w:ilvl w:val="2"/>
          <w:numId w:val="6"/>
        </w:numPr>
        <w:pBdr>
          <w:top w:val="nil"/>
          <w:left w:val="nil"/>
          <w:bottom w:val="nil"/>
          <w:right w:val="nil"/>
          <w:between w:val="nil"/>
        </w:pBdr>
        <w:spacing w:after="120"/>
        <w:jc w:val="both"/>
      </w:pPr>
      <w:r>
        <w:t>an assessment of the risks to the rights and freedoms of Data Subjects; and</w:t>
      </w:r>
    </w:p>
    <w:p w:rsidR="006B4273" w:rsidRDefault="00FA0DF5">
      <w:pPr>
        <w:numPr>
          <w:ilvl w:val="2"/>
          <w:numId w:val="6"/>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6B4273" w:rsidRDefault="00FA0DF5">
      <w:pPr>
        <w:numPr>
          <w:ilvl w:val="1"/>
          <w:numId w:val="6"/>
        </w:numPr>
        <w:pBdr>
          <w:top w:val="nil"/>
          <w:left w:val="nil"/>
          <w:bottom w:val="nil"/>
          <w:right w:val="nil"/>
          <w:between w:val="nil"/>
        </w:pBdr>
        <w:spacing w:before="280" w:after="120"/>
        <w:jc w:val="both"/>
      </w:pPr>
      <w:bookmarkStart w:id="51" w:name="bookmark=id.1mrcu09" w:colFirst="0" w:colLast="0"/>
      <w:bookmarkEnd w:id="51"/>
      <w:r>
        <w:t>The Processor shall, in relation to any Personal Data Processed in connection with its obligations under the Buyer Contract:</w:t>
      </w:r>
    </w:p>
    <w:p w:rsidR="006B4273" w:rsidRDefault="00FA0DF5">
      <w:pPr>
        <w:numPr>
          <w:ilvl w:val="2"/>
          <w:numId w:val="6"/>
        </w:numPr>
        <w:pBdr>
          <w:top w:val="nil"/>
          <w:left w:val="nil"/>
          <w:bottom w:val="nil"/>
          <w:right w:val="nil"/>
          <w:between w:val="nil"/>
        </w:pBdr>
        <w:spacing w:after="120"/>
        <w:jc w:val="both"/>
      </w:pPr>
      <w:bookmarkStart w:id="52" w:name="bookmark=id.46r0co2" w:colFirst="0" w:colLast="0"/>
      <w:bookmarkEnd w:id="52"/>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6B4273" w:rsidRDefault="00FA0DF5">
      <w:pPr>
        <w:numPr>
          <w:ilvl w:val="2"/>
          <w:numId w:val="6"/>
        </w:numPr>
        <w:pBdr>
          <w:top w:val="nil"/>
          <w:left w:val="nil"/>
          <w:bottom w:val="nil"/>
          <w:right w:val="nil"/>
          <w:between w:val="nil"/>
        </w:pBdr>
        <w:spacing w:after="120"/>
        <w:jc w:val="both"/>
      </w:pPr>
      <w:bookmarkStart w:id="53" w:name="bookmark=id.2lwamvv" w:colFirst="0" w:colLast="0"/>
      <w:bookmarkEnd w:id="53"/>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6B4273" w:rsidRDefault="00FA0DF5">
      <w:pPr>
        <w:numPr>
          <w:ilvl w:val="3"/>
          <w:numId w:val="6"/>
        </w:numPr>
        <w:pBdr>
          <w:top w:val="nil"/>
          <w:left w:val="nil"/>
          <w:bottom w:val="nil"/>
          <w:right w:val="nil"/>
          <w:between w:val="nil"/>
        </w:pBdr>
        <w:tabs>
          <w:tab w:val="left" w:pos="2261"/>
        </w:tabs>
        <w:spacing w:after="120"/>
        <w:ind w:hanging="707"/>
        <w:jc w:val="both"/>
      </w:pPr>
      <w:r>
        <w:t>nature of the data to be protected;</w:t>
      </w:r>
      <w:bookmarkStart w:id="54" w:name="bookmark=id.111kx3o" w:colFirst="0" w:colLast="0"/>
      <w:bookmarkEnd w:id="54"/>
    </w:p>
    <w:p w:rsidR="006B4273" w:rsidRDefault="00FA0DF5">
      <w:pPr>
        <w:numPr>
          <w:ilvl w:val="3"/>
          <w:numId w:val="6"/>
        </w:numPr>
        <w:pBdr>
          <w:top w:val="nil"/>
          <w:left w:val="nil"/>
          <w:bottom w:val="nil"/>
          <w:right w:val="nil"/>
          <w:between w:val="nil"/>
        </w:pBdr>
        <w:tabs>
          <w:tab w:val="left" w:pos="2261"/>
        </w:tabs>
        <w:spacing w:after="120"/>
        <w:ind w:hanging="707"/>
        <w:jc w:val="both"/>
      </w:pPr>
      <w:r>
        <w:t>harm that might result from a Personal Data Breach;</w:t>
      </w:r>
    </w:p>
    <w:p w:rsidR="006B4273" w:rsidRDefault="00FA0DF5">
      <w:pPr>
        <w:numPr>
          <w:ilvl w:val="3"/>
          <w:numId w:val="6"/>
        </w:numPr>
        <w:pBdr>
          <w:top w:val="nil"/>
          <w:left w:val="nil"/>
          <w:bottom w:val="nil"/>
          <w:right w:val="nil"/>
          <w:between w:val="nil"/>
        </w:pBdr>
        <w:tabs>
          <w:tab w:val="left" w:pos="2261"/>
        </w:tabs>
        <w:spacing w:after="120"/>
        <w:ind w:hanging="707"/>
        <w:jc w:val="both"/>
      </w:pPr>
      <w:r>
        <w:t>state of technological development; and</w:t>
      </w:r>
    </w:p>
    <w:p w:rsidR="006B4273" w:rsidRDefault="00FA0DF5">
      <w:pPr>
        <w:numPr>
          <w:ilvl w:val="3"/>
          <w:numId w:val="6"/>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6B4273" w:rsidRDefault="00FA0DF5">
      <w:pPr>
        <w:numPr>
          <w:ilvl w:val="2"/>
          <w:numId w:val="6"/>
        </w:numPr>
        <w:pBdr>
          <w:top w:val="nil"/>
          <w:left w:val="nil"/>
          <w:bottom w:val="nil"/>
          <w:right w:val="nil"/>
          <w:between w:val="nil"/>
        </w:pBdr>
        <w:spacing w:after="120"/>
        <w:jc w:val="both"/>
      </w:pPr>
      <w:bookmarkStart w:id="55" w:name="bookmark=id.3l18frh" w:colFirst="0" w:colLast="0"/>
      <w:bookmarkEnd w:id="55"/>
      <w:r>
        <w:t xml:space="preserve">ensure </w:t>
      </w:r>
      <w:proofErr w:type="gramStart"/>
      <w:r>
        <w:t>that :</w:t>
      </w:r>
      <w:proofErr w:type="gramEnd"/>
    </w:p>
    <w:p w:rsidR="006B4273" w:rsidRDefault="00FA0DF5">
      <w:pPr>
        <w:numPr>
          <w:ilvl w:val="3"/>
          <w:numId w:val="6"/>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6B4273" w:rsidRDefault="00FA0DF5">
      <w:pPr>
        <w:numPr>
          <w:ilvl w:val="3"/>
          <w:numId w:val="6"/>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6B4273" w:rsidRDefault="00FA0DF5">
      <w:pPr>
        <w:numPr>
          <w:ilvl w:val="4"/>
          <w:numId w:val="6"/>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6B4273" w:rsidRDefault="00FA0DF5">
      <w:pPr>
        <w:numPr>
          <w:ilvl w:val="4"/>
          <w:numId w:val="6"/>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6B4273" w:rsidRDefault="00FA0DF5">
      <w:pPr>
        <w:numPr>
          <w:ilvl w:val="4"/>
          <w:numId w:val="6"/>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6B4273" w:rsidRDefault="00FA0DF5">
      <w:pPr>
        <w:numPr>
          <w:ilvl w:val="4"/>
          <w:numId w:val="6"/>
        </w:numPr>
        <w:pBdr>
          <w:top w:val="nil"/>
          <w:left w:val="nil"/>
          <w:bottom w:val="nil"/>
          <w:right w:val="nil"/>
          <w:between w:val="nil"/>
        </w:pBdr>
        <w:spacing w:after="120"/>
        <w:jc w:val="both"/>
      </w:pPr>
      <w:r>
        <w:t xml:space="preserve">have undergone adequate training in the use, care, protection and handling of Personal Data; </w:t>
      </w:r>
    </w:p>
    <w:p w:rsidR="006B4273" w:rsidRDefault="00FA0DF5">
      <w:pPr>
        <w:numPr>
          <w:ilvl w:val="2"/>
          <w:numId w:val="6"/>
        </w:numPr>
        <w:pBdr>
          <w:top w:val="nil"/>
          <w:left w:val="nil"/>
          <w:bottom w:val="nil"/>
          <w:right w:val="nil"/>
          <w:between w:val="nil"/>
        </w:pBdr>
        <w:spacing w:after="120"/>
        <w:jc w:val="both"/>
      </w:pPr>
      <w:bookmarkStart w:id="56" w:name="bookmark=id.206ipza" w:colFirst="0" w:colLast="0"/>
      <w:bookmarkEnd w:id="56"/>
      <w:r>
        <w:t>not transfer Personal Data outside of the EU unless the prior written consent of the Controller has been obtained and the following conditions are fulfilled:</w:t>
      </w:r>
    </w:p>
    <w:p w:rsidR="006B4273" w:rsidRDefault="00FA0DF5">
      <w:pPr>
        <w:numPr>
          <w:ilvl w:val="3"/>
          <w:numId w:val="6"/>
        </w:numPr>
        <w:pBdr>
          <w:top w:val="nil"/>
          <w:left w:val="nil"/>
          <w:bottom w:val="nil"/>
          <w:right w:val="nil"/>
          <w:between w:val="nil"/>
        </w:pBdr>
        <w:tabs>
          <w:tab w:val="left" w:pos="2261"/>
        </w:tabs>
        <w:spacing w:after="120"/>
        <w:ind w:hanging="707"/>
        <w:jc w:val="both"/>
      </w:pPr>
      <w:bookmarkStart w:id="57" w:name="bookmark=id.4k668n3" w:colFirst="0" w:colLast="0"/>
      <w:bookmarkEnd w:id="57"/>
      <w:r>
        <w:t>the Controller or the Processor has provided appropriate safeguards in relation to the transfer (whether in accordance with UK GDPR Article 46 or LED Article 37) as determined by the Controller;</w:t>
      </w:r>
    </w:p>
    <w:p w:rsidR="006B4273" w:rsidRDefault="00FA0DF5">
      <w:pPr>
        <w:numPr>
          <w:ilvl w:val="3"/>
          <w:numId w:val="6"/>
        </w:numPr>
        <w:pBdr>
          <w:top w:val="nil"/>
          <w:left w:val="nil"/>
          <w:bottom w:val="nil"/>
          <w:right w:val="nil"/>
          <w:between w:val="nil"/>
        </w:pBdr>
        <w:tabs>
          <w:tab w:val="left" w:pos="2261"/>
        </w:tabs>
        <w:spacing w:after="120"/>
        <w:ind w:hanging="707"/>
        <w:jc w:val="both"/>
      </w:pPr>
      <w:bookmarkStart w:id="58" w:name="bookmark=id.2zbgiuw" w:colFirst="0" w:colLast="0"/>
      <w:bookmarkEnd w:id="58"/>
      <w:r>
        <w:t>the Data Subject has enforceable rights and effective legal remedies;</w:t>
      </w:r>
    </w:p>
    <w:p w:rsidR="006B4273" w:rsidRDefault="00FA0DF5">
      <w:pPr>
        <w:numPr>
          <w:ilvl w:val="3"/>
          <w:numId w:val="6"/>
        </w:numPr>
        <w:pBdr>
          <w:top w:val="nil"/>
          <w:left w:val="nil"/>
          <w:bottom w:val="nil"/>
          <w:right w:val="nil"/>
          <w:between w:val="nil"/>
        </w:pBdr>
        <w:tabs>
          <w:tab w:val="left" w:pos="2261"/>
        </w:tabs>
        <w:spacing w:after="120"/>
        <w:ind w:hanging="707"/>
        <w:jc w:val="both"/>
      </w:pPr>
      <w:bookmarkStart w:id="59" w:name="bookmark=id.1egqt2p" w:colFirst="0" w:colLast="0"/>
      <w:bookmarkEnd w:id="59"/>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6B4273" w:rsidRDefault="00FA0DF5">
      <w:pPr>
        <w:numPr>
          <w:ilvl w:val="3"/>
          <w:numId w:val="6"/>
        </w:numPr>
        <w:pBdr>
          <w:top w:val="nil"/>
          <w:left w:val="nil"/>
          <w:bottom w:val="nil"/>
          <w:right w:val="nil"/>
          <w:between w:val="nil"/>
        </w:pBdr>
        <w:tabs>
          <w:tab w:val="left" w:pos="2261"/>
        </w:tabs>
        <w:spacing w:after="120"/>
        <w:ind w:hanging="707"/>
        <w:jc w:val="both"/>
      </w:pPr>
      <w:bookmarkStart w:id="60" w:name="bookmark=id.3ygebqi" w:colFirst="0" w:colLast="0"/>
      <w:bookmarkEnd w:id="60"/>
      <w:r>
        <w:t>the Processor complies with any reasonable instructions notified to it in advance by the Controller with respect to the Processing of the Personal Data; and</w:t>
      </w:r>
    </w:p>
    <w:p w:rsidR="006B4273" w:rsidRDefault="00FA0DF5">
      <w:pPr>
        <w:numPr>
          <w:ilvl w:val="2"/>
          <w:numId w:val="6"/>
        </w:numPr>
        <w:pBdr>
          <w:top w:val="nil"/>
          <w:left w:val="nil"/>
          <w:bottom w:val="nil"/>
          <w:right w:val="nil"/>
          <w:between w:val="nil"/>
        </w:pBdr>
        <w:spacing w:after="120"/>
        <w:jc w:val="both"/>
      </w:pPr>
      <w:bookmarkStart w:id="61" w:name="bookmark=id.2dlolyb" w:colFirst="0" w:colLast="0"/>
      <w:bookmarkEnd w:id="61"/>
      <w:r>
        <w:t>at the written direction of the Controller, delete or return Personal Data (and any copies of it) to the Controller on termination of the Buyer Contract unless the Processor is required by Law to retain the Personal Data.</w:t>
      </w:r>
    </w:p>
    <w:p w:rsidR="006B4273" w:rsidRDefault="00FA0DF5">
      <w:pPr>
        <w:numPr>
          <w:ilvl w:val="1"/>
          <w:numId w:val="6"/>
        </w:numPr>
        <w:pBdr>
          <w:top w:val="nil"/>
          <w:left w:val="nil"/>
          <w:bottom w:val="nil"/>
          <w:right w:val="nil"/>
          <w:between w:val="nil"/>
        </w:pBdr>
        <w:spacing w:before="280" w:after="120"/>
        <w:jc w:val="both"/>
      </w:pPr>
      <w:bookmarkStart w:id="62" w:name="bookmark=id.sqyw64" w:colFirst="0" w:colLast="0"/>
      <w:bookmarkEnd w:id="62"/>
      <w:r>
        <w:t>Subject to paragraph 7 of this Annex D, the Processor shall notify the Controller immediately if in relation to it Processing Personal Data under or in connection with the Buyer Contract it:</w:t>
      </w:r>
    </w:p>
    <w:p w:rsidR="006B4273" w:rsidRDefault="00FA0DF5">
      <w:pPr>
        <w:numPr>
          <w:ilvl w:val="2"/>
          <w:numId w:val="6"/>
        </w:numPr>
        <w:pBdr>
          <w:top w:val="nil"/>
          <w:left w:val="nil"/>
          <w:bottom w:val="nil"/>
          <w:right w:val="nil"/>
          <w:between w:val="nil"/>
        </w:pBdr>
        <w:spacing w:after="120"/>
        <w:jc w:val="both"/>
      </w:pPr>
      <w:r>
        <w:t>receives a Data Subject Access Request (or purported Data Subject Access Request);</w:t>
      </w:r>
    </w:p>
    <w:p w:rsidR="006B4273" w:rsidRDefault="00FA0DF5">
      <w:pPr>
        <w:numPr>
          <w:ilvl w:val="2"/>
          <w:numId w:val="6"/>
        </w:numPr>
        <w:pBdr>
          <w:top w:val="nil"/>
          <w:left w:val="nil"/>
          <w:bottom w:val="nil"/>
          <w:right w:val="nil"/>
          <w:between w:val="nil"/>
        </w:pBdr>
        <w:spacing w:after="120"/>
        <w:jc w:val="both"/>
      </w:pPr>
      <w:r>
        <w:t xml:space="preserve">receives a request to rectify, block or erase any Personal Data; </w:t>
      </w:r>
    </w:p>
    <w:p w:rsidR="006B4273" w:rsidRDefault="00FA0DF5">
      <w:pPr>
        <w:numPr>
          <w:ilvl w:val="2"/>
          <w:numId w:val="6"/>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6B4273" w:rsidRDefault="00FA0DF5">
      <w:pPr>
        <w:numPr>
          <w:ilvl w:val="2"/>
          <w:numId w:val="6"/>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6B4273" w:rsidRDefault="00FA0DF5">
      <w:pPr>
        <w:numPr>
          <w:ilvl w:val="2"/>
          <w:numId w:val="6"/>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6B4273" w:rsidRDefault="00FA0DF5">
      <w:pPr>
        <w:numPr>
          <w:ilvl w:val="2"/>
          <w:numId w:val="6"/>
        </w:numPr>
        <w:pBdr>
          <w:top w:val="nil"/>
          <w:left w:val="nil"/>
          <w:bottom w:val="nil"/>
          <w:right w:val="nil"/>
          <w:between w:val="nil"/>
        </w:pBdr>
        <w:spacing w:after="120"/>
        <w:jc w:val="both"/>
      </w:pPr>
      <w:r>
        <w:t>becomes aware of a Personal Data Breach.</w:t>
      </w:r>
    </w:p>
    <w:p w:rsidR="006B4273" w:rsidRDefault="00FA0DF5">
      <w:pPr>
        <w:numPr>
          <w:ilvl w:val="1"/>
          <w:numId w:val="6"/>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6B4273" w:rsidRDefault="00FA0DF5">
      <w:pPr>
        <w:numPr>
          <w:ilvl w:val="1"/>
          <w:numId w:val="6"/>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6B4273" w:rsidRDefault="00FA0DF5">
      <w:pPr>
        <w:numPr>
          <w:ilvl w:val="2"/>
          <w:numId w:val="6"/>
        </w:numPr>
        <w:pBdr>
          <w:top w:val="nil"/>
          <w:left w:val="nil"/>
          <w:bottom w:val="nil"/>
          <w:right w:val="nil"/>
          <w:between w:val="nil"/>
        </w:pBdr>
        <w:spacing w:after="120"/>
        <w:jc w:val="both"/>
      </w:pPr>
      <w:r>
        <w:t>the Controller with full details and copies of the complaint, communication or request;</w:t>
      </w:r>
    </w:p>
    <w:p w:rsidR="006B4273" w:rsidRDefault="00FA0DF5">
      <w:pPr>
        <w:numPr>
          <w:ilvl w:val="2"/>
          <w:numId w:val="6"/>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6B4273" w:rsidRDefault="00FA0DF5">
      <w:pPr>
        <w:numPr>
          <w:ilvl w:val="2"/>
          <w:numId w:val="6"/>
        </w:numPr>
        <w:pBdr>
          <w:top w:val="nil"/>
          <w:left w:val="nil"/>
          <w:bottom w:val="nil"/>
          <w:right w:val="nil"/>
          <w:between w:val="nil"/>
        </w:pBdr>
        <w:spacing w:after="120"/>
        <w:jc w:val="both"/>
      </w:pPr>
      <w:r>
        <w:t xml:space="preserve">the Controller, at its request, with any Personal Data it holds in relation to a Data Subject; </w:t>
      </w:r>
    </w:p>
    <w:p w:rsidR="006B4273" w:rsidRDefault="00FA0DF5">
      <w:pPr>
        <w:numPr>
          <w:ilvl w:val="2"/>
          <w:numId w:val="6"/>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6B4273" w:rsidRDefault="00FA0DF5">
      <w:pPr>
        <w:numPr>
          <w:ilvl w:val="2"/>
          <w:numId w:val="6"/>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6B4273" w:rsidRDefault="00FA0DF5">
      <w:pPr>
        <w:numPr>
          <w:ilvl w:val="1"/>
          <w:numId w:val="6"/>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6B4273" w:rsidRDefault="00FA0DF5">
      <w:pPr>
        <w:numPr>
          <w:ilvl w:val="2"/>
          <w:numId w:val="6"/>
        </w:numPr>
        <w:pBdr>
          <w:top w:val="nil"/>
          <w:left w:val="nil"/>
          <w:bottom w:val="nil"/>
          <w:right w:val="nil"/>
          <w:between w:val="nil"/>
        </w:pBdr>
        <w:spacing w:after="120"/>
        <w:jc w:val="both"/>
      </w:pPr>
      <w:r>
        <w:t>the Controller determines that the Processing is not occasional;</w:t>
      </w:r>
    </w:p>
    <w:p w:rsidR="006B4273" w:rsidRDefault="00FA0DF5">
      <w:pPr>
        <w:numPr>
          <w:ilvl w:val="2"/>
          <w:numId w:val="6"/>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6B4273" w:rsidRDefault="00FA0DF5">
      <w:pPr>
        <w:numPr>
          <w:ilvl w:val="2"/>
          <w:numId w:val="6"/>
        </w:numPr>
        <w:pBdr>
          <w:top w:val="nil"/>
          <w:left w:val="nil"/>
          <w:bottom w:val="nil"/>
          <w:right w:val="nil"/>
          <w:between w:val="nil"/>
        </w:pBdr>
        <w:spacing w:after="120"/>
        <w:jc w:val="both"/>
      </w:pPr>
      <w:r>
        <w:t>the Controller determines that the Processing is likely to result in a risk to the rights and freedoms of Data Subjects.</w:t>
      </w:r>
    </w:p>
    <w:p w:rsidR="006B4273" w:rsidRDefault="00FA0DF5">
      <w:pPr>
        <w:numPr>
          <w:ilvl w:val="1"/>
          <w:numId w:val="6"/>
        </w:numPr>
        <w:pBdr>
          <w:top w:val="nil"/>
          <w:left w:val="nil"/>
          <w:bottom w:val="nil"/>
          <w:right w:val="nil"/>
          <w:between w:val="nil"/>
        </w:pBdr>
        <w:spacing w:before="280" w:after="120"/>
        <w:jc w:val="both"/>
      </w:pPr>
      <w:bookmarkStart w:id="63" w:name="bookmark=id.3cqmetx" w:colFirst="0" w:colLast="0"/>
      <w:bookmarkEnd w:id="63"/>
      <w:r>
        <w:t>The Processor shall allow for audits of its Data Processing activity by the Controller or the Controller’s designated auditor.</w:t>
      </w:r>
    </w:p>
    <w:p w:rsidR="006B4273" w:rsidRDefault="00FA0DF5">
      <w:pPr>
        <w:numPr>
          <w:ilvl w:val="1"/>
          <w:numId w:val="6"/>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6B4273" w:rsidRDefault="00FA0DF5">
      <w:pPr>
        <w:numPr>
          <w:ilvl w:val="1"/>
          <w:numId w:val="6"/>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6B4273" w:rsidRDefault="00FA0DF5">
      <w:pPr>
        <w:numPr>
          <w:ilvl w:val="2"/>
          <w:numId w:val="6"/>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6B4273" w:rsidRDefault="00FA0DF5">
      <w:pPr>
        <w:numPr>
          <w:ilvl w:val="2"/>
          <w:numId w:val="6"/>
        </w:numPr>
        <w:pBdr>
          <w:top w:val="nil"/>
          <w:left w:val="nil"/>
          <w:bottom w:val="nil"/>
          <w:right w:val="nil"/>
          <w:between w:val="nil"/>
        </w:pBdr>
        <w:spacing w:after="120"/>
        <w:jc w:val="both"/>
      </w:pPr>
      <w:r>
        <w:t xml:space="preserve">obtain the written consent of the Controller; </w:t>
      </w:r>
    </w:p>
    <w:p w:rsidR="006B4273" w:rsidRDefault="00FA0DF5">
      <w:pPr>
        <w:numPr>
          <w:ilvl w:val="2"/>
          <w:numId w:val="6"/>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6B4273" w:rsidRDefault="00FA0DF5">
      <w:pPr>
        <w:numPr>
          <w:ilvl w:val="2"/>
          <w:numId w:val="6"/>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6B4273" w:rsidRDefault="00FA0DF5">
      <w:pPr>
        <w:numPr>
          <w:ilvl w:val="1"/>
          <w:numId w:val="6"/>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6B4273" w:rsidRDefault="00FA0DF5">
      <w:pPr>
        <w:numPr>
          <w:ilvl w:val="1"/>
          <w:numId w:val="6"/>
        </w:numPr>
        <w:pBdr>
          <w:top w:val="nil"/>
          <w:left w:val="nil"/>
          <w:bottom w:val="nil"/>
          <w:right w:val="nil"/>
          <w:between w:val="nil"/>
        </w:pBdr>
        <w:spacing w:before="280" w:after="120"/>
        <w:jc w:val="both"/>
      </w:pPr>
      <w:bookmarkStart w:id="64" w:name="bookmark=id.1rvwp1q" w:colFirst="0" w:colLast="0"/>
      <w:bookmarkEnd w:id="64"/>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6B4273" w:rsidRDefault="00FA0DF5">
      <w:pPr>
        <w:numPr>
          <w:ilvl w:val="1"/>
          <w:numId w:val="6"/>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6B4273" w:rsidRDefault="00FA0DF5">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6B4273" w:rsidRDefault="00FA0DF5">
      <w:pPr>
        <w:numPr>
          <w:ilvl w:val="1"/>
          <w:numId w:val="6"/>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6B4273" w:rsidRDefault="00FA0DF5">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6B4273" w:rsidRDefault="00FA0DF5">
      <w:pPr>
        <w:numPr>
          <w:ilvl w:val="1"/>
          <w:numId w:val="6"/>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6B4273" w:rsidRDefault="00FA0DF5">
      <w:pPr>
        <w:numPr>
          <w:ilvl w:val="1"/>
          <w:numId w:val="6"/>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6B4273" w:rsidRDefault="00FA0DF5">
      <w:pPr>
        <w:numPr>
          <w:ilvl w:val="1"/>
          <w:numId w:val="6"/>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6B4273" w:rsidRDefault="00FA0DF5">
      <w:pPr>
        <w:numPr>
          <w:ilvl w:val="1"/>
          <w:numId w:val="6"/>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6B4273" w:rsidRDefault="00FA0DF5">
      <w:pPr>
        <w:numPr>
          <w:ilvl w:val="1"/>
          <w:numId w:val="6"/>
        </w:numPr>
        <w:pBdr>
          <w:top w:val="nil"/>
          <w:left w:val="nil"/>
          <w:bottom w:val="nil"/>
          <w:right w:val="nil"/>
          <w:between w:val="nil"/>
        </w:pBdr>
        <w:spacing w:before="280" w:after="120"/>
        <w:jc w:val="both"/>
      </w:pPr>
      <w:r>
        <w:t>The Parties shall only provide Personal Data to each other:</w:t>
      </w:r>
    </w:p>
    <w:p w:rsidR="006B4273" w:rsidRDefault="00FA0DF5">
      <w:pPr>
        <w:numPr>
          <w:ilvl w:val="2"/>
          <w:numId w:val="6"/>
        </w:numPr>
        <w:pBdr>
          <w:top w:val="nil"/>
          <w:left w:val="nil"/>
          <w:bottom w:val="nil"/>
          <w:right w:val="nil"/>
          <w:between w:val="nil"/>
        </w:pBdr>
        <w:spacing w:before="280" w:after="120"/>
        <w:jc w:val="both"/>
      </w:pPr>
      <w:r>
        <w:t>to the extent necessary to perform their respective obligations under the Buyer Contract;</w:t>
      </w:r>
    </w:p>
    <w:p w:rsidR="006B4273" w:rsidRDefault="00FA0DF5">
      <w:pPr>
        <w:numPr>
          <w:ilvl w:val="2"/>
          <w:numId w:val="6"/>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6B4273" w:rsidRDefault="00FA0DF5">
      <w:pPr>
        <w:numPr>
          <w:ilvl w:val="2"/>
          <w:numId w:val="6"/>
        </w:numPr>
        <w:pBdr>
          <w:top w:val="nil"/>
          <w:left w:val="nil"/>
          <w:bottom w:val="nil"/>
          <w:right w:val="nil"/>
          <w:between w:val="nil"/>
        </w:pBdr>
        <w:spacing w:before="280" w:after="120"/>
        <w:jc w:val="both"/>
      </w:pPr>
      <w:r>
        <w:t xml:space="preserve">where it has recorded it in Appendix 1 </w:t>
      </w:r>
      <w:r>
        <w:rPr>
          <w:i/>
        </w:rPr>
        <w:t>(Processing Personal Data).</w:t>
      </w:r>
    </w:p>
    <w:p w:rsidR="006B4273" w:rsidRDefault="00FA0DF5">
      <w:pPr>
        <w:numPr>
          <w:ilvl w:val="1"/>
          <w:numId w:val="6"/>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6B4273" w:rsidRDefault="00FA0DF5">
      <w:pPr>
        <w:numPr>
          <w:ilvl w:val="1"/>
          <w:numId w:val="6"/>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6B4273" w:rsidRDefault="00FA0DF5">
      <w:pPr>
        <w:numPr>
          <w:ilvl w:val="1"/>
          <w:numId w:val="6"/>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6B4273" w:rsidRDefault="00FA0DF5">
      <w:pPr>
        <w:numPr>
          <w:ilvl w:val="2"/>
          <w:numId w:val="6"/>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6B4273" w:rsidRDefault="00FA0DF5">
      <w:pPr>
        <w:numPr>
          <w:ilvl w:val="2"/>
          <w:numId w:val="6"/>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6B4273" w:rsidRDefault="00FA0DF5">
      <w:pPr>
        <w:numPr>
          <w:ilvl w:val="3"/>
          <w:numId w:val="6"/>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6B4273" w:rsidRDefault="00FA0DF5">
      <w:pPr>
        <w:numPr>
          <w:ilvl w:val="3"/>
          <w:numId w:val="6"/>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6B4273" w:rsidRDefault="00FA0DF5">
      <w:pPr>
        <w:numPr>
          <w:ilvl w:val="1"/>
          <w:numId w:val="6"/>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6B4273" w:rsidRDefault="00FA0DF5">
      <w:pPr>
        <w:numPr>
          <w:ilvl w:val="2"/>
          <w:numId w:val="6"/>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6B4273" w:rsidRDefault="00FA0DF5">
      <w:pPr>
        <w:numPr>
          <w:ilvl w:val="2"/>
          <w:numId w:val="6"/>
        </w:numPr>
        <w:pBdr>
          <w:top w:val="nil"/>
          <w:left w:val="nil"/>
          <w:bottom w:val="nil"/>
          <w:right w:val="nil"/>
          <w:between w:val="nil"/>
        </w:pBdr>
        <w:spacing w:before="280" w:after="120"/>
        <w:jc w:val="both"/>
      </w:pPr>
      <w:r>
        <w:t xml:space="preserve">implement any measures necessary to restore the security of any compromised Personal Data; </w:t>
      </w:r>
    </w:p>
    <w:p w:rsidR="006B4273" w:rsidRDefault="00FA0DF5">
      <w:pPr>
        <w:numPr>
          <w:ilvl w:val="2"/>
          <w:numId w:val="6"/>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6B4273" w:rsidRDefault="00FA0DF5">
      <w:pPr>
        <w:numPr>
          <w:ilvl w:val="2"/>
          <w:numId w:val="6"/>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6B4273" w:rsidRDefault="00FA0DF5">
      <w:pPr>
        <w:numPr>
          <w:ilvl w:val="1"/>
          <w:numId w:val="6"/>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6B4273" w:rsidRDefault="00FA0DF5">
      <w:pPr>
        <w:numPr>
          <w:ilvl w:val="1"/>
          <w:numId w:val="6"/>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6B4273" w:rsidRDefault="00FA0DF5">
      <w:pPr>
        <w:numPr>
          <w:ilvl w:val="1"/>
          <w:numId w:val="6"/>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6B4273" w:rsidRDefault="00FA0DF5">
      <w:pPr>
        <w:rPr>
          <w:b/>
        </w:rPr>
      </w:pPr>
      <w:r>
        <w:br w:type="page"/>
      </w:r>
    </w:p>
    <w:p w:rsidR="006B4273" w:rsidRDefault="00FA0DF5">
      <w:pPr>
        <w:pStyle w:val="Heading2"/>
        <w:spacing w:before="0" w:after="240"/>
        <w:ind w:left="709" w:hanging="709"/>
        <w:jc w:val="center"/>
        <w:rPr>
          <w:b/>
          <w:color w:val="000000"/>
          <w:sz w:val="20"/>
          <w:szCs w:val="20"/>
        </w:rPr>
      </w:pPr>
      <w:r>
        <w:rPr>
          <w:b/>
          <w:color w:val="000000"/>
          <w:sz w:val="20"/>
          <w:szCs w:val="20"/>
        </w:rPr>
        <w:lastRenderedPageBreak/>
        <w:t>Appendix 1 - Processing Personal Data – NOT USED</w:t>
      </w:r>
      <w:r>
        <w:br w:type="page"/>
      </w:r>
    </w:p>
    <w:p w:rsidR="006B4273" w:rsidRDefault="00FA0DF5">
      <w:pPr>
        <w:jc w:val="center"/>
        <w:rPr>
          <w:b/>
        </w:rPr>
      </w:pPr>
      <w:r>
        <w:rPr>
          <w:b/>
        </w:rPr>
        <w:lastRenderedPageBreak/>
        <w:t>Appendix 2 - Joint Controller Agreement – NOT USED</w:t>
      </w:r>
    </w:p>
    <w:p w:rsidR="006B4273" w:rsidRDefault="006B4273">
      <w:pPr>
        <w:jc w:val="center"/>
      </w:pPr>
    </w:p>
    <w:p w:rsidR="006B4273" w:rsidRDefault="006B4273">
      <w:pPr>
        <w:ind w:left="1769" w:hanging="566"/>
      </w:pPr>
    </w:p>
    <w:p w:rsidR="006B4273" w:rsidRDefault="00FA0DF5">
      <w:pPr>
        <w:rPr>
          <w:b/>
        </w:rPr>
      </w:pPr>
      <w:r>
        <w:br w:type="page"/>
      </w:r>
    </w:p>
    <w:p w:rsidR="006B4273" w:rsidRDefault="00FA0DF5">
      <w:pPr>
        <w:tabs>
          <w:tab w:val="left" w:pos="2257"/>
        </w:tabs>
        <w:jc w:val="center"/>
        <w:rPr>
          <w:b/>
        </w:rPr>
      </w:pPr>
      <w:r>
        <w:rPr>
          <w:b/>
        </w:rPr>
        <w:lastRenderedPageBreak/>
        <w:t>Annex E</w:t>
      </w:r>
    </w:p>
    <w:p w:rsidR="006B4273" w:rsidRDefault="00FA0DF5">
      <w:pPr>
        <w:tabs>
          <w:tab w:val="left" w:pos="2257"/>
        </w:tabs>
        <w:jc w:val="center"/>
        <w:rPr>
          <w:b/>
        </w:rPr>
      </w:pPr>
      <w:r>
        <w:rPr>
          <w:b/>
        </w:rPr>
        <w:t>Suitability Assessment Questionnaire</w:t>
      </w:r>
    </w:p>
    <w:p w:rsidR="006B4273" w:rsidRDefault="006B4273">
      <w:pPr>
        <w:tabs>
          <w:tab w:val="left" w:pos="2257"/>
        </w:tabs>
        <w:jc w:val="center"/>
        <w:rPr>
          <w:b/>
        </w:rPr>
      </w:pPr>
    </w:p>
    <w:p w:rsidR="006B4273" w:rsidRDefault="006B4273">
      <w:pPr>
        <w:tabs>
          <w:tab w:val="left" w:pos="2257"/>
        </w:tabs>
        <w:jc w:val="center"/>
        <w:rPr>
          <w:b/>
        </w:rPr>
      </w:pPr>
    </w:p>
    <w:p w:rsidR="006B4273" w:rsidRDefault="00FA0DF5">
      <w:pPr>
        <w:jc w:val="center"/>
      </w:pPr>
      <w:r>
        <w:rPr>
          <w:b/>
        </w:rPr>
        <w:t>Redacted under FOIA section 43, Commercial Interests</w:t>
      </w:r>
    </w:p>
    <w:p w:rsidR="006B4273" w:rsidRDefault="006B4273">
      <w:pPr>
        <w:rPr>
          <w:b/>
        </w:rPr>
      </w:pPr>
    </w:p>
    <w:p w:rsidR="006B4273" w:rsidRDefault="00FA0DF5">
      <w:pPr>
        <w:rPr>
          <w:b/>
        </w:rPr>
      </w:pPr>
      <w:r>
        <w:br w:type="page"/>
      </w:r>
    </w:p>
    <w:p w:rsidR="006B4273" w:rsidRDefault="00FA0DF5">
      <w:pPr>
        <w:tabs>
          <w:tab w:val="left" w:pos="2257"/>
        </w:tabs>
        <w:jc w:val="center"/>
        <w:rPr>
          <w:b/>
        </w:rPr>
      </w:pPr>
      <w:r>
        <w:rPr>
          <w:b/>
        </w:rPr>
        <w:lastRenderedPageBreak/>
        <w:t>Annex F</w:t>
      </w:r>
    </w:p>
    <w:p w:rsidR="006B4273" w:rsidRDefault="006B4273">
      <w:pPr>
        <w:tabs>
          <w:tab w:val="left" w:pos="2257"/>
        </w:tabs>
        <w:jc w:val="center"/>
        <w:rPr>
          <w:b/>
        </w:rPr>
      </w:pPr>
    </w:p>
    <w:p w:rsidR="006B4273" w:rsidRDefault="00FA0DF5">
      <w:pPr>
        <w:tabs>
          <w:tab w:val="left" w:pos="2257"/>
        </w:tabs>
        <w:jc w:val="center"/>
        <w:rPr>
          <w:b/>
        </w:rPr>
      </w:pPr>
      <w:r>
        <w:rPr>
          <w:b/>
        </w:rPr>
        <w:t>Part 1 – Deliverables</w:t>
      </w:r>
    </w:p>
    <w:p w:rsidR="006B4273" w:rsidRDefault="006B4273">
      <w:pPr>
        <w:tabs>
          <w:tab w:val="left" w:pos="2257"/>
        </w:tabs>
        <w:jc w:val="center"/>
        <w:rPr>
          <w:b/>
        </w:rPr>
      </w:pPr>
    </w:p>
    <w:p w:rsidR="006B4273" w:rsidRDefault="00FA0DF5">
      <w:pPr>
        <w:shd w:val="clear" w:color="auto" w:fill="FFFFFF"/>
        <w:spacing w:line="276" w:lineRule="auto"/>
        <w:rPr>
          <w:rFonts w:ascii="Calibri" w:eastAsia="Calibri" w:hAnsi="Calibri" w:cs="Calibri"/>
          <w:b/>
          <w:color w:val="222222"/>
          <w:sz w:val="34"/>
          <w:szCs w:val="34"/>
          <w:u w:val="single"/>
        </w:rPr>
      </w:pPr>
      <w:r>
        <w:rPr>
          <w:rFonts w:ascii="Calibri" w:eastAsia="Calibri" w:hAnsi="Calibri" w:cs="Calibri"/>
          <w:b/>
          <w:color w:val="222222"/>
          <w:sz w:val="34"/>
          <w:szCs w:val="34"/>
          <w:u w:val="single"/>
        </w:rPr>
        <w:t xml:space="preserve">Leadership Impact </w:t>
      </w:r>
      <w:proofErr w:type="spellStart"/>
      <w:r>
        <w:rPr>
          <w:rFonts w:ascii="Calibri" w:eastAsia="Calibri" w:hAnsi="Calibri" w:cs="Calibri"/>
          <w:b/>
          <w:color w:val="222222"/>
          <w:sz w:val="34"/>
          <w:szCs w:val="34"/>
          <w:u w:val="single"/>
        </w:rPr>
        <w:t>Programme</w:t>
      </w:r>
      <w:proofErr w:type="spellEnd"/>
      <w:r>
        <w:rPr>
          <w:rFonts w:ascii="Calibri" w:eastAsia="Calibri" w:hAnsi="Calibri" w:cs="Calibri"/>
          <w:b/>
          <w:color w:val="222222"/>
          <w:sz w:val="34"/>
          <w:szCs w:val="34"/>
          <w:u w:val="single"/>
        </w:rPr>
        <w:t xml:space="preserve"> - B5 &amp; B6 Peer Group</w:t>
      </w:r>
    </w:p>
    <w:p w:rsidR="006B4273" w:rsidRPr="00916CE0" w:rsidRDefault="00FA0DF5" w:rsidP="00916CE0">
      <w:pP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 </w:t>
      </w:r>
      <w:bookmarkStart w:id="65" w:name="_GoBack"/>
      <w:bookmarkEnd w:id="65"/>
    </w:p>
    <w:p w:rsidR="006B4273" w:rsidRDefault="00FA0DF5">
      <w:pP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A </w:t>
      </w:r>
      <w:proofErr w:type="gramStart"/>
      <w:r>
        <w:rPr>
          <w:rFonts w:ascii="Calibri" w:eastAsia="Calibri" w:hAnsi="Calibri" w:cs="Calibri"/>
          <w:color w:val="222222"/>
          <w:sz w:val="22"/>
          <w:szCs w:val="22"/>
        </w:rPr>
        <w:t>five month</w:t>
      </w:r>
      <w:proofErr w:type="gramEnd"/>
      <w:r>
        <w:rPr>
          <w:rFonts w:ascii="Calibri" w:eastAsia="Calibri" w:hAnsi="Calibri" w:cs="Calibri"/>
          <w:color w:val="222222"/>
          <w:sz w:val="22"/>
          <w:szCs w:val="22"/>
        </w:rPr>
        <w:t xml:space="preserve"> </w:t>
      </w:r>
      <w:proofErr w:type="spellStart"/>
      <w:r>
        <w:rPr>
          <w:rFonts w:ascii="Calibri" w:eastAsia="Calibri" w:hAnsi="Calibri" w:cs="Calibri"/>
          <w:color w:val="222222"/>
          <w:sz w:val="22"/>
          <w:szCs w:val="22"/>
        </w:rPr>
        <w:t>programme</w:t>
      </w:r>
      <w:proofErr w:type="spellEnd"/>
      <w:r>
        <w:rPr>
          <w:rFonts w:ascii="Calibri" w:eastAsia="Calibri" w:hAnsi="Calibri" w:cs="Calibri"/>
          <w:color w:val="222222"/>
          <w:sz w:val="22"/>
          <w:szCs w:val="22"/>
        </w:rPr>
        <w:t>:</w:t>
      </w:r>
    </w:p>
    <w:p w:rsidR="006B4273" w:rsidRDefault="00FA0DF5">
      <w:pP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 </w:t>
      </w:r>
    </w:p>
    <w:p w:rsidR="006B4273" w:rsidRDefault="00FA0DF5">
      <w:pPr>
        <w:numPr>
          <w:ilvl w:val="0"/>
          <w:numId w:val="8"/>
        </w:numPr>
        <w:shd w:val="clear" w:color="auto" w:fill="FFFFFF"/>
        <w:spacing w:line="276" w:lineRule="auto"/>
      </w:pPr>
      <w:r>
        <w:rPr>
          <w:rFonts w:ascii="Calibri" w:eastAsia="Calibri" w:hAnsi="Calibri" w:cs="Calibri"/>
          <w:color w:val="222222"/>
          <w:sz w:val="24"/>
          <w:szCs w:val="24"/>
        </w:rPr>
        <w:t>One month to set-up</w:t>
      </w:r>
      <w:r w:rsidR="00916CE0">
        <w:rPr>
          <w:rFonts w:ascii="Calibri" w:eastAsia="Calibri" w:hAnsi="Calibri" w:cs="Calibri"/>
          <w:strike/>
          <w:color w:val="222222"/>
          <w:sz w:val="24"/>
          <w:szCs w:val="24"/>
        </w:rPr>
        <w:t>,</w:t>
      </w:r>
    </w:p>
    <w:p w:rsidR="006B4273" w:rsidRDefault="00FA0DF5">
      <w:pPr>
        <w:numPr>
          <w:ilvl w:val="0"/>
          <w:numId w:val="8"/>
        </w:numPr>
        <w:shd w:val="clear" w:color="auto" w:fill="FFFFFF"/>
        <w:spacing w:after="200" w:line="276" w:lineRule="auto"/>
        <w:rPr>
          <w:color w:val="000000"/>
        </w:rPr>
      </w:pPr>
      <w:r>
        <w:rPr>
          <w:rFonts w:ascii="Calibri" w:eastAsia="Calibri" w:hAnsi="Calibri" w:cs="Calibri"/>
          <w:sz w:val="24"/>
          <w:szCs w:val="24"/>
        </w:rPr>
        <w:t xml:space="preserve">Four months of virtual training and coaching - one month each for our four priorities </w:t>
      </w:r>
    </w:p>
    <w:p w:rsidR="006B4273" w:rsidRDefault="00FA0DF5">
      <w:pP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 </w:t>
      </w:r>
    </w:p>
    <w:p w:rsidR="006B4273" w:rsidRDefault="00FA0DF5">
      <w:pPr>
        <w:shd w:val="clear" w:color="auto" w:fill="FFFFFF"/>
        <w:spacing w:line="276" w:lineRule="auto"/>
        <w:rPr>
          <w:rFonts w:ascii="Calibri" w:eastAsia="Calibri" w:hAnsi="Calibri" w:cs="Calibri"/>
          <w:color w:val="222222"/>
          <w:sz w:val="22"/>
          <w:szCs w:val="22"/>
        </w:rPr>
      </w:pPr>
      <w:r>
        <w:rPr>
          <w:rFonts w:ascii="Calibri" w:eastAsia="Calibri" w:hAnsi="Calibri" w:cs="Calibri"/>
          <w:color w:val="222222"/>
          <w:sz w:val="22"/>
          <w:szCs w:val="22"/>
        </w:rPr>
        <w:t xml:space="preserve">The </w:t>
      </w:r>
      <w:proofErr w:type="spellStart"/>
      <w:r>
        <w:rPr>
          <w:rFonts w:ascii="Calibri" w:eastAsia="Calibri" w:hAnsi="Calibri" w:cs="Calibri"/>
          <w:color w:val="222222"/>
          <w:sz w:val="22"/>
          <w:szCs w:val="22"/>
        </w:rPr>
        <w:t>programme</w:t>
      </w:r>
      <w:proofErr w:type="spellEnd"/>
      <w:r>
        <w:rPr>
          <w:rFonts w:ascii="Calibri" w:eastAsia="Calibri" w:hAnsi="Calibri" w:cs="Calibri"/>
          <w:color w:val="222222"/>
          <w:sz w:val="22"/>
          <w:szCs w:val="22"/>
        </w:rPr>
        <w:t xml:space="preserve"> combines training, coaching, accountability and relentless embedding… with the aim of causing last improvemen</w:t>
      </w:r>
      <w:r w:rsidR="00C23191">
        <w:rPr>
          <w:rFonts w:ascii="Calibri" w:eastAsia="Calibri" w:hAnsi="Calibri" w:cs="Calibri"/>
          <w:color w:val="222222"/>
          <w:sz w:val="22"/>
          <w:szCs w:val="22"/>
        </w:rPr>
        <w:t>t</w:t>
      </w:r>
    </w:p>
    <w:p w:rsidR="006B4273" w:rsidRPr="00C23191" w:rsidRDefault="00FA0DF5">
      <w:pPr>
        <w:shd w:val="clear" w:color="auto" w:fill="FFFFFF"/>
        <w:spacing w:line="276" w:lineRule="auto"/>
        <w:rPr>
          <w:rFonts w:ascii="Calibri" w:eastAsia="Calibri" w:hAnsi="Calibri" w:cs="Calibri"/>
          <w:strike/>
          <w:color w:val="222222"/>
          <w:sz w:val="22"/>
          <w:szCs w:val="22"/>
        </w:rPr>
      </w:pPr>
      <w:r w:rsidRPr="00C23191">
        <w:rPr>
          <w:rFonts w:ascii="Calibri" w:eastAsia="Calibri" w:hAnsi="Calibri" w:cs="Calibri"/>
          <w:strike/>
          <w:color w:val="222222"/>
          <w:sz w:val="22"/>
          <w:szCs w:val="22"/>
        </w:rPr>
        <w:t xml:space="preserve"> </w:t>
      </w:r>
    </w:p>
    <w:p w:rsidR="006B4273" w:rsidRDefault="006B4273">
      <w:pPr>
        <w:shd w:val="clear" w:color="auto" w:fill="FFFFFF"/>
        <w:spacing w:line="276" w:lineRule="auto"/>
        <w:rPr>
          <w:rFonts w:ascii="Calibri" w:eastAsia="Calibri" w:hAnsi="Calibri" w:cs="Calibri"/>
          <w:sz w:val="22"/>
          <w:szCs w:val="22"/>
        </w:rPr>
      </w:pPr>
    </w:p>
    <w:p w:rsidR="006B4273" w:rsidRDefault="00FA0DF5">
      <w:pPr>
        <w:shd w:val="clear" w:color="auto" w:fill="FFFFFF"/>
        <w:spacing w:line="276" w:lineRule="auto"/>
        <w:rPr>
          <w:rFonts w:ascii="Calibri" w:eastAsia="Calibri" w:hAnsi="Calibri" w:cs="Calibri"/>
          <w:b/>
          <w:sz w:val="22"/>
          <w:szCs w:val="22"/>
          <w:u w:val="single"/>
        </w:rPr>
      </w:pPr>
      <w:r>
        <w:rPr>
          <w:rFonts w:ascii="Calibri" w:eastAsia="Calibri" w:hAnsi="Calibri" w:cs="Calibri"/>
          <w:b/>
          <w:sz w:val="22"/>
          <w:szCs w:val="22"/>
          <w:u w:val="single"/>
        </w:rPr>
        <w:t>Confirming timings</w:t>
      </w:r>
    </w:p>
    <w:p w:rsidR="006B4273" w:rsidRDefault="00FA0DF5">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 </w:t>
      </w:r>
    </w:p>
    <w:p w:rsidR="006B4273" w:rsidRDefault="006B4273">
      <w:pPr>
        <w:shd w:val="clear" w:color="auto" w:fill="FFFFFF"/>
        <w:spacing w:line="276" w:lineRule="auto"/>
        <w:rPr>
          <w:rFonts w:ascii="Calibri" w:eastAsia="Calibri" w:hAnsi="Calibri" w:cs="Calibri"/>
          <w:sz w:val="22"/>
          <w:szCs w:val="22"/>
        </w:rPr>
      </w:pPr>
    </w:p>
    <w:tbl>
      <w:tblPr>
        <w:tblStyle w:val="ad"/>
        <w:tblW w:w="7710" w:type="dxa"/>
        <w:tblBorders>
          <w:top w:val="nil"/>
          <w:left w:val="nil"/>
          <w:bottom w:val="nil"/>
          <w:right w:val="nil"/>
          <w:insideH w:val="nil"/>
          <w:insideV w:val="nil"/>
        </w:tblBorders>
        <w:tblLayout w:type="fixed"/>
        <w:tblLook w:val="0600" w:firstRow="0" w:lastRow="0" w:firstColumn="0" w:lastColumn="0" w:noHBand="1" w:noVBand="1"/>
      </w:tblPr>
      <w:tblGrid>
        <w:gridCol w:w="1005"/>
        <w:gridCol w:w="960"/>
        <w:gridCol w:w="915"/>
        <w:gridCol w:w="1140"/>
        <w:gridCol w:w="825"/>
        <w:gridCol w:w="960"/>
        <w:gridCol w:w="945"/>
        <w:gridCol w:w="960"/>
      </w:tblGrid>
      <w:tr w:rsidR="006B4273">
        <w:trPr>
          <w:trHeight w:val="300"/>
        </w:trPr>
        <w:tc>
          <w:tcPr>
            <w:tcW w:w="1005" w:type="dxa"/>
            <w:tcBorders>
              <w:top w:val="single" w:sz="8" w:space="0" w:color="000000"/>
              <w:left w:val="single" w:sz="8" w:space="0" w:color="000000"/>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 xml:space="preserve"> </w:t>
            </w:r>
          </w:p>
        </w:tc>
        <w:tc>
          <w:tcPr>
            <w:tcW w:w="960"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vertAlign w:val="superscript"/>
              </w:rPr>
            </w:pPr>
            <w:r>
              <w:rPr>
                <w:rFonts w:ascii="Calibri" w:eastAsia="Calibri" w:hAnsi="Calibri" w:cs="Calibri"/>
              </w:rPr>
              <w:t xml:space="preserve">Aug </w:t>
            </w:r>
            <w:r>
              <w:rPr>
                <w:rFonts w:ascii="Calibri" w:eastAsia="Calibri" w:hAnsi="Calibri" w:cs="Calibri"/>
                <w:vertAlign w:val="superscript"/>
              </w:rPr>
              <w:t>(1)</w:t>
            </w:r>
          </w:p>
        </w:tc>
        <w:tc>
          <w:tcPr>
            <w:tcW w:w="915"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Sept</w:t>
            </w:r>
          </w:p>
        </w:tc>
        <w:tc>
          <w:tcPr>
            <w:tcW w:w="1140"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Oct</w:t>
            </w:r>
          </w:p>
        </w:tc>
        <w:tc>
          <w:tcPr>
            <w:tcW w:w="825"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Nov</w:t>
            </w:r>
          </w:p>
        </w:tc>
        <w:tc>
          <w:tcPr>
            <w:tcW w:w="960"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Dec</w:t>
            </w:r>
          </w:p>
        </w:tc>
        <w:tc>
          <w:tcPr>
            <w:tcW w:w="945"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Jan</w:t>
            </w:r>
          </w:p>
        </w:tc>
        <w:tc>
          <w:tcPr>
            <w:tcW w:w="960" w:type="dxa"/>
            <w:tcBorders>
              <w:top w:val="single" w:sz="8" w:space="0" w:color="000000"/>
              <w:left w:val="nil"/>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Feb</w:t>
            </w:r>
          </w:p>
        </w:tc>
      </w:tr>
      <w:tr w:rsidR="006B4273">
        <w:trPr>
          <w:trHeight w:val="518"/>
        </w:trPr>
        <w:tc>
          <w:tcPr>
            <w:tcW w:w="1005" w:type="dxa"/>
            <w:tcBorders>
              <w:top w:val="nil"/>
              <w:left w:val="single" w:sz="8" w:space="0" w:color="000000"/>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Band 6</w:t>
            </w:r>
          </w:p>
        </w:tc>
        <w:tc>
          <w:tcPr>
            <w:tcW w:w="9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 xml:space="preserve">PREP </w:t>
            </w:r>
          </w:p>
        </w:tc>
        <w:tc>
          <w:tcPr>
            <w:tcW w:w="3840" w:type="dxa"/>
            <w:gridSpan w:val="4"/>
            <w:tcBorders>
              <w:top w:val="nil"/>
              <w:left w:val="nil"/>
              <w:bottom w:val="single" w:sz="8" w:space="0" w:color="000000"/>
              <w:right w:val="single" w:sz="8" w:space="0" w:color="000000"/>
            </w:tcBorders>
            <w:shd w:val="clear" w:color="auto" w:fill="C1F0C7"/>
            <w:tcMar>
              <w:top w:w="0" w:type="dxa"/>
              <w:left w:w="100" w:type="dxa"/>
              <w:bottom w:w="0" w:type="dxa"/>
              <w:right w:w="100" w:type="dxa"/>
            </w:tcMar>
          </w:tcPr>
          <w:p w:rsidR="006B4273" w:rsidRDefault="00FA0DF5">
            <w:pPr>
              <w:spacing w:line="276" w:lineRule="auto"/>
              <w:jc w:val="center"/>
              <w:rPr>
                <w:rFonts w:ascii="Calibri" w:eastAsia="Calibri" w:hAnsi="Calibri" w:cs="Calibri"/>
                <w:vertAlign w:val="superscript"/>
              </w:rPr>
            </w:pPr>
            <w:r>
              <w:rPr>
                <w:rFonts w:ascii="Calibri" w:eastAsia="Calibri" w:hAnsi="Calibri" w:cs="Calibri"/>
              </w:rPr>
              <w:t xml:space="preserve">TRAINING &amp; COACHING </w:t>
            </w:r>
            <w:r>
              <w:rPr>
                <w:rFonts w:ascii="Calibri" w:eastAsia="Calibri" w:hAnsi="Calibri" w:cs="Calibri"/>
                <w:vertAlign w:val="superscript"/>
              </w:rPr>
              <w:t>(2)</w:t>
            </w:r>
          </w:p>
        </w:tc>
        <w:tc>
          <w:tcPr>
            <w:tcW w:w="94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 xml:space="preserve"> </w:t>
            </w:r>
          </w:p>
        </w:tc>
        <w:tc>
          <w:tcPr>
            <w:tcW w:w="9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 xml:space="preserve"> </w:t>
            </w:r>
          </w:p>
        </w:tc>
      </w:tr>
      <w:tr w:rsidR="006B4273">
        <w:trPr>
          <w:trHeight w:val="362"/>
        </w:trPr>
        <w:tc>
          <w:tcPr>
            <w:tcW w:w="1005" w:type="dxa"/>
            <w:tcBorders>
              <w:top w:val="nil"/>
              <w:left w:val="single" w:sz="8" w:space="0" w:color="000000"/>
              <w:bottom w:val="single" w:sz="8" w:space="0" w:color="000000"/>
              <w:right w:val="single" w:sz="8" w:space="0" w:color="000000"/>
            </w:tcBorders>
            <w:shd w:val="clear" w:color="auto" w:fill="84E290"/>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Band 5</w:t>
            </w:r>
          </w:p>
        </w:tc>
        <w:tc>
          <w:tcPr>
            <w:tcW w:w="9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6B4273" w:rsidRDefault="006B4273">
            <w:pPr>
              <w:spacing w:line="276" w:lineRule="auto"/>
              <w:jc w:val="center"/>
              <w:rPr>
                <w:rFonts w:ascii="Calibri" w:eastAsia="Calibri" w:hAnsi="Calibri" w:cs="Calibri"/>
              </w:rPr>
            </w:pPr>
          </w:p>
        </w:tc>
        <w:tc>
          <w:tcPr>
            <w:tcW w:w="9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6B4273" w:rsidRDefault="00FA0DF5">
            <w:pPr>
              <w:spacing w:line="276" w:lineRule="auto"/>
              <w:jc w:val="center"/>
              <w:rPr>
                <w:rFonts w:ascii="Calibri" w:eastAsia="Calibri" w:hAnsi="Calibri" w:cs="Calibri"/>
              </w:rPr>
            </w:pPr>
            <w:r>
              <w:rPr>
                <w:rFonts w:ascii="Calibri" w:eastAsia="Calibri" w:hAnsi="Calibri" w:cs="Calibri"/>
              </w:rPr>
              <w:t xml:space="preserve">PREP  </w:t>
            </w:r>
          </w:p>
        </w:tc>
        <w:tc>
          <w:tcPr>
            <w:tcW w:w="4830" w:type="dxa"/>
            <w:gridSpan w:val="5"/>
            <w:tcBorders>
              <w:top w:val="nil"/>
              <w:left w:val="nil"/>
              <w:bottom w:val="single" w:sz="8" w:space="0" w:color="000000"/>
              <w:right w:val="single" w:sz="8" w:space="0" w:color="000000"/>
            </w:tcBorders>
            <w:shd w:val="clear" w:color="auto" w:fill="C1F0C7"/>
            <w:tcMar>
              <w:top w:w="0" w:type="dxa"/>
              <w:left w:w="100" w:type="dxa"/>
              <w:bottom w:w="0" w:type="dxa"/>
              <w:right w:w="100" w:type="dxa"/>
            </w:tcMar>
          </w:tcPr>
          <w:p w:rsidR="006B4273" w:rsidRDefault="006B4273">
            <w:pPr>
              <w:spacing w:line="276" w:lineRule="auto"/>
              <w:rPr>
                <w:rFonts w:ascii="Calibri" w:eastAsia="Calibri" w:hAnsi="Calibri" w:cs="Calibri"/>
                <w:vertAlign w:val="superscript"/>
              </w:rPr>
            </w:pPr>
          </w:p>
          <w:p w:rsidR="006B4273" w:rsidRDefault="00FA0DF5">
            <w:pPr>
              <w:spacing w:line="276" w:lineRule="auto"/>
              <w:jc w:val="center"/>
              <w:rPr>
                <w:rFonts w:ascii="Calibri" w:eastAsia="Calibri" w:hAnsi="Calibri" w:cs="Calibri"/>
                <w:vertAlign w:val="superscript"/>
              </w:rPr>
            </w:pPr>
            <w:r>
              <w:rPr>
                <w:rFonts w:ascii="Calibri" w:eastAsia="Calibri" w:hAnsi="Calibri" w:cs="Calibri"/>
              </w:rPr>
              <w:t xml:space="preserve">TRAINING &amp; COACHING </w:t>
            </w:r>
            <w:r>
              <w:rPr>
                <w:rFonts w:ascii="Calibri" w:eastAsia="Calibri" w:hAnsi="Calibri" w:cs="Calibri"/>
                <w:vertAlign w:val="superscript"/>
              </w:rPr>
              <w:t>(2)</w:t>
            </w:r>
          </w:p>
        </w:tc>
      </w:tr>
    </w:tbl>
    <w:p w:rsidR="006B4273" w:rsidRDefault="00FA0DF5">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 </w:t>
      </w:r>
    </w:p>
    <w:p w:rsidR="006B4273" w:rsidRDefault="006B4273">
      <w:pPr>
        <w:tabs>
          <w:tab w:val="left" w:pos="2257"/>
        </w:tabs>
        <w:jc w:val="center"/>
        <w:rPr>
          <w:sz w:val="18"/>
          <w:szCs w:val="18"/>
        </w:rPr>
      </w:pPr>
    </w:p>
    <w:p w:rsidR="006B4273" w:rsidRDefault="006B4273">
      <w:pPr>
        <w:tabs>
          <w:tab w:val="left" w:pos="2257"/>
        </w:tabs>
        <w:jc w:val="center"/>
        <w:rPr>
          <w:sz w:val="18"/>
          <w:szCs w:val="18"/>
        </w:rPr>
      </w:pPr>
    </w:p>
    <w:p w:rsidR="006B4273" w:rsidRDefault="006B4273">
      <w:pPr>
        <w:tabs>
          <w:tab w:val="left" w:pos="2257"/>
        </w:tabs>
        <w:jc w:val="center"/>
        <w:rPr>
          <w:sz w:val="18"/>
          <w:szCs w:val="18"/>
        </w:rPr>
      </w:pPr>
    </w:p>
    <w:p w:rsidR="006B4273" w:rsidRDefault="00FA0DF5">
      <w:pPr>
        <w:tabs>
          <w:tab w:val="left" w:pos="2257"/>
        </w:tabs>
        <w:jc w:val="center"/>
        <w:rPr>
          <w:b/>
          <w:sz w:val="18"/>
          <w:szCs w:val="18"/>
        </w:rPr>
      </w:pPr>
      <w:r>
        <w:rPr>
          <w:b/>
          <w:sz w:val="18"/>
          <w:szCs w:val="18"/>
        </w:rPr>
        <w:t>Part 2 – Charges</w:t>
      </w:r>
    </w:p>
    <w:p w:rsidR="006B4273" w:rsidRDefault="006B4273">
      <w:pPr>
        <w:tabs>
          <w:tab w:val="left" w:pos="2257"/>
        </w:tabs>
        <w:jc w:val="center"/>
        <w:rPr>
          <w:b/>
          <w:sz w:val="18"/>
          <w:szCs w:val="18"/>
        </w:rPr>
      </w:pPr>
    </w:p>
    <w:p w:rsidR="006B4273" w:rsidRDefault="006B4273">
      <w:pPr>
        <w:tabs>
          <w:tab w:val="left" w:pos="2257"/>
        </w:tabs>
        <w:jc w:val="both"/>
        <w:rPr>
          <w:b/>
        </w:rPr>
      </w:pPr>
    </w:p>
    <w:p w:rsidR="006B4273" w:rsidRDefault="00FA0DF5">
      <w:pPr>
        <w:tabs>
          <w:tab w:val="left" w:pos="2257"/>
        </w:tabs>
        <w:jc w:val="center"/>
        <w:rPr>
          <w:b/>
        </w:rPr>
      </w:pPr>
      <w:bookmarkStart w:id="66" w:name="_heading=h.46r0co2" w:colFirst="0" w:colLast="0"/>
      <w:bookmarkEnd w:id="66"/>
      <w:r>
        <w:rPr>
          <w:b/>
        </w:rPr>
        <w:t>Redacted under FOIA section 43, Commercial Interests</w:t>
      </w:r>
    </w:p>
    <w:p w:rsidR="006B4273" w:rsidRDefault="006B4273">
      <w:pPr>
        <w:tabs>
          <w:tab w:val="left" w:pos="2257"/>
        </w:tabs>
        <w:jc w:val="center"/>
      </w:pPr>
    </w:p>
    <w:sectPr w:rsidR="006B4273">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697" w:rsidRDefault="005B0697">
      <w:r>
        <w:separator/>
      </w:r>
    </w:p>
  </w:endnote>
  <w:endnote w:type="continuationSeparator" w:id="0">
    <w:p w:rsidR="005B0697" w:rsidRDefault="005B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FA0DF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6B4273" w:rsidRDefault="006B4273">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FA0DF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23191">
      <w:rPr>
        <w:noProof/>
        <w:color w:val="000000"/>
      </w:rPr>
      <w:t>2</w:t>
    </w:r>
    <w:r>
      <w:rPr>
        <w:color w:val="000000"/>
      </w:rPr>
      <w:fldChar w:fldCharType="end"/>
    </w:r>
  </w:p>
  <w:p w:rsidR="006B4273" w:rsidRDefault="00FA0DF5">
    <w:pPr>
      <w:tabs>
        <w:tab w:val="center" w:pos="4513"/>
        <w:tab w:val="right" w:pos="9026"/>
      </w:tabs>
      <w:rPr>
        <w:sz w:val="16"/>
        <w:szCs w:val="16"/>
      </w:rPr>
    </w:pPr>
    <w:r>
      <w:rPr>
        <w:sz w:val="16"/>
        <w:szCs w:val="16"/>
      </w:rPr>
      <w:t>RM6237 Low Value Purchase System</w:t>
    </w:r>
    <w:r>
      <w:rPr>
        <w:sz w:val="16"/>
        <w:szCs w:val="16"/>
      </w:rPr>
      <w:tab/>
    </w:r>
  </w:p>
  <w:p w:rsidR="006B4273" w:rsidRDefault="00FA0DF5">
    <w:pPr>
      <w:tabs>
        <w:tab w:val="center" w:pos="4513"/>
        <w:tab w:val="right" w:pos="9026"/>
      </w:tabs>
      <w:rPr>
        <w:sz w:val="16"/>
        <w:szCs w:val="16"/>
      </w:rPr>
    </w:pPr>
    <w:r>
      <w:rPr>
        <w:sz w:val="16"/>
        <w:szCs w:val="16"/>
      </w:rPr>
      <w:t>Buyer-Supplier Contract</w:t>
    </w:r>
  </w:p>
  <w:p w:rsidR="006B4273" w:rsidRDefault="00FA0DF5">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6B4273" w:rsidRDefault="00FA0DF5">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FA0DF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23191">
      <w:rPr>
        <w:noProof/>
        <w:color w:val="000000"/>
      </w:rPr>
      <w:t>1</w:t>
    </w:r>
    <w:r>
      <w:rPr>
        <w:color w:val="000000"/>
      </w:rPr>
      <w:fldChar w:fldCharType="end"/>
    </w:r>
  </w:p>
  <w:p w:rsidR="006B4273" w:rsidRDefault="006B427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697" w:rsidRDefault="005B0697">
      <w:r>
        <w:separator/>
      </w:r>
    </w:p>
  </w:footnote>
  <w:footnote w:type="continuationSeparator" w:id="0">
    <w:p w:rsidR="005B0697" w:rsidRDefault="005B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6B4273">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6B4273">
    <w:pPr>
      <w:rPr>
        <w:b/>
        <w:sz w:val="36"/>
        <w:szCs w:val="36"/>
      </w:rPr>
    </w:pPr>
  </w:p>
  <w:p w:rsidR="006B4273" w:rsidRDefault="00FA0DF5">
    <w:pPr>
      <w:rPr>
        <w:b/>
        <w:sz w:val="24"/>
        <w:szCs w:val="24"/>
      </w:rPr>
    </w:pPr>
    <w:r>
      <w:rPr>
        <w:noProof/>
      </w:rPr>
      <w:drawing>
        <wp:anchor distT="0" distB="0" distL="114300" distR="114300" simplePos="0" relativeHeight="251658240" behindDoc="0" locked="0" layoutInCell="1" hidden="0" allowOverlap="1">
          <wp:simplePos x="0" y="0"/>
          <wp:positionH relativeFrom="column">
            <wp:posOffset>2544</wp:posOffset>
          </wp:positionH>
          <wp:positionV relativeFrom="paragraph">
            <wp:posOffset>1270</wp:posOffset>
          </wp:positionV>
          <wp:extent cx="1228725" cy="1086485"/>
          <wp:effectExtent l="0" t="0" r="0" b="0"/>
          <wp:wrapSquare wrapText="bothSides" distT="0" distB="0" distL="114300" distR="114300"/>
          <wp:docPr id="1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6B4273" w:rsidRDefault="006B4273">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6B4273">
    <w:pPr>
      <w:widowControl w:val="0"/>
      <w:pBdr>
        <w:top w:val="nil"/>
        <w:left w:val="nil"/>
        <w:bottom w:val="nil"/>
        <w:right w:val="nil"/>
        <w:between w:val="nil"/>
      </w:pBdr>
      <w:spacing w:line="276" w:lineRule="auto"/>
      <w:rPr>
        <w:color w:val="000000"/>
        <w:sz w:val="16"/>
        <w:szCs w:val="16"/>
      </w:rPr>
    </w:pPr>
  </w:p>
  <w:p w:rsidR="006B4273" w:rsidRDefault="006B4273">
    <w:pPr>
      <w:pBdr>
        <w:top w:val="nil"/>
        <w:left w:val="nil"/>
        <w:bottom w:val="nil"/>
        <w:right w:val="nil"/>
        <w:between w:val="nil"/>
      </w:pBdr>
      <w:rPr>
        <w:color w:val="000000"/>
        <w:sz w:val="16"/>
        <w:szCs w:val="16"/>
      </w:rPr>
    </w:pPr>
  </w:p>
  <w:p w:rsidR="006B4273" w:rsidRDefault="006B4273">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73" w:rsidRDefault="00FA0DF5">
    <w:pPr>
      <w:widowControl w:val="0"/>
      <w:pBdr>
        <w:top w:val="nil"/>
        <w:left w:val="nil"/>
        <w:bottom w:val="nil"/>
        <w:right w:val="nil"/>
        <w:between w:val="nil"/>
      </w:pBdr>
      <w:spacing w:line="276" w:lineRule="auto"/>
      <w:rPr>
        <w:color w:val="000000"/>
        <w:sz w:val="16"/>
        <w:szCs w:val="16"/>
      </w:rPr>
    </w:pPr>
    <w:r>
      <w:rPr>
        <w:noProof/>
      </w:rPr>
      <w:drawing>
        <wp:anchor distT="0" distB="0" distL="114300" distR="114300" simplePos="0" relativeHeight="251659264" behindDoc="0" locked="0" layoutInCell="1" hidden="0" allowOverlap="1">
          <wp:simplePos x="0" y="0"/>
          <wp:positionH relativeFrom="column">
            <wp:posOffset>4</wp:posOffset>
          </wp:positionH>
          <wp:positionV relativeFrom="paragraph">
            <wp:posOffset>-361932</wp:posOffset>
          </wp:positionV>
          <wp:extent cx="1228725" cy="1086485"/>
          <wp:effectExtent l="0" t="0" r="0" b="0"/>
          <wp:wrapSquare wrapText="bothSides" distT="0" distB="0" distL="114300" distR="114300"/>
          <wp:docPr id="10"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6B4273" w:rsidRDefault="006B4273">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20E"/>
    <w:multiLevelType w:val="multilevel"/>
    <w:tmpl w:val="1B4C792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A4E0122"/>
    <w:multiLevelType w:val="multilevel"/>
    <w:tmpl w:val="57AE2EE2"/>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2" w15:restartNumberingAfterBreak="0">
    <w:nsid w:val="28D83024"/>
    <w:multiLevelType w:val="multilevel"/>
    <w:tmpl w:val="3FF4D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F96951"/>
    <w:multiLevelType w:val="multilevel"/>
    <w:tmpl w:val="4AA28D50"/>
    <w:lvl w:ilvl="0">
      <w:start w:val="1"/>
      <w:numFmt w:val="decimal"/>
      <w:pStyle w:val="SchHead"/>
      <w:lvlText w:val="%1."/>
      <w:lvlJc w:val="left"/>
      <w:pPr>
        <w:ind w:left="720" w:hanging="360"/>
      </w:pPr>
      <w:rPr>
        <w:rFonts w:ascii="Arial" w:eastAsia="Arial" w:hAnsi="Arial" w:cs="Arial"/>
        <w:color w:val="222222"/>
        <w:sz w:val="22"/>
        <w:szCs w:val="22"/>
        <w:u w:val="none"/>
      </w:rPr>
    </w:lvl>
    <w:lvl w:ilvl="1">
      <w:start w:val="1"/>
      <w:numFmt w:val="lowerLetter"/>
      <w:pStyle w:val="SchPart"/>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E101A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BF6CC0"/>
    <w:multiLevelType w:val="multilevel"/>
    <w:tmpl w:val="AB347EA4"/>
    <w:lvl w:ilvl="0">
      <w:start w:val="4"/>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pStyle w:val="TOC4"/>
      <w:lvlText w:val="%3."/>
      <w:lvlJc w:val="left"/>
      <w:pPr>
        <w:ind w:left="2160" w:hanging="360"/>
      </w:pPr>
      <w:rPr>
        <w:u w:val="none"/>
      </w:rPr>
    </w:lvl>
    <w:lvl w:ilvl="3">
      <w:start w:val="1"/>
      <w:numFmt w:val="decimal"/>
      <w:pStyle w:val="TOC5"/>
      <w:lvlText w:val="%4."/>
      <w:lvlJc w:val="left"/>
      <w:pPr>
        <w:ind w:left="2880" w:hanging="360"/>
      </w:pPr>
      <w:rPr>
        <w:u w:val="none"/>
      </w:rPr>
    </w:lvl>
    <w:lvl w:ilvl="4">
      <w:start w:val="1"/>
      <w:numFmt w:val="lowerLetter"/>
      <w:pStyle w:val="TOC6"/>
      <w:lvlText w:val="%5."/>
      <w:lvlJc w:val="left"/>
      <w:pPr>
        <w:ind w:left="3600" w:hanging="360"/>
      </w:pPr>
      <w:rPr>
        <w:u w:val="none"/>
      </w:rPr>
    </w:lvl>
    <w:lvl w:ilvl="5">
      <w:start w:val="1"/>
      <w:numFmt w:val="lowerRoman"/>
      <w:pStyle w:val="TOC7"/>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pStyle w:val="TOC8"/>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6503C31"/>
    <w:multiLevelType w:val="multilevel"/>
    <w:tmpl w:val="A2B0EAE8"/>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7" w15:restartNumberingAfterBreak="0">
    <w:nsid w:val="6685580D"/>
    <w:multiLevelType w:val="multilevel"/>
    <w:tmpl w:val="412EF3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6C8413D"/>
    <w:multiLevelType w:val="multilevel"/>
    <w:tmpl w:val="0CB61A00"/>
    <w:lvl w:ilvl="0">
      <w:start w:val="1"/>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7B66BC3"/>
    <w:multiLevelType w:val="multilevel"/>
    <w:tmpl w:val="DC5E9F6E"/>
    <w:lvl w:ilvl="0">
      <w:start w:val="1"/>
      <w:numFmt w:val="bullet"/>
      <w:pStyle w:val="AppHead"/>
      <w:lvlText w:val="●"/>
      <w:lvlJc w:val="left"/>
      <w:pPr>
        <w:ind w:left="720" w:hanging="360"/>
      </w:pPr>
      <w:rPr>
        <w:rFonts w:ascii="Arial" w:eastAsia="Arial" w:hAnsi="Arial" w:cs="Arial"/>
        <w:color w:val="222222"/>
        <w:sz w:val="22"/>
        <w:szCs w:val="22"/>
        <w:u w:val="none"/>
      </w:rPr>
    </w:lvl>
    <w:lvl w:ilvl="1">
      <w:start w:val="1"/>
      <w:numFmt w:val="bullet"/>
      <w:pStyle w:val="AppPar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C65325"/>
    <w:multiLevelType w:val="multilevel"/>
    <w:tmpl w:val="F5CC4E84"/>
    <w:lvl w:ilvl="0">
      <w:start w:val="1"/>
      <w:numFmt w:val="decimal"/>
      <w:pStyle w:val="BodyTextIndent"/>
      <w:lvlText w:val="%1."/>
      <w:lvlJc w:val="left"/>
      <w:pPr>
        <w:ind w:left="720" w:hanging="360"/>
      </w:pPr>
      <w:rPr>
        <w:rFonts w:ascii="Arial" w:eastAsia="Arial" w:hAnsi="Arial" w:cs="Arial"/>
        <w:color w:val="222222"/>
        <w:sz w:val="22"/>
        <w:szCs w:val="22"/>
        <w:u w:val="none"/>
      </w:rPr>
    </w:lvl>
    <w:lvl w:ilvl="1">
      <w:start w:val="1"/>
      <w:numFmt w:val="lowerLetter"/>
      <w:pStyle w:val="BodyTextIndent2"/>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pStyle w:val="DefinitionNumbering7"/>
      <w:lvlText w:val="%9."/>
      <w:lvlJc w:val="left"/>
      <w:pPr>
        <w:ind w:left="6480" w:hanging="360"/>
      </w:pPr>
      <w:rPr>
        <w:u w:val="none"/>
      </w:rPr>
    </w:lvl>
  </w:abstractNum>
  <w:abstractNum w:abstractNumId="11" w15:restartNumberingAfterBreak="0">
    <w:nsid w:val="6F94479B"/>
    <w:multiLevelType w:val="multilevel"/>
    <w:tmpl w:val="B148A74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673F82"/>
    <w:multiLevelType w:val="multilevel"/>
    <w:tmpl w:val="3D3CB126"/>
    <w:lvl w:ilvl="0">
      <w:start w:val="2"/>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EC511DF"/>
    <w:multiLevelType w:val="multilevel"/>
    <w:tmpl w:val="80222642"/>
    <w:lvl w:ilvl="0">
      <w:start w:val="3"/>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6"/>
  </w:num>
  <w:num w:numId="3">
    <w:abstractNumId w:val="2"/>
  </w:num>
  <w:num w:numId="4">
    <w:abstractNumId w:val="1"/>
  </w:num>
  <w:num w:numId="5">
    <w:abstractNumId w:val="13"/>
  </w:num>
  <w:num w:numId="6">
    <w:abstractNumId w:val="0"/>
  </w:num>
  <w:num w:numId="7">
    <w:abstractNumId w:val="3"/>
  </w:num>
  <w:num w:numId="8">
    <w:abstractNumId w:val="9"/>
  </w:num>
  <w:num w:numId="9">
    <w:abstractNumId w:val="10"/>
  </w:num>
  <w:num w:numId="10">
    <w:abstractNumId w:val="5"/>
  </w:num>
  <w:num w:numId="11">
    <w:abstractNumId w:val="11"/>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73"/>
    <w:rsid w:val="005B0697"/>
    <w:rsid w:val="006B4273"/>
    <w:rsid w:val="00916CE0"/>
    <w:rsid w:val="00C23191"/>
    <w:rsid w:val="00FA0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9DA6"/>
  <w15:docId w15:val="{8097FECB-3B65-4628-B1B6-B2925748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87A"/>
  </w:style>
  <w:style w:type="paragraph" w:styleId="Heading1">
    <w:name w:val="heading 1"/>
    <w:basedOn w:val="Normal"/>
    <w:next w:val="Normal"/>
    <w:uiPriority w:val="9"/>
    <w:qFormat/>
    <w:pPr>
      <w:keepNext/>
      <w:spacing w:before="240" w:after="60"/>
      <w:outlineLvl w:val="0"/>
    </w:pPr>
    <w:rPr>
      <w:sz w:val="40"/>
      <w:szCs w:val="40"/>
    </w:rPr>
  </w:style>
  <w:style w:type="paragraph" w:styleId="Heading2">
    <w:name w:val="heading 2"/>
    <w:basedOn w:val="Normal"/>
    <w:next w:val="Normal"/>
    <w:uiPriority w:val="9"/>
    <w:unhideWhenUsed/>
    <w:qFormat/>
    <w:pPr>
      <w:keepNext/>
      <w:spacing w:before="240" w:after="60"/>
      <w:outlineLvl w:val="1"/>
    </w:pPr>
    <w:rPr>
      <w:color w:val="00A4E8"/>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tabs>
        <w:tab w:val="num" w:pos="0"/>
        <w:tab w:val="num" w:pos="720"/>
      </w:tabs>
      <w:jc w:val="center"/>
      <w:outlineLvl w:val="2"/>
    </w:pPr>
    <w:rPr>
      <w:b/>
    </w:rPr>
  </w:style>
  <w:style w:type="paragraph" w:styleId="ListBullet">
    <w:name w:val="List Bullet"/>
    <w:basedOn w:val="Normal"/>
    <w:rsid w:val="00ED0C43"/>
    <w:pPr>
      <w:tabs>
        <w:tab w:val="num" w:pos="1440"/>
      </w:tabs>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tabs>
        <w:tab w:val="clear" w:pos="5040"/>
        <w:tab w:val="num" w:pos="1440"/>
      </w:tabs>
      <w:ind w:left="1440" w:hanging="72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0"/>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0"/>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0"/>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0"/>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0"/>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tabs>
        <w:tab w:val="clear" w:pos="5040"/>
        <w:tab w:val="num" w:pos="2160"/>
      </w:tabs>
      <w:ind w:left="1800" w:hanging="180"/>
      <w:outlineLvl w:val="0"/>
    </w:pPr>
  </w:style>
  <w:style w:type="paragraph" w:customStyle="1" w:styleId="DefinitionNumbering2">
    <w:name w:val="Definition Numbering 2"/>
    <w:basedOn w:val="HouseStyleBase"/>
    <w:qFormat/>
    <w:rsid w:val="00ED0C43"/>
    <w:pPr>
      <w:tabs>
        <w:tab w:val="clear" w:pos="5040"/>
        <w:tab w:val="num" w:pos="2880"/>
      </w:tabs>
      <w:ind w:left="2520" w:hanging="720"/>
      <w:outlineLvl w:val="1"/>
    </w:pPr>
  </w:style>
  <w:style w:type="paragraph" w:customStyle="1" w:styleId="DefinitionNumbering3">
    <w:name w:val="Definition Numbering 3"/>
    <w:basedOn w:val="HouseStyleBase"/>
    <w:qFormat/>
    <w:rsid w:val="00ED0C43"/>
    <w:pPr>
      <w:tabs>
        <w:tab w:val="clear" w:pos="5040"/>
        <w:tab w:val="num" w:pos="3600"/>
      </w:tabs>
      <w:ind w:left="3240" w:hanging="720"/>
      <w:outlineLvl w:val="2"/>
    </w:pPr>
  </w:style>
  <w:style w:type="paragraph" w:customStyle="1" w:styleId="DefinitionNumbering4">
    <w:name w:val="Definition Numbering 4"/>
    <w:basedOn w:val="HouseStyleBase"/>
    <w:rsid w:val="00ED0C43"/>
    <w:pPr>
      <w:tabs>
        <w:tab w:val="clear" w:pos="5040"/>
        <w:tab w:val="num" w:pos="4320"/>
      </w:tabs>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tabs>
        <w:tab w:val="clear" w:pos="5040"/>
        <w:tab w:val="num" w:pos="5760"/>
      </w:tabs>
      <w:ind w:left="5400" w:hanging="72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tabs>
        <w:tab w:val="clear" w:pos="5040"/>
        <w:tab w:val="num" w:pos="5760"/>
      </w:tabs>
      <w:ind w:left="3744" w:hanging="1224"/>
      <w:outlineLvl w:val="7"/>
    </w:pPr>
  </w:style>
  <w:style w:type="paragraph" w:customStyle="1" w:styleId="DefinitionNumbering9">
    <w:name w:val="Definition Numbering 9"/>
    <w:basedOn w:val="HouseStyleBase"/>
    <w:rsid w:val="00ED0C43"/>
    <w:pPr>
      <w:tabs>
        <w:tab w:val="clear" w:pos="5040"/>
        <w:tab w:val="num" w:pos="6480"/>
      </w:tabs>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tabs>
        <w:tab w:val="clear" w:pos="5040"/>
        <w:tab w:val="num" w:pos="720"/>
      </w:tabs>
      <w:ind w:left="720" w:hanging="720"/>
    </w:pPr>
  </w:style>
  <w:style w:type="paragraph" w:styleId="ListBullet3">
    <w:name w:val="List Bullet 3"/>
    <w:basedOn w:val="HouseStyleBase"/>
    <w:rsid w:val="00ED0C43"/>
    <w:pPr>
      <w:tabs>
        <w:tab w:val="clear" w:pos="5040"/>
        <w:tab w:val="num" w:pos="2160"/>
      </w:tabs>
      <w:ind w:left="2160" w:hanging="720"/>
    </w:pPr>
  </w:style>
  <w:style w:type="paragraph" w:styleId="ListBullet4">
    <w:name w:val="List Bullet 4"/>
    <w:basedOn w:val="HouseStyleBase"/>
    <w:rsid w:val="00ED0C43"/>
    <w:pPr>
      <w:tabs>
        <w:tab w:val="clear" w:pos="5040"/>
        <w:tab w:val="num" w:pos="2880"/>
      </w:tabs>
      <w:ind w:left="2880" w:hanging="720"/>
    </w:pPr>
  </w:style>
  <w:style w:type="paragraph" w:styleId="ListBullet5">
    <w:name w:val="List Bullet 5"/>
    <w:basedOn w:val="HouseStyleBase"/>
    <w:rsid w:val="00ED0C43"/>
    <w:pPr>
      <w:tabs>
        <w:tab w:val="clear" w:pos="5040"/>
        <w:tab w:val="num" w:pos="3600"/>
      </w:tabs>
      <w:ind w:left="3600" w:hanging="720"/>
    </w:pPr>
  </w:style>
  <w:style w:type="paragraph" w:customStyle="1" w:styleId="ListBullet6">
    <w:name w:val="List Bullet 6"/>
    <w:basedOn w:val="HouseStyleBase"/>
    <w:rsid w:val="00ED0C43"/>
    <w:pPr>
      <w:tabs>
        <w:tab w:val="clear" w:pos="5040"/>
        <w:tab w:val="num" w:pos="4320"/>
      </w:tabs>
      <w:ind w:left="4320" w:hanging="7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tabs>
        <w:tab w:val="clear" w:pos="5040"/>
        <w:tab w:val="num" w:pos="5760"/>
      </w:tabs>
      <w:ind w:left="5760" w:hanging="720"/>
    </w:pPr>
  </w:style>
  <w:style w:type="paragraph" w:customStyle="1" w:styleId="ListBullet9">
    <w:name w:val="List Bullet 9"/>
    <w:basedOn w:val="HouseStyleBase"/>
    <w:rsid w:val="00ED0C43"/>
    <w:pPr>
      <w:tabs>
        <w:tab w:val="clear" w:pos="5040"/>
        <w:tab w:val="num" w:pos="6480"/>
      </w:tabs>
      <w:ind w:left="6480" w:hanging="720"/>
    </w:pPr>
  </w:style>
  <w:style w:type="paragraph" w:customStyle="1" w:styleId="ScheduleL1">
    <w:name w:val="Schedule L1"/>
    <w:basedOn w:val="HouseStyleBase"/>
    <w:qFormat/>
    <w:rsid w:val="00ED0C43"/>
    <w:pPr>
      <w:tabs>
        <w:tab w:val="clear" w:pos="5040"/>
        <w:tab w:val="num" w:pos="720"/>
      </w:tabs>
      <w:ind w:left="360" w:hanging="720"/>
      <w:outlineLvl w:val="0"/>
    </w:pPr>
  </w:style>
  <w:style w:type="paragraph" w:customStyle="1" w:styleId="ScheduleL2">
    <w:name w:val="Schedule L2"/>
    <w:basedOn w:val="HouseStyleBase"/>
    <w:qFormat/>
    <w:rsid w:val="00ED0C43"/>
    <w:pPr>
      <w:tabs>
        <w:tab w:val="clear" w:pos="5040"/>
        <w:tab w:val="num" w:pos="1440"/>
      </w:tabs>
      <w:ind w:left="1080" w:hanging="720"/>
      <w:outlineLvl w:val="1"/>
    </w:pPr>
  </w:style>
  <w:style w:type="paragraph" w:customStyle="1" w:styleId="ScheduleL3">
    <w:name w:val="Schedule L3"/>
    <w:basedOn w:val="HouseStyleBase"/>
    <w:qFormat/>
    <w:rsid w:val="00ED0C43"/>
    <w:pPr>
      <w:tabs>
        <w:tab w:val="clear" w:pos="5040"/>
        <w:tab w:val="num" w:pos="2160"/>
      </w:tabs>
      <w:ind w:left="1800" w:hanging="720"/>
      <w:outlineLvl w:val="2"/>
    </w:pPr>
  </w:style>
  <w:style w:type="paragraph" w:customStyle="1" w:styleId="ScheduleL4">
    <w:name w:val="Schedule L4"/>
    <w:basedOn w:val="HouseStyleBase"/>
    <w:qFormat/>
    <w:rsid w:val="00ED0C43"/>
    <w:pPr>
      <w:tabs>
        <w:tab w:val="clear" w:pos="5040"/>
        <w:tab w:val="num" w:pos="2880"/>
      </w:tabs>
      <w:ind w:left="2520" w:hanging="720"/>
      <w:outlineLvl w:val="3"/>
    </w:pPr>
  </w:style>
  <w:style w:type="paragraph" w:customStyle="1" w:styleId="ScheduleL5">
    <w:name w:val="Schedule L5"/>
    <w:basedOn w:val="HouseStyleBase"/>
    <w:qFormat/>
    <w:rsid w:val="00ED0C43"/>
    <w:pPr>
      <w:tabs>
        <w:tab w:val="clear" w:pos="5040"/>
        <w:tab w:val="num" w:pos="3600"/>
      </w:tabs>
      <w:ind w:left="3240" w:hanging="720"/>
      <w:outlineLvl w:val="4"/>
    </w:pPr>
  </w:style>
  <w:style w:type="paragraph" w:customStyle="1" w:styleId="ScheduleL6">
    <w:name w:val="Schedule L6"/>
    <w:basedOn w:val="HouseStyleBase"/>
    <w:qFormat/>
    <w:rsid w:val="00ED0C43"/>
    <w:pPr>
      <w:tabs>
        <w:tab w:val="clear" w:pos="5040"/>
        <w:tab w:val="num" w:pos="4320"/>
      </w:tabs>
      <w:ind w:left="3960" w:hanging="72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tabs>
        <w:tab w:val="clear" w:pos="5040"/>
        <w:tab w:val="num" w:pos="5760"/>
      </w:tabs>
      <w:ind w:left="5400" w:hanging="720"/>
      <w:outlineLvl w:val="7"/>
    </w:pPr>
  </w:style>
  <w:style w:type="paragraph" w:customStyle="1" w:styleId="ScheduleL9">
    <w:name w:val="Schedule L9"/>
    <w:basedOn w:val="HouseStyleBase"/>
    <w:qFormat/>
    <w:rsid w:val="00ED0C43"/>
    <w:pPr>
      <w:tabs>
        <w:tab w:val="clear" w:pos="5040"/>
        <w:tab w:val="num" w:pos="6480"/>
      </w:tabs>
      <w:ind w:left="6120" w:hanging="7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4">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5">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top w:w="100" w:type="dxa"/>
        <w:left w:w="100" w:type="dxa"/>
        <w:bottom w:w="100" w:type="dxa"/>
        <w:right w:w="100" w:type="dxa"/>
      </w:tblCellMar>
    </w:tblPr>
    <w:tcPr>
      <w:shd w:val="clear" w:color="auto" w:fill="DBE5F1"/>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top w:w="100" w:type="dxa"/>
        <w:left w:w="100" w:type="dxa"/>
        <w:bottom w:w="100" w:type="dxa"/>
        <w:right w:w="100" w:type="dxa"/>
      </w:tblCellMar>
    </w:tblPr>
    <w:tcPr>
      <w:shd w:val="clear" w:color="auto" w:fill="DBE5F1"/>
    </w:tcPr>
  </w:style>
  <w:style w:type="table" w:customStyle="1" w:styleId="ab">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c">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d">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eqLPZMNLunmpOcpRbwG5i+RENQ==">CgMxLjAyCGguZ2pkZ3hzMgloLjMwajB6bGwyCWguMWZvYjl0ZTIJaC4zem55c2g3MgloLjJldDkycDAyCGgudHlqY3d0MgloLjNkeTZ2a20yCWguMXQzaDVzZjIJaC40ZDM0b2c4MgloLjJzOGV5bzEyCWguMTdkcDh2dTIJaC4zcmRjcmpuMgloLjI2aW4xcmcyCGgubG54Yno5MgloLjM1bmt1bjIyCWguMWtzdjR1djIJaC40NHNpbmlvMgloLjJqeHN4cWgyDmguMTczNHJiNXpoc3NsMghoLnozMzd5YTIJaC4zajJxcW0zMgloLjF5ODEwdHcyCWguNGk3b2pocDIJaC4yeGN5dHBpMg1oLmNnZGlxcTV6ZnBk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ppZC4xbXJjdTA5MgppZC40NnIwY28yMgppZC4ybHdhbXZ2MgppZC4xMTFreDNvMgppZC4zbDE4ZnJoMgppZC4yMDZpcHphMgppZC40azY2OG4zMgppZC4yemJnaXV3MgppZC4xZWdxdDJwMgppZC4zeWdlYnFpMgppZC4yZGxvbHliMglpZC5zcXl3NjQyCmlkLjNjcW1ldHgyCmlkLjFydndwMXEyCWguNDZyMGNvMjgAciExLVc1czROUlpGbWwtWV8xLW9Oa3kzVEYyaVhINE5oW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12160</Words>
  <Characters>69313</Characters>
  <Application>Microsoft Office Word</Application>
  <DocSecurity>0</DocSecurity>
  <Lines>577</Lines>
  <Paragraphs>162</Paragraphs>
  <ScaleCrop>false</ScaleCrop>
  <Company/>
  <LinksUpToDate>false</LinksUpToDate>
  <CharactersWithSpaces>81311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Alex Tisdall</cp:lastModifiedBy>
  <cp:revision>3</cp:revision>
  <dcterms:created xsi:type="dcterms:W3CDTF">2024-07-18T12:13:00Z</dcterms:created>
  <dcterms:modified xsi:type="dcterms:W3CDTF">2024-07-18T14:48:00Z</dcterms:modified>
</cp:coreProperties>
</file>