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5C65FD" w:rsidP="00CE3822">
      <w:bookmarkStart w:id="0" w:name="_GoBack"/>
      <w:bookmarkEnd w:id="0"/>
      <w:r>
        <w:rPr>
          <w:noProof/>
        </w:rPr>
        <w:drawing>
          <wp:anchor distT="0" distB="0" distL="114300" distR="114300" simplePos="0" relativeHeight="251659776" behindDoc="0" locked="0" layoutInCell="1" allowOverlap="1" wp14:anchorId="372E3569" wp14:editId="02C3CE12">
            <wp:simplePos x="0" y="0"/>
            <wp:positionH relativeFrom="margin">
              <wp:posOffset>3643630</wp:posOffset>
            </wp:positionH>
            <wp:positionV relativeFrom="margin">
              <wp:posOffset>15240</wp:posOffset>
            </wp:positionV>
            <wp:extent cx="2423160" cy="2423160"/>
            <wp:effectExtent l="0" t="0" r="0" b="0"/>
            <wp:wrapSquare wrapText="bothSides"/>
            <wp:docPr id="1" name="Picture 1"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CE3822" w:rsidRDefault="00CE3822" w:rsidP="00CE3822"/>
    <w:p w:rsidR="00CE3822" w:rsidRDefault="00CE3822" w:rsidP="00CE3822"/>
    <w:p w:rsidR="00CE3822" w:rsidRDefault="00CE3822" w:rsidP="00CE3822">
      <w:pPr>
        <w:pStyle w:val="DefaultText"/>
        <w:rPr>
          <w:lang w:val="en-GB"/>
        </w:rPr>
      </w:pPr>
    </w:p>
    <w:p w:rsidR="00CE3822" w:rsidRDefault="005C65FD" w:rsidP="00CE3822">
      <w:pPr>
        <w:pStyle w:val="DefaultText"/>
        <w:rPr>
          <w:lang w:val="en-GB"/>
        </w:rPr>
      </w:pPr>
      <w:r>
        <w:rPr>
          <w:noProof/>
          <w:lang w:val="en-GB" w:eastAsia="en-GB"/>
        </w:rPr>
        <w:drawing>
          <wp:anchor distT="0" distB="0" distL="114300" distR="114300" simplePos="0" relativeHeight="251657728" behindDoc="0" locked="0" layoutInCell="0" allowOverlap="1" wp14:anchorId="6BF17895" wp14:editId="29ABE31E">
            <wp:simplePos x="0" y="0"/>
            <wp:positionH relativeFrom="column">
              <wp:posOffset>-114300</wp:posOffset>
            </wp:positionH>
            <wp:positionV relativeFrom="paragraph">
              <wp:posOffset>91440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5C65FD" w:rsidP="005C65FD">
      <w:pPr>
        <w:tabs>
          <w:tab w:val="left" w:pos="5580"/>
        </w:tabs>
      </w:pPr>
      <w:r>
        <w:tab/>
      </w:r>
    </w:p>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5C65FD" w:rsidRDefault="005C65FD" w:rsidP="00CE3822">
      <w:pPr>
        <w:jc w:val="center"/>
        <w:rPr>
          <w:rFonts w:cs="Arial"/>
          <w:b/>
          <w:sz w:val="28"/>
        </w:rPr>
      </w:pPr>
    </w:p>
    <w:p w:rsidR="005C65FD" w:rsidRDefault="005C65FD" w:rsidP="00CE3822">
      <w:pPr>
        <w:jc w:val="center"/>
        <w:rPr>
          <w:rFonts w:cs="Arial"/>
          <w:b/>
          <w:sz w:val="28"/>
        </w:rPr>
      </w:pPr>
    </w:p>
    <w:p w:rsidR="005C65FD" w:rsidRDefault="005C65FD" w:rsidP="005C65FD">
      <w:pPr>
        <w:jc w:val="center"/>
        <w:rPr>
          <w:rFonts w:cs="Arial"/>
          <w:b/>
          <w:sz w:val="28"/>
        </w:rPr>
      </w:pPr>
    </w:p>
    <w:p w:rsidR="00CE3822" w:rsidRDefault="005C65FD" w:rsidP="005C65FD">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ENERGY, SAFETY AND RISK CONSULTANTS LTD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t/a WOOD GROUP PLC</w:t>
      </w:r>
    </w:p>
    <w:p w:rsidR="00CE3822" w:rsidRDefault="00CE3822" w:rsidP="00CE3822">
      <w:pPr>
        <w:pStyle w:val="DefaultText"/>
        <w:jc w:val="center"/>
        <w:rPr>
          <w:rFonts w:ascii="Arial" w:hAnsi="Arial" w:cs="Arial"/>
          <w:b/>
          <w:bCs/>
          <w:sz w:val="28"/>
          <w:lang w:val="en-GB"/>
        </w:rPr>
      </w:pP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BOOTHS PARK</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CHELFORD ROAD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KNUTSFORD</w:t>
      </w: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WA16 8QZ</w:t>
      </w:r>
    </w:p>
    <w:p w:rsidR="00CE3822" w:rsidRDefault="00CE3822" w:rsidP="00CE3822">
      <w:pPr>
        <w:pStyle w:val="DefaultText"/>
        <w:jc w:val="center"/>
        <w:rPr>
          <w:rFonts w:ascii="Arial" w:hAnsi="Arial" w:cs="Arial"/>
          <w:b/>
          <w:bCs/>
          <w:sz w:val="28"/>
          <w:lang w:val="en-GB"/>
        </w:rPr>
      </w:pPr>
    </w:p>
    <w:p w:rsidR="005F400C" w:rsidRDefault="005C65FD"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5C65FD" w:rsidP="0089534B">
      <w:pPr>
        <w:pStyle w:val="DefaultText"/>
        <w:suppressAutoHyphens/>
        <w:jc w:val="both"/>
        <w:rPr>
          <w:rFonts w:ascii="Arial" w:hAnsi="Arial"/>
          <w:noProof/>
          <w:sz w:val="22"/>
          <w:szCs w:val="22"/>
          <w:lang w:val="en-GB"/>
        </w:rPr>
      </w:pPr>
      <w:r>
        <w:rPr>
          <w:rFonts w:ascii="Arial" w:hAnsi="Arial"/>
          <w:b/>
          <w:noProof/>
          <w:sz w:val="22"/>
          <w:szCs w:val="22"/>
          <w:lang w:val="en-GB"/>
        </w:rPr>
        <w:t>ENERGY, SAFETY AND RISK CONSULTANTS UK LTD t/a WOOD GROUP PLC</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07825532</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Booths Park, Chelford Road, Knutsford, WA16 8QZ</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5C65FD">
        <w:rPr>
          <w:b/>
          <w:bCs/>
          <w:noProof/>
          <w:sz w:val="22"/>
          <w:szCs w:val="22"/>
        </w:rPr>
        <w:t>ENERGY, SAFETY AND RISK CONSULTANTS LTD t/a WOOD GROUP PLC</w:t>
      </w:r>
    </w:p>
    <w:p w:rsidR="007969D8" w:rsidRPr="00BF7661" w:rsidRDefault="005C65FD"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Booths Park, Chelford Road, Knutsford, WA16 8QZ</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5C65FD" w:rsidRPr="005C65FD">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5C65FD" w:rsidRPr="005C65FD">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5C65FD">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01615E">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9471C8" w:rsidP="00082720">
      <w:pPr>
        <w:pStyle w:val="MRheading2"/>
        <w:tabs>
          <w:tab w:val="clear" w:pos="720"/>
        </w:tabs>
        <w:spacing w:line="288" w:lineRule="auto"/>
        <w:ind w:left="0" w:firstLine="720"/>
        <w:rPr>
          <w:rFonts w:cs="Arial"/>
          <w:szCs w:val="22"/>
        </w:rPr>
      </w:pPr>
      <w:r w:rsidRPr="00A114D6">
        <w:rPr>
          <w:rFonts w:cs="Arial"/>
          <w:szCs w:val="22"/>
        </w:rPr>
        <w:t>[insert timetable]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AF2E42" w:rsidRPr="00BF7661" w:rsidRDefault="00AF2E42" w:rsidP="00855D9F">
      <w:pPr>
        <w:pStyle w:val="MRheading2"/>
        <w:tabs>
          <w:tab w:val="clear" w:pos="720"/>
        </w:tabs>
        <w:spacing w:line="288" w:lineRule="auto"/>
        <w:ind w:left="0" w:firstLine="0"/>
        <w:rPr>
          <w:rFonts w:cs="Arial"/>
          <w:szCs w:val="22"/>
        </w:rPr>
      </w:pPr>
      <w:r w:rsidRPr="00BF7661">
        <w:rPr>
          <w:rFonts w:cs="Arial"/>
          <w:b/>
          <w:szCs w:val="22"/>
        </w:rPr>
        <w:t>[</w:t>
      </w:r>
      <w:r w:rsidRPr="00BF7661">
        <w:rPr>
          <w:rFonts w:cs="Arial"/>
          <w:b/>
          <w:i/>
          <w:szCs w:val="22"/>
        </w:rPr>
        <w:t xml:space="preserve">Note: </w:t>
      </w:r>
      <w:r w:rsidR="004939E5" w:rsidRPr="00BF7661">
        <w:rPr>
          <w:rFonts w:cs="Arial"/>
          <w:b/>
          <w:i/>
          <w:szCs w:val="22"/>
        </w:rPr>
        <w:t xml:space="preserve">TUPE stands for the Transfer of Undertakings (Protection of Employment) Regulations 2006. </w:t>
      </w:r>
      <w:r w:rsidR="00855D9F" w:rsidRPr="00BF7661">
        <w:rPr>
          <w:rFonts w:cs="Arial"/>
          <w:b/>
          <w:i/>
          <w:szCs w:val="22"/>
        </w:rPr>
        <w:t xml:space="preserve"> </w:t>
      </w:r>
      <w:r w:rsidR="004939E5" w:rsidRPr="00BF7661">
        <w:rPr>
          <w:rFonts w:cs="Arial"/>
          <w:b/>
          <w:i/>
          <w:szCs w:val="22"/>
        </w:rPr>
        <w:t xml:space="preserve">The basic aim of this legislation is to protect employees when the work they perform on behalf of one employer is transferred to another.  The essence of TUPE is the “automatic transfer principle”. </w:t>
      </w:r>
      <w:r w:rsidR="00855D9F" w:rsidRPr="00BF7661">
        <w:rPr>
          <w:rFonts w:cs="Arial"/>
          <w:b/>
          <w:i/>
          <w:szCs w:val="22"/>
        </w:rPr>
        <w:t xml:space="preserve"> </w:t>
      </w:r>
      <w:r w:rsidR="004939E5" w:rsidRPr="00BF7661">
        <w:rPr>
          <w:rFonts w:cs="Arial"/>
          <w:b/>
          <w:i/>
          <w:szCs w:val="22"/>
        </w:rPr>
        <w:t xml:space="preserve">This principle means that, in certain circumstances, employees’ contracts of employment, rights and liabilities, are preserved and transferred </w:t>
      </w:r>
      <w:r w:rsidR="004939E5" w:rsidRPr="00BF7661">
        <w:rPr>
          <w:rFonts w:cs="Arial"/>
          <w:b/>
          <w:i/>
          <w:szCs w:val="22"/>
        </w:rPr>
        <w:lastRenderedPageBreak/>
        <w:t xml:space="preserve">automatically </w:t>
      </w:r>
      <w:r w:rsidR="00855D9F" w:rsidRPr="00BF7661">
        <w:rPr>
          <w:rFonts w:cs="Arial"/>
          <w:b/>
          <w:i/>
          <w:szCs w:val="22"/>
        </w:rPr>
        <w:t>to a</w:t>
      </w:r>
      <w:r w:rsidR="004939E5" w:rsidRPr="00BF7661">
        <w:rPr>
          <w:rFonts w:cs="Arial"/>
          <w:b/>
          <w:i/>
          <w:szCs w:val="22"/>
        </w:rPr>
        <w:t xml:space="preserve"> new service provider.</w:t>
      </w:r>
      <w:r w:rsidR="004939E5" w:rsidRPr="00BF7661">
        <w:rPr>
          <w:rFonts w:cs="Arial"/>
          <w:szCs w:val="22"/>
        </w:rPr>
        <w:t xml:space="preserve">  </w:t>
      </w:r>
      <w:r w:rsidRPr="00BF7661">
        <w:rPr>
          <w:rFonts w:cs="Arial"/>
          <w:b/>
          <w:i/>
          <w:szCs w:val="22"/>
        </w:rPr>
        <w:t xml:space="preserve">If </w:t>
      </w:r>
      <w:r w:rsidR="00855D9F" w:rsidRPr="00BF7661">
        <w:rPr>
          <w:rFonts w:cs="Arial"/>
          <w:b/>
          <w:i/>
          <w:szCs w:val="22"/>
        </w:rPr>
        <w:t xml:space="preserve">TUPE IS </w:t>
      </w:r>
      <w:r w:rsidRPr="00BF7661">
        <w:rPr>
          <w:rFonts w:cs="Arial"/>
          <w:b/>
          <w:i/>
          <w:szCs w:val="22"/>
        </w:rPr>
        <w:t>likely to apply, the following provisions must be included</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In this </w:t>
      </w:r>
      <w:r w:rsidR="00557AF8" w:rsidRPr="00BF7661">
        <w:rPr>
          <w:rFonts w:cs="Arial"/>
          <w:szCs w:val="22"/>
        </w:rPr>
        <w:t>Contract</w:t>
      </w:r>
      <w:r w:rsidRPr="00BF7661">
        <w:rPr>
          <w:rFonts w:cs="Arial"/>
          <w:szCs w:val="22"/>
        </w:rPr>
        <w:t>, the following words have the meanings shown below unless the context requires otherwise: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 xml:space="preserve">Incumbent </w:t>
      </w:r>
      <w:r w:rsidR="00557AF8" w:rsidRPr="00BF7661">
        <w:rPr>
          <w:rFonts w:cs="Arial"/>
          <w:b/>
          <w:szCs w:val="22"/>
        </w:rPr>
        <w:t>Contractor</w:t>
      </w:r>
      <w:r w:rsidRPr="00BF7661">
        <w:rPr>
          <w:rFonts w:cs="Arial"/>
          <w:szCs w:val="22"/>
        </w:rPr>
        <w:t xml:space="preserve">” means the supplier or suppliers who before the Transfer Date supplied to </w:t>
      </w:r>
      <w:r w:rsidR="00557AF8" w:rsidRPr="00BF7661">
        <w:rPr>
          <w:rFonts w:cs="Arial"/>
          <w:szCs w:val="22"/>
        </w:rPr>
        <w:t>ONR</w:t>
      </w:r>
      <w:r w:rsidRPr="00BF7661">
        <w:rPr>
          <w:rFonts w:cs="Arial"/>
          <w:szCs w:val="22"/>
        </w:rPr>
        <w:t xml:space="preserve"> services which are the same as or materially similar to the Services;]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Measures</w:t>
      </w:r>
      <w:r w:rsidRPr="00BF7661">
        <w:rPr>
          <w:rFonts w:cs="Arial"/>
          <w:szCs w:val="22"/>
        </w:rPr>
        <w:t xml:space="preserve">” any measures proposed by the </w:t>
      </w:r>
      <w:r w:rsidR="00557AF8" w:rsidRPr="00BF7661">
        <w:rPr>
          <w:rFonts w:cs="Arial"/>
          <w:szCs w:val="22"/>
        </w:rPr>
        <w:t>Contractor</w:t>
      </w:r>
      <w:r w:rsidRPr="00BF7661">
        <w:rPr>
          <w:rFonts w:cs="Arial"/>
          <w:szCs w:val="22"/>
        </w:rPr>
        <w:t xml:space="preserve"> within the meaning of regulation 13(2)(d) of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w:t>
      </w:r>
      <w:r w:rsidRPr="00BF7661">
        <w:rPr>
          <w:rFonts w:cs="Arial"/>
          <w:szCs w:val="22"/>
        </w:rPr>
        <w:t>” means the relevant transfer taking effect on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 Date</w:t>
      </w:r>
      <w:r w:rsidRPr="00BF7661">
        <w:rPr>
          <w:rFonts w:cs="Arial"/>
          <w:szCs w:val="22"/>
        </w:rPr>
        <w:t>” means the point in time, if any, at which services of the same or a similar nature to the Services are first provided by a Successor giving rise to a relevant transfer under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Transferring Employee</w:t>
      </w:r>
      <w:r w:rsidRPr="00BF7661">
        <w:rPr>
          <w:rFonts w:cs="Arial"/>
          <w:szCs w:val="22"/>
        </w:rPr>
        <w:t xml:space="preserve">” means any of the </w:t>
      </w:r>
      <w:r w:rsidR="00557AF8" w:rsidRPr="00BF7661">
        <w:rPr>
          <w:rFonts w:cs="Arial"/>
          <w:szCs w:val="22"/>
        </w:rPr>
        <w:t>Contractor</w:t>
      </w:r>
      <w:r w:rsidRPr="00BF7661">
        <w:rPr>
          <w:rFonts w:cs="Arial"/>
          <w:szCs w:val="22"/>
        </w:rPr>
        <w:t>’s Staff who, immediately prior to the Subsequent Transfer Date, is wholly or mainly engaged in the provision of the Services, or part thereof, which are to be undertaken by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Successor</w:t>
      </w:r>
      <w:r w:rsidRPr="00BF7661">
        <w:rPr>
          <w:rFonts w:cs="Arial"/>
          <w:szCs w:val="22"/>
        </w:rPr>
        <w:t xml:space="preserve">” means any person, company, firm or other business entity who provides the Services or services of the same or a similar nature to the Services in immediate or subsequent succession to </w:t>
      </w:r>
      <w:r w:rsidR="00557AF8" w:rsidRPr="00BF7661">
        <w:rPr>
          <w:rFonts w:cs="Arial"/>
          <w:szCs w:val="22"/>
        </w:rPr>
        <w:t>Contractor</w:t>
      </w:r>
      <w:r w:rsidRPr="00BF7661">
        <w:rPr>
          <w:rFonts w:cs="Arial"/>
          <w:szCs w:val="22"/>
        </w:rPr>
        <w:t xml:space="preserve"> upon the expiry or earlier termination of this </w:t>
      </w:r>
      <w:r w:rsidR="00557AF8" w:rsidRPr="00BF7661">
        <w:rPr>
          <w:rFonts w:cs="Arial"/>
          <w:szCs w:val="22"/>
        </w:rPr>
        <w:t>Contract</w:t>
      </w:r>
      <w:r w:rsidRPr="00BF7661">
        <w:rPr>
          <w:rFonts w:cs="Arial"/>
          <w:szCs w:val="22"/>
        </w:rPr>
        <w:t xml:space="preserve"> (whether that person is a replacement supplier or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00557AF8" w:rsidRPr="00BF7661">
        <w:rPr>
          <w:rFonts w:cs="Arial"/>
          <w:b/>
          <w:szCs w:val="22"/>
        </w:rPr>
        <w:t>Contractor</w:t>
      </w:r>
      <w:r w:rsidRPr="00BF7661">
        <w:rPr>
          <w:rFonts w:cs="Arial"/>
          <w:b/>
          <w:szCs w:val="22"/>
        </w:rPr>
        <w:t>’s Staff</w:t>
      </w:r>
      <w:r w:rsidRPr="00BF7661">
        <w:rPr>
          <w:rFonts w:cs="Arial"/>
          <w:szCs w:val="22"/>
        </w:rPr>
        <w:t xml:space="preserve">” means any individual engaged in providing the Services on behalf of the </w:t>
      </w:r>
      <w:r w:rsidR="00557AF8" w:rsidRPr="00BF7661">
        <w:rPr>
          <w:rFonts w:cs="Arial"/>
          <w:szCs w:val="22"/>
        </w:rPr>
        <w:t>Contractor</w:t>
      </w:r>
      <w:r w:rsidRPr="00BF7661">
        <w:rPr>
          <w:rFonts w:cs="Arial"/>
          <w:szCs w:val="22"/>
        </w:rPr>
        <w:t xml:space="preserve"> and includes the Transferring Employees;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Date</w:t>
      </w:r>
      <w:r w:rsidRPr="00BF7661">
        <w:rPr>
          <w:rFonts w:cs="Arial"/>
          <w:szCs w:val="22"/>
        </w:rPr>
        <w:t xml:space="preserve">” means </w:t>
      </w:r>
      <w:r w:rsidRPr="00BF7661">
        <w:rPr>
          <w:rFonts w:cs="Arial"/>
          <w:szCs w:val="22"/>
          <w:highlight w:val="yellow"/>
        </w:rPr>
        <w:t>[</w:t>
      </w:r>
      <w:r w:rsidR="00451ECC" w:rsidRPr="00BF7661">
        <w:rPr>
          <w:rFonts w:cs="Arial"/>
          <w:szCs w:val="22"/>
          <w:highlight w:val="yellow"/>
        </w:rPr>
        <w:t>insert time</w:t>
      </w:r>
      <w:r w:rsidRPr="00BF7661">
        <w:rPr>
          <w:rFonts w:cs="Arial"/>
          <w:szCs w:val="22"/>
          <w:highlight w:val="yellow"/>
        </w:rPr>
        <w:t>]</w:t>
      </w:r>
      <w:r w:rsidR="00451ECC" w:rsidRPr="00BF7661">
        <w:rPr>
          <w:rFonts w:cs="Arial"/>
          <w:szCs w:val="22"/>
        </w:rPr>
        <w:t xml:space="preserve"> am/pm on </w:t>
      </w:r>
      <w:r w:rsidR="00451ECC" w:rsidRPr="00BF7661">
        <w:rPr>
          <w:rFonts w:cs="Arial"/>
          <w:szCs w:val="22"/>
          <w:highlight w:val="yellow"/>
        </w:rPr>
        <w:t>[insert date</w:t>
      </w:r>
      <w:r w:rsidRPr="00BF7661">
        <w:rPr>
          <w:rFonts w:cs="Arial"/>
          <w:szCs w:val="22"/>
          <w:highlight w:val="yellow"/>
        </w:rPr>
        <w:t>]</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Regulations</w:t>
      </w:r>
      <w:r w:rsidRPr="00BF7661">
        <w:rPr>
          <w:rFonts w:cs="Arial"/>
          <w:szCs w:val="22"/>
        </w:rPr>
        <w:t>” means the Transfer of Undertakings (Protection of Employment) Regulations 2006 as amended;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Transferring Employees</w:t>
      </w:r>
      <w:r w:rsidRPr="00BF7661">
        <w:rPr>
          <w:rFonts w:cs="Arial"/>
          <w:szCs w:val="22"/>
        </w:rPr>
        <w:t xml:space="preserve">” means those employees listed in Appendix 1 to this </w:t>
      </w:r>
      <w:r w:rsidR="00855D9F" w:rsidRPr="00BF7661">
        <w:rPr>
          <w:rFonts w:cs="Arial"/>
          <w:szCs w:val="22"/>
        </w:rPr>
        <w:t xml:space="preserve">Schedule 1 </w:t>
      </w:r>
      <w:r w:rsidRPr="00BF7661">
        <w:rPr>
          <w:rFonts w:cs="Arial"/>
          <w:szCs w:val="22"/>
        </w:rPr>
        <w:t xml:space="preserve">(Special Terms). </w:t>
      </w:r>
      <w:r w:rsidRPr="00BF7661">
        <w:rPr>
          <w:rFonts w:cs="Arial"/>
          <w:b/>
          <w:szCs w:val="22"/>
        </w:rPr>
        <w:t>[</w:t>
      </w:r>
      <w:r w:rsidRPr="00BF7661">
        <w:rPr>
          <w:rFonts w:cs="Arial"/>
          <w:b/>
          <w:i/>
          <w:szCs w:val="22"/>
        </w:rPr>
        <w:t>Note: An appendix listing the Transferring Employees will have to be added to</w:t>
      </w:r>
      <w:r w:rsidR="00855D9F" w:rsidRPr="00BF7661">
        <w:rPr>
          <w:rFonts w:cs="Arial"/>
          <w:b/>
          <w:i/>
          <w:szCs w:val="22"/>
        </w:rPr>
        <w:t xml:space="preserve"> Schedule 1</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parties agree that the commencement of the Services under this </w:t>
      </w:r>
      <w:r w:rsidR="00557AF8" w:rsidRPr="00BF7661">
        <w:rPr>
          <w:rFonts w:cs="Arial"/>
          <w:szCs w:val="22"/>
        </w:rPr>
        <w:t>Contract</w:t>
      </w:r>
      <w:r w:rsidRPr="00BF7661">
        <w:rPr>
          <w:rFonts w:cs="Arial"/>
          <w:szCs w:val="22"/>
        </w:rPr>
        <w:t xml:space="preserve"> shall give rise to a relevant transfer as defined in the Transfer Regulations.  Accordingly the contracts of employment of the Transferring Employees will transfer on the Transfer Date from the </w:t>
      </w:r>
      <w:r w:rsidRPr="00A114D6">
        <w:rPr>
          <w:rFonts w:cs="Arial"/>
          <w:szCs w:val="22"/>
        </w:rPr>
        <w:t xml:space="preserve">Incumbent </w:t>
      </w:r>
      <w:r w:rsidR="00557AF8" w:rsidRPr="00A114D6">
        <w:rPr>
          <w:rFonts w:cs="Arial"/>
          <w:szCs w:val="22"/>
        </w:rPr>
        <w:t>Contractor</w:t>
      </w:r>
      <w:r w:rsidR="00451ECC" w:rsidRPr="00A114D6">
        <w:rPr>
          <w:rFonts w:cs="Arial"/>
          <w:szCs w:val="22"/>
        </w:rPr>
        <w:t xml:space="preserve"> </w:t>
      </w:r>
      <w:r w:rsidRPr="00A114D6">
        <w:rPr>
          <w:rFonts w:cs="Arial"/>
          <w:b/>
          <w:szCs w:val="22"/>
        </w:rPr>
        <w:t xml:space="preserve">OR </w:t>
      </w:r>
      <w:r w:rsidR="00557AF8" w:rsidRPr="00A114D6">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 xml:space="preserve"> pursuant to the Transfer Regulations.</w:t>
      </w:r>
    </w:p>
    <w:p w:rsidR="00AF2E42" w:rsidRPr="00BF7661" w:rsidRDefault="00AF2E42" w:rsidP="00082720">
      <w:pPr>
        <w:pStyle w:val="MRheading2"/>
        <w:numPr>
          <w:ilvl w:val="1"/>
          <w:numId w:val="1"/>
        </w:numPr>
        <w:spacing w:line="288" w:lineRule="auto"/>
        <w:rPr>
          <w:rFonts w:cs="Arial"/>
          <w:szCs w:val="22"/>
        </w:rPr>
      </w:pPr>
      <w:bookmarkStart w:id="7" w:name="_Ref292918770"/>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accept the Transferring Employees into its employment on the Transfer Date upon the same terms and conditions of employment as they are currently employed by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(except for terms and conditions relating to any occupational pension scheme) and with full continuity of employment.</w:t>
      </w:r>
      <w:bookmarkEnd w:id="7"/>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’s agreement in </w:t>
      </w:r>
      <w:r w:rsidRPr="00BF7661">
        <w:rPr>
          <w:rFonts w:cs="Arial"/>
          <w:szCs w:val="22"/>
        </w:rPr>
        <w:fldChar w:fldCharType="begin"/>
      </w:r>
      <w:r w:rsidRPr="00BF7661">
        <w:rPr>
          <w:rFonts w:cs="Arial"/>
          <w:szCs w:val="22"/>
        </w:rPr>
        <w:instrText xml:space="preserve"> REF _Ref292918770 \r \h  \* MERGEFORMAT </w:instrText>
      </w:r>
      <w:r w:rsidRPr="00BF7661">
        <w:rPr>
          <w:rFonts w:cs="Arial"/>
          <w:szCs w:val="22"/>
        </w:rPr>
      </w:r>
      <w:r w:rsidRPr="00BF7661">
        <w:rPr>
          <w:rFonts w:cs="Arial"/>
          <w:szCs w:val="22"/>
        </w:rPr>
        <w:fldChar w:fldCharType="separate"/>
      </w:r>
      <w:r w:rsidR="0001615E">
        <w:rPr>
          <w:rFonts w:cs="Arial"/>
          <w:szCs w:val="22"/>
        </w:rPr>
        <w:t>8.3</w:t>
      </w:r>
      <w:r w:rsidRPr="00BF7661">
        <w:rPr>
          <w:rFonts w:cs="Arial"/>
          <w:szCs w:val="22"/>
        </w:rPr>
        <w:fldChar w:fldCharType="end"/>
      </w:r>
      <w:r w:rsidRPr="00BF7661">
        <w:rPr>
          <w:rFonts w:cs="Arial"/>
          <w:szCs w:val="22"/>
        </w:rPr>
        <w:t xml:space="preserve"> is subject to the right of any employee identified as a Transferring Employee to object to being transferred to the </w:t>
      </w:r>
      <w:r w:rsidR="00557AF8" w:rsidRPr="00BF7661">
        <w:rPr>
          <w:rFonts w:cs="Arial"/>
          <w:szCs w:val="22"/>
        </w:rPr>
        <w:t>Contractor</w:t>
      </w:r>
      <w:r w:rsidRPr="00BF7661">
        <w:rPr>
          <w:rFonts w:cs="Arial"/>
          <w:szCs w:val="22"/>
        </w:rPr>
        <w:t>.</w:t>
      </w:r>
    </w:p>
    <w:p w:rsidR="00AF2E42" w:rsidRPr="00BF7661" w:rsidRDefault="00AF2E42" w:rsidP="00082720">
      <w:pPr>
        <w:pStyle w:val="MRheading2"/>
        <w:numPr>
          <w:ilvl w:val="1"/>
          <w:numId w:val="1"/>
        </w:numPr>
        <w:spacing w:line="288" w:lineRule="auto"/>
        <w:rPr>
          <w:rFonts w:cs="Arial"/>
          <w:szCs w:val="22"/>
        </w:rPr>
      </w:pPr>
      <w:bookmarkStart w:id="8" w:name="_Ref507429310"/>
      <w:r w:rsidRPr="00BF7661">
        <w:rPr>
          <w:rFonts w:cs="Arial"/>
          <w:szCs w:val="22"/>
        </w:rPr>
        <w:t xml:space="preserve">The </w:t>
      </w:r>
      <w:r w:rsidR="00557AF8" w:rsidRPr="00BF7661">
        <w:rPr>
          <w:rFonts w:cs="Arial"/>
          <w:szCs w:val="22"/>
        </w:rPr>
        <w:t>Contractor</w:t>
      </w:r>
      <w:r w:rsidRPr="00BF7661">
        <w:rPr>
          <w:rFonts w:cs="Arial"/>
          <w:szCs w:val="22"/>
        </w:rPr>
        <w:t xml:space="preserve"> will:</w:t>
      </w:r>
      <w:bookmarkEnd w:id="8"/>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not later than 14 days after issue of a written notice to it from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provide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with the</w:t>
      </w:r>
      <w:r w:rsidRPr="00BF7661">
        <w:rPr>
          <w:rFonts w:cs="Arial"/>
          <w:szCs w:val="22"/>
        </w:rPr>
        <w:t xml:space="preserve"> information required under regulation 13(4) of the Transfer Regulations, and 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in full against any breach of this obligation (including any legal expenses on an indemnity basis);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provide such</w:t>
      </w:r>
      <w:r w:rsidR="008F2B42">
        <w:rPr>
          <w:rFonts w:cs="Arial"/>
          <w:szCs w:val="22"/>
        </w:rPr>
        <w:t xml:space="preserve"> assistance and information to </w:t>
      </w:r>
      <w:r w:rsidR="00557AF8" w:rsidRPr="00BF7661">
        <w:rPr>
          <w:rFonts w:cs="Arial"/>
          <w:szCs w:val="22"/>
        </w:rPr>
        <w:t>ONR</w:t>
      </w:r>
      <w:r w:rsidRPr="00BF7661">
        <w:rPr>
          <w:rFonts w:cs="Arial"/>
          <w:szCs w:val="22"/>
        </w:rPr>
        <w:t xml:space="preserve"> as it may reasonably request to facilitate a smooth and efficient handover of the Transferring Employees to the </w:t>
      </w:r>
      <w:r w:rsidR="00557AF8" w:rsidRPr="00BF7661">
        <w:rPr>
          <w:rFonts w:cs="Arial"/>
          <w:szCs w:val="22"/>
        </w:rPr>
        <w:t>Contractor</w:t>
      </w:r>
      <w:r w:rsidRPr="00BF7661">
        <w:rPr>
          <w:rFonts w:cs="Arial"/>
          <w:szCs w:val="22"/>
        </w:rPr>
        <w:t xml:space="preserve"> (including attendance at any meetings with Transferring Employees, trade unions and employee representatives);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that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has notified the </w:t>
      </w:r>
      <w:r w:rsidR="00557AF8" w:rsidRPr="00BF7661">
        <w:rPr>
          <w:rFonts w:cs="Arial"/>
          <w:szCs w:val="22"/>
        </w:rPr>
        <w:t>Contractor</w:t>
      </w:r>
      <w:r w:rsidRPr="00BF7661">
        <w:rPr>
          <w:rFonts w:cs="Arial"/>
          <w:szCs w:val="22"/>
        </w:rPr>
        <w:t xml:space="preserve">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For the avoidance of doubt, the parties agree that, during the subsistence of this </w:t>
      </w:r>
      <w:r w:rsidR="00557AF8" w:rsidRPr="00BF7661">
        <w:rPr>
          <w:rFonts w:cs="Arial"/>
          <w:szCs w:val="22"/>
        </w:rPr>
        <w:t>Contract</w:t>
      </w:r>
      <w:r w:rsidRPr="00BF7661">
        <w:rPr>
          <w:rFonts w:cs="Arial"/>
          <w:szCs w:val="22"/>
        </w:rPr>
        <w:t xml:space="preserve"> or if there is no Subsequent Transfer Date, until the date on which this </w:t>
      </w:r>
      <w:r w:rsidR="00557AF8" w:rsidRPr="00BF7661">
        <w:rPr>
          <w:rFonts w:cs="Arial"/>
          <w:szCs w:val="22"/>
        </w:rPr>
        <w:t>Contract</w:t>
      </w:r>
      <w:r w:rsidRPr="00BF7661">
        <w:rPr>
          <w:rFonts w:cs="Arial"/>
          <w:szCs w:val="22"/>
        </w:rPr>
        <w:t xml:space="preserve"> terminates, in relation to the </w:t>
      </w:r>
      <w:r w:rsidR="00557AF8" w:rsidRPr="00BF7661">
        <w:rPr>
          <w:rFonts w:cs="Arial"/>
          <w:szCs w:val="22"/>
        </w:rPr>
        <w:t>Contractor</w:t>
      </w:r>
      <w:r w:rsidRPr="00BF7661">
        <w:rPr>
          <w:rFonts w:cs="Arial"/>
          <w:szCs w:val="22"/>
        </w:rPr>
        <w:t xml:space="preserve">’s Staff, the </w:t>
      </w:r>
      <w:r w:rsidR="00557AF8" w:rsidRPr="00BF7661">
        <w:rPr>
          <w:rFonts w:cs="Arial"/>
          <w:szCs w:val="22"/>
        </w:rPr>
        <w:t>Contractor</w:t>
      </w:r>
      <w:r w:rsidRPr="00BF7661">
        <w:rPr>
          <w:rFonts w:cs="Arial"/>
          <w:szCs w:val="22"/>
        </w:rPr>
        <w:t xml:space="preserve"> shall be responsible for: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issuing appropriate contracts of employment;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paying all wages, salary and benefits and arranging for the deduction of tax and national insurance contributions;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handling all and any necessary disciplinary action or grievances;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lastRenderedPageBreak/>
        <w:t>dealing with requests for holiday;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ensuring appropriate standards of dress are adhered to;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carrying out any necessary performance reviews.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Nothing in this </w:t>
      </w:r>
      <w:r w:rsidR="00557AF8" w:rsidRPr="00BF7661">
        <w:rPr>
          <w:rFonts w:cs="Arial"/>
          <w:szCs w:val="22"/>
        </w:rPr>
        <w:t>Contract</w:t>
      </w:r>
      <w:r w:rsidRPr="00BF7661">
        <w:rPr>
          <w:rFonts w:cs="Arial"/>
          <w:szCs w:val="22"/>
        </w:rPr>
        <w:t xml:space="preserve"> shall be construed or interpreted as, or have the effect of, the </w:t>
      </w:r>
      <w:r w:rsidR="00557AF8" w:rsidRPr="00BF7661">
        <w:rPr>
          <w:rFonts w:cs="Arial"/>
          <w:szCs w:val="22"/>
        </w:rPr>
        <w:t>Contractor</w:t>
      </w:r>
      <w:r w:rsidRPr="00BF7661">
        <w:rPr>
          <w:rFonts w:cs="Arial"/>
          <w:szCs w:val="22"/>
        </w:rPr>
        <w:t>’s Staff being employed b</w:t>
      </w:r>
      <w:r w:rsidR="008F2B42">
        <w:rPr>
          <w:rFonts w:cs="Arial"/>
          <w:szCs w:val="22"/>
        </w:rPr>
        <w:t xml:space="preserve">y </w:t>
      </w:r>
      <w:r w:rsidR="00557AF8" w:rsidRPr="00BF7661">
        <w:rPr>
          <w:rFonts w:cs="Arial"/>
          <w:szCs w:val="22"/>
        </w:rPr>
        <w:t>ONR</w:t>
      </w:r>
      <w:r w:rsidRPr="00BF7661">
        <w:rPr>
          <w:rFonts w:cs="Arial"/>
          <w:szCs w:val="22"/>
        </w:rPr>
        <w:t xml:space="preserve"> prior to any Subsequent Transfer Date or if there is no Subsequent Transfer Date.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and </w:t>
      </w:r>
      <w:r w:rsidR="00557AF8" w:rsidRPr="00BF7661">
        <w:rPr>
          <w:rFonts w:cs="Arial"/>
          <w:szCs w:val="22"/>
        </w:rPr>
        <w:t>ONR</w:t>
      </w:r>
      <w:r w:rsidRPr="00BF7661">
        <w:rPr>
          <w:rFonts w:cs="Arial"/>
          <w:szCs w:val="22"/>
        </w:rPr>
        <w:t xml:space="preserve"> agree that where a Successor provides services of the same or similar nature to the Services in immediate or proximate succession to the </w:t>
      </w:r>
      <w:r w:rsidR="00557AF8" w:rsidRPr="00BF7661">
        <w:rPr>
          <w:rFonts w:cs="Arial"/>
          <w:szCs w:val="22"/>
        </w:rPr>
        <w:t>Contractor</w:t>
      </w:r>
      <w:r w:rsidRPr="00BF7661">
        <w:rPr>
          <w:rFonts w:cs="Arial"/>
          <w:szCs w:val="22"/>
        </w:rPr>
        <w:t>,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on or before the Subsequent Transfer Date  (or, in the case of the payments referred to in clauses </w:t>
      </w:r>
      <w:r w:rsidRPr="00BF7661">
        <w:rPr>
          <w:rFonts w:cs="Arial"/>
          <w:szCs w:val="22"/>
        </w:rPr>
        <w:fldChar w:fldCharType="begin"/>
      </w:r>
      <w:r w:rsidRPr="00BF7661">
        <w:rPr>
          <w:rFonts w:cs="Arial"/>
          <w:szCs w:val="22"/>
        </w:rPr>
        <w:instrText xml:space="preserve"> REF _Ref292919087 \r \h  \* MERGEFORMAT </w:instrText>
      </w:r>
      <w:r w:rsidRPr="00BF7661">
        <w:rPr>
          <w:rFonts w:cs="Arial"/>
          <w:szCs w:val="22"/>
        </w:rPr>
      </w:r>
      <w:r w:rsidRPr="00BF7661">
        <w:rPr>
          <w:rFonts w:cs="Arial"/>
          <w:szCs w:val="22"/>
        </w:rPr>
        <w:fldChar w:fldCharType="separate"/>
      </w:r>
      <w:r w:rsidR="0001615E">
        <w:rPr>
          <w:rFonts w:cs="Arial"/>
          <w:szCs w:val="22"/>
        </w:rPr>
        <w:t>8.10.4</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_Ref292919089 \r \h  \* MERGEFORMAT </w:instrText>
      </w:r>
      <w:r w:rsidRPr="00BF7661">
        <w:rPr>
          <w:rFonts w:cs="Arial"/>
          <w:szCs w:val="22"/>
        </w:rPr>
      </w:r>
      <w:r w:rsidRPr="00BF7661">
        <w:rPr>
          <w:rFonts w:cs="Arial"/>
          <w:szCs w:val="22"/>
        </w:rPr>
        <w:fldChar w:fldCharType="separate"/>
      </w:r>
      <w:r w:rsidR="0001615E">
        <w:rPr>
          <w:rFonts w:cs="Arial"/>
          <w:szCs w:val="22"/>
        </w:rPr>
        <w:t>8.10.5</w:t>
      </w:r>
      <w:r w:rsidRPr="00BF7661">
        <w:rPr>
          <w:rFonts w:cs="Arial"/>
          <w:szCs w:val="22"/>
        </w:rPr>
        <w:fldChar w:fldCharType="end"/>
      </w:r>
      <w:r w:rsidRPr="00BF7661">
        <w:rPr>
          <w:rFonts w:cs="Arial"/>
          <w:szCs w:val="22"/>
        </w:rPr>
        <w:t>, within 7 days of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procure that any loans or advances made to the Subsequent Transferring Employees before the Subsequent Transfer Date are repaid to it;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account to the proper authority for all PAYE tax deductions and national insurance contributions payable in respect of the Subsequent Transferring Employees in the period before the Subsequent Transfer Date;</w:t>
      </w:r>
    </w:p>
    <w:p w:rsidR="00AF2E42" w:rsidRPr="00BF7661" w:rsidRDefault="00AF2E42" w:rsidP="00082720">
      <w:pPr>
        <w:pStyle w:val="MRheading3"/>
        <w:numPr>
          <w:ilvl w:val="2"/>
          <w:numId w:val="1"/>
        </w:numPr>
        <w:spacing w:line="288" w:lineRule="auto"/>
        <w:rPr>
          <w:rFonts w:cs="Arial"/>
          <w:szCs w:val="22"/>
        </w:rPr>
      </w:pPr>
      <w:bookmarkStart w:id="9" w:name="_Ref292919087"/>
      <w:r w:rsidRPr="00BF7661">
        <w:rPr>
          <w:rFonts w:cs="Arial"/>
          <w:szCs w:val="22"/>
        </w:rPr>
        <w:t>pay the Successor the amount which would be payable to each of the Subsequent Transferring Employees in lieu of accrued but untaken holiday entitlement as at the Subsequent Transfer Date; and</w:t>
      </w:r>
      <w:bookmarkEnd w:id="9"/>
    </w:p>
    <w:p w:rsidR="00AF2E42" w:rsidRPr="00BF7661" w:rsidRDefault="00AF2E42" w:rsidP="00082720">
      <w:pPr>
        <w:pStyle w:val="MRheading3"/>
        <w:numPr>
          <w:ilvl w:val="2"/>
          <w:numId w:val="1"/>
        </w:numPr>
        <w:spacing w:line="288" w:lineRule="auto"/>
        <w:rPr>
          <w:rFonts w:cs="Arial"/>
          <w:szCs w:val="22"/>
        </w:rPr>
      </w:pPr>
      <w:bookmarkStart w:id="10" w:name="_Ref292919089"/>
      <w:r w:rsidRPr="00BF7661">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AF2E42" w:rsidRPr="00BF7661" w:rsidRDefault="00AF2E42" w:rsidP="00082720">
      <w:pPr>
        <w:pStyle w:val="MRheading2"/>
        <w:numPr>
          <w:ilvl w:val="1"/>
          <w:numId w:val="1"/>
        </w:numPr>
        <w:spacing w:line="288" w:lineRule="auto"/>
        <w:rPr>
          <w:rFonts w:cs="Arial"/>
          <w:szCs w:val="22"/>
        </w:rPr>
      </w:pPr>
      <w:bookmarkStart w:id="11" w:name="_Ref292919255"/>
      <w:r w:rsidRPr="00BF7661">
        <w:rPr>
          <w:rFonts w:cs="Arial"/>
          <w:szCs w:val="22"/>
        </w:rPr>
        <w:t xml:space="preserve">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and/or the Successor and shall keep </w:t>
      </w:r>
      <w:r w:rsidR="00557AF8" w:rsidRPr="00BF7661">
        <w:rPr>
          <w:rFonts w:cs="Arial"/>
          <w:szCs w:val="22"/>
        </w:rPr>
        <w:t>ONR</w:t>
      </w:r>
      <w:r w:rsidRPr="00BF7661">
        <w:rPr>
          <w:rFonts w:cs="Arial"/>
          <w:szCs w:val="22"/>
        </w:rPr>
        <w:t xml:space="preserve"> and/or the Successor indemnified from and against all claims, demands, actions, proceedings, </w:t>
      </w:r>
      <w:r w:rsidRPr="00BF7661">
        <w:rPr>
          <w:rFonts w:cs="Arial"/>
          <w:szCs w:val="22"/>
        </w:rPr>
        <w:lastRenderedPageBreak/>
        <w:t>damages, compensation, tribunal awards, fines, costs, expenses and all other liabilities whatsoever arising out of or connected with any claim or other legal recourse by:</w:t>
      </w:r>
      <w:bookmarkEnd w:id="11"/>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 xml:space="preserve">’s Staff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during the term of this </w:t>
      </w:r>
      <w:r w:rsidR="00557AF8" w:rsidRPr="00BF7661">
        <w:rPr>
          <w:rFonts w:cs="Arial"/>
          <w:szCs w:val="22"/>
        </w:rPr>
        <w:t>Contract</w:t>
      </w:r>
      <w:r w:rsidRPr="00BF7661">
        <w:rPr>
          <w:rFonts w:cs="Arial"/>
          <w:szCs w:val="22"/>
        </w:rPr>
        <w:t xml:space="preserve"> or which relates to their employment by the </w:t>
      </w:r>
      <w:r w:rsidR="00557AF8" w:rsidRPr="00BF7661">
        <w:rPr>
          <w:rFonts w:cs="Arial"/>
          <w:szCs w:val="22"/>
        </w:rPr>
        <w:t>Contractor</w:t>
      </w:r>
      <w:r w:rsidRPr="00BF7661">
        <w:rPr>
          <w:rFonts w:cs="Arial"/>
          <w:szCs w:val="22"/>
        </w:rPr>
        <w:t xml:space="preserve"> or to any allegation that a member of the </w:t>
      </w:r>
      <w:r w:rsidR="00557AF8" w:rsidRPr="00BF7661">
        <w:rPr>
          <w:rFonts w:cs="Arial"/>
          <w:szCs w:val="22"/>
        </w:rPr>
        <w:t>Contractor</w:t>
      </w:r>
      <w:r w:rsidRPr="00BF7661">
        <w:rPr>
          <w:rFonts w:cs="Arial"/>
          <w:szCs w:val="22"/>
        </w:rPr>
        <w:t xml:space="preserve">’s Staff is employed by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’s Staff who is not a Subsequent Transferring Employee but who alleges that his employment has transferred to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trade union, staff association or staff body recognised by the </w:t>
      </w:r>
      <w:r w:rsidR="00557AF8" w:rsidRPr="00BF7661">
        <w:rPr>
          <w:rFonts w:cs="Arial"/>
          <w:szCs w:val="22"/>
        </w:rPr>
        <w:t>Contractor</w:t>
      </w:r>
      <w:r w:rsidRPr="00BF7661">
        <w:rPr>
          <w:rFonts w:cs="Arial"/>
          <w:szCs w:val="22"/>
        </w:rPr>
        <w:t xml:space="preserve"> in respect of any of the Subsequent Transferring Employees or any employee representatives acting on behalf of any of the Subsequent Transferring Employees which relates to any act or omission of the </w:t>
      </w:r>
      <w:r w:rsidR="00557AF8" w:rsidRPr="00BF7661">
        <w:rPr>
          <w:rFonts w:cs="Arial"/>
          <w:szCs w:val="22"/>
        </w:rPr>
        <w:t>Contractor</w:t>
      </w:r>
      <w:r w:rsidRPr="00BF7661">
        <w:rPr>
          <w:rFonts w:cs="Arial"/>
          <w:szCs w:val="22"/>
        </w:rPr>
        <w:t xml:space="preserve"> prior to the Subsequent Transfer Date save for where such act or omission results from complying with the instructions of the Successor or from the Successor failing to comply with its obligations under regulation 10(3)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on the grounds that the Successor has failed to continue a benefit provided by the </w:t>
      </w:r>
      <w:r w:rsidR="00557AF8" w:rsidRPr="00BF7661">
        <w:rPr>
          <w:rFonts w:cs="Arial"/>
          <w:szCs w:val="22"/>
        </w:rPr>
        <w:t>Contractor</w:t>
      </w:r>
      <w:r w:rsidRPr="00BF7661">
        <w:rPr>
          <w:rFonts w:cs="Arial"/>
          <w:szCs w:val="22"/>
        </w:rPr>
        <w:t xml:space="preserve">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Notwithstanding anything else to the contrary elsewhere in this </w:t>
      </w:r>
      <w:r w:rsidR="00557AF8" w:rsidRPr="00BF7661">
        <w:rPr>
          <w:rFonts w:cs="Arial"/>
          <w:szCs w:val="22"/>
        </w:rPr>
        <w:t>Contract</w:t>
      </w:r>
      <w:r w:rsidRPr="00BF7661">
        <w:rPr>
          <w:rFonts w:cs="Arial"/>
          <w:szCs w:val="22"/>
        </w:rPr>
        <w:t xml:space="preserve">, the Successor shall be able to enforce the indemnity in clause </w:t>
      </w:r>
      <w:r w:rsidRPr="00BF7661">
        <w:rPr>
          <w:rFonts w:cs="Arial"/>
          <w:szCs w:val="22"/>
        </w:rPr>
        <w:fldChar w:fldCharType="begin"/>
      </w:r>
      <w:r w:rsidRPr="00BF7661">
        <w:rPr>
          <w:rFonts w:cs="Arial"/>
          <w:szCs w:val="22"/>
        </w:rPr>
        <w:instrText xml:space="preserve"> REF _Ref292919255 \r \h  \* MERGEFORMAT </w:instrText>
      </w:r>
      <w:r w:rsidRPr="00BF7661">
        <w:rPr>
          <w:rFonts w:cs="Arial"/>
          <w:szCs w:val="22"/>
        </w:rPr>
      </w:r>
      <w:r w:rsidRPr="00BF7661">
        <w:rPr>
          <w:rFonts w:cs="Arial"/>
          <w:szCs w:val="22"/>
        </w:rPr>
        <w:fldChar w:fldCharType="separate"/>
      </w:r>
      <w:r w:rsidR="0001615E">
        <w:rPr>
          <w:rFonts w:cs="Arial"/>
          <w:szCs w:val="22"/>
        </w:rPr>
        <w:t>8.11</w:t>
      </w:r>
      <w:r w:rsidRPr="00BF7661">
        <w:rPr>
          <w:rFonts w:cs="Arial"/>
          <w:szCs w:val="22"/>
        </w:rPr>
        <w:fldChar w:fldCharType="end"/>
      </w:r>
      <w:r w:rsidRPr="00BF7661">
        <w:rPr>
          <w:rFonts w:cs="Arial"/>
          <w:szCs w:val="22"/>
        </w:rPr>
        <w:t xml:space="preserve"> under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If either party gives notice to the other to terminate this </w:t>
      </w:r>
      <w:r w:rsidR="00557AF8" w:rsidRPr="00BF7661">
        <w:rPr>
          <w:rFonts w:cs="Arial"/>
          <w:szCs w:val="22"/>
        </w:rPr>
        <w:t>Contract</w:t>
      </w:r>
      <w:r w:rsidRPr="00BF7661">
        <w:rPr>
          <w:rFonts w:cs="Arial"/>
          <w:szCs w:val="22"/>
        </w:rPr>
        <w:t xml:space="preserve"> under the terms of this </w:t>
      </w:r>
      <w:r w:rsidR="00557AF8" w:rsidRPr="00BF7661">
        <w:rPr>
          <w:rFonts w:cs="Arial"/>
          <w:szCs w:val="22"/>
        </w:rPr>
        <w:t>Contract</w:t>
      </w:r>
      <w:r w:rsidRPr="00BF7661">
        <w:rPr>
          <w:rFonts w:cs="Arial"/>
          <w:szCs w:val="22"/>
        </w:rPr>
        <w:t xml:space="preserve">, then during the notice period the </w:t>
      </w:r>
      <w:r w:rsidR="00557AF8" w:rsidRPr="00BF7661">
        <w:rPr>
          <w:rFonts w:cs="Arial"/>
          <w:szCs w:val="22"/>
        </w:rPr>
        <w:t>Contractor</w:t>
      </w:r>
      <w:r w:rsidRPr="00BF7661">
        <w:rPr>
          <w:rFonts w:cs="Arial"/>
          <w:szCs w:val="22"/>
        </w:rPr>
        <w:t xml:space="preserve"> shall not dismiss, increase the pay or benefits of, or in any other way alter terms of the </w:t>
      </w:r>
      <w:r w:rsidR="00557AF8" w:rsidRPr="00BF7661">
        <w:rPr>
          <w:rFonts w:cs="Arial"/>
          <w:szCs w:val="22"/>
        </w:rPr>
        <w:t>Contractor</w:t>
      </w:r>
      <w:r w:rsidRPr="00BF7661">
        <w:rPr>
          <w:rFonts w:cs="Arial"/>
          <w:szCs w:val="22"/>
        </w:rPr>
        <w:t>’s Staff cont</w:t>
      </w:r>
      <w:r w:rsidR="008F2B42">
        <w:rPr>
          <w:rFonts w:cs="Arial"/>
          <w:szCs w:val="22"/>
        </w:rPr>
        <w:t xml:space="preserve">racts of employment without </w:t>
      </w:r>
      <w:r w:rsidR="00557AF8" w:rsidRPr="00BF7661">
        <w:rPr>
          <w:rFonts w:cs="Arial"/>
          <w:szCs w:val="22"/>
        </w:rPr>
        <w:t>ONR</w:t>
      </w:r>
      <w:r w:rsidRPr="00BF7661">
        <w:rPr>
          <w:rFonts w:cs="Arial"/>
          <w:szCs w:val="22"/>
        </w:rPr>
        <w:t xml:space="preserve">’s consent, such consent not to be unreasonably withheld.  On request, the </w:t>
      </w:r>
      <w:r w:rsidR="00557AF8" w:rsidRPr="00BF7661">
        <w:rPr>
          <w:rFonts w:cs="Arial"/>
          <w:szCs w:val="22"/>
        </w:rPr>
        <w:t>Contractor</w:t>
      </w:r>
      <w:r w:rsidRPr="00BF7661">
        <w:rPr>
          <w:rFonts w:cs="Arial"/>
          <w:szCs w:val="22"/>
        </w:rPr>
        <w:t xml:space="preserve"> shall immediately provide the </w:t>
      </w:r>
      <w:r w:rsidR="00557AF8" w:rsidRPr="00BF7661">
        <w:rPr>
          <w:rFonts w:cs="Arial"/>
          <w:szCs w:val="22"/>
        </w:rPr>
        <w:t>ONR</w:t>
      </w:r>
      <w:r w:rsidRPr="00BF7661">
        <w:rPr>
          <w:rFonts w:cs="Arial"/>
          <w:szCs w:val="22"/>
        </w:rPr>
        <w:t xml:space="preserve"> with full, accurate and up-to-date information </w:t>
      </w:r>
      <w:r w:rsidRPr="00BF7661">
        <w:rPr>
          <w:rFonts w:cs="Arial"/>
          <w:szCs w:val="22"/>
        </w:rPr>
        <w:lastRenderedPageBreak/>
        <w:t>of details relating to the Subsequent Transferring Employees including but not limited to their written terms and conditions of employment.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In the event of a service provision change to which the Transfer Regulations do not apply, the following provisions shall apply: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when the offer has been made by the Successor and accepted by any employee or worker, the </w:t>
      </w:r>
      <w:r w:rsidR="00557AF8" w:rsidRPr="00BF7661">
        <w:rPr>
          <w:rFonts w:cs="Arial"/>
          <w:szCs w:val="22"/>
        </w:rPr>
        <w:t>Contractor</w:t>
      </w:r>
      <w:r w:rsidRPr="00BF7661">
        <w:rPr>
          <w:rFonts w:cs="Arial"/>
          <w:szCs w:val="22"/>
        </w:rPr>
        <w:t xml:space="preserve"> shall permit the employee or worker to leave his or her employment, as soon as practicable depending on the business needs of the </w:t>
      </w:r>
      <w:r w:rsidR="00557AF8" w:rsidRPr="00BF7661">
        <w:rPr>
          <w:rFonts w:cs="Arial"/>
          <w:szCs w:val="22"/>
        </w:rPr>
        <w:t>Contractor</w:t>
      </w:r>
      <w:r w:rsidRPr="00BF7661">
        <w:rPr>
          <w:rFonts w:cs="Arial"/>
          <w:szCs w:val="22"/>
        </w:rPr>
        <w:t xml:space="preserve"> which could be without the employee or worker having worked his full notice period, if the employee so requests and where operational obligations allow;</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employee does not accept an offer of employment made by the Successor, the employee shall remain employed by the </w:t>
      </w:r>
      <w:r w:rsidR="00557AF8" w:rsidRPr="00BF7661">
        <w:rPr>
          <w:rFonts w:cs="Arial"/>
          <w:szCs w:val="22"/>
        </w:rPr>
        <w:t>Contractor</w:t>
      </w:r>
      <w:r w:rsidRPr="00BF7661">
        <w:rPr>
          <w:rFonts w:cs="Arial"/>
          <w:szCs w:val="22"/>
        </w:rPr>
        <w:t xml:space="preserve"> and all claims in relation to the employee shall remain with the </w:t>
      </w:r>
      <w:r w:rsidR="00557AF8" w:rsidRPr="00BF7661">
        <w:rPr>
          <w:rFonts w:cs="Arial"/>
          <w:szCs w:val="22"/>
        </w:rPr>
        <w:t>Contractor</w:t>
      </w:r>
      <w:r w:rsidRPr="00BF7661">
        <w:rPr>
          <w:rFonts w:cs="Arial"/>
          <w:szCs w:val="22"/>
        </w:rPr>
        <w:t>;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Successor does not make an offer to any employee who would have been one of the Subsequent Transferring Employees had the Transfer Regulations applied, then that employee and all claims in relation to that employee remains with the </w:t>
      </w:r>
      <w:r w:rsidR="00557AF8" w:rsidRPr="00BF7661">
        <w:rPr>
          <w:rFonts w:cs="Arial"/>
          <w:szCs w:val="22"/>
        </w:rPr>
        <w:t>Contractor</w:t>
      </w:r>
      <w:r w:rsidRPr="00BF7661">
        <w:rPr>
          <w:rFonts w:cs="Arial"/>
          <w:szCs w:val="22"/>
        </w:rPr>
        <w:t>.</w:t>
      </w: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6A5BC9">
      <w:pPr>
        <w:pStyle w:val="MRSchedule1"/>
        <w:numPr>
          <w:ilvl w:val="0"/>
          <w:numId w:val="0"/>
        </w:numPr>
        <w:spacing w:before="120" w:line="288" w:lineRule="auto"/>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01615E">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01615E">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4B2792" w:rsidP="00BB3B52">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4B2792" w:rsidP="00BB3B52">
            <w:pPr>
              <w:pStyle w:val="DefaultText1"/>
              <w:tabs>
                <w:tab w:val="left" w:pos="1134"/>
              </w:tabs>
              <w:ind w:left="1134" w:hanging="1134"/>
              <w:rPr>
                <w:rFonts w:ascii="Arial" w:hAnsi="Arial"/>
                <w:noProof/>
                <w:sz w:val="22"/>
                <w:lang w:val="en-GB"/>
              </w:rPr>
            </w:pPr>
            <w:r>
              <w:rPr>
                <w:rFonts w:ascii="Arial" w:hAnsi="Arial"/>
                <w:noProof/>
                <w:sz w:val="22"/>
                <w:lang w:val="en-GB"/>
              </w:rPr>
              <w:t>Commercial Services</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Building 6.4</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Pr="00153A85">
              <w:rPr>
                <w:rFonts w:ascii="Arial" w:hAnsi="Arial"/>
                <w:noProof/>
                <w:sz w:val="22"/>
                <w:lang w:val="en-GB"/>
              </w:rPr>
              <w:t>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Pr="00153A85">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t>Schedule 4</w:t>
      </w:r>
    </w:p>
    <w:p w:rsidR="007E4EC8" w:rsidRPr="00A95506" w:rsidRDefault="00A95506" w:rsidP="00082720">
      <w:pPr>
        <w:pStyle w:val="MRheading1"/>
        <w:numPr>
          <w:ilvl w:val="0"/>
          <w:numId w:val="4"/>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D67482"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xml:space="preserve">” means </w:t>
      </w:r>
      <w:r w:rsidR="00E24696" w:rsidRPr="00D67482">
        <w:rPr>
          <w:rFonts w:cs="Arial"/>
          <w:szCs w:val="22"/>
        </w:rPr>
        <w:t xml:space="preserve">the charges properly </w:t>
      </w:r>
      <w:r w:rsidR="00E24696" w:rsidRPr="00D67482">
        <w:rPr>
          <w:rFonts w:cs="Arial"/>
          <w:szCs w:val="22"/>
        </w:rPr>
        <w:tab/>
        <w:t>paid or payable to the Contractor under this Contract</w:t>
      </w:r>
      <w:r w:rsidRPr="00D67482">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D67482">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A114D6" w:rsidRDefault="00A114D6" w:rsidP="00A114D6">
      <w:pPr>
        <w:pStyle w:val="MRheading3"/>
        <w:numPr>
          <w:ilvl w:val="2"/>
          <w:numId w:val="1"/>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A114D6" w:rsidRDefault="00A114D6" w:rsidP="00A114D6">
      <w:pPr>
        <w:pStyle w:val="MRheading3"/>
        <w:numPr>
          <w:ilvl w:val="2"/>
          <w:numId w:val="1"/>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A114D6" w:rsidRDefault="00A114D6" w:rsidP="00A114D6">
      <w:pPr>
        <w:pStyle w:val="MRheading3"/>
        <w:numPr>
          <w:ilvl w:val="2"/>
          <w:numId w:val="1"/>
        </w:numPr>
        <w:spacing w:line="288" w:lineRule="auto"/>
        <w:rPr>
          <w:rFonts w:cs="Arial"/>
          <w:szCs w:val="22"/>
        </w:rPr>
      </w:pPr>
      <w:r>
        <w:rPr>
          <w:rFonts w:cs="Arial"/>
          <w:b/>
          <w:szCs w:val="22"/>
        </w:rPr>
        <w:t>“Controller, Processor, Data Subject, Personal Data, P</w:t>
      </w:r>
      <w:r w:rsidR="0001615E">
        <w:rPr>
          <w:rFonts w:cs="Arial"/>
          <w:b/>
          <w:szCs w:val="22"/>
        </w:rPr>
        <w:t xml:space="preserve">rocessing </w:t>
      </w:r>
      <w:r w:rsidR="0001615E">
        <w:rPr>
          <w:rFonts w:cs="Arial"/>
          <w:szCs w:val="22"/>
        </w:rPr>
        <w:t xml:space="preserve">(and </w:t>
      </w:r>
      <w:r w:rsidR="0001615E" w:rsidRPr="0001615E">
        <w:rPr>
          <w:rFonts w:cs="Arial"/>
          <w:b/>
          <w:szCs w:val="22"/>
        </w:rPr>
        <w:t>process</w:t>
      </w:r>
      <w:r w:rsidR="0001615E">
        <w:rPr>
          <w:rFonts w:cs="Arial"/>
          <w:szCs w:val="22"/>
        </w:rPr>
        <w:t xml:space="preserve">) and </w:t>
      </w:r>
      <w:r w:rsidR="0001615E" w:rsidRPr="0001615E">
        <w:rPr>
          <w:rFonts w:cs="Arial"/>
          <w:b/>
          <w:szCs w:val="22"/>
        </w:rPr>
        <w:t>special categories of personal data</w:t>
      </w:r>
      <w:r w:rsidR="0001615E">
        <w:rPr>
          <w:rFonts w:cs="Arial"/>
          <w:szCs w:val="22"/>
        </w:rPr>
        <w:t xml:space="preserve">, </w:t>
      </w:r>
      <w:r>
        <w:rPr>
          <w:rFonts w:cs="Arial"/>
          <w:b/>
          <w:szCs w:val="22"/>
        </w:rPr>
        <w:t xml:space="preserve">Data Breach, Data Protection Officer” </w:t>
      </w:r>
      <w:r>
        <w:rPr>
          <w:rFonts w:cs="Arial"/>
          <w:szCs w:val="22"/>
        </w:rPr>
        <w:t xml:space="preserve"> </w:t>
      </w:r>
      <w:r w:rsidR="0001615E">
        <w:rPr>
          <w:rFonts w:cs="Arial"/>
          <w:szCs w:val="22"/>
        </w:rPr>
        <w:t>shall have the meanings given in EU Data Protection Law</w:t>
      </w:r>
      <w:r>
        <w:rPr>
          <w:rFonts w:cs="Arial"/>
          <w:szCs w:val="22"/>
        </w:rPr>
        <w:t>;</w:t>
      </w:r>
    </w:p>
    <w:p w:rsidR="00A114D6" w:rsidRDefault="00A114D6" w:rsidP="00A114D6">
      <w:pPr>
        <w:pStyle w:val="MRheading3"/>
        <w:numPr>
          <w:ilvl w:val="2"/>
          <w:numId w:val="1"/>
        </w:numPr>
        <w:spacing w:line="288" w:lineRule="auto"/>
        <w:rPr>
          <w:rFonts w:cs="Arial"/>
          <w:szCs w:val="22"/>
        </w:rPr>
      </w:pPr>
      <w:r>
        <w:rPr>
          <w:rFonts w:cs="Arial"/>
          <w:b/>
          <w:szCs w:val="22"/>
        </w:rPr>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“DPA 2018” </w:t>
      </w:r>
      <w:r>
        <w:rPr>
          <w:rFonts w:cs="Arial"/>
          <w:szCs w:val="22"/>
        </w:rPr>
        <w:t>Data Protection Act 2018;</w:t>
      </w:r>
    </w:p>
    <w:p w:rsidR="00A114D6" w:rsidRDefault="00A114D6" w:rsidP="00A114D6">
      <w:pPr>
        <w:pStyle w:val="MRheading3"/>
        <w:numPr>
          <w:ilvl w:val="2"/>
          <w:numId w:val="1"/>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A114D6" w:rsidRDefault="00A114D6" w:rsidP="00A114D6">
      <w:pPr>
        <w:pStyle w:val="MRheading3"/>
        <w:numPr>
          <w:ilvl w:val="2"/>
          <w:numId w:val="1"/>
        </w:numPr>
        <w:spacing w:line="288" w:lineRule="auto"/>
        <w:rPr>
          <w:rFonts w:cs="Arial"/>
          <w:szCs w:val="22"/>
        </w:rPr>
      </w:pPr>
      <w:r>
        <w:rPr>
          <w:rFonts w:cs="Arial"/>
          <w:b/>
          <w:szCs w:val="22"/>
        </w:rPr>
        <w:t xml:space="preserve">“LED” </w:t>
      </w:r>
      <w:r>
        <w:rPr>
          <w:rFonts w:cs="Arial"/>
          <w:szCs w:val="22"/>
        </w:rPr>
        <w:t>Law Enforcement Directive (Directive (EU) 2016/680);</w:t>
      </w:r>
    </w:p>
    <w:p w:rsidR="00A114D6" w:rsidRDefault="00A114D6" w:rsidP="00A114D6">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A114D6" w:rsidRDefault="00A114D6" w:rsidP="00A114D6">
      <w:pPr>
        <w:pStyle w:val="MRheading3"/>
        <w:numPr>
          <w:ilvl w:val="2"/>
          <w:numId w:val="1"/>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BC535D" w:rsidRDefault="00BC535D" w:rsidP="00A114D6">
      <w:pPr>
        <w:pStyle w:val="MRheading3"/>
        <w:numPr>
          <w:ilvl w:val="2"/>
          <w:numId w:val="1"/>
        </w:numPr>
        <w:spacing w:line="288" w:lineRule="auto"/>
        <w:rPr>
          <w:rFonts w:cs="Arial"/>
          <w:szCs w:val="22"/>
        </w:rPr>
      </w:pPr>
      <w:r>
        <w:rPr>
          <w:rFonts w:cs="Arial"/>
          <w:b/>
          <w:szCs w:val="22"/>
        </w:rPr>
        <w:t xml:space="preserve">“Applicable Data Protection Law” </w:t>
      </w:r>
      <w:r>
        <w:rPr>
          <w:rFonts w:cs="Arial"/>
          <w:szCs w:val="22"/>
        </w:rPr>
        <w:t>means all worldwide data protection and privacy laws and regulations applicable to the personal data in question, including, where applicable, EU Data Protection Law.</w:t>
      </w:r>
    </w:p>
    <w:p w:rsidR="00BC535D" w:rsidRDefault="00BC535D" w:rsidP="00BC535D">
      <w:pPr>
        <w:pStyle w:val="MRMainHeading"/>
        <w:numPr>
          <w:ilvl w:val="0"/>
          <w:numId w:val="0"/>
        </w:numPr>
        <w:spacing w:before="0"/>
        <w:ind w:left="720" w:hanging="720"/>
      </w:pPr>
    </w:p>
    <w:p w:rsidR="0001615E" w:rsidRDefault="0001615E" w:rsidP="00BC535D">
      <w:pPr>
        <w:pStyle w:val="PLHeading3"/>
        <w:numPr>
          <w:ilvl w:val="0"/>
          <w:numId w:val="0"/>
        </w:numPr>
        <w:spacing w:after="0"/>
        <w:ind w:left="1843" w:hanging="1134"/>
        <w:jc w:val="both"/>
        <w:rPr>
          <w:rFonts w:ascii="Arial" w:hAnsi="Arial" w:cs="Arial"/>
          <w:color w:val="000000" w:themeColor="text1"/>
        </w:rPr>
      </w:pPr>
      <w:r w:rsidRPr="0001615E">
        <w:rPr>
          <w:rFonts w:ascii="Arial" w:hAnsi="Arial" w:cs="Arial"/>
        </w:rPr>
        <w:t>1.1.3</w:t>
      </w:r>
      <w:r w:rsidR="00BC535D">
        <w:rPr>
          <w:rFonts w:ascii="Arial" w:hAnsi="Arial" w:cs="Arial"/>
        </w:rPr>
        <w:t>2</w:t>
      </w:r>
      <w:r>
        <w:rPr>
          <w:rFonts w:ascii="Arial" w:hAnsi="Arial" w:cs="Arial"/>
        </w:rPr>
        <w:t xml:space="preserve">     </w:t>
      </w:r>
      <w:r>
        <w:rPr>
          <w:rFonts w:cs="Arial"/>
          <w:b/>
        </w:rPr>
        <w:t>“</w:t>
      </w:r>
      <w:r w:rsidR="00BC535D">
        <w:rPr>
          <w:rFonts w:ascii="Arial" w:hAnsi="Arial" w:cs="Arial"/>
          <w:b/>
          <w:color w:val="000000" w:themeColor="text1"/>
        </w:rPr>
        <w:t>EU D</w:t>
      </w:r>
      <w:r w:rsidRPr="0001615E">
        <w:rPr>
          <w:rFonts w:ascii="Arial" w:hAnsi="Arial" w:cs="Arial"/>
          <w:b/>
          <w:color w:val="000000" w:themeColor="text1"/>
        </w:rPr>
        <w:t xml:space="preserve">ata Protection Law” </w:t>
      </w:r>
      <w:r w:rsidRPr="0001615E">
        <w:rPr>
          <w:rFonts w:ascii="Arial" w:hAnsi="Arial" w:cs="Arial"/>
          <w:color w:val="000000" w:themeColor="text1"/>
        </w:rPr>
        <w:t xml:space="preserve">means (i) prior to 25 May 2018, Directive 95/46/EC of the European Parliament and of the Council on the protection of individuals with regard to the Processing of Personal Data and on the free movement of such data (the </w:t>
      </w:r>
      <w:r w:rsidRPr="0001615E">
        <w:rPr>
          <w:rFonts w:ascii="Arial" w:hAnsi="Arial" w:cs="Arial"/>
          <w:b/>
          <w:color w:val="000000" w:themeColor="text1"/>
        </w:rPr>
        <w:t>“Directive”</w:t>
      </w:r>
      <w:r w:rsidRPr="0001615E">
        <w:rPr>
          <w:rFonts w:ascii="Arial" w:hAnsi="Arial" w:cs="Arial"/>
          <w:color w:val="000000" w:themeColor="text1"/>
        </w:rPr>
        <w:t>); (ii) on and after 25 May 2018, Regulation 2016/679 of the European Parliament and of the Council on the protection of natural persons with regard to the Processing of Personal Data and on the free movement of such data (General Data Protection Regulation) (the "</w:t>
      </w:r>
      <w:r w:rsidRPr="0001615E">
        <w:rPr>
          <w:rFonts w:ascii="Arial" w:hAnsi="Arial" w:cs="Arial"/>
          <w:b/>
          <w:color w:val="000000" w:themeColor="text1"/>
        </w:rPr>
        <w:t>GDPR</w:t>
      </w:r>
      <w:r w:rsidRPr="0001615E">
        <w:rPr>
          <w:rFonts w:ascii="Arial" w:hAnsi="Arial" w:cs="Arial"/>
          <w:color w:val="000000" w:themeColor="text1"/>
        </w:rPr>
        <w:t>"); (iii) the EU e-Privacy Directive (Directive 2002/58/EC); and (iv) any and all applicable national data protection laws made under or pursuant to (i), (ii) or (iii); in each case as may be amended or superseded from time to time.</w:t>
      </w:r>
    </w:p>
    <w:p w:rsidR="00BC535D" w:rsidRPr="0001615E" w:rsidRDefault="00BC535D" w:rsidP="00BC535D">
      <w:pPr>
        <w:pStyle w:val="PLHeading3"/>
        <w:numPr>
          <w:ilvl w:val="0"/>
          <w:numId w:val="0"/>
        </w:numPr>
        <w:spacing w:after="0"/>
        <w:ind w:left="1843" w:hanging="1134"/>
        <w:jc w:val="both"/>
        <w:rPr>
          <w:rFonts w:ascii="Arial" w:hAnsi="Arial" w:cs="Arial"/>
          <w:color w:val="000000" w:themeColor="text1"/>
        </w:rPr>
      </w:pPr>
    </w:p>
    <w:p w:rsidR="0001615E" w:rsidRDefault="00A748DF" w:rsidP="00A748DF">
      <w:pPr>
        <w:pStyle w:val="PLHeading3"/>
        <w:numPr>
          <w:ilvl w:val="0"/>
          <w:numId w:val="0"/>
        </w:numPr>
        <w:ind w:left="1843" w:hanging="1134"/>
        <w:jc w:val="both"/>
        <w:rPr>
          <w:rFonts w:ascii="Arial" w:hAnsi="Arial" w:cs="Arial"/>
          <w:color w:val="000000" w:themeColor="text1"/>
        </w:rPr>
      </w:pPr>
      <w:r>
        <w:rPr>
          <w:rFonts w:ascii="Arial" w:hAnsi="Arial" w:cs="Arial"/>
        </w:rPr>
        <w:t>1.1.3</w:t>
      </w:r>
      <w:r w:rsidR="00BC535D">
        <w:rPr>
          <w:rFonts w:ascii="Arial" w:hAnsi="Arial" w:cs="Arial"/>
        </w:rPr>
        <w:t>3</w:t>
      </w:r>
      <w:r>
        <w:rPr>
          <w:rFonts w:ascii="Arial" w:hAnsi="Arial" w:cs="Arial"/>
        </w:rPr>
        <w:t xml:space="preserve"> </w:t>
      </w:r>
      <w:r w:rsidRPr="00A748DF">
        <w:rPr>
          <w:rFonts w:ascii="Arial" w:hAnsi="Arial" w:cs="Arial"/>
          <w:b/>
        </w:rPr>
        <w:tab/>
      </w:r>
      <w:r>
        <w:rPr>
          <w:rFonts w:ascii="Arial" w:hAnsi="Arial" w:cs="Arial"/>
          <w:b/>
        </w:rPr>
        <w:t>“</w:t>
      </w:r>
      <w:r w:rsidR="0001615E" w:rsidRPr="00A748DF">
        <w:rPr>
          <w:rFonts w:ascii="Arial" w:hAnsi="Arial" w:cs="Arial"/>
          <w:b/>
          <w:color w:val="000000" w:themeColor="text1"/>
        </w:rPr>
        <w:t>Disclosure of data</w:t>
      </w:r>
      <w:r>
        <w:rPr>
          <w:rFonts w:ascii="Arial" w:hAnsi="Arial" w:cs="Arial"/>
          <w:b/>
          <w:color w:val="000000" w:themeColor="text1"/>
        </w:rPr>
        <w:t xml:space="preserve">” </w:t>
      </w:r>
      <w:r>
        <w:rPr>
          <w:rFonts w:ascii="Arial" w:hAnsi="Arial" w:cs="Arial"/>
          <w:color w:val="000000" w:themeColor="text1"/>
        </w:rPr>
        <w:t>The Contractor</w:t>
      </w:r>
      <w:r w:rsidR="0001615E" w:rsidRPr="00A748DF">
        <w:rPr>
          <w:rFonts w:ascii="Arial" w:hAnsi="Arial" w:cs="Arial"/>
          <w:color w:val="000000" w:themeColor="text1"/>
        </w:rPr>
        <w:t xml:space="preserve"> will disclose the personal data described in [this Agreement] (the "</w:t>
      </w:r>
      <w:r w:rsidR="0001615E" w:rsidRPr="00A748DF">
        <w:rPr>
          <w:rFonts w:ascii="Arial" w:hAnsi="Arial" w:cs="Arial"/>
          <w:b/>
          <w:color w:val="000000" w:themeColor="text1"/>
        </w:rPr>
        <w:t>Data</w:t>
      </w:r>
      <w:r w:rsidR="0001615E" w:rsidRPr="00A748DF">
        <w:rPr>
          <w:rFonts w:ascii="Arial" w:hAnsi="Arial" w:cs="Arial"/>
          <w:color w:val="000000" w:themeColor="text1"/>
        </w:rPr>
        <w:t>") to [ONR] to process strictly for the purposes described in [this Agreement] (or as otherwise agreed in writing by the parties) (the "</w:t>
      </w:r>
      <w:r w:rsidR="0001615E" w:rsidRPr="00A748DF">
        <w:rPr>
          <w:rFonts w:ascii="Arial" w:hAnsi="Arial" w:cs="Arial"/>
          <w:b/>
          <w:color w:val="000000" w:themeColor="text1"/>
        </w:rPr>
        <w:t>Permitted Purpose</w:t>
      </w:r>
      <w:r w:rsidR="0001615E" w:rsidRPr="00A748DF">
        <w:rPr>
          <w:rFonts w:ascii="Arial" w:hAnsi="Arial" w:cs="Arial"/>
          <w:color w:val="000000" w:themeColor="text1"/>
        </w:rPr>
        <w:t xml:space="preserve">").  </w:t>
      </w:r>
    </w:p>
    <w:p w:rsidR="00A748DF" w:rsidRPr="00A748DF" w:rsidRDefault="00A748DF" w:rsidP="00A748DF">
      <w:pPr>
        <w:pStyle w:val="PLHeading2"/>
        <w:numPr>
          <w:ilvl w:val="0"/>
          <w:numId w:val="0"/>
        </w:numPr>
        <w:ind w:left="1701" w:hanging="992"/>
        <w:jc w:val="both"/>
        <w:rPr>
          <w:rFonts w:ascii="Arial" w:hAnsi="Arial" w:cs="Arial"/>
          <w:color w:val="000000" w:themeColor="text1"/>
          <w:u w:val="single"/>
        </w:rPr>
      </w:pPr>
      <w:r>
        <w:rPr>
          <w:rFonts w:ascii="Arial" w:hAnsi="Arial" w:cs="Arial"/>
        </w:rPr>
        <w:t>1.1.3</w:t>
      </w:r>
      <w:r w:rsidR="00BC535D">
        <w:rPr>
          <w:rFonts w:ascii="Arial" w:hAnsi="Arial" w:cs="Arial"/>
        </w:rPr>
        <w:t>4</w:t>
      </w:r>
      <w:r>
        <w:rPr>
          <w:rFonts w:ascii="Arial" w:hAnsi="Arial" w:cs="Arial"/>
        </w:rPr>
        <w:t xml:space="preserve">   </w:t>
      </w:r>
      <w:r w:rsidRPr="00A748DF">
        <w:rPr>
          <w:rFonts w:ascii="Arial" w:hAnsi="Arial" w:cs="Arial"/>
          <w:b/>
          <w:color w:val="000000" w:themeColor="text1"/>
        </w:rPr>
        <w:t>“Relationship of the parties”</w:t>
      </w:r>
      <w:r w:rsidRPr="00A748DF">
        <w:rPr>
          <w:rFonts w:ascii="Arial" w:hAnsi="Arial" w:cs="Arial"/>
          <w:color w:val="000000" w:themeColor="text1"/>
        </w:rPr>
        <w:t xml:space="preserve">  The parties acknowledge that</w:t>
      </w:r>
      <w:r>
        <w:rPr>
          <w:rFonts w:ascii="Arial" w:hAnsi="Arial" w:cs="Arial"/>
          <w:color w:val="000000" w:themeColor="text1"/>
        </w:rPr>
        <w:t xml:space="preserve"> the Contractor</w:t>
      </w:r>
      <w:r w:rsidRPr="00A748DF">
        <w:rPr>
          <w:rFonts w:ascii="Arial" w:hAnsi="Arial" w:cs="Arial"/>
          <w:color w:val="000000" w:themeColor="text1"/>
        </w:rPr>
        <w:t xml:space="preserve"> is a controller of the Data it discloses to [ONR], and that [ONR] will process the Data as a separate and independent controller strictly for the Permitted Purpose.  In no event will the parties process the Data as joint controllers.  </w:t>
      </w:r>
    </w:p>
    <w:p w:rsidR="0001615E" w:rsidRPr="00A748DF" w:rsidRDefault="00A748DF" w:rsidP="00A748DF">
      <w:pPr>
        <w:pStyle w:val="PLHeading2"/>
        <w:numPr>
          <w:ilvl w:val="0"/>
          <w:numId w:val="0"/>
        </w:numPr>
        <w:ind w:left="1560" w:hanging="851"/>
        <w:jc w:val="both"/>
        <w:rPr>
          <w:rFonts w:ascii="Arial" w:hAnsi="Arial" w:cs="Arial"/>
          <w:color w:val="000000" w:themeColor="text1"/>
          <w:u w:val="single"/>
        </w:rPr>
      </w:pPr>
      <w:r>
        <w:rPr>
          <w:rFonts w:ascii="Arial" w:hAnsi="Arial" w:cs="Arial"/>
          <w:color w:val="000000" w:themeColor="text1"/>
        </w:rPr>
        <w:t>1.1.3</w:t>
      </w:r>
      <w:r w:rsidR="00BC535D">
        <w:rPr>
          <w:rFonts w:ascii="Arial" w:hAnsi="Arial" w:cs="Arial"/>
          <w:color w:val="000000" w:themeColor="text1"/>
        </w:rPr>
        <w:t>5</w:t>
      </w:r>
      <w:r>
        <w:rPr>
          <w:rFonts w:ascii="Arial" w:hAnsi="Arial" w:cs="Arial"/>
          <w:color w:val="000000" w:themeColor="text1"/>
        </w:rPr>
        <w:t xml:space="preserve"> </w:t>
      </w:r>
      <w:r w:rsidRPr="00A748DF">
        <w:rPr>
          <w:rFonts w:ascii="Arial" w:hAnsi="Arial" w:cs="Arial"/>
          <w:color w:val="000000" w:themeColor="text1"/>
        </w:rPr>
        <w:tab/>
      </w:r>
      <w:r w:rsidRPr="00A748DF">
        <w:rPr>
          <w:rFonts w:ascii="Arial" w:hAnsi="Arial" w:cs="Arial"/>
          <w:b/>
          <w:color w:val="000000" w:themeColor="text1"/>
        </w:rPr>
        <w:t>“</w:t>
      </w:r>
      <w:r w:rsidR="0001615E" w:rsidRPr="00A748DF">
        <w:rPr>
          <w:rFonts w:ascii="Arial" w:hAnsi="Arial" w:cs="Arial"/>
          <w:b/>
          <w:color w:val="000000" w:themeColor="text1"/>
        </w:rPr>
        <w:t>Compliance with law</w:t>
      </w:r>
      <w:r w:rsidRPr="00A748DF">
        <w:rPr>
          <w:rFonts w:ascii="Arial" w:hAnsi="Arial" w:cs="Arial"/>
          <w:b/>
          <w:color w:val="000000" w:themeColor="text1"/>
        </w:rPr>
        <w:t>”</w:t>
      </w:r>
      <w:r>
        <w:rPr>
          <w:rFonts w:ascii="Arial" w:hAnsi="Arial" w:cs="Arial"/>
          <w:b/>
          <w:color w:val="000000" w:themeColor="text1"/>
        </w:rPr>
        <w:t xml:space="preserve"> </w:t>
      </w:r>
      <w:r w:rsidR="0001615E" w:rsidRPr="00A748DF">
        <w:rPr>
          <w:rFonts w:ascii="Arial" w:hAnsi="Arial" w:cs="Arial"/>
          <w:color w:val="000000" w:themeColor="text1"/>
        </w:rPr>
        <w:t xml:space="preserve">Each party shall be individually and separately responsible for complying with the obligations that apply to it as a controller under Applicable Data Protection Law.  In particular (and without limitation): </w:t>
      </w:r>
    </w:p>
    <w:p w:rsidR="0001615E" w:rsidRPr="00A748DF" w:rsidRDefault="00A748DF" w:rsidP="0001615E">
      <w:pPr>
        <w:pStyle w:val="PLHeading3"/>
        <w:jc w:val="both"/>
        <w:rPr>
          <w:rFonts w:ascii="Arial" w:hAnsi="Arial" w:cs="Arial"/>
          <w:color w:val="000000" w:themeColor="text1"/>
          <w:u w:val="single"/>
        </w:rPr>
      </w:pPr>
      <w:r>
        <w:rPr>
          <w:rFonts w:ascii="Arial" w:hAnsi="Arial" w:cs="Arial"/>
          <w:color w:val="000000" w:themeColor="text1"/>
        </w:rPr>
        <w:t>The Contractor</w:t>
      </w:r>
      <w:r w:rsidR="0001615E" w:rsidRPr="00A748DF">
        <w:rPr>
          <w:rFonts w:ascii="Arial" w:hAnsi="Arial" w:cs="Arial"/>
          <w:color w:val="000000" w:themeColor="text1"/>
        </w:rPr>
        <w:t xml:space="preserve"> shall be responsible for complying with all necessary transparency and lawfulness requirements under Applicable Data Protection Law in order to disclose the Data to [ONR] to process for the Permitted Purpose; and</w:t>
      </w:r>
    </w:p>
    <w:p w:rsidR="0001615E" w:rsidRPr="00B8536A" w:rsidRDefault="0001615E" w:rsidP="0001615E">
      <w:pPr>
        <w:pStyle w:val="PLHeading3"/>
        <w:jc w:val="both"/>
        <w:rPr>
          <w:rFonts w:ascii="Arial" w:hAnsi="Arial" w:cs="Arial"/>
          <w:color w:val="000000" w:themeColor="text1"/>
          <w:u w:val="single"/>
        </w:rPr>
      </w:pPr>
      <w:r w:rsidRPr="00A748DF">
        <w:rPr>
          <w:rFonts w:ascii="Arial" w:hAnsi="Arial" w:cs="Arial"/>
          <w:color w:val="000000" w:themeColor="text1"/>
        </w:rPr>
        <w:t xml:space="preserve"> [ONR] shall be separately and independently responsible for complying with Applicable Data Protection Law in respect of its processing of Data it receives from </w:t>
      </w:r>
      <w:r w:rsidR="00A748DF">
        <w:rPr>
          <w:rFonts w:ascii="Arial" w:hAnsi="Arial" w:cs="Arial"/>
          <w:color w:val="000000" w:themeColor="text1"/>
        </w:rPr>
        <w:t>The Contractor</w:t>
      </w:r>
      <w:r w:rsidRPr="00A748DF">
        <w:rPr>
          <w:rFonts w:ascii="Arial" w:hAnsi="Arial" w:cs="Arial"/>
          <w:color w:val="000000" w:themeColor="text1"/>
        </w:rPr>
        <w:t>.</w:t>
      </w:r>
    </w:p>
    <w:p w:rsidR="00B8536A" w:rsidRP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w:t>
      </w:r>
      <w:r w:rsidRPr="00B8536A">
        <w:rPr>
          <w:rFonts w:ascii="Arial" w:hAnsi="Arial" w:cs="Arial"/>
          <w:color w:val="000000" w:themeColor="text1"/>
        </w:rPr>
        <w:t>3</w:t>
      </w:r>
      <w:r w:rsidR="00BC535D">
        <w:rPr>
          <w:rFonts w:ascii="Arial" w:hAnsi="Arial" w:cs="Arial"/>
          <w:color w:val="000000" w:themeColor="text1"/>
        </w:rPr>
        <w:t>6</w:t>
      </w:r>
      <w:r w:rsidRPr="00B8536A">
        <w:rPr>
          <w:rFonts w:ascii="Arial" w:hAnsi="Arial" w:cs="Arial"/>
          <w:b/>
          <w:color w:val="000000" w:themeColor="text1"/>
        </w:rPr>
        <w:t xml:space="preserve">  </w:t>
      </w:r>
      <w:r w:rsidRPr="00B8536A">
        <w:rPr>
          <w:rFonts w:ascii="Arial" w:hAnsi="Arial" w:cs="Arial"/>
          <w:color w:val="000000" w:themeColor="text1"/>
        </w:rPr>
        <w:t xml:space="preserve"> </w:t>
      </w:r>
      <w:r w:rsidRPr="00B8536A">
        <w:rPr>
          <w:rFonts w:ascii="Arial" w:hAnsi="Arial" w:cs="Arial"/>
          <w:b/>
          <w:color w:val="000000" w:themeColor="text1"/>
        </w:rPr>
        <w:t>“Security”</w:t>
      </w:r>
      <w:r w:rsidRPr="00B8536A">
        <w:rPr>
          <w:rFonts w:ascii="Arial" w:hAnsi="Arial" w:cs="Arial"/>
          <w:i/>
          <w:color w:val="000000" w:themeColor="text1"/>
        </w:rPr>
        <w:t xml:space="preserve">  </w:t>
      </w:r>
      <w:r w:rsidRPr="00B8536A">
        <w:rPr>
          <w:rFonts w:ascii="Arial" w:hAnsi="Arial" w:cs="Arial"/>
          <w:color w:val="000000" w:themeColor="text1"/>
        </w:rPr>
        <w:t>[ONR] shall implement technical and organisational measures to protect the Data (i) from accidental or unlawful destruction, and (ii) loss, alteration, unauthorised disclosure of, or access to the Data (a "</w:t>
      </w:r>
      <w:r w:rsidRPr="00B8536A">
        <w:rPr>
          <w:rFonts w:ascii="Arial" w:hAnsi="Arial" w:cs="Arial"/>
          <w:b/>
          <w:color w:val="000000" w:themeColor="text1"/>
        </w:rPr>
        <w:t>Security Incident</w:t>
      </w:r>
      <w:r w:rsidRPr="00B8536A">
        <w:rPr>
          <w:rFonts w:ascii="Arial" w:hAnsi="Arial" w:cs="Arial"/>
          <w:color w:val="000000" w:themeColor="text1"/>
        </w:rPr>
        <w:t xml:space="preserve">").  </w:t>
      </w:r>
    </w:p>
    <w:p w:rsid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1.1.3</w:t>
      </w:r>
      <w:r w:rsidR="00BC535D">
        <w:rPr>
          <w:rFonts w:ascii="Arial" w:hAnsi="Arial" w:cs="Arial"/>
        </w:rPr>
        <w:t>7</w:t>
      </w:r>
      <w:r>
        <w:rPr>
          <w:rFonts w:ascii="Arial" w:hAnsi="Arial" w:cs="Arial"/>
          <w:b/>
        </w:rPr>
        <w:t xml:space="preserve"> </w:t>
      </w:r>
      <w:r>
        <w:rPr>
          <w:rFonts w:ascii="Arial" w:hAnsi="Arial" w:cs="Arial"/>
          <w:b/>
        </w:rPr>
        <w:tab/>
      </w:r>
      <w:r w:rsidRPr="00B8536A">
        <w:rPr>
          <w:rFonts w:ascii="Arial" w:hAnsi="Arial" w:cs="Arial"/>
          <w:b/>
        </w:rPr>
        <w:t>“</w:t>
      </w:r>
      <w:r w:rsidRPr="00B8536A">
        <w:rPr>
          <w:rFonts w:ascii="Arial" w:hAnsi="Arial" w:cs="Arial"/>
          <w:b/>
          <w:color w:val="000000" w:themeColor="text1"/>
        </w:rPr>
        <w:t>Subcontracting”</w:t>
      </w:r>
      <w:r w:rsidRPr="00B8536A">
        <w:rPr>
          <w:rFonts w:ascii="Arial" w:hAnsi="Arial" w:cs="Arial"/>
          <w:color w:val="000000" w:themeColor="text1"/>
        </w:rPr>
        <w:t xml:space="preserve">  [ONR] may, at its election, appoint third party processors to process Data for the Permitted Purpose, provided that such processors: (a) agree in writing to process Data in accordance with [ONR]'s documented instructions; (b) implement appropriate technical and organisational security measures to protect the Data against a Security Incident; and (c) otherwise provide sufficient guarantees that they will process the Data in a manner that will meet the requirements of Applicable Data Protection Law.</w:t>
      </w:r>
    </w:p>
    <w:p w:rsidR="00B8536A" w:rsidRDefault="00B8536A" w:rsidP="00B8536A">
      <w:pPr>
        <w:pStyle w:val="PLHeading2"/>
        <w:numPr>
          <w:ilvl w:val="0"/>
          <w:numId w:val="0"/>
        </w:numPr>
        <w:ind w:left="1560" w:hanging="851"/>
        <w:jc w:val="both"/>
        <w:rPr>
          <w:rFonts w:ascii="Arial" w:hAnsi="Arial" w:cs="Arial"/>
          <w:color w:val="000000" w:themeColor="text1"/>
        </w:rPr>
      </w:pPr>
      <w:r>
        <w:rPr>
          <w:rFonts w:ascii="Arial" w:hAnsi="Arial" w:cs="Arial"/>
        </w:rPr>
        <w:t>1.1.3</w:t>
      </w:r>
      <w:r w:rsidR="00BC535D">
        <w:rPr>
          <w:rFonts w:ascii="Arial" w:hAnsi="Arial" w:cs="Arial"/>
        </w:rPr>
        <w:t>8</w:t>
      </w:r>
      <w:r>
        <w:rPr>
          <w:rFonts w:ascii="Arial" w:hAnsi="Arial" w:cs="Arial"/>
        </w:rPr>
        <w:t xml:space="preserve"> </w:t>
      </w:r>
      <w:r w:rsidRPr="00B8536A">
        <w:rPr>
          <w:rFonts w:ascii="Arial" w:hAnsi="Arial" w:cs="Arial"/>
        </w:rPr>
        <w:tab/>
      </w:r>
      <w:r w:rsidRPr="00B8536A">
        <w:rPr>
          <w:rFonts w:ascii="Arial" w:hAnsi="Arial" w:cs="Arial"/>
          <w:b/>
        </w:rPr>
        <w:t>“</w:t>
      </w:r>
      <w:r w:rsidRPr="00B8536A">
        <w:rPr>
          <w:rFonts w:ascii="Arial" w:hAnsi="Arial" w:cs="Arial"/>
          <w:b/>
          <w:color w:val="000000" w:themeColor="text1"/>
        </w:rPr>
        <w:t>Cooperation”</w:t>
      </w:r>
      <w:r w:rsidRPr="00B8536A">
        <w:rPr>
          <w:rFonts w:ascii="Arial" w:hAnsi="Arial" w:cs="Arial"/>
          <w:color w:val="000000" w:themeColor="text1"/>
        </w:rPr>
        <w:t xml:space="preserve">  In the event that either Party receives any correspondence, enquiry or complaint from a data subject, regulator or other third party ("</w:t>
      </w:r>
      <w:r w:rsidRPr="00B8536A">
        <w:rPr>
          <w:rFonts w:ascii="Arial" w:hAnsi="Arial" w:cs="Arial"/>
          <w:b/>
          <w:color w:val="000000" w:themeColor="text1"/>
        </w:rPr>
        <w:t>Correspondence</w:t>
      </w:r>
      <w:r w:rsidRPr="00B8536A">
        <w:rPr>
          <w:rFonts w:ascii="Arial" w:hAnsi="Arial" w:cs="Arial"/>
          <w:color w:val="000000" w:themeColor="text1"/>
        </w:rPr>
        <w:t xml:space="preserve">") related to (a) the disclosure of the Data by </w:t>
      </w:r>
      <w:r>
        <w:rPr>
          <w:rFonts w:ascii="Arial" w:hAnsi="Arial" w:cs="Arial"/>
          <w:color w:val="000000" w:themeColor="text1"/>
        </w:rPr>
        <w:t>The Contractor</w:t>
      </w:r>
      <w:r w:rsidRPr="00B8536A">
        <w:rPr>
          <w:rFonts w:ascii="Arial" w:hAnsi="Arial" w:cs="Arial"/>
          <w:color w:val="000000" w:themeColor="text1"/>
        </w:rPr>
        <w:t xml:space="preserve"> to [ONR] for the Permitted Purpose; or (b) processing of Data by the other Party, it shall promptly inform the other Party giving full details of the same, and the Parties shall cooperate reasonably and in good faith in order to respond to the Correspondence in accordance with any requirements under Applicable Data Protection Law.</w:t>
      </w:r>
    </w:p>
    <w:p w:rsidR="00B8536A" w:rsidRPr="00B8536A" w:rsidRDefault="00B8536A" w:rsidP="00B8536A">
      <w:pPr>
        <w:pStyle w:val="PLHeading2"/>
        <w:numPr>
          <w:ilvl w:val="0"/>
          <w:numId w:val="0"/>
        </w:numPr>
        <w:ind w:left="1560" w:hanging="850"/>
        <w:jc w:val="both"/>
        <w:rPr>
          <w:rFonts w:ascii="Arial" w:hAnsi="Arial" w:cs="Arial"/>
          <w:color w:val="000000" w:themeColor="text1"/>
        </w:rPr>
      </w:pPr>
      <w:r>
        <w:rPr>
          <w:rFonts w:ascii="Arial" w:hAnsi="Arial" w:cs="Arial"/>
        </w:rPr>
        <w:t>1.1.3</w:t>
      </w:r>
      <w:r w:rsidR="00BC535D">
        <w:rPr>
          <w:rFonts w:ascii="Arial" w:hAnsi="Arial" w:cs="Arial"/>
        </w:rPr>
        <w:t>9</w:t>
      </w:r>
      <w:r>
        <w:rPr>
          <w:rFonts w:ascii="Arial" w:hAnsi="Arial" w:cs="Arial"/>
        </w:rPr>
        <w:tab/>
      </w:r>
      <w:r w:rsidRPr="00B8536A">
        <w:rPr>
          <w:rFonts w:ascii="Arial" w:hAnsi="Arial" w:cs="Arial"/>
          <w:b/>
        </w:rPr>
        <w:t>“</w:t>
      </w:r>
      <w:r w:rsidRPr="00B8536A">
        <w:rPr>
          <w:rFonts w:ascii="Arial" w:hAnsi="Arial" w:cs="Arial"/>
          <w:b/>
          <w:color w:val="000000" w:themeColor="text1"/>
        </w:rPr>
        <w:t>International transfers”</w:t>
      </w:r>
      <w:r w:rsidRPr="00B8536A">
        <w:rPr>
          <w:rFonts w:ascii="Arial" w:hAnsi="Arial" w:cs="Arial"/>
          <w:color w:val="000000" w:themeColor="text1"/>
        </w:rPr>
        <w:t xml:space="preserve">  [ONR] shall not process any Data (nor permit any Data to be processed) in a territory outside of the European Economic Area ("</w:t>
      </w:r>
      <w:r w:rsidRPr="00B8536A">
        <w:rPr>
          <w:rFonts w:ascii="Arial" w:hAnsi="Arial" w:cs="Arial"/>
          <w:b/>
          <w:color w:val="000000" w:themeColor="text1"/>
        </w:rPr>
        <w:t>EEA</w:t>
      </w:r>
      <w:r w:rsidRPr="00B8536A">
        <w:rPr>
          <w:rFonts w:ascii="Arial" w:hAnsi="Arial" w:cs="Arial"/>
          <w:color w:val="000000" w:themeColor="text1"/>
        </w:rPr>
        <w:t xml:space="preserve">") unless it has taken such measures as are necessary to ensure the transfer is in compliance with Applicable Data Protection Law.  </w:t>
      </w:r>
    </w:p>
    <w:p w:rsidR="00B8536A" w:rsidRPr="00B8536A" w:rsidRDefault="00B8536A" w:rsidP="00BC535D">
      <w:pPr>
        <w:pStyle w:val="MRNumberedHeading3"/>
        <w:numPr>
          <w:ilvl w:val="0"/>
          <w:numId w:val="0"/>
        </w:numPr>
        <w:ind w:left="1560" w:hanging="840"/>
        <w:rPr>
          <w:rFonts w:cs="Arial"/>
          <w:color w:val="000000" w:themeColor="text1"/>
          <w:sz w:val="22"/>
          <w:szCs w:val="22"/>
        </w:rPr>
      </w:pPr>
      <w:r w:rsidRPr="00B8536A">
        <w:rPr>
          <w:rFonts w:cs="Arial"/>
          <w:color w:val="000000" w:themeColor="text1"/>
          <w:sz w:val="22"/>
          <w:szCs w:val="22"/>
        </w:rPr>
        <w:t>1</w:t>
      </w:r>
      <w:r w:rsidRPr="00BC535D">
        <w:rPr>
          <w:rFonts w:cs="Arial"/>
          <w:color w:val="000000" w:themeColor="text1"/>
          <w:sz w:val="22"/>
          <w:szCs w:val="22"/>
        </w:rPr>
        <w:t>.1.</w:t>
      </w:r>
      <w:r w:rsidR="00BC535D">
        <w:rPr>
          <w:rFonts w:cs="Arial"/>
          <w:color w:val="000000" w:themeColor="text1"/>
          <w:sz w:val="22"/>
          <w:szCs w:val="22"/>
        </w:rPr>
        <w:t>40</w:t>
      </w:r>
      <w:r w:rsidRPr="00BC535D">
        <w:rPr>
          <w:rFonts w:cs="Arial"/>
          <w:color w:val="000000" w:themeColor="text1"/>
          <w:sz w:val="22"/>
          <w:szCs w:val="22"/>
        </w:rPr>
        <w:tab/>
      </w:r>
      <w:r w:rsidR="00BC535D" w:rsidRPr="00BC535D">
        <w:rPr>
          <w:rFonts w:cs="Arial"/>
          <w:b/>
          <w:color w:val="000000" w:themeColor="text1"/>
          <w:sz w:val="22"/>
          <w:szCs w:val="22"/>
        </w:rPr>
        <w:t>“</w:t>
      </w:r>
      <w:r w:rsidRPr="00BC535D">
        <w:rPr>
          <w:rFonts w:cs="Arial"/>
          <w:b/>
          <w:color w:val="000000" w:themeColor="text1"/>
          <w:sz w:val="22"/>
          <w:szCs w:val="22"/>
        </w:rPr>
        <w:t>Survival</w:t>
      </w:r>
      <w:r w:rsidR="00BC535D" w:rsidRPr="00BC535D">
        <w:rPr>
          <w:rFonts w:cs="Arial"/>
          <w:b/>
          <w:color w:val="000000" w:themeColor="text1"/>
          <w:sz w:val="22"/>
          <w:szCs w:val="22"/>
        </w:rPr>
        <w:t>”</w:t>
      </w:r>
      <w:r w:rsidRPr="00BC535D">
        <w:rPr>
          <w:rFonts w:cs="Arial"/>
          <w:color w:val="000000" w:themeColor="text1"/>
          <w:sz w:val="22"/>
          <w:szCs w:val="22"/>
        </w:rPr>
        <w:t xml:space="preserve"> This Clause shall survive termination or expiry of [this Agreement].  Upon termination or expiry of [this Agreement], [ONR] may continue to process the Data provided that such processing complies with the requirements of this Clause and Applicable Data Protection Law.</w:t>
      </w:r>
      <w:r w:rsidRPr="00B8536A">
        <w:rPr>
          <w:rFonts w:cs="Arial"/>
          <w:color w:val="000000" w:themeColor="text1"/>
          <w:sz w:val="22"/>
          <w:szCs w:val="22"/>
        </w:rPr>
        <w:t xml:space="preserve">  </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A114D6" w:rsidRDefault="00A114D6"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id deemed at a later date to be inaccurate.</w:t>
      </w:r>
    </w:p>
    <w:p w:rsidR="00802C9D" w:rsidRPr="00BF7661" w:rsidRDefault="00802C9D"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is deemed at a later date to be inaccurate.</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01615E">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01615E">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01615E">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01615E">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01615E">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01615E">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A114D6" w:rsidRDefault="00881896" w:rsidP="00881896">
      <w:pPr>
        <w:pStyle w:val="MRNumberedHeading3"/>
        <w:tabs>
          <w:tab w:val="clear" w:pos="3240"/>
          <w:tab w:val="num" w:pos="1276"/>
        </w:tabs>
        <w:ind w:hanging="2531"/>
        <w:rPr>
          <w:sz w:val="22"/>
          <w:szCs w:val="22"/>
        </w:rPr>
      </w:pPr>
      <w:r w:rsidRPr="00A114D6">
        <w:rPr>
          <w:sz w:val="22"/>
          <w:szCs w:val="22"/>
        </w:rPr>
        <w:t>any breach by the Contractor of:</w:t>
      </w:r>
    </w:p>
    <w:p w:rsidR="00881896" w:rsidRPr="00A114D6" w:rsidRDefault="008A54AC" w:rsidP="00881896">
      <w:pPr>
        <w:pStyle w:val="MRNumberedHeading4"/>
        <w:rPr>
          <w:sz w:val="22"/>
        </w:rPr>
      </w:pPr>
      <w:r w:rsidRPr="00A114D6">
        <w:rPr>
          <w:sz w:val="22"/>
        </w:rPr>
        <w:t xml:space="preserve">special terms </w:t>
      </w:r>
      <w:r w:rsidR="00C7765D" w:rsidRPr="00A114D6">
        <w:rPr>
          <w:sz w:val="22"/>
          <w:highlight w:val="yellow"/>
        </w:rPr>
        <w:fldChar w:fldCharType="begin"/>
      </w:r>
      <w:r w:rsidR="00C7765D" w:rsidRPr="00A114D6">
        <w:rPr>
          <w:sz w:val="22"/>
        </w:rPr>
        <w:instrText xml:space="preserve"> REF _Ref507429310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8.5</w:t>
      </w:r>
      <w:r w:rsidR="00C7765D" w:rsidRPr="00A114D6">
        <w:rPr>
          <w:sz w:val="22"/>
          <w:highlight w:val="yellow"/>
        </w:rPr>
        <w:fldChar w:fldCharType="end"/>
      </w:r>
      <w:r w:rsidR="00C7765D" w:rsidRPr="00A114D6">
        <w:rPr>
          <w:sz w:val="22"/>
        </w:rPr>
        <w:t xml:space="preserve"> </w:t>
      </w:r>
      <w:r w:rsidRPr="00A114D6">
        <w:rPr>
          <w:sz w:val="22"/>
        </w:rPr>
        <w:t xml:space="preserve">and </w:t>
      </w:r>
      <w:r w:rsidR="00C7765D" w:rsidRPr="00A114D6">
        <w:rPr>
          <w:sz w:val="22"/>
          <w:highlight w:val="yellow"/>
        </w:rPr>
        <w:fldChar w:fldCharType="begin"/>
      </w:r>
      <w:r w:rsidR="00C7765D" w:rsidRPr="00A114D6">
        <w:rPr>
          <w:sz w:val="22"/>
        </w:rPr>
        <w:instrText xml:space="preserve"> REF _Ref292919255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8.11</w:t>
      </w:r>
      <w:r w:rsidR="00C7765D" w:rsidRPr="00A114D6">
        <w:rPr>
          <w:sz w:val="22"/>
          <w:highlight w:val="yellow"/>
        </w:rPr>
        <w:fldChar w:fldCharType="end"/>
      </w:r>
      <w:r w:rsidR="00C7765D" w:rsidRPr="00A114D6">
        <w:rPr>
          <w:sz w:val="22"/>
        </w:rPr>
        <w:t xml:space="preserve"> </w:t>
      </w:r>
      <w:r w:rsidR="00881896" w:rsidRPr="00A114D6">
        <w:rPr>
          <w:sz w:val="22"/>
        </w:rPr>
        <w:t xml:space="preserve">(TUPE)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_Ref507429325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5.2</w:t>
      </w:r>
      <w:r w:rsidR="00C7765D" w:rsidRPr="00A114D6">
        <w:rPr>
          <w:sz w:val="22"/>
          <w:highlight w:val="yellow"/>
        </w:rPr>
        <w:fldChar w:fldCharType="end"/>
      </w:r>
      <w:r w:rsidR="00C7765D" w:rsidRPr="00A114D6">
        <w:rPr>
          <w:sz w:val="22"/>
        </w:rPr>
        <w:t xml:space="preserve"> (</w:t>
      </w:r>
      <w:r w:rsidRPr="00A114D6">
        <w:rPr>
          <w:sz w:val="22"/>
        </w:rPr>
        <w:t>Status</w:t>
      </w:r>
      <w:r w:rsidR="00C7765D" w:rsidRPr="00A114D6">
        <w:rPr>
          <w:sz w:val="22"/>
        </w:rPr>
        <w:t>)</w:t>
      </w:r>
      <w:r w:rsidRPr="00A114D6">
        <w:rPr>
          <w:sz w:val="22"/>
        </w:rPr>
        <w:t xml:space="preserv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_Ref507429348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6.7</w:t>
      </w:r>
      <w:r w:rsidR="00C7765D" w:rsidRPr="00A114D6">
        <w:rPr>
          <w:sz w:val="22"/>
          <w:highlight w:val="yellow"/>
        </w:rPr>
        <w:fldChar w:fldCharType="end"/>
      </w:r>
      <w:r w:rsidR="00C7765D" w:rsidRPr="00A114D6">
        <w:rPr>
          <w:sz w:val="22"/>
        </w:rPr>
        <w:t xml:space="preserve"> </w:t>
      </w:r>
      <w:r w:rsidRPr="00A114D6">
        <w:rPr>
          <w:sz w:val="22"/>
        </w:rPr>
        <w:t xml:space="preserve">(Price and Payment),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_Ref381106246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11</w:t>
      </w:r>
      <w:r w:rsidRPr="00A114D6">
        <w:rPr>
          <w:sz w:val="22"/>
        </w:rPr>
        <w:fldChar w:fldCharType="end"/>
      </w:r>
      <w:r w:rsidRPr="00A114D6">
        <w:rPr>
          <w:sz w:val="22"/>
        </w:rPr>
        <w:t xml:space="preserve"> (Confidentiality</w:t>
      </w:r>
      <w:r w:rsidR="00881896" w:rsidRPr="00A114D6">
        <w:rPr>
          <w:sz w:val="22"/>
        </w:rPr>
        <w:t xml:space="preserve"> and Freedom of Information),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_Ref381106461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12</w:t>
      </w:r>
      <w:r w:rsidRPr="00A114D6">
        <w:rPr>
          <w:sz w:val="22"/>
        </w:rPr>
        <w:fldChar w:fldCharType="end"/>
      </w:r>
      <w:r w:rsidRPr="00A114D6">
        <w:rPr>
          <w:sz w:val="22"/>
        </w:rPr>
        <w:t xml:space="preserve"> (Data </w:t>
      </w:r>
      <w:r w:rsidR="00A0236A" w:rsidRPr="00A114D6">
        <w:rPr>
          <w:sz w:val="22"/>
        </w:rPr>
        <w:t>P</w:t>
      </w:r>
      <w:r w:rsidRPr="00A114D6">
        <w:rPr>
          <w:sz w:val="22"/>
        </w:rPr>
        <w:t>rotection)</w:t>
      </w:r>
      <w:r w:rsidR="00881896" w:rsidRPr="00A114D6">
        <w:rPr>
          <w:sz w:val="22"/>
        </w:rPr>
        <w:t xml:space="preserve"> </w:t>
      </w:r>
    </w:p>
    <w:p w:rsidR="00881896" w:rsidRPr="00A114D6" w:rsidRDefault="00881896" w:rsidP="00881896">
      <w:pPr>
        <w:pStyle w:val="MRNumberedHeading4"/>
        <w:rPr>
          <w:sz w:val="22"/>
        </w:rPr>
      </w:pPr>
      <w:r w:rsidRPr="00A114D6">
        <w:rPr>
          <w:sz w:val="22"/>
        </w:rPr>
        <w:t>cl</w:t>
      </w:r>
      <w:r w:rsidR="007170DF" w:rsidRPr="00A114D6">
        <w:rPr>
          <w:sz w:val="22"/>
        </w:rPr>
        <w:t xml:space="preserve">ause </w:t>
      </w:r>
      <w:r w:rsidR="007170DF" w:rsidRPr="00A114D6">
        <w:rPr>
          <w:sz w:val="22"/>
        </w:rPr>
        <w:fldChar w:fldCharType="begin"/>
      </w:r>
      <w:r w:rsidR="007170DF" w:rsidRPr="00A114D6">
        <w:rPr>
          <w:sz w:val="22"/>
        </w:rPr>
        <w:instrText xml:space="preserve"> REF _Ref364760355 \r \h </w:instrText>
      </w:r>
      <w:r w:rsidR="00BF7661" w:rsidRPr="00A114D6">
        <w:rPr>
          <w:sz w:val="22"/>
        </w:rPr>
        <w:instrText xml:space="preserve"> \* MERGEFORMAT </w:instrText>
      </w:r>
      <w:r w:rsidR="007170DF" w:rsidRPr="00A114D6">
        <w:rPr>
          <w:sz w:val="22"/>
        </w:rPr>
      </w:r>
      <w:r w:rsidR="007170DF" w:rsidRPr="00A114D6">
        <w:rPr>
          <w:sz w:val="22"/>
        </w:rPr>
        <w:fldChar w:fldCharType="separate"/>
      </w:r>
      <w:r w:rsidR="0001615E">
        <w:rPr>
          <w:sz w:val="22"/>
        </w:rPr>
        <w:t>9.6</w:t>
      </w:r>
      <w:r w:rsidR="007170DF" w:rsidRPr="00A114D6">
        <w:rPr>
          <w:sz w:val="22"/>
        </w:rPr>
        <w:fldChar w:fldCharType="end"/>
      </w:r>
      <w:r w:rsidR="00A0236A" w:rsidRPr="00A114D6">
        <w:rPr>
          <w:sz w:val="22"/>
        </w:rPr>
        <w:t xml:space="preserve"> (Intellectual Property R</w:t>
      </w:r>
      <w:r w:rsidR="007170DF" w:rsidRPr="00A114D6">
        <w:rPr>
          <w:sz w:val="22"/>
        </w:rPr>
        <w:t>ights)</w:t>
      </w:r>
      <w:r w:rsidRPr="00A114D6">
        <w:rPr>
          <w:sz w:val="22"/>
        </w:rPr>
        <w:t xml:space="preserve">; </w:t>
      </w:r>
      <w:r w:rsidR="00956BC2" w:rsidRPr="00A114D6">
        <w:rPr>
          <w:sz w:val="22"/>
        </w:rPr>
        <w:t xml:space="preserve">or </w:t>
      </w:r>
    </w:p>
    <w:p w:rsidR="002450B2" w:rsidRPr="00A114D6" w:rsidRDefault="00956BC2" w:rsidP="00881896">
      <w:pPr>
        <w:pStyle w:val="MRNumberedHeading3"/>
        <w:tabs>
          <w:tab w:val="clear" w:pos="3240"/>
          <w:tab w:val="num" w:pos="1276"/>
        </w:tabs>
        <w:ind w:hanging="2531"/>
        <w:rPr>
          <w:sz w:val="22"/>
          <w:szCs w:val="22"/>
        </w:rPr>
      </w:pPr>
      <w:r w:rsidRPr="00A114D6">
        <w:rPr>
          <w:sz w:val="22"/>
          <w:szCs w:val="22"/>
        </w:rPr>
        <w:t>any wilful or deliberate breach by the Contractor or Contractor Staff</w:t>
      </w:r>
      <w:r w:rsidR="002450B2" w:rsidRPr="00A114D6">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01615E">
        <w:rPr>
          <w:rFonts w:cs="Arial"/>
          <w:szCs w:val="22"/>
        </w:rPr>
        <w:t>10.4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D67482">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01615E">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D67482">
        <w:rPr>
          <w:sz w:val="22"/>
          <w:szCs w:val="22"/>
        </w:rPr>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01615E">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01615E">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01615E">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01615E">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33619C">
      <w:pPr>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01615E">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A114D6" w:rsidRPr="00CF16D6" w:rsidRDefault="00A114D6" w:rsidP="00A114D6">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A114D6" w:rsidRPr="00CF16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A114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A114D6" w:rsidRDefault="00A114D6" w:rsidP="00A114D6">
      <w:pPr>
        <w:pStyle w:val="MRMainHeading"/>
        <w:numPr>
          <w:ilvl w:val="0"/>
          <w:numId w:val="0"/>
        </w:numPr>
        <w:spacing w:before="0"/>
        <w:ind w:left="720" w:hanging="720"/>
        <w:rPr>
          <w:rFonts w:ascii="Arial" w:eastAsia="Arial" w:hAnsi="Arial" w:cs="Arial"/>
          <w:color w:val="000000" w:themeColor="text1"/>
          <w:sz w:val="22"/>
        </w:rPr>
      </w:pPr>
    </w:p>
    <w:p w:rsidR="00A114D6" w:rsidRPr="00F93AFF" w:rsidRDefault="00A114D6" w:rsidP="00A114D6">
      <w:pPr>
        <w:pStyle w:val="DefaultText"/>
        <w:numPr>
          <w:ilvl w:val="0"/>
          <w:numId w:val="39"/>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A114D6" w:rsidRPr="00F93AFF" w:rsidRDefault="00A114D6" w:rsidP="00A114D6">
      <w:pPr>
        <w:pStyle w:val="MRNumberedHeading3"/>
        <w:numPr>
          <w:ilvl w:val="0"/>
          <w:numId w:val="39"/>
        </w:numPr>
        <w:rPr>
          <w:sz w:val="22"/>
          <w:szCs w:val="22"/>
        </w:rPr>
      </w:pPr>
      <w:r w:rsidRPr="00F93AFF">
        <w:rPr>
          <w:sz w:val="22"/>
          <w:szCs w:val="22"/>
        </w:rPr>
        <w:t>an assessment of the necessity and proportionality of the processing operations in relation to the Services;</w:t>
      </w:r>
    </w:p>
    <w:p w:rsidR="00A114D6" w:rsidRPr="00697B37" w:rsidRDefault="00A114D6" w:rsidP="00A114D6">
      <w:pPr>
        <w:pStyle w:val="MRNumberedHeading3"/>
        <w:numPr>
          <w:ilvl w:val="0"/>
          <w:numId w:val="39"/>
        </w:numPr>
        <w:rPr>
          <w:rFonts w:cs="Arial"/>
          <w:sz w:val="22"/>
          <w:szCs w:val="22"/>
        </w:rPr>
      </w:pPr>
      <w:r w:rsidRPr="00697B37">
        <w:rPr>
          <w:rFonts w:cs="Arial"/>
          <w:sz w:val="22"/>
          <w:szCs w:val="22"/>
        </w:rPr>
        <w:t>an assessment of the risks to the rights and freedoms of Data Subjects; and</w:t>
      </w:r>
    </w:p>
    <w:p w:rsidR="00A114D6" w:rsidRPr="00F93AFF" w:rsidRDefault="00A114D6" w:rsidP="00A114D6">
      <w:pPr>
        <w:pStyle w:val="ListParagraph"/>
        <w:rPr>
          <w:rFonts w:cs="Arial"/>
          <w:sz w:val="22"/>
          <w:szCs w:val="22"/>
        </w:rPr>
      </w:pPr>
    </w:p>
    <w:p w:rsidR="00A114D6" w:rsidRPr="00F93AFF" w:rsidRDefault="00A114D6" w:rsidP="00A114D6">
      <w:pPr>
        <w:pStyle w:val="DefaultText"/>
        <w:numPr>
          <w:ilvl w:val="0"/>
          <w:numId w:val="39"/>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A114D6" w:rsidRPr="00F93AFF" w:rsidRDefault="00A114D6" w:rsidP="00A114D6">
      <w:pPr>
        <w:pStyle w:val="ListParagraph"/>
        <w:rPr>
          <w:rFonts w:cs="Arial"/>
          <w:sz w:val="22"/>
          <w:szCs w:val="22"/>
        </w:rPr>
      </w:pPr>
    </w:p>
    <w:p w:rsidR="00A114D6" w:rsidRPr="00697B37" w:rsidRDefault="00A114D6" w:rsidP="00A114D6">
      <w:pPr>
        <w:pStyle w:val="DefaultText"/>
        <w:ind w:left="709" w:hanging="709"/>
        <w:jc w:val="both"/>
        <w:rPr>
          <w:rFonts w:ascii="Arial" w:hAnsi="Arial" w:cs="Arial"/>
          <w:sz w:val="22"/>
          <w:szCs w:val="22"/>
        </w:rPr>
      </w:pPr>
      <w:r w:rsidRPr="00697B37">
        <w:rPr>
          <w:rFonts w:ascii="Arial" w:hAnsi="Arial" w:cs="Arial"/>
          <w:sz w:val="22"/>
          <w:szCs w:val="22"/>
        </w:rPr>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A114D6" w:rsidRPr="00697B37" w:rsidRDefault="00A114D6" w:rsidP="00A114D6">
      <w:pPr>
        <w:pStyle w:val="DefaultText"/>
        <w:ind w:left="851" w:hanging="851"/>
        <w:jc w:val="both"/>
        <w:rPr>
          <w:rFonts w:ascii="Arial" w:hAnsi="Arial" w:cs="Arial"/>
          <w:sz w:val="22"/>
          <w:szCs w:val="22"/>
        </w:rPr>
      </w:pPr>
    </w:p>
    <w:p w:rsidR="00A114D6" w:rsidRDefault="00A114D6" w:rsidP="00A114D6">
      <w:pPr>
        <w:pStyle w:val="DefaultText"/>
        <w:numPr>
          <w:ilvl w:val="0"/>
          <w:numId w:val="40"/>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A114D6" w:rsidRDefault="00A114D6" w:rsidP="00A114D6">
      <w:pPr>
        <w:pStyle w:val="MRNumberedHeading3"/>
        <w:numPr>
          <w:ilvl w:val="0"/>
          <w:numId w:val="40"/>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A114D6" w:rsidRDefault="00A114D6" w:rsidP="00A114D6">
      <w:pPr>
        <w:pStyle w:val="MRNumberedHeading3"/>
        <w:numPr>
          <w:ilvl w:val="0"/>
          <w:numId w:val="0"/>
        </w:numPr>
        <w:spacing w:before="0"/>
        <w:ind w:left="1843" w:hanging="1134"/>
        <w:rPr>
          <w:rFonts w:cs="Arial"/>
          <w:sz w:val="22"/>
          <w:szCs w:val="22"/>
        </w:rPr>
      </w:pP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A114D6" w:rsidRPr="00697B37" w:rsidRDefault="00A114D6" w:rsidP="00A114D6">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A114D6" w:rsidRDefault="00A114D6" w:rsidP="00A114D6">
      <w:pPr>
        <w:pStyle w:val="DefaultText"/>
      </w:pP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A114D6" w:rsidRDefault="00A114D6" w:rsidP="00A114D6">
      <w:pPr>
        <w:pStyle w:val="DefaultText"/>
        <w:spacing w:line="288" w:lineRule="auto"/>
        <w:ind w:left="1514"/>
      </w:pPr>
    </w:p>
    <w:p w:rsidR="00A114D6" w:rsidRPr="00697B37" w:rsidRDefault="00A114D6" w:rsidP="00A114D6">
      <w:pPr>
        <w:pStyle w:val="DefaultText"/>
        <w:numPr>
          <w:ilvl w:val="0"/>
          <w:numId w:val="33"/>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A114D6" w:rsidRPr="00697B37" w:rsidRDefault="00A114D6" w:rsidP="00A114D6">
      <w:pPr>
        <w:pStyle w:val="DefaultText"/>
        <w:rPr>
          <w:rFonts w:ascii="Arial" w:hAnsi="Arial"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A114D6" w:rsidRPr="00697B37" w:rsidRDefault="00A114D6" w:rsidP="00A114D6">
      <w:pPr>
        <w:pStyle w:val="ListParagraph"/>
        <w:rPr>
          <w:rFonts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A114D6" w:rsidRPr="00697B37" w:rsidRDefault="00A114D6" w:rsidP="00A114D6">
      <w:pPr>
        <w:pStyle w:val="ListParagraph"/>
        <w:rPr>
          <w:rFonts w:cs="Arial"/>
          <w:sz w:val="22"/>
          <w:szCs w:val="22"/>
        </w:rPr>
      </w:pPr>
    </w:p>
    <w:p w:rsidR="00A114D6" w:rsidRDefault="00A114D6" w:rsidP="00A114D6">
      <w:pPr>
        <w:pStyle w:val="DefaultText"/>
        <w:numPr>
          <w:ilvl w:val="0"/>
          <w:numId w:val="33"/>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A114D6" w:rsidRPr="00281ADD" w:rsidRDefault="00A114D6" w:rsidP="00A114D6">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A114D6" w:rsidRDefault="00A114D6" w:rsidP="00A114D6">
      <w:pPr>
        <w:pStyle w:val="DefaultText"/>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A114D6" w:rsidRPr="00281ADD" w:rsidRDefault="00A114D6" w:rsidP="00A114D6">
      <w:pPr>
        <w:pStyle w:val="DefaultText"/>
        <w:rPr>
          <w:rFonts w:ascii="Arial" w:hAnsi="Arial" w:cs="Arial"/>
          <w:sz w:val="22"/>
          <w:szCs w:val="22"/>
        </w:rPr>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A114D6" w:rsidRDefault="00A114D6" w:rsidP="00A114D6">
      <w:pPr>
        <w:pStyle w:val="ListParagraph"/>
      </w:pPr>
    </w:p>
    <w:p w:rsidR="00A114D6" w:rsidRPr="00281ADD" w:rsidRDefault="00A114D6" w:rsidP="00A114D6">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A114D6" w:rsidRDefault="00A114D6" w:rsidP="00A114D6">
      <w:pPr>
        <w:pStyle w:val="DefaultText"/>
        <w:spacing w:line="288" w:lineRule="auto"/>
      </w:pPr>
    </w:p>
    <w:p w:rsidR="00A114D6" w:rsidRPr="00281ADD" w:rsidRDefault="00A114D6" w:rsidP="00A114D6">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A114D6" w:rsidRDefault="00A114D6" w:rsidP="00A114D6">
      <w:pPr>
        <w:pStyle w:val="DefaultText"/>
        <w:ind w:left="720" w:hanging="720"/>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becomes aware of a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A114D6" w:rsidRPr="00F3584B" w:rsidRDefault="00A114D6" w:rsidP="00A114D6">
      <w:pPr>
        <w:pStyle w:val="DefaultText"/>
        <w:ind w:left="720" w:hanging="720"/>
        <w:rPr>
          <w:rFonts w:ascii="Arial" w:hAnsi="Arial" w:cs="Arial"/>
          <w:sz w:val="22"/>
          <w:szCs w:val="22"/>
        </w:rPr>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A114D6" w:rsidRDefault="00A114D6" w:rsidP="00A114D6">
      <w:pPr>
        <w:pStyle w:val="DefaultText"/>
        <w:ind w:left="720" w:hanging="720"/>
        <w:jc w:val="both"/>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6"/>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A114D6" w:rsidRDefault="00A114D6" w:rsidP="00A114D6">
      <w:pPr>
        <w:pStyle w:val="ListParagraph"/>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A114D6" w:rsidRDefault="00A114D6" w:rsidP="00A114D6">
      <w:pPr>
        <w:pStyle w:val="DefaultText"/>
        <w:ind w:left="720" w:hanging="720"/>
      </w:pPr>
    </w:p>
    <w:p w:rsidR="00A114D6" w:rsidRPr="00F3584B" w:rsidRDefault="00A114D6" w:rsidP="00A114D6">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7"/>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A114D6" w:rsidRPr="00F3584B" w:rsidRDefault="00A114D6" w:rsidP="00A114D6">
      <w:pPr>
        <w:pStyle w:val="DefaultText"/>
        <w:spacing w:line="288" w:lineRule="auto"/>
        <w:rPr>
          <w:rFonts w:ascii="Arial" w:hAnsi="Arial" w:cs="Arial"/>
          <w:sz w:val="22"/>
          <w:szCs w:val="22"/>
        </w:rPr>
      </w:pPr>
    </w:p>
    <w:p w:rsidR="00A114D6" w:rsidRPr="00F3584B" w:rsidRDefault="00A114D6" w:rsidP="00A114D6">
      <w:pPr>
        <w:pStyle w:val="DefaultText"/>
        <w:numPr>
          <w:ilvl w:val="0"/>
          <w:numId w:val="37"/>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A114D6" w:rsidRDefault="00A114D6" w:rsidP="00A114D6">
      <w:pPr>
        <w:pStyle w:val="ListParagraph"/>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A114D6" w:rsidRPr="00F3584B" w:rsidRDefault="00A114D6" w:rsidP="00A114D6">
      <w:pPr>
        <w:pStyle w:val="DefaultText"/>
        <w:ind w:left="720"/>
        <w:rPr>
          <w:rFonts w:ascii="Arial" w:hAnsi="Arial"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A114D6" w:rsidRPr="00F3584B" w:rsidRDefault="00A114D6" w:rsidP="00A114D6">
      <w:pPr>
        <w:pStyle w:val="DefaultText"/>
        <w:ind w:left="1134" w:hanging="1134"/>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A114D6" w:rsidRDefault="00A114D6" w:rsidP="00A114D6">
      <w:pPr>
        <w:pStyle w:val="ListParagraph"/>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A114D6" w:rsidRDefault="00A114D6" w:rsidP="00A114D6">
      <w:pPr>
        <w:pStyle w:val="ListParagraph"/>
      </w:pPr>
    </w:p>
    <w:p w:rsidR="00A114D6" w:rsidRPr="00F3584B" w:rsidRDefault="00A114D6" w:rsidP="00A114D6">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A114D6" w:rsidRDefault="00A114D6" w:rsidP="00A114D6">
      <w:pPr>
        <w:pStyle w:val="DefaultText"/>
        <w:ind w:left="1134" w:hanging="1134"/>
      </w:pPr>
    </w:p>
    <w:p w:rsidR="00A114D6" w:rsidRDefault="00A114D6" w:rsidP="00A114D6">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A114D6" w:rsidRDefault="00A114D6" w:rsidP="00A114D6">
      <w:pPr>
        <w:pStyle w:val="DefaultText"/>
        <w:spacing w:line="24" w:lineRule="atLeast"/>
        <w:ind w:left="1134" w:hanging="1134"/>
        <w:jc w:val="both"/>
        <w:rPr>
          <w:rFonts w:ascii="Arial" w:hAnsi="Arial" w:cs="Arial"/>
          <w:sz w:val="22"/>
          <w:szCs w:val="22"/>
        </w:rPr>
      </w:pPr>
    </w:p>
    <w:p w:rsidR="00A114D6" w:rsidRDefault="00A114D6" w:rsidP="00A114D6">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566D71" w:rsidRDefault="00566D71" w:rsidP="00A114D6">
      <w:pPr>
        <w:pStyle w:val="DefaultText"/>
        <w:spacing w:line="24" w:lineRule="atLeast"/>
        <w:ind w:left="709" w:hanging="709"/>
        <w:jc w:val="both"/>
        <w:rPr>
          <w:rFonts w:ascii="Arial" w:hAnsi="Arial" w:cs="Arial"/>
          <w:sz w:val="22"/>
          <w:szCs w:val="22"/>
        </w:rPr>
      </w:pPr>
    </w:p>
    <w:p w:rsidR="007E4EC8" w:rsidRPr="00A95506" w:rsidRDefault="00A95506" w:rsidP="0008272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01615E">
        <w:rPr>
          <w:rFonts w:cs="Arial"/>
          <w:szCs w:val="22"/>
        </w:rPr>
        <w:t>14.3</w:t>
      </w:r>
      <w:r w:rsidR="00D81623" w:rsidRPr="00BF7661">
        <w:rPr>
          <w:rFonts w:cs="Arial"/>
          <w:szCs w:val="22"/>
        </w:rPr>
        <w:fldChar w:fldCharType="end"/>
      </w:r>
      <w:bookmarkEnd w:id="87"/>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01615E">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01615E">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01615E">
        <w:rPr>
          <w:rFonts w:cs="Arial"/>
          <w:szCs w:val="22"/>
        </w:rPr>
        <w:t>18.1</w:t>
      </w:r>
      <w:r w:rsidRPr="00BF7661">
        <w:rPr>
          <w:rFonts w:cs="Arial"/>
          <w:szCs w:val="22"/>
        </w:rPr>
        <w:fldChar w:fldCharType="end"/>
      </w:r>
      <w:r w:rsidRPr="00BF7661">
        <w:rPr>
          <w:rFonts w:cs="Arial"/>
          <w:szCs w:val="22"/>
        </w:rPr>
        <w:t>.</w:t>
      </w:r>
      <w:bookmarkEnd w:id="101"/>
      <w:bookmarkEnd w:id="102"/>
      <w:bookmarkEnd w:id="103"/>
      <w:bookmarkEnd w:id="104"/>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946E14">
        <w:rPr>
          <w:rFonts w:cs="Arial"/>
          <w:szCs w:val="22"/>
        </w:rPr>
        <w:t xml:space="preserve"> subject to the agreement of the Contractor, such agreement will not be unreasonably withheld</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01615E">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01615E">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5C65FD">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5C65FD">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5C65FD">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5C65FD">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5C65FD">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5C65FD">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5C65FD">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5E" w:rsidRDefault="0001615E">
      <w:r>
        <w:separator/>
      </w:r>
    </w:p>
  </w:endnote>
  <w:endnote w:type="continuationSeparator" w:id="0">
    <w:p w:rsidR="0001615E" w:rsidRDefault="0001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1860503973"/>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01615E" w:rsidRPr="00061698" w:rsidRDefault="0001615E">
            <w:pPr>
              <w:pStyle w:val="Footer"/>
              <w:jc w:val="center"/>
              <w:rPr>
                <w:color w:val="auto"/>
                <w:sz w:val="16"/>
                <w:szCs w:val="16"/>
              </w:rPr>
            </w:pPr>
            <w:r w:rsidRPr="00061698">
              <w:rPr>
                <w:color w:val="auto"/>
                <w:sz w:val="16"/>
                <w:szCs w:val="16"/>
              </w:rPr>
              <w:t xml:space="preserve">Page </w:t>
            </w:r>
            <w:r w:rsidRPr="00061698">
              <w:rPr>
                <w:b/>
                <w:bCs/>
                <w:color w:val="auto"/>
                <w:sz w:val="16"/>
                <w:szCs w:val="16"/>
              </w:rPr>
              <w:fldChar w:fldCharType="begin"/>
            </w:r>
            <w:r w:rsidRPr="00061698">
              <w:rPr>
                <w:b/>
                <w:bCs/>
                <w:color w:val="auto"/>
                <w:sz w:val="16"/>
                <w:szCs w:val="16"/>
              </w:rPr>
              <w:instrText xml:space="preserve"> PAGE </w:instrText>
            </w:r>
            <w:r w:rsidRPr="00061698">
              <w:rPr>
                <w:b/>
                <w:bCs/>
                <w:color w:val="auto"/>
                <w:sz w:val="16"/>
                <w:szCs w:val="16"/>
              </w:rPr>
              <w:fldChar w:fldCharType="separate"/>
            </w:r>
            <w:r w:rsidR="008F0C84">
              <w:rPr>
                <w:b/>
                <w:bCs/>
                <w:noProof/>
                <w:color w:val="auto"/>
                <w:sz w:val="16"/>
                <w:szCs w:val="16"/>
              </w:rPr>
              <w:t>2</w:t>
            </w:r>
            <w:r w:rsidRPr="00061698">
              <w:rPr>
                <w:b/>
                <w:bCs/>
                <w:color w:val="auto"/>
                <w:sz w:val="16"/>
                <w:szCs w:val="16"/>
              </w:rPr>
              <w:fldChar w:fldCharType="end"/>
            </w:r>
            <w:r w:rsidRPr="00061698">
              <w:rPr>
                <w:color w:val="auto"/>
                <w:sz w:val="16"/>
                <w:szCs w:val="16"/>
              </w:rPr>
              <w:t xml:space="preserve"> of </w:t>
            </w:r>
            <w:r w:rsidRPr="00061698">
              <w:rPr>
                <w:b/>
                <w:bCs/>
                <w:color w:val="auto"/>
                <w:sz w:val="16"/>
                <w:szCs w:val="16"/>
              </w:rPr>
              <w:fldChar w:fldCharType="begin"/>
            </w:r>
            <w:r w:rsidRPr="00061698">
              <w:rPr>
                <w:b/>
                <w:bCs/>
                <w:color w:val="auto"/>
                <w:sz w:val="16"/>
                <w:szCs w:val="16"/>
              </w:rPr>
              <w:instrText xml:space="preserve"> NUMPAGES  </w:instrText>
            </w:r>
            <w:r w:rsidRPr="00061698">
              <w:rPr>
                <w:b/>
                <w:bCs/>
                <w:color w:val="auto"/>
                <w:sz w:val="16"/>
                <w:szCs w:val="16"/>
              </w:rPr>
              <w:fldChar w:fldCharType="separate"/>
            </w:r>
            <w:r w:rsidR="008F0C84">
              <w:rPr>
                <w:b/>
                <w:bCs/>
                <w:noProof/>
                <w:color w:val="auto"/>
                <w:sz w:val="16"/>
                <w:szCs w:val="16"/>
              </w:rPr>
              <w:t>10</w:t>
            </w:r>
            <w:r w:rsidRPr="00061698">
              <w:rPr>
                <w:b/>
                <w:bCs/>
                <w:color w:val="auto"/>
                <w:sz w:val="16"/>
                <w:szCs w:val="16"/>
              </w:rPr>
              <w:fldChar w:fldCharType="end"/>
            </w:r>
          </w:p>
        </w:sdtContent>
      </w:sdt>
    </w:sdtContent>
  </w:sdt>
  <w:p w:rsidR="0001615E" w:rsidRPr="00A44BDC" w:rsidRDefault="0001615E"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5E" w:rsidRDefault="0001615E">
      <w:r>
        <w:separator/>
      </w:r>
    </w:p>
  </w:footnote>
  <w:footnote w:type="continuationSeparator" w:id="0">
    <w:p w:rsidR="0001615E" w:rsidRDefault="00016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5E" w:rsidRDefault="0001615E" w:rsidP="00946E14">
    <w:pPr>
      <w:pStyle w:val="Header"/>
    </w:pPr>
    <w:r w:rsidRPr="00061698">
      <w:rPr>
        <w:b/>
      </w:rPr>
      <w:t>Contract No 1.11.4.3322</w:t>
    </w: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7">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9">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2">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3">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4D044F8B"/>
    <w:multiLevelType w:val="multilevel"/>
    <w:tmpl w:val="A6B26D82"/>
    <w:lvl w:ilvl="0">
      <w:start w:val="1"/>
      <w:numFmt w:val="decimal"/>
      <w:pStyle w:val="PLHeading1"/>
      <w:lvlText w:val="%1."/>
      <w:lvlJc w:val="left"/>
      <w:pPr>
        <w:ind w:left="360" w:hanging="360"/>
      </w:pPr>
      <w:rPr>
        <w:rFonts w:ascii="Arial" w:hAnsi="Arial" w:cs="Arial" w:hint="default"/>
        <w:b w:val="0"/>
      </w:rPr>
    </w:lvl>
    <w:lvl w:ilvl="1">
      <w:start w:val="1"/>
      <w:numFmt w:val="decimal"/>
      <w:pStyle w:val="PLHeading2"/>
      <w:lvlText w:val="%1.%2."/>
      <w:lvlJc w:val="left"/>
      <w:pPr>
        <w:ind w:left="1142" w:hanging="432"/>
      </w:pPr>
    </w:lvl>
    <w:lvl w:ilvl="2">
      <w:start w:val="1"/>
      <w:numFmt w:val="decimal"/>
      <w:lvlText w:val="%1.%2.%3."/>
      <w:lvlJc w:val="left"/>
      <w:pPr>
        <w:ind w:left="1224" w:hanging="504"/>
      </w:pPr>
    </w:lvl>
    <w:lvl w:ilvl="3">
      <w:start w:val="1"/>
      <w:numFmt w:val="lowerLetter"/>
      <w:pStyle w:val="PLHeading3"/>
      <w:lvlText w:val="(%4)"/>
      <w:lvlJc w:val="left"/>
      <w:pPr>
        <w:ind w:left="220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7">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9">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1">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3">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5">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7">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9">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1">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6"/>
  </w:num>
  <w:num w:numId="2">
    <w:abstractNumId w:val="5"/>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28"/>
  </w:num>
  <w:num w:numId="8">
    <w:abstractNumId w:val="30"/>
  </w:num>
  <w:num w:numId="9">
    <w:abstractNumId w:val="1"/>
  </w:num>
  <w:num w:numId="10">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6"/>
  </w:num>
  <w:num w:numId="13">
    <w:abstractNumId w:val="6"/>
  </w:num>
  <w:num w:numId="14">
    <w:abstractNumId w:val="26"/>
  </w:num>
  <w:num w:numId="15">
    <w:abstractNumId w:val="6"/>
  </w:num>
  <w:num w:numId="16">
    <w:abstractNumId w:val="6"/>
  </w:num>
  <w:num w:numId="17">
    <w:abstractNumId w:val="24"/>
  </w:num>
  <w:num w:numId="18">
    <w:abstractNumId w:val="29"/>
  </w:num>
  <w:num w:numId="19">
    <w:abstractNumId w:val="7"/>
  </w:num>
  <w:num w:numId="20">
    <w:abstractNumId w:val="27"/>
  </w:num>
  <w:num w:numId="21">
    <w:abstractNumId w:val="19"/>
  </w:num>
  <w:num w:numId="22">
    <w:abstractNumId w:val="21"/>
  </w:num>
  <w:num w:numId="23">
    <w:abstractNumId w:val="13"/>
  </w:num>
  <w:num w:numId="24">
    <w:abstractNumId w:val="2"/>
  </w:num>
  <w:num w:numId="25">
    <w:abstractNumId w:val="23"/>
  </w:num>
  <w:num w:numId="26">
    <w:abstractNumId w:val="8"/>
  </w:num>
  <w:num w:numId="27">
    <w:abstractNumId w:val="0"/>
  </w:num>
  <w:num w:numId="28">
    <w:abstractNumId w:val="6"/>
  </w:num>
  <w:num w:numId="29">
    <w:abstractNumId w:val="6"/>
  </w:num>
  <w:num w:numId="30">
    <w:abstractNumId w:val="6"/>
  </w:num>
  <w:num w:numId="31">
    <w:abstractNumId w:val="22"/>
  </w:num>
  <w:num w:numId="32">
    <w:abstractNumId w:val="18"/>
  </w:num>
  <w:num w:numId="33">
    <w:abstractNumId w:val="10"/>
  </w:num>
  <w:num w:numId="34">
    <w:abstractNumId w:val="25"/>
  </w:num>
  <w:num w:numId="35">
    <w:abstractNumId w:val="17"/>
  </w:num>
  <w:num w:numId="36">
    <w:abstractNumId w:val="9"/>
  </w:num>
  <w:num w:numId="37">
    <w:abstractNumId w:val="4"/>
  </w:num>
  <w:num w:numId="38">
    <w:abstractNumId w:val="11"/>
  </w:num>
  <w:num w:numId="39">
    <w:abstractNumId w:val="14"/>
  </w:num>
  <w:num w:numId="40">
    <w:abstractNumId w:val="3"/>
  </w:num>
  <w:num w:numId="41">
    <w:abstractNumId w:val="15"/>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15E"/>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2C2"/>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698"/>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8C8"/>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3F7F"/>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5377"/>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6D71"/>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5FD"/>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5"/>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C9D"/>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AB8"/>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0C84"/>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E14"/>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B28"/>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4D6"/>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48DF"/>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36A"/>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535D"/>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82"/>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xxxx@hse.gsi.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r.invoices@on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binetoffice.gov.uk/sites/default/files/resources/hmg-personnel-security-control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14070</Words>
  <Characters>80199</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94081</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2019-09-05T14:29:00Z</dcterms:created>
  <dcterms:modified xsi:type="dcterms:W3CDTF">2019-09-05T14:29:00Z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