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6E28" w14:textId="77777777" w:rsidR="00933394" w:rsidRDefault="00933394" w:rsidP="00DA527C"/>
    <w:p w14:paraId="1960DA83" w14:textId="77777777" w:rsidR="00933394" w:rsidRDefault="00933394" w:rsidP="00DA527C"/>
    <w:p w14:paraId="33AB8F3C" w14:textId="77777777" w:rsidR="00933394" w:rsidRDefault="00933394" w:rsidP="00DA527C"/>
    <w:p w14:paraId="57A2BAC0" w14:textId="77777777" w:rsidR="00D93548" w:rsidRDefault="00D93548" w:rsidP="00D93548">
      <w:pPr>
        <w:pStyle w:val="Heading2"/>
        <w:jc w:val="center"/>
        <w:rPr>
          <w:rFonts w:cs="Arial"/>
          <w:color w:val="A00054"/>
          <w:sz w:val="40"/>
          <w:szCs w:val="40"/>
        </w:rPr>
      </w:pPr>
      <w:bookmarkStart w:id="0" w:name="_Toc9252587"/>
      <w:r w:rsidRPr="00D93548">
        <w:rPr>
          <w:rFonts w:cs="Arial"/>
          <w:color w:val="A00054"/>
          <w:sz w:val="40"/>
          <w:szCs w:val="40"/>
        </w:rPr>
        <w:t>S</w:t>
      </w:r>
      <w:r>
        <w:rPr>
          <w:rFonts w:cs="Arial"/>
          <w:color w:val="A00054"/>
          <w:sz w:val="40"/>
          <w:szCs w:val="40"/>
        </w:rPr>
        <w:t>pecification</w:t>
      </w:r>
      <w:r w:rsidRPr="00D93548">
        <w:rPr>
          <w:rFonts w:cs="Arial"/>
          <w:color w:val="A00054"/>
          <w:sz w:val="40"/>
          <w:szCs w:val="40"/>
        </w:rPr>
        <w:t xml:space="preserve"> T</w:t>
      </w:r>
      <w:r>
        <w:rPr>
          <w:rFonts w:cs="Arial"/>
          <w:color w:val="A00054"/>
          <w:sz w:val="40"/>
          <w:szCs w:val="40"/>
        </w:rPr>
        <w:t>emplate</w:t>
      </w:r>
      <w:bookmarkEnd w:id="0"/>
    </w:p>
    <w:p w14:paraId="18E33C4E" w14:textId="77777777" w:rsidR="00D93548" w:rsidRDefault="00D93548" w:rsidP="00D93548">
      <w:r>
        <w:t>The following template is a useful basis for drafting specifications for general goods and services. It should be amended to suit your specific requirements.</w:t>
      </w:r>
    </w:p>
    <w:p w14:paraId="608D4D08" w14:textId="77777777" w:rsidR="00D93548" w:rsidRPr="00D93548" w:rsidRDefault="00D93548" w:rsidP="00D93548">
      <w:r>
        <w:t>To try and identify some changes that might occur during the lifetime of a contract, Appendix 1 lists some questions that you may wish to consider.</w:t>
      </w:r>
    </w:p>
    <w:p w14:paraId="27D11DCD" w14:textId="77777777" w:rsidR="00D93548" w:rsidRDefault="00D93548">
      <w:pPr>
        <w:pStyle w:val="TOCHeading"/>
        <w:rPr>
          <w:rFonts w:cs="Arial"/>
          <w:color w:val="A00054"/>
          <w:sz w:val="40"/>
          <w:szCs w:val="40"/>
        </w:rPr>
      </w:pPr>
      <w:r w:rsidRPr="00D93548">
        <w:rPr>
          <w:rFonts w:cs="Arial"/>
          <w:color w:val="A00054"/>
          <w:sz w:val="40"/>
          <w:szCs w:val="40"/>
        </w:rPr>
        <w:t xml:space="preserve"> </w:t>
      </w:r>
    </w:p>
    <w:sdt>
      <w:sdtPr>
        <w:rPr>
          <w:rFonts w:eastAsiaTheme="minorEastAsia" w:cstheme="minorBidi"/>
          <w:b w:val="0"/>
          <w:bCs w:val="0"/>
          <w:color w:val="auto"/>
          <w:sz w:val="24"/>
          <w:szCs w:val="24"/>
        </w:rPr>
        <w:id w:val="552357541"/>
        <w:docPartObj>
          <w:docPartGallery w:val="Table of Contents"/>
          <w:docPartUnique/>
        </w:docPartObj>
      </w:sdtPr>
      <w:sdtEndPr>
        <w:rPr>
          <w:noProof/>
        </w:rPr>
      </w:sdtEndPr>
      <w:sdtContent>
        <w:p w14:paraId="1C70F88C" w14:textId="77777777" w:rsidR="00D93548" w:rsidRDefault="00D93548" w:rsidP="00D93548">
          <w:pPr>
            <w:pStyle w:val="Heading2"/>
          </w:pPr>
          <w:r>
            <w:t>Contents</w:t>
          </w:r>
        </w:p>
        <w:p w14:paraId="34FBD9BE" w14:textId="77777777" w:rsidR="00D93548" w:rsidRDefault="00D93548">
          <w:pPr>
            <w:pStyle w:val="TOC2"/>
            <w:tabs>
              <w:tab w:val="right" w:leader="dot" w:pos="10188"/>
            </w:tabs>
            <w:rPr>
              <w:noProof/>
            </w:rPr>
          </w:pPr>
          <w:r>
            <w:fldChar w:fldCharType="begin"/>
          </w:r>
          <w:r>
            <w:instrText xml:space="preserve"> TOC \o "1-3" \h \z \u </w:instrText>
          </w:r>
          <w:r>
            <w:fldChar w:fldCharType="separate"/>
          </w:r>
          <w:hyperlink w:anchor="_Toc9252587" w:history="1">
            <w:r w:rsidRPr="002141C6">
              <w:rPr>
                <w:rStyle w:val="Hyperlink"/>
                <w:rFonts w:cs="Arial"/>
                <w:noProof/>
              </w:rPr>
              <w:t>Specification Template</w:t>
            </w:r>
            <w:r>
              <w:rPr>
                <w:noProof/>
                <w:webHidden/>
              </w:rPr>
              <w:tab/>
            </w:r>
            <w:r>
              <w:rPr>
                <w:noProof/>
                <w:webHidden/>
              </w:rPr>
              <w:fldChar w:fldCharType="begin"/>
            </w:r>
            <w:r>
              <w:rPr>
                <w:noProof/>
                <w:webHidden/>
              </w:rPr>
              <w:instrText xml:space="preserve"> PAGEREF _Toc9252587 \h </w:instrText>
            </w:r>
            <w:r>
              <w:rPr>
                <w:noProof/>
                <w:webHidden/>
              </w:rPr>
            </w:r>
            <w:r>
              <w:rPr>
                <w:noProof/>
                <w:webHidden/>
              </w:rPr>
              <w:fldChar w:fldCharType="separate"/>
            </w:r>
            <w:r>
              <w:rPr>
                <w:noProof/>
                <w:webHidden/>
              </w:rPr>
              <w:t>1</w:t>
            </w:r>
            <w:r>
              <w:rPr>
                <w:noProof/>
                <w:webHidden/>
              </w:rPr>
              <w:fldChar w:fldCharType="end"/>
            </w:r>
          </w:hyperlink>
        </w:p>
        <w:p w14:paraId="3CDD216B" w14:textId="77777777" w:rsidR="00D93548" w:rsidRDefault="00000000">
          <w:pPr>
            <w:pStyle w:val="TOC2"/>
            <w:tabs>
              <w:tab w:val="left" w:pos="660"/>
              <w:tab w:val="right" w:leader="dot" w:pos="10188"/>
            </w:tabs>
            <w:rPr>
              <w:noProof/>
            </w:rPr>
          </w:pPr>
          <w:hyperlink w:anchor="_Toc9252588" w:history="1">
            <w:r w:rsidR="00D93548" w:rsidRPr="002141C6">
              <w:rPr>
                <w:rStyle w:val="Hyperlink"/>
                <w:noProof/>
              </w:rPr>
              <w:t>1.</w:t>
            </w:r>
            <w:r w:rsidR="00D93548">
              <w:rPr>
                <w:noProof/>
              </w:rPr>
              <w:tab/>
            </w:r>
            <w:r w:rsidR="00D93548" w:rsidRPr="002141C6">
              <w:rPr>
                <w:rStyle w:val="Hyperlink"/>
                <w:noProof/>
              </w:rPr>
              <w:t>Introduction</w:t>
            </w:r>
            <w:r w:rsidR="00D93548">
              <w:rPr>
                <w:noProof/>
                <w:webHidden/>
              </w:rPr>
              <w:tab/>
            </w:r>
            <w:r w:rsidR="00D93548">
              <w:rPr>
                <w:noProof/>
                <w:webHidden/>
              </w:rPr>
              <w:fldChar w:fldCharType="begin"/>
            </w:r>
            <w:r w:rsidR="00D93548">
              <w:rPr>
                <w:noProof/>
                <w:webHidden/>
              </w:rPr>
              <w:instrText xml:space="preserve"> PAGEREF _Toc9252588 \h </w:instrText>
            </w:r>
            <w:r w:rsidR="00D93548">
              <w:rPr>
                <w:noProof/>
                <w:webHidden/>
              </w:rPr>
            </w:r>
            <w:r w:rsidR="00D93548">
              <w:rPr>
                <w:noProof/>
                <w:webHidden/>
              </w:rPr>
              <w:fldChar w:fldCharType="separate"/>
            </w:r>
            <w:r w:rsidR="00D93548">
              <w:rPr>
                <w:noProof/>
                <w:webHidden/>
              </w:rPr>
              <w:t>1</w:t>
            </w:r>
            <w:r w:rsidR="00D93548">
              <w:rPr>
                <w:noProof/>
                <w:webHidden/>
              </w:rPr>
              <w:fldChar w:fldCharType="end"/>
            </w:r>
          </w:hyperlink>
        </w:p>
        <w:p w14:paraId="0A57E615" w14:textId="77777777" w:rsidR="00D93548" w:rsidRDefault="00000000">
          <w:pPr>
            <w:pStyle w:val="TOC2"/>
            <w:tabs>
              <w:tab w:val="left" w:pos="660"/>
              <w:tab w:val="right" w:leader="dot" w:pos="10188"/>
            </w:tabs>
            <w:rPr>
              <w:noProof/>
            </w:rPr>
          </w:pPr>
          <w:hyperlink w:anchor="_Toc9252589" w:history="1">
            <w:r w:rsidR="00D93548" w:rsidRPr="002141C6">
              <w:rPr>
                <w:rStyle w:val="Hyperlink"/>
                <w:noProof/>
              </w:rPr>
              <w:t>2.</w:t>
            </w:r>
            <w:r w:rsidR="00D93548">
              <w:rPr>
                <w:noProof/>
              </w:rPr>
              <w:tab/>
            </w:r>
            <w:r w:rsidR="00D93548" w:rsidRPr="002141C6">
              <w:rPr>
                <w:rStyle w:val="Hyperlink"/>
                <w:noProof/>
              </w:rPr>
              <w:t>Background</w:t>
            </w:r>
            <w:r w:rsidR="00D93548">
              <w:rPr>
                <w:noProof/>
                <w:webHidden/>
              </w:rPr>
              <w:tab/>
            </w:r>
            <w:r w:rsidR="00D93548">
              <w:rPr>
                <w:noProof/>
                <w:webHidden/>
              </w:rPr>
              <w:fldChar w:fldCharType="begin"/>
            </w:r>
            <w:r w:rsidR="00D93548">
              <w:rPr>
                <w:noProof/>
                <w:webHidden/>
              </w:rPr>
              <w:instrText xml:space="preserve"> PAGEREF _Toc9252589 \h </w:instrText>
            </w:r>
            <w:r w:rsidR="00D93548">
              <w:rPr>
                <w:noProof/>
                <w:webHidden/>
              </w:rPr>
            </w:r>
            <w:r w:rsidR="00D93548">
              <w:rPr>
                <w:noProof/>
                <w:webHidden/>
              </w:rPr>
              <w:fldChar w:fldCharType="separate"/>
            </w:r>
            <w:r w:rsidR="00D93548">
              <w:rPr>
                <w:noProof/>
                <w:webHidden/>
              </w:rPr>
              <w:t>1</w:t>
            </w:r>
            <w:r w:rsidR="00D93548">
              <w:rPr>
                <w:noProof/>
                <w:webHidden/>
              </w:rPr>
              <w:fldChar w:fldCharType="end"/>
            </w:r>
          </w:hyperlink>
        </w:p>
        <w:p w14:paraId="69226FCB" w14:textId="77777777" w:rsidR="00D93548" w:rsidRDefault="00000000">
          <w:pPr>
            <w:pStyle w:val="TOC2"/>
            <w:tabs>
              <w:tab w:val="left" w:pos="660"/>
              <w:tab w:val="right" w:leader="dot" w:pos="10188"/>
            </w:tabs>
            <w:rPr>
              <w:noProof/>
            </w:rPr>
          </w:pPr>
          <w:hyperlink w:anchor="_Toc9252590" w:history="1">
            <w:r w:rsidR="00D93548" w:rsidRPr="002141C6">
              <w:rPr>
                <w:rStyle w:val="Hyperlink"/>
                <w:noProof/>
              </w:rPr>
              <w:t>3.</w:t>
            </w:r>
            <w:r w:rsidR="00D93548">
              <w:rPr>
                <w:noProof/>
              </w:rPr>
              <w:tab/>
            </w:r>
            <w:r w:rsidR="00D93548" w:rsidRPr="002141C6">
              <w:rPr>
                <w:rStyle w:val="Hyperlink"/>
                <w:noProof/>
              </w:rPr>
              <w:t>Scope of Contract</w:t>
            </w:r>
            <w:r w:rsidR="00D93548">
              <w:rPr>
                <w:noProof/>
                <w:webHidden/>
              </w:rPr>
              <w:tab/>
            </w:r>
            <w:r w:rsidR="00D93548">
              <w:rPr>
                <w:noProof/>
                <w:webHidden/>
              </w:rPr>
              <w:fldChar w:fldCharType="begin"/>
            </w:r>
            <w:r w:rsidR="00D93548">
              <w:rPr>
                <w:noProof/>
                <w:webHidden/>
              </w:rPr>
              <w:instrText xml:space="preserve"> PAGEREF _Toc9252590 \h </w:instrText>
            </w:r>
            <w:r w:rsidR="00D93548">
              <w:rPr>
                <w:noProof/>
                <w:webHidden/>
              </w:rPr>
            </w:r>
            <w:r w:rsidR="00D93548">
              <w:rPr>
                <w:noProof/>
                <w:webHidden/>
              </w:rPr>
              <w:fldChar w:fldCharType="separate"/>
            </w:r>
            <w:r w:rsidR="00D93548">
              <w:rPr>
                <w:noProof/>
                <w:webHidden/>
              </w:rPr>
              <w:t>1</w:t>
            </w:r>
            <w:r w:rsidR="00D93548">
              <w:rPr>
                <w:noProof/>
                <w:webHidden/>
              </w:rPr>
              <w:fldChar w:fldCharType="end"/>
            </w:r>
          </w:hyperlink>
        </w:p>
        <w:p w14:paraId="6927B97A" w14:textId="77777777" w:rsidR="00D93548" w:rsidRDefault="00000000">
          <w:pPr>
            <w:pStyle w:val="TOC2"/>
            <w:tabs>
              <w:tab w:val="left" w:pos="660"/>
              <w:tab w:val="right" w:leader="dot" w:pos="10188"/>
            </w:tabs>
            <w:rPr>
              <w:noProof/>
            </w:rPr>
          </w:pPr>
          <w:hyperlink w:anchor="_Toc9252591" w:history="1">
            <w:r w:rsidR="00D93548" w:rsidRPr="002141C6">
              <w:rPr>
                <w:rStyle w:val="Hyperlink"/>
                <w:noProof/>
              </w:rPr>
              <w:t>4.</w:t>
            </w:r>
            <w:r w:rsidR="00D93548">
              <w:rPr>
                <w:noProof/>
              </w:rPr>
              <w:tab/>
            </w:r>
            <w:r w:rsidR="00D93548" w:rsidRPr="002141C6">
              <w:rPr>
                <w:rStyle w:val="Hyperlink"/>
                <w:noProof/>
              </w:rPr>
              <w:t>Detailed Requirements</w:t>
            </w:r>
            <w:r w:rsidR="00D93548">
              <w:rPr>
                <w:noProof/>
                <w:webHidden/>
              </w:rPr>
              <w:tab/>
            </w:r>
            <w:r w:rsidR="00D93548">
              <w:rPr>
                <w:noProof/>
                <w:webHidden/>
              </w:rPr>
              <w:fldChar w:fldCharType="begin"/>
            </w:r>
            <w:r w:rsidR="00D93548">
              <w:rPr>
                <w:noProof/>
                <w:webHidden/>
              </w:rPr>
              <w:instrText xml:space="preserve"> PAGEREF _Toc9252591 \h </w:instrText>
            </w:r>
            <w:r w:rsidR="00D93548">
              <w:rPr>
                <w:noProof/>
                <w:webHidden/>
              </w:rPr>
            </w:r>
            <w:r w:rsidR="00D93548">
              <w:rPr>
                <w:noProof/>
                <w:webHidden/>
              </w:rPr>
              <w:fldChar w:fldCharType="separate"/>
            </w:r>
            <w:r w:rsidR="00D93548">
              <w:rPr>
                <w:noProof/>
                <w:webHidden/>
              </w:rPr>
              <w:t>1</w:t>
            </w:r>
            <w:r w:rsidR="00D93548">
              <w:rPr>
                <w:noProof/>
                <w:webHidden/>
              </w:rPr>
              <w:fldChar w:fldCharType="end"/>
            </w:r>
          </w:hyperlink>
        </w:p>
        <w:p w14:paraId="34036B64" w14:textId="77777777" w:rsidR="00D93548" w:rsidRDefault="00000000">
          <w:pPr>
            <w:pStyle w:val="TOC2"/>
            <w:tabs>
              <w:tab w:val="left" w:pos="660"/>
              <w:tab w:val="right" w:leader="dot" w:pos="10188"/>
            </w:tabs>
            <w:rPr>
              <w:noProof/>
            </w:rPr>
          </w:pPr>
          <w:hyperlink w:anchor="_Toc9252592" w:history="1">
            <w:r w:rsidR="00D93548" w:rsidRPr="002141C6">
              <w:rPr>
                <w:rStyle w:val="Hyperlink"/>
                <w:noProof/>
              </w:rPr>
              <w:t>5.</w:t>
            </w:r>
            <w:r w:rsidR="00D93548">
              <w:rPr>
                <w:noProof/>
              </w:rPr>
              <w:tab/>
            </w:r>
            <w:r w:rsidR="00D93548" w:rsidRPr="002141C6">
              <w:rPr>
                <w:rStyle w:val="Hyperlink"/>
                <w:noProof/>
              </w:rPr>
              <w:t>Service Levels and Key Performance Indicators (KPIs)</w:t>
            </w:r>
            <w:r w:rsidR="00D93548">
              <w:rPr>
                <w:noProof/>
                <w:webHidden/>
              </w:rPr>
              <w:tab/>
            </w:r>
            <w:r w:rsidR="00D93548">
              <w:rPr>
                <w:noProof/>
                <w:webHidden/>
              </w:rPr>
              <w:fldChar w:fldCharType="begin"/>
            </w:r>
            <w:r w:rsidR="00D93548">
              <w:rPr>
                <w:noProof/>
                <w:webHidden/>
              </w:rPr>
              <w:instrText xml:space="preserve"> PAGEREF _Toc9252592 \h </w:instrText>
            </w:r>
            <w:r w:rsidR="00D93548">
              <w:rPr>
                <w:noProof/>
                <w:webHidden/>
              </w:rPr>
            </w:r>
            <w:r w:rsidR="00D93548">
              <w:rPr>
                <w:noProof/>
                <w:webHidden/>
              </w:rPr>
              <w:fldChar w:fldCharType="separate"/>
            </w:r>
            <w:r w:rsidR="00D93548">
              <w:rPr>
                <w:noProof/>
                <w:webHidden/>
              </w:rPr>
              <w:t>2</w:t>
            </w:r>
            <w:r w:rsidR="00D93548">
              <w:rPr>
                <w:noProof/>
                <w:webHidden/>
              </w:rPr>
              <w:fldChar w:fldCharType="end"/>
            </w:r>
          </w:hyperlink>
        </w:p>
        <w:p w14:paraId="023BAEA7" w14:textId="77777777" w:rsidR="00D93548" w:rsidRDefault="00000000">
          <w:pPr>
            <w:pStyle w:val="TOC2"/>
            <w:tabs>
              <w:tab w:val="left" w:pos="660"/>
              <w:tab w:val="right" w:leader="dot" w:pos="10188"/>
            </w:tabs>
            <w:rPr>
              <w:noProof/>
            </w:rPr>
          </w:pPr>
          <w:hyperlink w:anchor="_Toc9252593" w:history="1">
            <w:r w:rsidR="00D93548" w:rsidRPr="002141C6">
              <w:rPr>
                <w:rStyle w:val="Hyperlink"/>
                <w:noProof/>
              </w:rPr>
              <w:t>6.</w:t>
            </w:r>
            <w:r w:rsidR="00D93548">
              <w:rPr>
                <w:noProof/>
              </w:rPr>
              <w:tab/>
            </w:r>
            <w:r w:rsidR="00D93548" w:rsidRPr="002141C6">
              <w:rPr>
                <w:rStyle w:val="Hyperlink"/>
                <w:noProof/>
              </w:rPr>
              <w:t>Contract Management and Review</w:t>
            </w:r>
            <w:r w:rsidR="00D93548">
              <w:rPr>
                <w:noProof/>
                <w:webHidden/>
              </w:rPr>
              <w:tab/>
            </w:r>
            <w:r w:rsidR="00D93548">
              <w:rPr>
                <w:noProof/>
                <w:webHidden/>
              </w:rPr>
              <w:fldChar w:fldCharType="begin"/>
            </w:r>
            <w:r w:rsidR="00D93548">
              <w:rPr>
                <w:noProof/>
                <w:webHidden/>
              </w:rPr>
              <w:instrText xml:space="preserve"> PAGEREF _Toc9252593 \h </w:instrText>
            </w:r>
            <w:r w:rsidR="00D93548">
              <w:rPr>
                <w:noProof/>
                <w:webHidden/>
              </w:rPr>
            </w:r>
            <w:r w:rsidR="00D93548">
              <w:rPr>
                <w:noProof/>
                <w:webHidden/>
              </w:rPr>
              <w:fldChar w:fldCharType="separate"/>
            </w:r>
            <w:r w:rsidR="00D93548">
              <w:rPr>
                <w:noProof/>
                <w:webHidden/>
              </w:rPr>
              <w:t>3</w:t>
            </w:r>
            <w:r w:rsidR="00D93548">
              <w:rPr>
                <w:noProof/>
                <w:webHidden/>
              </w:rPr>
              <w:fldChar w:fldCharType="end"/>
            </w:r>
          </w:hyperlink>
        </w:p>
        <w:p w14:paraId="46A7EF8B" w14:textId="77777777" w:rsidR="00D93548" w:rsidRDefault="00000000">
          <w:pPr>
            <w:pStyle w:val="TOC2"/>
            <w:tabs>
              <w:tab w:val="left" w:pos="660"/>
              <w:tab w:val="right" w:leader="dot" w:pos="10188"/>
            </w:tabs>
            <w:rPr>
              <w:noProof/>
            </w:rPr>
          </w:pPr>
          <w:hyperlink w:anchor="_Toc9252594" w:history="1">
            <w:r w:rsidR="00D93548" w:rsidRPr="002141C6">
              <w:rPr>
                <w:rStyle w:val="Hyperlink"/>
                <w:noProof/>
              </w:rPr>
              <w:t>7.</w:t>
            </w:r>
            <w:r w:rsidR="00D93548">
              <w:rPr>
                <w:noProof/>
              </w:rPr>
              <w:tab/>
            </w:r>
            <w:r w:rsidR="00D93548" w:rsidRPr="002141C6">
              <w:rPr>
                <w:rStyle w:val="Hyperlink"/>
                <w:noProof/>
              </w:rPr>
              <w:t>Sustainability</w:t>
            </w:r>
            <w:r w:rsidR="00D93548">
              <w:rPr>
                <w:noProof/>
                <w:webHidden/>
              </w:rPr>
              <w:tab/>
            </w:r>
            <w:r w:rsidR="00D93548">
              <w:rPr>
                <w:noProof/>
                <w:webHidden/>
              </w:rPr>
              <w:fldChar w:fldCharType="begin"/>
            </w:r>
            <w:r w:rsidR="00D93548">
              <w:rPr>
                <w:noProof/>
                <w:webHidden/>
              </w:rPr>
              <w:instrText xml:space="preserve"> PAGEREF _Toc9252594 \h </w:instrText>
            </w:r>
            <w:r w:rsidR="00D93548">
              <w:rPr>
                <w:noProof/>
                <w:webHidden/>
              </w:rPr>
            </w:r>
            <w:r w:rsidR="00D93548">
              <w:rPr>
                <w:noProof/>
                <w:webHidden/>
              </w:rPr>
              <w:fldChar w:fldCharType="separate"/>
            </w:r>
            <w:r w:rsidR="00D93548">
              <w:rPr>
                <w:noProof/>
                <w:webHidden/>
              </w:rPr>
              <w:t>3</w:t>
            </w:r>
            <w:r w:rsidR="00D93548">
              <w:rPr>
                <w:noProof/>
                <w:webHidden/>
              </w:rPr>
              <w:fldChar w:fldCharType="end"/>
            </w:r>
          </w:hyperlink>
        </w:p>
        <w:p w14:paraId="339D8E27" w14:textId="77777777" w:rsidR="00D93548" w:rsidRDefault="00000000">
          <w:pPr>
            <w:pStyle w:val="TOC2"/>
            <w:tabs>
              <w:tab w:val="left" w:pos="660"/>
              <w:tab w:val="right" w:leader="dot" w:pos="10188"/>
            </w:tabs>
            <w:rPr>
              <w:noProof/>
            </w:rPr>
          </w:pPr>
          <w:hyperlink w:anchor="_Toc9252595" w:history="1">
            <w:r w:rsidR="00D93548" w:rsidRPr="002141C6">
              <w:rPr>
                <w:rStyle w:val="Hyperlink"/>
                <w:noProof/>
              </w:rPr>
              <w:t>8.</w:t>
            </w:r>
            <w:r w:rsidR="00D93548">
              <w:rPr>
                <w:noProof/>
              </w:rPr>
              <w:tab/>
            </w:r>
            <w:r w:rsidR="00D93548" w:rsidRPr="002141C6">
              <w:rPr>
                <w:rStyle w:val="Hyperlink"/>
                <w:noProof/>
              </w:rPr>
              <w:t>General Data Protection Regulations (GDPR) and Privacy Impact Assessments (PIA)</w:t>
            </w:r>
            <w:r w:rsidR="00D93548">
              <w:rPr>
                <w:noProof/>
                <w:webHidden/>
              </w:rPr>
              <w:tab/>
            </w:r>
            <w:r w:rsidR="00D93548">
              <w:rPr>
                <w:noProof/>
                <w:webHidden/>
              </w:rPr>
              <w:fldChar w:fldCharType="begin"/>
            </w:r>
            <w:r w:rsidR="00D93548">
              <w:rPr>
                <w:noProof/>
                <w:webHidden/>
              </w:rPr>
              <w:instrText xml:space="preserve"> PAGEREF _Toc9252595 \h </w:instrText>
            </w:r>
            <w:r w:rsidR="00D93548">
              <w:rPr>
                <w:noProof/>
                <w:webHidden/>
              </w:rPr>
            </w:r>
            <w:r w:rsidR="00D93548">
              <w:rPr>
                <w:noProof/>
                <w:webHidden/>
              </w:rPr>
              <w:fldChar w:fldCharType="separate"/>
            </w:r>
            <w:r w:rsidR="00D93548">
              <w:rPr>
                <w:noProof/>
                <w:webHidden/>
              </w:rPr>
              <w:t>3</w:t>
            </w:r>
            <w:r w:rsidR="00D93548">
              <w:rPr>
                <w:noProof/>
                <w:webHidden/>
              </w:rPr>
              <w:fldChar w:fldCharType="end"/>
            </w:r>
          </w:hyperlink>
        </w:p>
        <w:p w14:paraId="3E6332CD" w14:textId="77777777" w:rsidR="00D93548" w:rsidRDefault="00000000" w:rsidP="00D93548">
          <w:pPr>
            <w:pStyle w:val="TOC2"/>
            <w:tabs>
              <w:tab w:val="left" w:pos="660"/>
              <w:tab w:val="right" w:leader="dot" w:pos="10188"/>
            </w:tabs>
            <w:rPr>
              <w:noProof/>
            </w:rPr>
          </w:pPr>
          <w:hyperlink w:anchor="_Toc9252596" w:history="1">
            <w:r w:rsidR="00D93548" w:rsidRPr="002141C6">
              <w:rPr>
                <w:rStyle w:val="Hyperlink"/>
                <w:noProof/>
              </w:rPr>
              <w:t>9.</w:t>
            </w:r>
            <w:r w:rsidR="00D93548">
              <w:rPr>
                <w:noProof/>
              </w:rPr>
              <w:tab/>
            </w:r>
            <w:r w:rsidR="00D93548" w:rsidRPr="002141C6">
              <w:rPr>
                <w:rStyle w:val="Hyperlink"/>
                <w:noProof/>
              </w:rPr>
              <w:t>Contract Period</w:t>
            </w:r>
            <w:r w:rsidR="00D93548">
              <w:rPr>
                <w:noProof/>
                <w:webHidden/>
              </w:rPr>
              <w:tab/>
            </w:r>
            <w:r w:rsidR="00D93548">
              <w:rPr>
                <w:noProof/>
                <w:webHidden/>
              </w:rPr>
              <w:fldChar w:fldCharType="begin"/>
            </w:r>
            <w:r w:rsidR="00D93548">
              <w:rPr>
                <w:noProof/>
                <w:webHidden/>
              </w:rPr>
              <w:instrText xml:space="preserve"> PAGEREF _Toc9252596 \h </w:instrText>
            </w:r>
            <w:r w:rsidR="00D93548">
              <w:rPr>
                <w:noProof/>
                <w:webHidden/>
              </w:rPr>
            </w:r>
            <w:r w:rsidR="00D93548">
              <w:rPr>
                <w:noProof/>
                <w:webHidden/>
              </w:rPr>
              <w:fldChar w:fldCharType="separate"/>
            </w:r>
            <w:r w:rsidR="00D93548">
              <w:rPr>
                <w:noProof/>
                <w:webHidden/>
              </w:rPr>
              <w:t>3</w:t>
            </w:r>
            <w:r w:rsidR="00D93548">
              <w:rPr>
                <w:noProof/>
                <w:webHidden/>
              </w:rPr>
              <w:fldChar w:fldCharType="end"/>
            </w:r>
          </w:hyperlink>
          <w:r w:rsidR="00D93548">
            <w:rPr>
              <w:b/>
              <w:bCs/>
              <w:noProof/>
            </w:rPr>
            <w:fldChar w:fldCharType="end"/>
          </w:r>
        </w:p>
      </w:sdtContent>
    </w:sdt>
    <w:p w14:paraId="7EA0CAFE" w14:textId="77777777" w:rsidR="00D93548" w:rsidRDefault="00D93548">
      <w:r>
        <w:br w:type="page"/>
      </w:r>
    </w:p>
    <w:p w14:paraId="79988162" w14:textId="77777777" w:rsidR="00D93548" w:rsidRPr="00D93548" w:rsidRDefault="00D93548" w:rsidP="00D93548"/>
    <w:p w14:paraId="6AA88A67" w14:textId="77777777" w:rsidR="00D93548" w:rsidRDefault="00D93548" w:rsidP="00D93548">
      <w:pPr>
        <w:pStyle w:val="Heading2"/>
        <w:numPr>
          <w:ilvl w:val="0"/>
          <w:numId w:val="1"/>
        </w:numPr>
      </w:pPr>
      <w:bookmarkStart w:id="1" w:name="_Toc9252588"/>
      <w:r>
        <w:t>Introduction</w:t>
      </w:r>
      <w:bookmarkEnd w:id="1"/>
      <w:r>
        <w:t xml:space="preserve"> </w:t>
      </w:r>
    </w:p>
    <w:p w14:paraId="6C61DCDA" w14:textId="77777777" w:rsidR="00213379" w:rsidRPr="00213379" w:rsidRDefault="00213379" w:rsidP="00213379">
      <w:pPr>
        <w:spacing w:after="393"/>
        <w:rPr>
          <w:rFonts w:eastAsia="Times New Roman" w:cs="Arial"/>
          <w:lang w:eastAsia="en-GB"/>
        </w:rPr>
      </w:pPr>
      <w:r w:rsidRPr="00213379">
        <w:rPr>
          <w:rFonts w:eastAsia="Times New Roman" w:cs="Arial"/>
          <w:lang w:eastAsia="en-GB"/>
        </w:rPr>
        <w:t>Our purpose as part of the NHS, is to work with partners to plan, recruit, educate and train the health workforce.</w:t>
      </w:r>
    </w:p>
    <w:p w14:paraId="0162766F" w14:textId="77777777" w:rsidR="00213379" w:rsidRPr="00213379" w:rsidRDefault="00213379" w:rsidP="00213379">
      <w:pPr>
        <w:spacing w:after="240"/>
        <w:rPr>
          <w:rFonts w:eastAsia="Times New Roman" w:cs="Arial"/>
          <w:color w:val="222222"/>
          <w:lang w:eastAsia="en-GB"/>
        </w:rPr>
      </w:pPr>
      <w:r w:rsidRPr="00213379">
        <w:rPr>
          <w:rFonts w:eastAsia="Times New Roman" w:cs="Arial"/>
          <w:color w:val="222222"/>
          <w:lang w:eastAsia="en-GB"/>
        </w:rPr>
        <w:t>Health Education England exists for one reason and one reason only: our vision is to help improve the quality of life and health and care services for the people of England by ensuring the workforce of today and tomorrow has the right skills, values and behaviours, in the right numbers, at the right time and in the right place.</w:t>
      </w:r>
    </w:p>
    <w:p w14:paraId="39662EB5" w14:textId="77777777" w:rsidR="00213379" w:rsidRPr="00213379" w:rsidRDefault="00213379" w:rsidP="00213379">
      <w:pPr>
        <w:spacing w:after="240"/>
        <w:rPr>
          <w:rFonts w:eastAsia="Times New Roman" w:cs="Arial"/>
          <w:color w:val="222222"/>
          <w:lang w:eastAsia="en-GB"/>
        </w:rPr>
      </w:pPr>
      <w:r w:rsidRPr="00213379">
        <w:rPr>
          <w:rFonts w:eastAsia="Times New Roman" w:cs="Arial"/>
          <w:color w:val="222222"/>
          <w:lang w:eastAsia="en-GB"/>
        </w:rPr>
        <w:t>We are people centred, committed to the NHS Constitution, and driven by our values of responsibility, inclusiveness, fairness, and confidence.</w:t>
      </w:r>
    </w:p>
    <w:p w14:paraId="201A99F1" w14:textId="77777777" w:rsidR="00213379" w:rsidRPr="00213379" w:rsidRDefault="00213379" w:rsidP="00213379">
      <w:pPr>
        <w:spacing w:after="240"/>
        <w:rPr>
          <w:rFonts w:eastAsia="Times New Roman" w:cs="Arial"/>
          <w:color w:val="222222"/>
          <w:lang w:eastAsia="en-GB"/>
        </w:rPr>
      </w:pPr>
      <w:r w:rsidRPr="00213379">
        <w:rPr>
          <w:rFonts w:eastAsia="Times New Roman" w:cs="Arial"/>
          <w:color w:val="222222"/>
          <w:lang w:eastAsia="en-GB"/>
        </w:rPr>
        <w:t>Our goals are to deliver and reform education to produce the best possible future workforce; to transform the current workforce to meet tomorrow's health and care needs; and ensure the quality of our education and training system.</w:t>
      </w:r>
    </w:p>
    <w:p w14:paraId="37907CBB" w14:textId="77777777" w:rsidR="00213379" w:rsidRPr="00213379" w:rsidRDefault="00213379" w:rsidP="00213379">
      <w:pPr>
        <w:spacing w:after="240"/>
        <w:rPr>
          <w:rFonts w:eastAsia="Times New Roman" w:cs="Arial"/>
          <w:color w:val="222222"/>
          <w:lang w:eastAsia="en-GB"/>
        </w:rPr>
      </w:pPr>
      <w:r w:rsidRPr="00213379">
        <w:rPr>
          <w:rFonts w:eastAsia="Times New Roman" w:cs="Arial"/>
          <w:color w:val="222222"/>
          <w:lang w:eastAsia="en-GB"/>
        </w:rPr>
        <w:t xml:space="preserve">We </w:t>
      </w:r>
      <w:proofErr w:type="gramStart"/>
      <w:r w:rsidRPr="00213379">
        <w:rPr>
          <w:rFonts w:eastAsia="Times New Roman" w:cs="Arial"/>
          <w:color w:val="222222"/>
          <w:lang w:eastAsia="en-GB"/>
        </w:rPr>
        <w:t>serve;</w:t>
      </w:r>
      <w:proofErr w:type="gramEnd"/>
    </w:p>
    <w:p w14:paraId="3D0DE508" w14:textId="77777777" w:rsidR="00213379" w:rsidRPr="00213379" w:rsidRDefault="00213379" w:rsidP="00213379">
      <w:pPr>
        <w:numPr>
          <w:ilvl w:val="0"/>
          <w:numId w:val="5"/>
        </w:numPr>
        <w:spacing w:after="150"/>
        <w:rPr>
          <w:rFonts w:eastAsia="Times New Roman" w:cs="Arial"/>
          <w:color w:val="222222"/>
          <w:lang w:eastAsia="en-GB"/>
        </w:rPr>
      </w:pPr>
      <w:r w:rsidRPr="00213379">
        <w:rPr>
          <w:rFonts w:eastAsia="Times New Roman" w:cs="Arial"/>
          <w:color w:val="222222"/>
          <w:lang w:eastAsia="en-GB"/>
        </w:rPr>
        <w:t>Patients and population</w:t>
      </w:r>
    </w:p>
    <w:p w14:paraId="5918283D" w14:textId="77777777" w:rsidR="00213379" w:rsidRPr="00213379" w:rsidRDefault="00213379" w:rsidP="00213379">
      <w:pPr>
        <w:numPr>
          <w:ilvl w:val="0"/>
          <w:numId w:val="5"/>
        </w:numPr>
        <w:spacing w:after="150"/>
        <w:rPr>
          <w:rFonts w:eastAsia="Times New Roman" w:cs="Arial"/>
          <w:color w:val="222222"/>
          <w:lang w:eastAsia="en-GB"/>
        </w:rPr>
      </w:pPr>
      <w:r w:rsidRPr="00213379">
        <w:rPr>
          <w:rFonts w:eastAsia="Times New Roman" w:cs="Arial"/>
          <w:color w:val="222222"/>
          <w:lang w:eastAsia="en-GB"/>
        </w:rPr>
        <w:t>Partners and stakeholders</w:t>
      </w:r>
    </w:p>
    <w:p w14:paraId="0ECC9F2E" w14:textId="77777777" w:rsidR="00213379" w:rsidRPr="00213379" w:rsidRDefault="00213379" w:rsidP="00213379">
      <w:pPr>
        <w:numPr>
          <w:ilvl w:val="0"/>
          <w:numId w:val="5"/>
        </w:numPr>
        <w:spacing w:after="150"/>
        <w:rPr>
          <w:rFonts w:eastAsia="Times New Roman" w:cs="Arial"/>
          <w:color w:val="222222"/>
          <w:lang w:eastAsia="en-GB"/>
        </w:rPr>
      </w:pPr>
      <w:r w:rsidRPr="00213379">
        <w:rPr>
          <w:rFonts w:eastAsia="Times New Roman" w:cs="Arial"/>
          <w:color w:val="222222"/>
          <w:lang w:eastAsia="en-GB"/>
        </w:rPr>
        <w:t xml:space="preserve">Students, </w:t>
      </w:r>
      <w:proofErr w:type="gramStart"/>
      <w:r w:rsidRPr="00213379">
        <w:rPr>
          <w:rFonts w:eastAsia="Times New Roman" w:cs="Arial"/>
          <w:color w:val="222222"/>
          <w:lang w:eastAsia="en-GB"/>
        </w:rPr>
        <w:t>trainees</w:t>
      </w:r>
      <w:proofErr w:type="gramEnd"/>
      <w:r w:rsidRPr="00213379">
        <w:rPr>
          <w:rFonts w:eastAsia="Times New Roman" w:cs="Arial"/>
          <w:color w:val="222222"/>
          <w:lang w:eastAsia="en-GB"/>
        </w:rPr>
        <w:t xml:space="preserve"> and learners</w:t>
      </w:r>
    </w:p>
    <w:p w14:paraId="5B035438" w14:textId="77777777" w:rsidR="00213379" w:rsidRDefault="00213379" w:rsidP="00213379">
      <w:pPr>
        <w:rPr>
          <w:rFonts w:cs="Arial"/>
        </w:rPr>
      </w:pPr>
      <w:r w:rsidRPr="00213379">
        <w:rPr>
          <w:rFonts w:cs="Arial"/>
        </w:rPr>
        <w:t xml:space="preserve">Within this the Nursing and Midwifery directorate has a role in ensuring the current and future nursing and midwifery workforce have the skills, competencies and values needed to meet the needs of patients, their </w:t>
      </w:r>
      <w:proofErr w:type="gramStart"/>
      <w:r w:rsidRPr="00213379">
        <w:rPr>
          <w:rFonts w:cs="Arial"/>
        </w:rPr>
        <w:t>families</w:t>
      </w:r>
      <w:proofErr w:type="gramEnd"/>
      <w:r w:rsidRPr="00213379">
        <w:rPr>
          <w:rFonts w:cs="Arial"/>
        </w:rPr>
        <w:t xml:space="preserve"> and carers.</w:t>
      </w:r>
    </w:p>
    <w:p w14:paraId="51543C64" w14:textId="77777777" w:rsidR="00213379" w:rsidRPr="00213379" w:rsidRDefault="00213379" w:rsidP="00213379">
      <w:pPr>
        <w:rPr>
          <w:rFonts w:cs="Arial"/>
        </w:rPr>
      </w:pPr>
    </w:p>
    <w:p w14:paraId="29C2BE23" w14:textId="77777777" w:rsidR="00213379" w:rsidRPr="00213379" w:rsidRDefault="00213379" w:rsidP="00213379">
      <w:pPr>
        <w:rPr>
          <w:rFonts w:cs="Arial"/>
        </w:rPr>
      </w:pPr>
      <w:r w:rsidRPr="00213379">
        <w:rPr>
          <w:rFonts w:cs="Arial"/>
        </w:rPr>
        <w:t>We aim to deliver a workforce that works responsively, with compassion, delivering high quality patient care, including prevention, whilst working across boundaries. We will support these aims by delivering actions to ensure we maximise the numbers of staff in our nursing and midwifery workforce who have the right skills and attitudes to deliver safe sustainable patient care. This includes reflecting the 10 commitments ‘NHS England - Leading change, adding value (1)’, reflecting ‘Shape of caring, raising the bar (2)’ and the HEE response ‘Raising the Bar: Shape of Caring’: Health Education England’s response (3)’.</w:t>
      </w:r>
    </w:p>
    <w:p w14:paraId="5DE0AE84" w14:textId="77777777" w:rsidR="00FF1AD7" w:rsidRDefault="00FF1AD7" w:rsidP="00FF1AD7"/>
    <w:p w14:paraId="38E3B4BA" w14:textId="77777777" w:rsidR="00FF1AD7" w:rsidRPr="00FF1AD7" w:rsidRDefault="00FF1AD7" w:rsidP="00FF1AD7"/>
    <w:p w14:paraId="53FF4F06" w14:textId="77777777" w:rsidR="00D93548" w:rsidRDefault="00D93548" w:rsidP="00D93548">
      <w:pPr>
        <w:pStyle w:val="Heading2"/>
        <w:numPr>
          <w:ilvl w:val="0"/>
          <w:numId w:val="1"/>
        </w:numPr>
      </w:pPr>
      <w:bookmarkStart w:id="2" w:name="_Toc9252589"/>
      <w:r>
        <w:t>Background</w:t>
      </w:r>
      <w:bookmarkEnd w:id="2"/>
      <w:r>
        <w:t xml:space="preserve"> </w:t>
      </w:r>
    </w:p>
    <w:p w14:paraId="39FDBE75" w14:textId="77777777" w:rsidR="009A0739" w:rsidRDefault="009A0739" w:rsidP="00D93548">
      <w:pPr>
        <w:rPr>
          <w:i/>
        </w:rPr>
      </w:pPr>
    </w:p>
    <w:p w14:paraId="4022CF95" w14:textId="77777777" w:rsidR="00083CC9" w:rsidRDefault="003432C4" w:rsidP="00833576">
      <w:pPr>
        <w:rPr>
          <w:rFonts w:eastAsia="Arial Unicode MS" w:cs="Arial"/>
          <w:i/>
        </w:rPr>
      </w:pPr>
      <w:r>
        <w:rPr>
          <w:rFonts w:eastAsia="Arial Unicode MS" w:cs="Arial"/>
          <w:i/>
        </w:rPr>
        <w:t xml:space="preserve">This piece of work was instigated </w:t>
      </w:r>
      <w:r w:rsidR="00E121F2">
        <w:rPr>
          <w:rFonts w:eastAsia="Arial Unicode MS" w:cs="Arial"/>
          <w:i/>
        </w:rPr>
        <w:t xml:space="preserve">due to work undertaken as part of the development of the </w:t>
      </w:r>
      <w:r w:rsidR="00833576" w:rsidRPr="00833576">
        <w:rPr>
          <w:rFonts w:eastAsia="Arial Unicode MS" w:cs="Arial"/>
          <w:i/>
        </w:rPr>
        <w:t xml:space="preserve">Baroness </w:t>
      </w:r>
      <w:r w:rsidR="00E121F2">
        <w:rPr>
          <w:rFonts w:eastAsia="Arial Unicode MS" w:cs="Arial"/>
          <w:i/>
        </w:rPr>
        <w:t xml:space="preserve">Mary </w:t>
      </w:r>
      <w:r w:rsidR="00833576" w:rsidRPr="00833576">
        <w:rPr>
          <w:rFonts w:eastAsia="Arial Unicode MS" w:cs="Arial"/>
          <w:i/>
        </w:rPr>
        <w:t xml:space="preserve">Watkins of Tavistock review </w:t>
      </w:r>
      <w:r w:rsidR="00E121F2">
        <w:rPr>
          <w:rFonts w:eastAsia="Arial Unicode MS" w:cs="Arial"/>
          <w:i/>
        </w:rPr>
        <w:t>of Mental Health Nursing, England (2022)</w:t>
      </w:r>
      <w:r w:rsidR="008C2DAA">
        <w:rPr>
          <w:rFonts w:eastAsia="Arial Unicode MS" w:cs="Arial"/>
          <w:i/>
        </w:rPr>
        <w:t xml:space="preserve"> This review was initiated due to ongoing concerns about the mental health nursing profession, and the fact that we not only </w:t>
      </w:r>
      <w:r w:rsidR="00913288">
        <w:rPr>
          <w:rFonts w:eastAsia="Arial Unicode MS" w:cs="Arial"/>
          <w:i/>
        </w:rPr>
        <w:t xml:space="preserve">do not currently have sufficient numbers of such nurses to meet demand. We </w:t>
      </w:r>
      <w:r w:rsidR="003C2817">
        <w:rPr>
          <w:rFonts w:eastAsia="Arial Unicode MS" w:cs="Arial"/>
          <w:i/>
        </w:rPr>
        <w:t>are also experiencing high numbers of mental health nurses leaving the profession</w:t>
      </w:r>
      <w:r w:rsidR="00083CC9">
        <w:rPr>
          <w:rFonts w:eastAsia="Arial Unicode MS" w:cs="Arial"/>
          <w:i/>
        </w:rPr>
        <w:t xml:space="preserve">, which means that the increase in student mental health nurses is not sufficient to meet demand in the future. This review was therefore commissioned in order to identify ways to address these and other challenges facing the mental health nursing profession. </w:t>
      </w:r>
    </w:p>
    <w:p w14:paraId="30FF628C" w14:textId="77777777" w:rsidR="00083CC9" w:rsidRDefault="00083CC9" w:rsidP="00833576">
      <w:pPr>
        <w:rPr>
          <w:rFonts w:eastAsia="Arial Unicode MS" w:cs="Arial"/>
          <w:i/>
        </w:rPr>
      </w:pPr>
    </w:p>
    <w:p w14:paraId="4BD47B45" w14:textId="1E03F7FC" w:rsidR="00E121F2" w:rsidRDefault="00083CC9" w:rsidP="00833576">
      <w:pPr>
        <w:rPr>
          <w:rFonts w:eastAsia="Arial Unicode MS" w:cs="Arial"/>
          <w:i/>
        </w:rPr>
      </w:pPr>
      <w:r>
        <w:rPr>
          <w:rFonts w:eastAsia="Arial Unicode MS" w:cs="Arial"/>
          <w:i/>
        </w:rPr>
        <w:t>As</w:t>
      </w:r>
      <w:r w:rsidR="00E121F2">
        <w:rPr>
          <w:rFonts w:eastAsia="Arial Unicode MS" w:cs="Arial"/>
          <w:i/>
        </w:rPr>
        <w:t xml:space="preserve"> part of developing this review we undertook a number of listening exercise with people with lived experience as well as with mental health nurses. </w:t>
      </w:r>
    </w:p>
    <w:p w14:paraId="116278D4" w14:textId="77777777" w:rsidR="00E121F2" w:rsidRDefault="00E121F2" w:rsidP="00833576">
      <w:pPr>
        <w:rPr>
          <w:rFonts w:eastAsia="Arial Unicode MS" w:cs="Arial"/>
          <w:i/>
        </w:rPr>
      </w:pPr>
    </w:p>
    <w:p w14:paraId="1284084B" w14:textId="77777777" w:rsidR="002A74E8" w:rsidRDefault="00E121F2" w:rsidP="00833576">
      <w:pPr>
        <w:rPr>
          <w:rFonts w:eastAsia="Arial Unicode MS" w:cs="Arial"/>
          <w:i/>
        </w:rPr>
      </w:pPr>
      <w:r>
        <w:rPr>
          <w:rFonts w:eastAsia="Arial Unicode MS" w:cs="Arial"/>
          <w:i/>
        </w:rPr>
        <w:t>These listening exercise helped us not only to clearly identify and articulate key recommendations of the report, two of which linked to this work are outlined below. They also helped us to identify and prioritise key areas of work that needed progressing form the outset of the implementation of the review. In this instance this piece of work was prioritised as it was felt by both people with lived experience and mental health nurses</w:t>
      </w:r>
      <w:r w:rsidR="00266E43">
        <w:rPr>
          <w:rFonts w:eastAsia="Arial Unicode MS" w:cs="Arial"/>
          <w:i/>
        </w:rPr>
        <w:t xml:space="preserve">, that this was an area of need that required swift attention, as it would make a quick and long lasting impact on improving care delivery. </w:t>
      </w:r>
    </w:p>
    <w:p w14:paraId="7D4C1485" w14:textId="77777777" w:rsidR="002A74E8" w:rsidRDefault="002A74E8" w:rsidP="00833576">
      <w:pPr>
        <w:rPr>
          <w:rFonts w:eastAsia="Arial Unicode MS" w:cs="Arial"/>
          <w:i/>
        </w:rPr>
      </w:pPr>
    </w:p>
    <w:p w14:paraId="704CED24" w14:textId="0A26B492" w:rsidR="00570FF9" w:rsidRDefault="007852D9" w:rsidP="00833576">
      <w:pPr>
        <w:rPr>
          <w:rFonts w:eastAsia="Arial Unicode MS" w:cs="Arial"/>
          <w:i/>
        </w:rPr>
      </w:pPr>
      <w:r>
        <w:rPr>
          <w:rFonts w:eastAsia="Arial Unicode MS" w:cs="Arial"/>
          <w:i/>
        </w:rPr>
        <w:t>This piece of work will help achieve the recommendations made as part of the Baroness of Watkins report as below:</w:t>
      </w:r>
      <w:r w:rsidR="00570FF9">
        <w:rPr>
          <w:rFonts w:eastAsia="Arial Unicode MS" w:cs="Arial"/>
          <w:i/>
        </w:rPr>
        <w:t>:</w:t>
      </w:r>
    </w:p>
    <w:p w14:paraId="033AEFDC" w14:textId="77777777" w:rsidR="00570FF9" w:rsidRDefault="00570FF9" w:rsidP="00833576">
      <w:pPr>
        <w:rPr>
          <w:rFonts w:eastAsia="Arial Unicode MS" w:cs="Arial"/>
          <w:i/>
        </w:rPr>
      </w:pPr>
    </w:p>
    <w:p w14:paraId="5A9E8A57" w14:textId="77777777" w:rsidR="00B767C6" w:rsidRPr="0040291B" w:rsidRDefault="00B767C6" w:rsidP="00B767C6">
      <w:pPr>
        <w:shd w:val="clear" w:color="auto" w:fill="FFFFFF"/>
        <w:spacing w:after="240"/>
        <w:ind w:left="720"/>
        <w:rPr>
          <w:rFonts w:ascii="Times New Roman" w:eastAsia="Times New Roman" w:hAnsi="Times New Roman" w:cs="Times New Roman"/>
          <w:color w:val="242424"/>
          <w:lang w:eastAsia="en-GB"/>
        </w:rPr>
      </w:pPr>
      <w:r w:rsidRPr="0040291B">
        <w:rPr>
          <w:rFonts w:ascii="Times New Roman" w:eastAsia="Times New Roman" w:hAnsi="Times New Roman" w:cs="Times New Roman"/>
          <w:color w:val="242424"/>
          <w:lang w:eastAsia="en-GB"/>
        </w:rPr>
        <w:t>Recommendation 2: </w:t>
      </w:r>
      <w:r w:rsidRPr="0040291B">
        <w:rPr>
          <w:rFonts w:ascii="Times New Roman" w:eastAsia="Times New Roman" w:hAnsi="Times New Roman" w:cs="Times New Roman"/>
          <w:i/>
          <w:iCs/>
          <w:color w:val="242424"/>
          <w:lang w:eastAsia="en-GB"/>
        </w:rPr>
        <w:t>Mental health nurses must enhance the therapeutic relationship, valuing experiential knowledge, while acknowledging and overcoming the power differentials between staff and service users.</w:t>
      </w:r>
    </w:p>
    <w:p w14:paraId="0F2E1DA6" w14:textId="77777777" w:rsidR="00B767C6" w:rsidRPr="0040291B" w:rsidRDefault="00B767C6" w:rsidP="00B767C6">
      <w:pPr>
        <w:shd w:val="clear" w:color="auto" w:fill="FFFFFF"/>
        <w:spacing w:after="240"/>
        <w:ind w:left="720"/>
        <w:rPr>
          <w:rFonts w:ascii="Times New Roman" w:eastAsia="Times New Roman" w:hAnsi="Times New Roman" w:cs="Times New Roman"/>
          <w:color w:val="242424"/>
          <w:lang w:eastAsia="en-GB"/>
        </w:rPr>
      </w:pPr>
      <w:r w:rsidRPr="0040291B">
        <w:rPr>
          <w:rFonts w:ascii="Times New Roman" w:eastAsia="Times New Roman" w:hAnsi="Times New Roman" w:cs="Times New Roman"/>
          <w:color w:val="242424"/>
          <w:lang w:eastAsia="en-GB"/>
        </w:rPr>
        <w:t>Recommendation 3: </w:t>
      </w:r>
      <w:r w:rsidRPr="0040291B">
        <w:rPr>
          <w:rFonts w:ascii="Times New Roman" w:eastAsia="Times New Roman" w:hAnsi="Times New Roman" w:cs="Times New Roman"/>
          <w:i/>
          <w:iCs/>
          <w:color w:val="242424"/>
          <w:lang w:eastAsia="en-GB"/>
        </w:rPr>
        <w:t>Mental health nurses must place a renewed focus on identifying and promoting the core skills of mental health nurses, across the lifespan, within all practice settings and in direct response to the needs of our local populations.</w:t>
      </w:r>
    </w:p>
    <w:p w14:paraId="1DCB2C5F" w14:textId="77777777" w:rsidR="00570FF9" w:rsidRDefault="00570FF9" w:rsidP="00833576">
      <w:pPr>
        <w:rPr>
          <w:rFonts w:eastAsia="Arial Unicode MS" w:cs="Arial"/>
          <w:i/>
        </w:rPr>
      </w:pPr>
    </w:p>
    <w:p w14:paraId="00C12623" w14:textId="77777777" w:rsidR="00EA1CCF" w:rsidRDefault="00EA1CCF" w:rsidP="00833576">
      <w:pPr>
        <w:rPr>
          <w:rFonts w:eastAsia="Arial Unicode MS" w:cs="Arial"/>
          <w:i/>
        </w:rPr>
      </w:pPr>
      <w:r>
        <w:rPr>
          <w:rFonts w:eastAsia="Arial Unicode MS" w:cs="Arial"/>
          <w:i/>
        </w:rPr>
        <w:t xml:space="preserve">The key areas of work which link both the recommendations listed above </w:t>
      </w:r>
      <w:proofErr w:type="gramStart"/>
      <w:r>
        <w:rPr>
          <w:rFonts w:eastAsia="Arial Unicode MS" w:cs="Arial"/>
          <w:i/>
        </w:rPr>
        <w:t>and also</w:t>
      </w:r>
      <w:proofErr w:type="gramEnd"/>
      <w:r>
        <w:rPr>
          <w:rFonts w:eastAsia="Arial Unicode MS" w:cs="Arial"/>
          <w:i/>
        </w:rPr>
        <w:t xml:space="preserve"> the areas that were deemed high priority by both people with lived experience and mental health nurses where:</w:t>
      </w:r>
    </w:p>
    <w:p w14:paraId="2276C94A" w14:textId="77777777" w:rsidR="00EA1CCF" w:rsidRDefault="00EA1CCF" w:rsidP="00833576">
      <w:pPr>
        <w:rPr>
          <w:rFonts w:eastAsia="Arial Unicode MS" w:cs="Arial"/>
          <w:i/>
        </w:rPr>
      </w:pPr>
    </w:p>
    <w:p w14:paraId="515AF443" w14:textId="1F0EAC80" w:rsidR="000F261B" w:rsidRDefault="00EA1CCF" w:rsidP="00833576">
      <w:pPr>
        <w:rPr>
          <w:rFonts w:eastAsia="Arial Unicode MS" w:cs="Arial"/>
          <w:i/>
        </w:rPr>
      </w:pPr>
      <w:r>
        <w:rPr>
          <w:rFonts w:eastAsia="Arial Unicode MS" w:cs="Arial"/>
          <w:i/>
        </w:rPr>
        <w:t xml:space="preserve">The need for mental health nurses to develop </w:t>
      </w:r>
      <w:r w:rsidR="000F261B">
        <w:rPr>
          <w:rFonts w:eastAsia="Arial Unicode MS" w:cs="Arial"/>
          <w:i/>
        </w:rPr>
        <w:t xml:space="preserve">high-quality, person-centred communication skills and techniques. </w:t>
      </w:r>
    </w:p>
    <w:p w14:paraId="704B10F6" w14:textId="77777777" w:rsidR="00074472" w:rsidRPr="00074472" w:rsidRDefault="00074472" w:rsidP="00074472">
      <w:pPr>
        <w:autoSpaceDE w:val="0"/>
        <w:autoSpaceDN w:val="0"/>
        <w:adjustRightInd w:val="0"/>
        <w:rPr>
          <w:rFonts w:cs="Arial"/>
          <w:color w:val="000000"/>
        </w:rPr>
      </w:pPr>
    </w:p>
    <w:p w14:paraId="3A786EA9" w14:textId="3B4F8418" w:rsidR="000F261B" w:rsidRDefault="00074472" w:rsidP="00074472">
      <w:pPr>
        <w:rPr>
          <w:rFonts w:cs="Arial"/>
        </w:rPr>
      </w:pPr>
      <w:r w:rsidRPr="0085621F">
        <w:rPr>
          <w:rFonts w:cs="Arial"/>
        </w:rPr>
        <w:t xml:space="preserve">The need for mental health nurses to  use their personal qualities, experiences and interpersonal skills to develop and maintain therapeutic, recovery-focused relationships with people and therapeutic groups. They must be aware of their own mental </w:t>
      </w:r>
      <w:proofErr w:type="gramStart"/>
      <w:r w:rsidRPr="0085621F">
        <w:rPr>
          <w:rFonts w:cs="Arial"/>
        </w:rPr>
        <w:t>health, and</w:t>
      </w:r>
      <w:proofErr w:type="gramEnd"/>
      <w:r w:rsidRPr="0085621F">
        <w:rPr>
          <w:rFonts w:cs="Arial"/>
        </w:rPr>
        <w:t xml:space="preserve"> know when to share aspects</w:t>
      </w:r>
      <w:r w:rsidR="0085621F">
        <w:rPr>
          <w:rFonts w:cs="Arial"/>
        </w:rPr>
        <w:t>.</w:t>
      </w:r>
    </w:p>
    <w:p w14:paraId="1CA02979" w14:textId="77777777" w:rsidR="00117432" w:rsidRDefault="00117432" w:rsidP="00074472">
      <w:pPr>
        <w:rPr>
          <w:rFonts w:cs="Arial"/>
        </w:rPr>
      </w:pPr>
    </w:p>
    <w:p w14:paraId="172C5DEF" w14:textId="77777777" w:rsidR="00117432" w:rsidRDefault="00117432" w:rsidP="00117432">
      <w:pPr>
        <w:autoSpaceDE w:val="0"/>
        <w:autoSpaceDN w:val="0"/>
        <w:adjustRightInd w:val="0"/>
        <w:spacing w:line="211" w:lineRule="atLeast"/>
        <w:jc w:val="both"/>
        <w:rPr>
          <w:rFonts w:cs="Arial"/>
        </w:rPr>
      </w:pPr>
      <w:r w:rsidRPr="00117432">
        <w:rPr>
          <w:rFonts w:cs="Arial"/>
        </w:rPr>
        <w:t>Consistently shows ability to communicate safely and effectively with people provid</w:t>
      </w:r>
      <w:r w:rsidRPr="00117432">
        <w:rPr>
          <w:rFonts w:cs="Arial"/>
        </w:rPr>
        <w:softHyphen/>
        <w:t xml:space="preserve">ing guidance for others. </w:t>
      </w:r>
    </w:p>
    <w:p w14:paraId="725AF7F1" w14:textId="77777777" w:rsidR="00117432" w:rsidRPr="00117432" w:rsidRDefault="00117432" w:rsidP="00117432">
      <w:pPr>
        <w:autoSpaceDE w:val="0"/>
        <w:autoSpaceDN w:val="0"/>
        <w:adjustRightInd w:val="0"/>
        <w:spacing w:line="211" w:lineRule="atLeast"/>
        <w:jc w:val="both"/>
        <w:rPr>
          <w:rFonts w:cs="Arial"/>
        </w:rPr>
      </w:pPr>
    </w:p>
    <w:p w14:paraId="58E87201" w14:textId="5DA4905A" w:rsidR="00117432" w:rsidRPr="00117432" w:rsidRDefault="00117432" w:rsidP="00117432">
      <w:pPr>
        <w:rPr>
          <w:rFonts w:eastAsia="Arial Unicode MS" w:cs="Arial"/>
          <w:i/>
        </w:rPr>
      </w:pPr>
      <w:r w:rsidRPr="00117432">
        <w:rPr>
          <w:rFonts w:cs="Arial"/>
        </w:rPr>
        <w:t>Communicates effectively and sensitively in different settings, using a range of methods and skills.</w:t>
      </w:r>
    </w:p>
    <w:p w14:paraId="200EBB6E" w14:textId="77777777" w:rsidR="00A54C2E" w:rsidRDefault="00A54C2E" w:rsidP="00833576">
      <w:pPr>
        <w:rPr>
          <w:rFonts w:eastAsia="Arial Unicode MS" w:cs="Arial"/>
          <w:i/>
        </w:rPr>
      </w:pPr>
    </w:p>
    <w:p w14:paraId="005BE805" w14:textId="77777777" w:rsidR="00E32CA5" w:rsidRDefault="00B32083" w:rsidP="00833576">
      <w:pPr>
        <w:rPr>
          <w:rFonts w:eastAsia="Arial Unicode MS" w:cs="Arial"/>
          <w:i/>
        </w:rPr>
      </w:pPr>
      <w:r>
        <w:rPr>
          <w:rFonts w:eastAsia="Arial Unicode MS" w:cs="Arial"/>
          <w:i/>
        </w:rPr>
        <w:t xml:space="preserve">Once we had identified these as core areas of need in relation to the profession, we spent time reviewing the current offers for mental health nurses to see if any </w:t>
      </w:r>
      <w:r w:rsidR="00FC3621">
        <w:rPr>
          <w:rFonts w:eastAsia="Arial Unicode MS" w:cs="Arial"/>
          <w:i/>
        </w:rPr>
        <w:t xml:space="preserve">of these would meet need, we found no existing courses that could meet these needs. However, we did find a course that had been developed in 1992 and which had these areas of needs are core elements of the training </w:t>
      </w:r>
      <w:r w:rsidR="00E32CA5">
        <w:rPr>
          <w:rFonts w:eastAsia="Arial Unicode MS" w:cs="Arial"/>
          <w:i/>
        </w:rPr>
        <w:t xml:space="preserve">offer. This is a course that was known at the time as the Thorne initiative or PSI, it has a large body of evidence to support its efficacy and which also demonstrates the positive impact this training has on mental health nurse development, as well as patient outcomes. </w:t>
      </w:r>
      <w:proofErr w:type="gramStart"/>
      <w:r w:rsidR="0039011C">
        <w:rPr>
          <w:rFonts w:eastAsia="Arial Unicode MS" w:cs="Arial"/>
          <w:i/>
        </w:rPr>
        <w:t>In order to</w:t>
      </w:r>
      <w:proofErr w:type="gramEnd"/>
      <w:r w:rsidR="0039011C">
        <w:rPr>
          <w:rFonts w:eastAsia="Arial Unicode MS" w:cs="Arial"/>
          <w:i/>
        </w:rPr>
        <w:t xml:space="preserve"> address </w:t>
      </w:r>
      <w:proofErr w:type="spellStart"/>
      <w:r w:rsidR="0039011C">
        <w:rPr>
          <w:rFonts w:eastAsia="Arial Unicode MS" w:cs="Arial"/>
          <w:i/>
        </w:rPr>
        <w:t>th</w:t>
      </w:r>
      <w:r>
        <w:rPr>
          <w:rFonts w:eastAsia="Arial Unicode MS" w:cs="Arial"/>
          <w:i/>
        </w:rPr>
        <w:t>eses</w:t>
      </w:r>
      <w:proofErr w:type="spellEnd"/>
      <w:r>
        <w:rPr>
          <w:rFonts w:eastAsia="Arial Unicode MS" w:cs="Arial"/>
          <w:i/>
        </w:rPr>
        <w:t xml:space="preserve"> </w:t>
      </w:r>
      <w:r w:rsidR="0039011C">
        <w:rPr>
          <w:rFonts w:eastAsia="Arial Unicode MS" w:cs="Arial"/>
          <w:i/>
        </w:rPr>
        <w:t>gap</w:t>
      </w:r>
      <w:r>
        <w:rPr>
          <w:rFonts w:eastAsia="Arial Unicode MS" w:cs="Arial"/>
          <w:i/>
        </w:rPr>
        <w:t>s</w:t>
      </w:r>
      <w:r w:rsidR="0039011C">
        <w:rPr>
          <w:rFonts w:eastAsia="Arial Unicode MS" w:cs="Arial"/>
          <w:i/>
        </w:rPr>
        <w:t xml:space="preserve"> in knowledge </w:t>
      </w:r>
      <w:r w:rsidR="00256732">
        <w:rPr>
          <w:rFonts w:eastAsia="Arial Unicode MS" w:cs="Arial"/>
          <w:i/>
        </w:rPr>
        <w:t xml:space="preserve">and skills in relation to communication and </w:t>
      </w:r>
    </w:p>
    <w:p w14:paraId="266D15B8" w14:textId="77777777" w:rsidR="00E32CA5" w:rsidRDefault="00E32CA5" w:rsidP="00833576">
      <w:pPr>
        <w:rPr>
          <w:rFonts w:eastAsia="Arial Unicode MS" w:cs="Arial"/>
          <w:i/>
        </w:rPr>
      </w:pPr>
    </w:p>
    <w:p w14:paraId="31A0F855" w14:textId="4F261F4B" w:rsidR="00833576" w:rsidRPr="00833576" w:rsidRDefault="00E32CA5" w:rsidP="00833576">
      <w:pPr>
        <w:rPr>
          <w:rFonts w:eastAsia="Arial Unicode MS" w:cs="Arial"/>
          <w:i/>
        </w:rPr>
      </w:pPr>
      <w:r>
        <w:rPr>
          <w:rFonts w:eastAsia="Arial Unicode MS" w:cs="Arial"/>
          <w:i/>
        </w:rPr>
        <w:t>Additionally the course has a c</w:t>
      </w:r>
      <w:r w:rsidR="005259C3">
        <w:t>ore value of which placed focus on mental health nurses working</w:t>
      </w:r>
      <w:r w:rsidR="00384EE4">
        <w:t xml:space="preserve"> with people in a way that values, respects and explores the meaning of their individual lived experiences of mental health problems, to provide person-centred and recovery-focused practice’ principles and values that still hold true today</w:t>
      </w:r>
    </w:p>
    <w:p w14:paraId="11D18CF5" w14:textId="28164021" w:rsidR="00833576" w:rsidRPr="00833576" w:rsidRDefault="00950568" w:rsidP="00833576">
      <w:pPr>
        <w:rPr>
          <w:rFonts w:eastAsia="Arial Unicode MS" w:cs="Arial"/>
          <w:i/>
        </w:rPr>
      </w:pPr>
      <w:r>
        <w:rPr>
          <w:rFonts w:eastAsia="Arial Unicode MS" w:cs="Arial"/>
          <w:i/>
        </w:rPr>
        <w:lastRenderedPageBreak/>
        <w:t xml:space="preserve">We were also aware that the IP for this course and all its constituent parts resides with the RCN, hence why we are working with the RCN to refresh and redeliver this course. </w:t>
      </w:r>
    </w:p>
    <w:p w14:paraId="2F1941FC" w14:textId="77777777" w:rsidR="00833576" w:rsidRPr="00833576" w:rsidRDefault="00833576" w:rsidP="00833576">
      <w:pPr>
        <w:rPr>
          <w:rFonts w:eastAsia="Arial Unicode MS" w:cs="Arial"/>
          <w:i/>
        </w:rPr>
      </w:pPr>
    </w:p>
    <w:p w14:paraId="5EAA1214" w14:textId="77777777" w:rsidR="00D93548" w:rsidRPr="00D93548" w:rsidRDefault="00D93548" w:rsidP="00D93548"/>
    <w:p w14:paraId="3D846654" w14:textId="77777777" w:rsidR="00D93548" w:rsidRDefault="00D93548" w:rsidP="00D93548">
      <w:pPr>
        <w:pStyle w:val="Heading2"/>
        <w:numPr>
          <w:ilvl w:val="0"/>
          <w:numId w:val="1"/>
        </w:numPr>
      </w:pPr>
      <w:bookmarkStart w:id="3" w:name="_Toc9252590"/>
      <w:r>
        <w:t>Scope of Contract</w:t>
      </w:r>
      <w:bookmarkEnd w:id="3"/>
      <w:r>
        <w:t xml:space="preserve"> </w:t>
      </w:r>
    </w:p>
    <w:p w14:paraId="4D3E24BA" w14:textId="6BA23EC7" w:rsidR="00206B06" w:rsidRDefault="00D0710D" w:rsidP="00D93548">
      <w:pPr>
        <w:rPr>
          <w:i/>
        </w:rPr>
      </w:pPr>
      <w:r>
        <w:rPr>
          <w:i/>
        </w:rPr>
        <w:t xml:space="preserve">The scope of this contract is to refresh and redeliver the Thorne initiative/PSI in a way that is fit for the current mental health nurse, whilst broadening this training offer to include other fields and areas of nursing. </w:t>
      </w:r>
    </w:p>
    <w:p w14:paraId="5DA478AE" w14:textId="77777777" w:rsidR="00D0710D" w:rsidRDefault="00D0710D" w:rsidP="00D93548">
      <w:pPr>
        <w:rPr>
          <w:i/>
        </w:rPr>
      </w:pPr>
    </w:p>
    <w:p w14:paraId="3C629B24" w14:textId="63E21E84" w:rsidR="00D0710D" w:rsidRDefault="00CD201A" w:rsidP="00D93548">
      <w:pPr>
        <w:rPr>
          <w:i/>
        </w:rPr>
      </w:pPr>
      <w:r>
        <w:rPr>
          <w:i/>
        </w:rPr>
        <w:t>This will be a national offer that will take the form of an online training resource, developed in this way to ensure optimal accessibility for all.</w:t>
      </w:r>
    </w:p>
    <w:p w14:paraId="0F220B53" w14:textId="77777777" w:rsidR="00CD201A" w:rsidRDefault="00CD201A" w:rsidP="00D93548">
      <w:pPr>
        <w:rPr>
          <w:i/>
        </w:rPr>
      </w:pPr>
    </w:p>
    <w:p w14:paraId="6649D80E" w14:textId="5BE269D2" w:rsidR="00CD201A" w:rsidRDefault="00F37E68" w:rsidP="00D93548">
      <w:pPr>
        <w:rPr>
          <w:i/>
        </w:rPr>
      </w:pPr>
      <w:r>
        <w:rPr>
          <w:i/>
        </w:rPr>
        <w:t xml:space="preserve">People with lived experience and mental health nurses will remain core to the development and delivery of this training package, to ensure that their voices continue to be heard throughout this work. </w:t>
      </w:r>
    </w:p>
    <w:p w14:paraId="4509A5D9" w14:textId="77777777" w:rsidR="00E92A39" w:rsidRDefault="00E92A39" w:rsidP="00D93548">
      <w:pPr>
        <w:rPr>
          <w:i/>
        </w:rPr>
      </w:pPr>
    </w:p>
    <w:p w14:paraId="27679F1F" w14:textId="23A8AFB9" w:rsidR="00E92A39" w:rsidRPr="00D93548" w:rsidRDefault="00E92A39" w:rsidP="00D93548">
      <w:pPr>
        <w:rPr>
          <w:i/>
        </w:rPr>
      </w:pPr>
      <w:r>
        <w:rPr>
          <w:i/>
        </w:rPr>
        <w:t>We expect this product carer be offer</w:t>
      </w:r>
      <w:r w:rsidR="00714FBB">
        <w:rPr>
          <w:i/>
        </w:rPr>
        <w:t xml:space="preserve">ed </w:t>
      </w:r>
      <w:r>
        <w:rPr>
          <w:i/>
        </w:rPr>
        <w:t>to mental health and other nurses working in all sectors and areas of health and social care</w:t>
      </w:r>
      <w:r w:rsidR="00714FBB">
        <w:rPr>
          <w:i/>
        </w:rPr>
        <w:t>, and not to be limited to NHS workforce</w:t>
      </w:r>
    </w:p>
    <w:p w14:paraId="5DEA155F" w14:textId="77777777" w:rsidR="00D93548" w:rsidRPr="00D93548" w:rsidRDefault="00D93548" w:rsidP="00D93548"/>
    <w:p w14:paraId="7842BBD8" w14:textId="77777777" w:rsidR="00D93548" w:rsidRDefault="00D93548" w:rsidP="00D93548">
      <w:pPr>
        <w:pStyle w:val="Heading2"/>
        <w:numPr>
          <w:ilvl w:val="0"/>
          <w:numId w:val="1"/>
        </w:numPr>
      </w:pPr>
      <w:bookmarkStart w:id="4" w:name="_Toc9252591"/>
      <w:r>
        <w:t>Detailed Requirements</w:t>
      </w:r>
      <w:bookmarkEnd w:id="4"/>
      <w:r>
        <w:t xml:space="preserve"> </w:t>
      </w:r>
    </w:p>
    <w:p w14:paraId="7CEADEDF" w14:textId="77777777" w:rsidR="009912EF" w:rsidRDefault="00527FE2" w:rsidP="001D2319">
      <w:r>
        <w:t>The requirements of the programme are as set out below,</w:t>
      </w:r>
      <w:r w:rsidR="009912EF">
        <w:t xml:space="preserve"> whilst the final product may differ from this model, this is the outline which initial planning will be based on. </w:t>
      </w:r>
    </w:p>
    <w:p w14:paraId="7A534609" w14:textId="77777777" w:rsidR="009912EF" w:rsidRDefault="009912EF" w:rsidP="001D2319"/>
    <w:p w14:paraId="40773A63" w14:textId="77777777" w:rsidR="00966569" w:rsidRDefault="009912EF" w:rsidP="001D2319">
      <w:r>
        <w:t xml:space="preserve">The reason for allowing some variation away from this structure means that we can ensure that whilst the programme will retain the core elements of the </w:t>
      </w:r>
      <w:proofErr w:type="spellStart"/>
      <w:r>
        <w:t>th</w:t>
      </w:r>
      <w:r w:rsidR="00966569">
        <w:t>orne</w:t>
      </w:r>
      <w:proofErr w:type="spellEnd"/>
      <w:r w:rsidR="00966569">
        <w:t>/PSI work, we retain flexibility to amend this structure to ensure it meets the needs of nurses and nursing.</w:t>
      </w:r>
    </w:p>
    <w:p w14:paraId="7B7FF809" w14:textId="77777777" w:rsidR="00966569" w:rsidRDefault="00966569" w:rsidP="001D2319"/>
    <w:p w14:paraId="5500FE8F" w14:textId="78B64956" w:rsidR="00966569" w:rsidRDefault="00966569" w:rsidP="001D2319">
      <w:r>
        <w:t xml:space="preserve">It also ensures that as we start to build this product, if we need to make any changes to ensure the final product meets </w:t>
      </w:r>
      <w:proofErr w:type="gramStart"/>
      <w:r>
        <w:t>need</w:t>
      </w:r>
      <w:proofErr w:type="gramEnd"/>
      <w:r>
        <w:t xml:space="preserve"> we can do so. However, any material changes to this structure will need to be agree with and by the commissioner. </w:t>
      </w:r>
    </w:p>
    <w:p w14:paraId="4CA15380" w14:textId="53842C4D" w:rsidR="001D2319" w:rsidRDefault="00527FE2" w:rsidP="001D2319">
      <w:r>
        <w:rPr>
          <w:noProof/>
        </w:rPr>
        <w:drawing>
          <wp:inline distT="0" distB="0" distL="0" distR="0" wp14:anchorId="7DE111BA" wp14:editId="78E71100">
            <wp:extent cx="5727700" cy="3226435"/>
            <wp:effectExtent l="0" t="0" r="6350" b="0"/>
            <wp:docPr id="1" name="Picture 1"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ab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226435"/>
                    </a:xfrm>
                    <a:prstGeom prst="rect">
                      <a:avLst/>
                    </a:prstGeom>
                    <a:noFill/>
                    <a:ln>
                      <a:noFill/>
                    </a:ln>
                  </pic:spPr>
                </pic:pic>
              </a:graphicData>
            </a:graphic>
          </wp:inline>
        </w:drawing>
      </w:r>
    </w:p>
    <w:p w14:paraId="68EC5918" w14:textId="77777777" w:rsidR="001D2319" w:rsidRPr="001D2319" w:rsidRDefault="001D2319" w:rsidP="001D2319"/>
    <w:p w14:paraId="27C69F78" w14:textId="54F6D918" w:rsidR="00D93548" w:rsidRPr="00D93548" w:rsidRDefault="00D93548" w:rsidP="00D93548">
      <w:pPr>
        <w:spacing w:before="240" w:after="240"/>
        <w:rPr>
          <w:rFonts w:eastAsia="Times New Roman" w:cs="Arial"/>
          <w:i/>
        </w:rPr>
      </w:pPr>
      <w:r w:rsidRPr="00D93548">
        <w:rPr>
          <w:rFonts w:eastAsia="Times New Roman" w:cs="Arial"/>
          <w:i/>
        </w:rPr>
        <w:lastRenderedPageBreak/>
        <w:t>.</w:t>
      </w:r>
    </w:p>
    <w:p w14:paraId="09E08255" w14:textId="77777777" w:rsidR="00D93548" w:rsidRDefault="00D93548" w:rsidP="00D93548">
      <w:pPr>
        <w:pStyle w:val="Heading2"/>
        <w:numPr>
          <w:ilvl w:val="0"/>
          <w:numId w:val="1"/>
        </w:numPr>
      </w:pPr>
      <w:bookmarkStart w:id="5" w:name="_Toc9252592"/>
      <w:r>
        <w:t>Service Levels and Key Performance Indicators (KPIs)</w:t>
      </w:r>
      <w:bookmarkEnd w:id="5"/>
      <w:r>
        <w:t xml:space="preserve"> </w:t>
      </w:r>
    </w:p>
    <w:p w14:paraId="4079EFF2" w14:textId="3527946A" w:rsidR="004A54C1" w:rsidRDefault="004A54C1" w:rsidP="004A54C1">
      <w:pPr>
        <w:spacing w:before="240" w:after="240"/>
        <w:rPr>
          <w:rFonts w:eastAsia="Times New Roman" w:cs="Arial"/>
          <w:i/>
        </w:rPr>
      </w:pPr>
      <w:bookmarkStart w:id="6" w:name="_Toc9252593"/>
      <w:r>
        <w:rPr>
          <w:rFonts w:eastAsia="Times New Roman" w:cs="Arial"/>
          <w:i/>
        </w:rPr>
        <w:t>At the outset of this work the commissioner and provider will agree a project plan which will detail key timelines for each piece of the development of this programme.</w:t>
      </w:r>
    </w:p>
    <w:p w14:paraId="2E266900" w14:textId="60196969" w:rsidR="004A54C1" w:rsidRDefault="004A54C1" w:rsidP="004A54C1">
      <w:pPr>
        <w:spacing w:before="240" w:after="240"/>
        <w:rPr>
          <w:rFonts w:eastAsia="Times New Roman" w:cs="Arial"/>
          <w:i/>
        </w:rPr>
      </w:pPr>
      <w:r>
        <w:rPr>
          <w:rFonts w:eastAsia="Times New Roman" w:cs="Arial"/>
          <w:i/>
        </w:rPr>
        <w:t xml:space="preserve">As part of this project plan </w:t>
      </w:r>
      <w:proofErr w:type="gramStart"/>
      <w:r>
        <w:rPr>
          <w:rFonts w:eastAsia="Times New Roman" w:cs="Arial"/>
          <w:i/>
        </w:rPr>
        <w:t>development</w:t>
      </w:r>
      <w:proofErr w:type="gramEnd"/>
      <w:r>
        <w:rPr>
          <w:rFonts w:eastAsia="Times New Roman" w:cs="Arial"/>
          <w:i/>
        </w:rPr>
        <w:t xml:space="preserve"> we will build in key milestones and link those milestones to KPI’s </w:t>
      </w:r>
      <w:r w:rsidR="0082407E">
        <w:rPr>
          <w:rFonts w:eastAsia="Times New Roman" w:cs="Arial"/>
          <w:i/>
        </w:rPr>
        <w:t>which will be jointly agreed at the outset of the work.</w:t>
      </w:r>
    </w:p>
    <w:p w14:paraId="44F96FDE" w14:textId="2569DA58" w:rsidR="0082407E" w:rsidRDefault="0082407E" w:rsidP="004A54C1">
      <w:pPr>
        <w:spacing w:before="240" w:after="240"/>
        <w:rPr>
          <w:rFonts w:eastAsia="Times New Roman" w:cs="Arial"/>
          <w:i/>
        </w:rPr>
      </w:pPr>
      <w:r>
        <w:rPr>
          <w:rFonts w:eastAsia="Times New Roman" w:cs="Arial"/>
          <w:i/>
        </w:rPr>
        <w:t xml:space="preserve">The key KPI will </w:t>
      </w:r>
      <w:r w:rsidR="000C0056">
        <w:rPr>
          <w:rFonts w:eastAsia="Times New Roman" w:cs="Arial"/>
          <w:i/>
        </w:rPr>
        <w:t xml:space="preserve">be the development, hosting and implementation of a 5 module on line training package. </w:t>
      </w:r>
    </w:p>
    <w:p w14:paraId="7330D94E" w14:textId="77777777" w:rsidR="0082407E" w:rsidRDefault="0082407E" w:rsidP="004A54C1">
      <w:pPr>
        <w:spacing w:before="240" w:after="240"/>
        <w:rPr>
          <w:rFonts w:eastAsia="Times New Roman" w:cs="Arial"/>
          <w:i/>
        </w:rPr>
      </w:pPr>
    </w:p>
    <w:p w14:paraId="3A6E0595" w14:textId="77777777" w:rsidR="004A54C1" w:rsidRDefault="004A54C1" w:rsidP="004A54C1">
      <w:pPr>
        <w:spacing w:before="240" w:after="240"/>
        <w:rPr>
          <w:rFonts w:eastAsia="Times New Roman" w:cs="Arial"/>
          <w:i/>
        </w:rPr>
      </w:pPr>
    </w:p>
    <w:p w14:paraId="77D6AB31" w14:textId="20F6E2F8" w:rsidR="00D93548" w:rsidRDefault="00D93548" w:rsidP="004A54C1">
      <w:pPr>
        <w:spacing w:before="240" w:after="240"/>
      </w:pPr>
      <w:r>
        <w:t>Contract Management and Review</w:t>
      </w:r>
      <w:bookmarkEnd w:id="6"/>
      <w:r>
        <w:t xml:space="preserve"> </w:t>
      </w:r>
    </w:p>
    <w:p w14:paraId="01727BF4" w14:textId="1BC93BD8" w:rsidR="00D93548" w:rsidRDefault="00F124CD" w:rsidP="00D93548">
      <w:pPr>
        <w:spacing w:before="240" w:after="240"/>
        <w:rPr>
          <w:rFonts w:eastAsia="Times New Roman" w:cs="Arial"/>
          <w:i/>
        </w:rPr>
      </w:pPr>
      <w:r>
        <w:rPr>
          <w:rFonts w:eastAsia="Times New Roman" w:cs="Arial"/>
          <w:i/>
        </w:rPr>
        <w:t>Regular meetings will be held with the RCN to ensure that delivery of the work is on track.</w:t>
      </w:r>
    </w:p>
    <w:p w14:paraId="161F81FD" w14:textId="3033B370" w:rsidR="00F124CD" w:rsidRDefault="00F124CD" w:rsidP="00D93548">
      <w:pPr>
        <w:spacing w:before="240" w:after="240"/>
        <w:rPr>
          <w:rFonts w:eastAsia="Times New Roman" w:cs="Arial"/>
          <w:i/>
        </w:rPr>
      </w:pPr>
      <w:r>
        <w:rPr>
          <w:rFonts w:eastAsia="Times New Roman" w:cs="Arial"/>
          <w:i/>
        </w:rPr>
        <w:t xml:space="preserve">These meetings will use the project plan which will be jointly </w:t>
      </w:r>
      <w:r w:rsidR="003E6FA2">
        <w:rPr>
          <w:rFonts w:eastAsia="Times New Roman" w:cs="Arial"/>
          <w:i/>
        </w:rPr>
        <w:t xml:space="preserve">agreed as a </w:t>
      </w:r>
      <w:r>
        <w:rPr>
          <w:rFonts w:eastAsia="Times New Roman" w:cs="Arial"/>
          <w:i/>
        </w:rPr>
        <w:t xml:space="preserve">tool to measure that work is on track within expected timelines. </w:t>
      </w:r>
    </w:p>
    <w:p w14:paraId="6080D13B" w14:textId="77777777" w:rsidR="00F124CD" w:rsidRPr="00D93548" w:rsidRDefault="00F124CD" w:rsidP="00D93548">
      <w:pPr>
        <w:spacing w:before="240" w:after="240"/>
      </w:pPr>
    </w:p>
    <w:p w14:paraId="2F6F2865" w14:textId="77777777" w:rsidR="00D93548" w:rsidRPr="00D93548" w:rsidRDefault="00D93548" w:rsidP="00D93548"/>
    <w:p w14:paraId="566D7000" w14:textId="77777777" w:rsidR="00D93548" w:rsidRDefault="00D93548" w:rsidP="00D93548">
      <w:pPr>
        <w:pStyle w:val="Heading2"/>
        <w:numPr>
          <w:ilvl w:val="0"/>
          <w:numId w:val="1"/>
        </w:numPr>
      </w:pPr>
      <w:bookmarkStart w:id="7" w:name="_Toc9252596"/>
      <w:r>
        <w:t>Contract Period</w:t>
      </w:r>
      <w:bookmarkEnd w:id="7"/>
    </w:p>
    <w:p w14:paraId="3F6E8A84" w14:textId="7C54504C" w:rsidR="00D93548" w:rsidRDefault="00525729" w:rsidP="00D93548">
      <w:pPr>
        <w:spacing w:before="240" w:after="240"/>
        <w:rPr>
          <w:rFonts w:eastAsia="Times New Roman" w:cs="Arial"/>
          <w:i/>
        </w:rPr>
      </w:pPr>
      <w:r>
        <w:rPr>
          <w:rFonts w:eastAsia="Times New Roman" w:cs="Arial"/>
          <w:i/>
        </w:rPr>
        <w:t xml:space="preserve">The contract period will run from 2023- 2025 with an option to extend at the end of this period. </w:t>
      </w:r>
    </w:p>
    <w:p w14:paraId="0EC4AD9E" w14:textId="77777777" w:rsidR="00D93548" w:rsidRDefault="00D93548">
      <w:pPr>
        <w:rPr>
          <w:rFonts w:eastAsia="Times New Roman" w:cs="Arial"/>
          <w:i/>
        </w:rPr>
      </w:pPr>
      <w:r>
        <w:rPr>
          <w:rFonts w:eastAsia="Times New Roman" w:cs="Arial"/>
          <w:i/>
        </w:rPr>
        <w:br w:type="page"/>
      </w:r>
    </w:p>
    <w:p w14:paraId="2A453AB3" w14:textId="77777777" w:rsidR="00933394" w:rsidRDefault="00D93548" w:rsidP="00D93548">
      <w:pPr>
        <w:pStyle w:val="Heading2"/>
      </w:pPr>
      <w:r>
        <w:lastRenderedPageBreak/>
        <w:t>Appendix 1</w:t>
      </w:r>
    </w:p>
    <w:p w14:paraId="3CE9B6A0" w14:textId="77777777" w:rsidR="00E63FD4" w:rsidRPr="00E63FD4" w:rsidRDefault="00E63FD4" w:rsidP="00E63FD4">
      <w:pPr>
        <w:pStyle w:val="Heading2"/>
      </w:pPr>
      <w:r w:rsidRPr="00E63FD4">
        <w:t>C</w:t>
      </w:r>
      <w:r>
        <w:t>hanges</w:t>
      </w:r>
      <w:r w:rsidRPr="00E63FD4">
        <w:t xml:space="preserve"> </w:t>
      </w:r>
      <w:r>
        <w:t>that can occur during the lifetime of a contract.</w:t>
      </w:r>
    </w:p>
    <w:p w14:paraId="6D0FEA8B" w14:textId="77777777" w:rsidR="00E63FD4" w:rsidRPr="00E63FD4" w:rsidRDefault="00E63FD4" w:rsidP="00E63FD4">
      <w:pPr>
        <w:pStyle w:val="Default"/>
      </w:pPr>
      <w:r w:rsidRPr="00E63FD4">
        <w:t xml:space="preserve">To try and identify some changes that might occur during the lifetime of a contract here are some questions you may wish to consider: </w:t>
      </w:r>
    </w:p>
    <w:p w14:paraId="16A5CF35" w14:textId="77777777" w:rsidR="00E63FD4" w:rsidRPr="00E63FD4" w:rsidRDefault="00E63FD4" w:rsidP="00E63FD4">
      <w:pPr>
        <w:pStyle w:val="Default"/>
      </w:pPr>
    </w:p>
    <w:p w14:paraId="720AEFB4" w14:textId="77777777" w:rsidR="00E63FD4" w:rsidRDefault="00E63FD4" w:rsidP="00E63FD4">
      <w:pPr>
        <w:pStyle w:val="Default"/>
      </w:pPr>
      <w:r w:rsidRPr="00E63FD4">
        <w:rPr>
          <w:b/>
        </w:rPr>
        <w:t>1. Careful thought should be given to the duration of the contract.</w:t>
      </w:r>
      <w:r w:rsidRPr="00E63FD4">
        <w:t xml:space="preserve"> </w:t>
      </w:r>
    </w:p>
    <w:p w14:paraId="289AC939" w14:textId="77777777" w:rsidR="00E63FD4" w:rsidRPr="00E63FD4" w:rsidRDefault="00E63FD4" w:rsidP="00E63FD4">
      <w:pPr>
        <w:pStyle w:val="Default"/>
      </w:pPr>
      <w:r w:rsidRPr="00E63FD4">
        <w:t xml:space="preserve">Is there a possibility the contract may need to be extended because of a legal challenge which delays the award of a new contract (in order that the supplies/services can continue to be supplied/provided)? There is a clause in the standard Conditions of Contract to cater for this eventuality. In construction professional services contracts, it may sometimes be desirable to retain the professionals for a short period following completion of the building, and this needs to be taken account of in the period of the contract that is specified. </w:t>
      </w:r>
    </w:p>
    <w:p w14:paraId="55265ADC" w14:textId="77777777" w:rsidR="00E63FD4" w:rsidRPr="00E63FD4" w:rsidRDefault="00E63FD4" w:rsidP="00E63FD4">
      <w:pPr>
        <w:pStyle w:val="Default"/>
      </w:pPr>
    </w:p>
    <w:p w14:paraId="3B788AE1" w14:textId="77777777" w:rsidR="00E63FD4" w:rsidRPr="00E63FD4" w:rsidRDefault="00E63FD4" w:rsidP="00E63FD4">
      <w:pPr>
        <w:pStyle w:val="Default"/>
        <w:spacing w:after="433"/>
      </w:pPr>
      <w:r w:rsidRPr="00E63FD4">
        <w:rPr>
          <w:b/>
        </w:rPr>
        <w:t>2. Is there a possibility the value of the contract will either increase or decrease</w:t>
      </w:r>
      <w:r w:rsidRPr="00E63FD4">
        <w:t xml:space="preserve"> (</w:t>
      </w:r>
      <w:proofErr w:type="spellStart"/>
      <w:r w:rsidRPr="00E63FD4">
        <w:t>eg</w:t>
      </w:r>
      <w:proofErr w:type="spellEnd"/>
      <w:r w:rsidRPr="00E63FD4">
        <w:t xml:space="preserve"> more money becomes available in a monitoring round or new users come online which results in a greater than anticipated spend or budget reductions result in a lower than anticipated spend)? </w:t>
      </w:r>
    </w:p>
    <w:p w14:paraId="1A74B53A" w14:textId="77777777" w:rsidR="00E63FD4" w:rsidRPr="00E63FD4" w:rsidRDefault="00E63FD4" w:rsidP="00E63FD4">
      <w:pPr>
        <w:pStyle w:val="Default"/>
        <w:spacing w:after="433"/>
      </w:pPr>
      <w:r w:rsidRPr="00E63FD4">
        <w:rPr>
          <w:b/>
        </w:rPr>
        <w:t>3. Will the contract prices need to be adjusted in line with a price index such as the Consumer Price Index (CPI)?</w:t>
      </w:r>
      <w:r w:rsidRPr="00E63FD4">
        <w:t xml:space="preserve"> There are clauses in the Standard Conditions of Contract which cater for this. The applicable index should be detailed in the Specification. </w:t>
      </w:r>
    </w:p>
    <w:p w14:paraId="0A594399" w14:textId="77777777" w:rsidR="00E63FD4" w:rsidRPr="00E63FD4" w:rsidRDefault="00E63FD4" w:rsidP="00E63FD4">
      <w:pPr>
        <w:pStyle w:val="Default"/>
        <w:spacing w:after="433"/>
      </w:pPr>
      <w:r w:rsidRPr="00E63FD4">
        <w:rPr>
          <w:b/>
        </w:rPr>
        <w:t>4. Is there a likelihood government legislation or policy will change during the lifetime of the contract?</w:t>
      </w:r>
      <w:r w:rsidRPr="00E63FD4">
        <w:t xml:space="preserve"> There are clauses in the standard Conditions of Contract which cater for changes in law. </w:t>
      </w:r>
    </w:p>
    <w:p w14:paraId="1D82E9AD" w14:textId="77777777" w:rsidR="00E63FD4" w:rsidRPr="00E63FD4" w:rsidRDefault="00E63FD4" w:rsidP="00E63FD4">
      <w:pPr>
        <w:pStyle w:val="Default"/>
      </w:pPr>
      <w:r w:rsidRPr="00E63FD4">
        <w:rPr>
          <w:b/>
        </w:rPr>
        <w:t>5. How can the contract be future proofed to cater for changes to technology?</w:t>
      </w:r>
      <w:r w:rsidRPr="00E63FD4">
        <w:t xml:space="preserve"> Have you considered hardware and software refresh needs (</w:t>
      </w:r>
      <w:proofErr w:type="spellStart"/>
      <w:r w:rsidRPr="00E63FD4">
        <w:t>eg</w:t>
      </w:r>
      <w:proofErr w:type="spellEnd"/>
      <w:r w:rsidRPr="00E63FD4">
        <w:t xml:space="preserve"> future releases and developments and interoperability with other IT systems)? Pre-market engagement might help identify new technologies which may become available further down the line. </w:t>
      </w:r>
    </w:p>
    <w:p w14:paraId="424B41F4" w14:textId="77777777" w:rsidR="00E63FD4" w:rsidRPr="00E63FD4" w:rsidRDefault="00E63FD4" w:rsidP="00E63FD4">
      <w:pPr>
        <w:pStyle w:val="Default"/>
      </w:pPr>
    </w:p>
    <w:p w14:paraId="5C2DF8A4" w14:textId="77777777" w:rsidR="00E63FD4" w:rsidRPr="00E63FD4" w:rsidRDefault="00E63FD4" w:rsidP="00E63FD4">
      <w:pPr>
        <w:pStyle w:val="Default"/>
        <w:spacing w:after="433"/>
        <w:rPr>
          <w:color w:val="auto"/>
        </w:rPr>
      </w:pPr>
      <w:r w:rsidRPr="00E63FD4">
        <w:rPr>
          <w:b/>
          <w:color w:val="auto"/>
        </w:rPr>
        <w:t>6. How, during the lifetime of the contract, can innovation and continuous improvement be encouraged to identify better ways of doing things</w:t>
      </w:r>
      <w:r w:rsidRPr="00E63FD4">
        <w:rPr>
          <w:color w:val="auto"/>
        </w:rPr>
        <w:t xml:space="preserve"> (</w:t>
      </w:r>
      <w:proofErr w:type="spellStart"/>
      <w:r w:rsidRPr="00E63FD4">
        <w:rPr>
          <w:color w:val="auto"/>
        </w:rPr>
        <w:t>eg</w:t>
      </w:r>
      <w:proofErr w:type="spellEnd"/>
      <w:r w:rsidRPr="00E63FD4">
        <w:rPr>
          <w:color w:val="auto"/>
        </w:rPr>
        <w:t xml:space="preserve"> through gain/profit share). Pre-market engagement might assist with this. The contract could include a requirement that during year X there will be a meeting between the contractor and the client to identify cost savings across the remainder of the period. </w:t>
      </w:r>
    </w:p>
    <w:p w14:paraId="6AA8A4F6" w14:textId="77777777" w:rsidR="00E63FD4" w:rsidRPr="00E63FD4" w:rsidRDefault="00E63FD4" w:rsidP="00E63FD4">
      <w:pPr>
        <w:pStyle w:val="Default"/>
        <w:spacing w:after="433"/>
        <w:rPr>
          <w:color w:val="auto"/>
        </w:rPr>
      </w:pPr>
      <w:r w:rsidRPr="00E63FD4">
        <w:rPr>
          <w:b/>
          <w:color w:val="auto"/>
        </w:rPr>
        <w:t>7. Is there a probability of industrial action?</w:t>
      </w:r>
      <w:r w:rsidRPr="00E63FD4">
        <w:rPr>
          <w:color w:val="auto"/>
        </w:rPr>
        <w:t xml:space="preserve"> There is a Disruption clause in the standard Conditions of Contract dealing with this eventuality. </w:t>
      </w:r>
    </w:p>
    <w:p w14:paraId="62CD5518" w14:textId="77777777" w:rsidR="00E63FD4" w:rsidRPr="00E63FD4" w:rsidRDefault="00E63FD4" w:rsidP="00E63FD4">
      <w:pPr>
        <w:pStyle w:val="Default"/>
        <w:rPr>
          <w:i/>
        </w:rPr>
      </w:pPr>
      <w:r w:rsidRPr="00E63FD4">
        <w:rPr>
          <w:b/>
          <w:color w:val="auto"/>
        </w:rPr>
        <w:t xml:space="preserve">8. Have all the potential bodies that may wish to avail of the contract during its lifetime been identified? </w:t>
      </w:r>
    </w:p>
    <w:p w14:paraId="7A4670DA" w14:textId="77777777" w:rsidR="00E63FD4" w:rsidRPr="00CB514B" w:rsidRDefault="00E63FD4" w:rsidP="00E63FD4">
      <w:r w:rsidRPr="00CB514B">
        <w:t xml:space="preserve"> </w:t>
      </w:r>
    </w:p>
    <w:p w14:paraId="7B64540D" w14:textId="77777777" w:rsidR="00933394" w:rsidRDefault="00933394" w:rsidP="00933394"/>
    <w:p w14:paraId="6DE7720E" w14:textId="77777777" w:rsidR="00B23B64" w:rsidRDefault="00B23B64" w:rsidP="00933394"/>
    <w:p w14:paraId="6244010C" w14:textId="77777777" w:rsidR="00B23B64" w:rsidRDefault="00B23B64" w:rsidP="00933394"/>
    <w:p w14:paraId="3BD57788" w14:textId="77777777" w:rsidR="00B23B64" w:rsidRDefault="00B23B64" w:rsidP="00933394"/>
    <w:p w14:paraId="51DDD564" w14:textId="77777777" w:rsidR="00B23B64" w:rsidRDefault="00B23B64" w:rsidP="00933394"/>
    <w:p w14:paraId="52F97679" w14:textId="7ACC313F" w:rsidR="00933394" w:rsidRDefault="00B23B64" w:rsidP="00933394">
      <w:pPr>
        <w:rPr>
          <w:b/>
          <w:bCs/>
        </w:rPr>
      </w:pPr>
      <w:r w:rsidRPr="00B23B64">
        <w:rPr>
          <w:b/>
          <w:bCs/>
        </w:rPr>
        <w:lastRenderedPageBreak/>
        <w:t>Total Contractual Costs</w:t>
      </w:r>
    </w:p>
    <w:p w14:paraId="7E520322" w14:textId="77777777" w:rsidR="00B23B64" w:rsidRDefault="00B23B64" w:rsidP="00933394">
      <w:pPr>
        <w:rPr>
          <w:b/>
          <w:bCs/>
        </w:rPr>
      </w:pPr>
    </w:p>
    <w:p w14:paraId="185BC6D9" w14:textId="77777777" w:rsidR="00B23B64" w:rsidRDefault="00B23B64" w:rsidP="00933394">
      <w:pPr>
        <w:rPr>
          <w:b/>
          <w:bCs/>
        </w:rPr>
      </w:pPr>
    </w:p>
    <w:tbl>
      <w:tblPr>
        <w:tblW w:w="9560" w:type="dxa"/>
        <w:tblLook w:val="04A0" w:firstRow="1" w:lastRow="0" w:firstColumn="1" w:lastColumn="0" w:noHBand="0" w:noVBand="1"/>
      </w:tblPr>
      <w:tblGrid>
        <w:gridCol w:w="4860"/>
        <w:gridCol w:w="1330"/>
        <w:gridCol w:w="1219"/>
        <w:gridCol w:w="1219"/>
        <w:gridCol w:w="1219"/>
      </w:tblGrid>
      <w:tr w:rsidR="001E2888" w:rsidRPr="001E2888" w14:paraId="23BCFBAC" w14:textId="77777777" w:rsidTr="001E2888">
        <w:trPr>
          <w:trHeight w:val="290"/>
        </w:trPr>
        <w:tc>
          <w:tcPr>
            <w:tcW w:w="4860" w:type="dxa"/>
            <w:vMerge w:val="restart"/>
            <w:tcBorders>
              <w:top w:val="single" w:sz="8" w:space="0" w:color="auto"/>
              <w:left w:val="single" w:sz="8" w:space="0" w:color="auto"/>
              <w:bottom w:val="single" w:sz="8" w:space="0" w:color="000000"/>
              <w:right w:val="single" w:sz="8" w:space="0" w:color="auto"/>
            </w:tcBorders>
            <w:shd w:val="clear" w:color="000000" w:fill="D0CECE"/>
            <w:noWrap/>
            <w:vAlign w:val="bottom"/>
            <w:hideMark/>
          </w:tcPr>
          <w:p w14:paraId="2CD14A53" w14:textId="77777777" w:rsidR="001E2888" w:rsidRPr="001E2888" w:rsidRDefault="001E2888" w:rsidP="001E2888">
            <w:pPr>
              <w:jc w:val="cente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2280" w:type="dxa"/>
            <w:gridSpan w:val="2"/>
            <w:tcBorders>
              <w:top w:val="single" w:sz="8" w:space="0" w:color="auto"/>
              <w:left w:val="nil"/>
              <w:bottom w:val="single" w:sz="4" w:space="0" w:color="auto"/>
              <w:right w:val="single" w:sz="4" w:space="0" w:color="auto"/>
            </w:tcBorders>
            <w:shd w:val="clear" w:color="000000" w:fill="D0CECE"/>
            <w:noWrap/>
            <w:vAlign w:val="bottom"/>
            <w:hideMark/>
          </w:tcPr>
          <w:p w14:paraId="741D20D3" w14:textId="77777777" w:rsidR="001E2888" w:rsidRPr="001E2888" w:rsidRDefault="001E2888" w:rsidP="001E2888">
            <w:pPr>
              <w:jc w:val="center"/>
              <w:rPr>
                <w:rFonts w:ascii="Calibri" w:eastAsia="Times New Roman" w:hAnsi="Calibri" w:cs="Calibri"/>
                <w:b/>
                <w:bCs/>
                <w:sz w:val="22"/>
                <w:szCs w:val="22"/>
                <w:lang w:eastAsia="en-GB"/>
              </w:rPr>
            </w:pPr>
            <w:r w:rsidRPr="001E2888">
              <w:rPr>
                <w:rFonts w:ascii="Calibri" w:eastAsia="Times New Roman" w:hAnsi="Calibri" w:cs="Calibri"/>
                <w:b/>
                <w:bCs/>
                <w:sz w:val="22"/>
                <w:szCs w:val="22"/>
                <w:lang w:eastAsia="en-GB"/>
              </w:rPr>
              <w:t>Development costs</w:t>
            </w:r>
          </w:p>
        </w:tc>
        <w:tc>
          <w:tcPr>
            <w:tcW w:w="2420" w:type="dxa"/>
            <w:gridSpan w:val="2"/>
            <w:tcBorders>
              <w:top w:val="single" w:sz="8" w:space="0" w:color="auto"/>
              <w:left w:val="nil"/>
              <w:bottom w:val="single" w:sz="4" w:space="0" w:color="auto"/>
              <w:right w:val="single" w:sz="8" w:space="0" w:color="000000"/>
            </w:tcBorders>
            <w:shd w:val="clear" w:color="000000" w:fill="D0CECE"/>
            <w:noWrap/>
            <w:vAlign w:val="bottom"/>
            <w:hideMark/>
          </w:tcPr>
          <w:p w14:paraId="1C813438" w14:textId="77777777" w:rsidR="001E2888" w:rsidRPr="001E2888" w:rsidRDefault="001E2888" w:rsidP="001E2888">
            <w:pPr>
              <w:jc w:val="center"/>
              <w:rPr>
                <w:rFonts w:ascii="Calibri" w:eastAsia="Times New Roman" w:hAnsi="Calibri" w:cs="Calibri"/>
                <w:b/>
                <w:bCs/>
                <w:sz w:val="22"/>
                <w:szCs w:val="22"/>
                <w:lang w:eastAsia="en-GB"/>
              </w:rPr>
            </w:pPr>
            <w:r w:rsidRPr="001E2888">
              <w:rPr>
                <w:rFonts w:ascii="Calibri" w:eastAsia="Times New Roman" w:hAnsi="Calibri" w:cs="Calibri"/>
                <w:b/>
                <w:bCs/>
                <w:sz w:val="22"/>
                <w:szCs w:val="22"/>
                <w:lang w:eastAsia="en-GB"/>
              </w:rPr>
              <w:t>Delivery costs</w:t>
            </w:r>
          </w:p>
        </w:tc>
      </w:tr>
      <w:tr w:rsidR="001E2888" w:rsidRPr="001E2888" w14:paraId="6BD2BF71" w14:textId="77777777" w:rsidTr="001E2888">
        <w:trPr>
          <w:trHeight w:val="300"/>
        </w:trPr>
        <w:tc>
          <w:tcPr>
            <w:tcW w:w="4860" w:type="dxa"/>
            <w:vMerge/>
            <w:tcBorders>
              <w:top w:val="single" w:sz="8" w:space="0" w:color="auto"/>
              <w:left w:val="single" w:sz="8" w:space="0" w:color="auto"/>
              <w:bottom w:val="single" w:sz="8" w:space="0" w:color="000000"/>
              <w:right w:val="single" w:sz="8" w:space="0" w:color="auto"/>
            </w:tcBorders>
            <w:vAlign w:val="center"/>
            <w:hideMark/>
          </w:tcPr>
          <w:p w14:paraId="240FB939" w14:textId="77777777" w:rsidR="001E2888" w:rsidRPr="001E2888" w:rsidRDefault="001E2888" w:rsidP="001E2888">
            <w:pPr>
              <w:rPr>
                <w:rFonts w:ascii="Calibri" w:eastAsia="Times New Roman" w:hAnsi="Calibri" w:cs="Calibri"/>
                <w:color w:val="000000"/>
                <w:sz w:val="22"/>
                <w:szCs w:val="22"/>
                <w:lang w:eastAsia="en-GB"/>
              </w:rPr>
            </w:pPr>
          </w:p>
        </w:tc>
        <w:tc>
          <w:tcPr>
            <w:tcW w:w="1198" w:type="dxa"/>
            <w:tcBorders>
              <w:top w:val="nil"/>
              <w:left w:val="nil"/>
              <w:bottom w:val="single" w:sz="8" w:space="0" w:color="auto"/>
              <w:right w:val="single" w:sz="4" w:space="0" w:color="auto"/>
            </w:tcBorders>
            <w:shd w:val="clear" w:color="000000" w:fill="D0CECE"/>
            <w:noWrap/>
            <w:vAlign w:val="bottom"/>
            <w:hideMark/>
          </w:tcPr>
          <w:p w14:paraId="0A417AFB"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2023</w:t>
            </w:r>
          </w:p>
        </w:tc>
        <w:tc>
          <w:tcPr>
            <w:tcW w:w="1082" w:type="dxa"/>
            <w:tcBorders>
              <w:top w:val="nil"/>
              <w:left w:val="nil"/>
              <w:bottom w:val="single" w:sz="8" w:space="0" w:color="auto"/>
              <w:right w:val="single" w:sz="4" w:space="0" w:color="auto"/>
            </w:tcBorders>
            <w:shd w:val="clear" w:color="000000" w:fill="D0CECE"/>
            <w:noWrap/>
            <w:vAlign w:val="bottom"/>
            <w:hideMark/>
          </w:tcPr>
          <w:p w14:paraId="0D17964D"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2024</w:t>
            </w:r>
          </w:p>
        </w:tc>
        <w:tc>
          <w:tcPr>
            <w:tcW w:w="1210" w:type="dxa"/>
            <w:tcBorders>
              <w:top w:val="nil"/>
              <w:left w:val="nil"/>
              <w:bottom w:val="single" w:sz="8" w:space="0" w:color="auto"/>
              <w:right w:val="single" w:sz="4" w:space="0" w:color="auto"/>
            </w:tcBorders>
            <w:shd w:val="clear" w:color="000000" w:fill="D0CECE"/>
            <w:noWrap/>
            <w:vAlign w:val="bottom"/>
            <w:hideMark/>
          </w:tcPr>
          <w:p w14:paraId="5CEDB467"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2024</w:t>
            </w:r>
          </w:p>
        </w:tc>
        <w:tc>
          <w:tcPr>
            <w:tcW w:w="1210" w:type="dxa"/>
            <w:tcBorders>
              <w:top w:val="nil"/>
              <w:left w:val="nil"/>
              <w:bottom w:val="single" w:sz="8" w:space="0" w:color="auto"/>
              <w:right w:val="single" w:sz="8" w:space="0" w:color="auto"/>
            </w:tcBorders>
            <w:shd w:val="clear" w:color="000000" w:fill="D0CECE"/>
            <w:noWrap/>
            <w:vAlign w:val="bottom"/>
            <w:hideMark/>
          </w:tcPr>
          <w:p w14:paraId="262EC89C"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2025</w:t>
            </w:r>
          </w:p>
        </w:tc>
      </w:tr>
      <w:tr w:rsidR="001E2888" w:rsidRPr="001E2888" w14:paraId="28D708FE" w14:textId="77777777" w:rsidTr="001E2888">
        <w:trPr>
          <w:trHeight w:val="600"/>
        </w:trPr>
        <w:tc>
          <w:tcPr>
            <w:tcW w:w="4860" w:type="dxa"/>
            <w:tcBorders>
              <w:top w:val="nil"/>
              <w:left w:val="single" w:sz="8" w:space="0" w:color="auto"/>
              <w:bottom w:val="single" w:sz="4" w:space="0" w:color="auto"/>
              <w:right w:val="single" w:sz="8" w:space="0" w:color="auto"/>
            </w:tcBorders>
            <w:shd w:val="clear" w:color="000000" w:fill="D0CECE"/>
            <w:vAlign w:val="bottom"/>
            <w:hideMark/>
          </w:tcPr>
          <w:p w14:paraId="0F0749CA" w14:textId="77777777" w:rsidR="001E2888" w:rsidRPr="001E2888" w:rsidRDefault="001E2888" w:rsidP="001E2888">
            <w:pPr>
              <w:rPr>
                <w:rFonts w:ascii="Calibri" w:eastAsia="Times New Roman" w:hAnsi="Calibri" w:cs="Calibri"/>
                <w:b/>
                <w:bCs/>
                <w:color w:val="000000"/>
                <w:sz w:val="22"/>
                <w:szCs w:val="22"/>
                <w:lang w:eastAsia="en-GB"/>
              </w:rPr>
            </w:pPr>
            <w:r w:rsidRPr="001E2888">
              <w:rPr>
                <w:rFonts w:ascii="Calibri" w:eastAsia="Times New Roman" w:hAnsi="Calibri" w:cs="Calibri"/>
                <w:b/>
                <w:bCs/>
                <w:color w:val="000000"/>
                <w:sz w:val="22"/>
                <w:szCs w:val="22"/>
                <w:lang w:eastAsia="en-GB"/>
              </w:rPr>
              <w:t>RCN staff (including review, audit, evaluation and programme development and delivery</w:t>
            </w:r>
          </w:p>
        </w:tc>
        <w:tc>
          <w:tcPr>
            <w:tcW w:w="1198" w:type="dxa"/>
            <w:tcBorders>
              <w:top w:val="nil"/>
              <w:left w:val="nil"/>
              <w:bottom w:val="single" w:sz="4" w:space="0" w:color="auto"/>
              <w:right w:val="single" w:sz="4" w:space="0" w:color="auto"/>
            </w:tcBorders>
            <w:shd w:val="clear" w:color="auto" w:fill="auto"/>
            <w:noWrap/>
            <w:vAlign w:val="bottom"/>
            <w:hideMark/>
          </w:tcPr>
          <w:p w14:paraId="25A6880D"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£93,988.00</w:t>
            </w:r>
          </w:p>
        </w:tc>
        <w:tc>
          <w:tcPr>
            <w:tcW w:w="1082" w:type="dxa"/>
            <w:tcBorders>
              <w:top w:val="nil"/>
              <w:left w:val="nil"/>
              <w:bottom w:val="single" w:sz="4" w:space="0" w:color="auto"/>
              <w:right w:val="single" w:sz="4" w:space="0" w:color="auto"/>
            </w:tcBorders>
            <w:shd w:val="clear" w:color="auto" w:fill="auto"/>
            <w:noWrap/>
            <w:vAlign w:val="bottom"/>
            <w:hideMark/>
          </w:tcPr>
          <w:p w14:paraId="00BE2102"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£34,929.00</w:t>
            </w:r>
          </w:p>
        </w:tc>
        <w:tc>
          <w:tcPr>
            <w:tcW w:w="1210" w:type="dxa"/>
            <w:tcBorders>
              <w:top w:val="nil"/>
              <w:left w:val="nil"/>
              <w:bottom w:val="single" w:sz="4" w:space="0" w:color="auto"/>
              <w:right w:val="single" w:sz="4" w:space="0" w:color="auto"/>
            </w:tcBorders>
            <w:shd w:val="clear" w:color="auto" w:fill="auto"/>
            <w:noWrap/>
            <w:vAlign w:val="bottom"/>
            <w:hideMark/>
          </w:tcPr>
          <w:p w14:paraId="19050BBE"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£59,976.00</w:t>
            </w:r>
          </w:p>
        </w:tc>
        <w:tc>
          <w:tcPr>
            <w:tcW w:w="1210" w:type="dxa"/>
            <w:tcBorders>
              <w:top w:val="nil"/>
              <w:left w:val="nil"/>
              <w:bottom w:val="single" w:sz="4" w:space="0" w:color="auto"/>
              <w:right w:val="single" w:sz="8" w:space="0" w:color="auto"/>
            </w:tcBorders>
            <w:shd w:val="clear" w:color="auto" w:fill="auto"/>
            <w:noWrap/>
            <w:vAlign w:val="bottom"/>
            <w:hideMark/>
          </w:tcPr>
          <w:p w14:paraId="71A02C79"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£59,976.00</w:t>
            </w:r>
          </w:p>
        </w:tc>
      </w:tr>
      <w:tr w:rsidR="001E2888" w:rsidRPr="001E2888" w14:paraId="62D6A2F9" w14:textId="77777777" w:rsidTr="001E2888">
        <w:trPr>
          <w:trHeight w:val="600"/>
        </w:trPr>
        <w:tc>
          <w:tcPr>
            <w:tcW w:w="4860" w:type="dxa"/>
            <w:tcBorders>
              <w:top w:val="nil"/>
              <w:left w:val="single" w:sz="8" w:space="0" w:color="auto"/>
              <w:bottom w:val="single" w:sz="4" w:space="0" w:color="auto"/>
              <w:right w:val="single" w:sz="8" w:space="0" w:color="auto"/>
            </w:tcBorders>
            <w:shd w:val="clear" w:color="000000" w:fill="D0CECE"/>
            <w:noWrap/>
            <w:vAlign w:val="bottom"/>
            <w:hideMark/>
          </w:tcPr>
          <w:p w14:paraId="5C80D136" w14:textId="77777777" w:rsidR="001E2888" w:rsidRPr="001E2888" w:rsidRDefault="001E2888" w:rsidP="001E2888">
            <w:pPr>
              <w:rPr>
                <w:rFonts w:ascii="Calibri" w:eastAsia="Times New Roman" w:hAnsi="Calibri" w:cs="Calibri"/>
                <w:b/>
                <w:bCs/>
                <w:color w:val="000000"/>
                <w:sz w:val="22"/>
                <w:szCs w:val="22"/>
                <w:lang w:eastAsia="en-GB"/>
              </w:rPr>
            </w:pPr>
            <w:r w:rsidRPr="001E2888">
              <w:rPr>
                <w:rFonts w:ascii="Calibri" w:eastAsia="Times New Roman" w:hAnsi="Calibri" w:cs="Calibri"/>
                <w:b/>
                <w:bCs/>
                <w:color w:val="000000"/>
                <w:sz w:val="22"/>
                <w:szCs w:val="22"/>
                <w:lang w:eastAsia="en-GB"/>
              </w:rPr>
              <w:t>Programme promotion</w:t>
            </w:r>
          </w:p>
        </w:tc>
        <w:tc>
          <w:tcPr>
            <w:tcW w:w="1198" w:type="dxa"/>
            <w:tcBorders>
              <w:top w:val="nil"/>
              <w:left w:val="nil"/>
              <w:bottom w:val="single" w:sz="4" w:space="0" w:color="auto"/>
              <w:right w:val="single" w:sz="4" w:space="0" w:color="auto"/>
            </w:tcBorders>
            <w:shd w:val="clear" w:color="auto" w:fill="auto"/>
            <w:noWrap/>
            <w:vAlign w:val="bottom"/>
            <w:hideMark/>
          </w:tcPr>
          <w:p w14:paraId="54E6F5C2"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£3,350.00</w:t>
            </w:r>
          </w:p>
        </w:tc>
        <w:tc>
          <w:tcPr>
            <w:tcW w:w="1082" w:type="dxa"/>
            <w:tcBorders>
              <w:top w:val="nil"/>
              <w:left w:val="nil"/>
              <w:bottom w:val="single" w:sz="4" w:space="0" w:color="auto"/>
              <w:right w:val="single" w:sz="4" w:space="0" w:color="auto"/>
            </w:tcBorders>
            <w:shd w:val="clear" w:color="auto" w:fill="auto"/>
            <w:noWrap/>
            <w:vAlign w:val="bottom"/>
            <w:hideMark/>
          </w:tcPr>
          <w:p w14:paraId="3B6EF7F5"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1210" w:type="dxa"/>
            <w:tcBorders>
              <w:top w:val="nil"/>
              <w:left w:val="nil"/>
              <w:bottom w:val="single" w:sz="4" w:space="0" w:color="auto"/>
              <w:right w:val="single" w:sz="4" w:space="0" w:color="auto"/>
            </w:tcBorders>
            <w:shd w:val="clear" w:color="auto" w:fill="auto"/>
            <w:noWrap/>
            <w:vAlign w:val="bottom"/>
            <w:hideMark/>
          </w:tcPr>
          <w:p w14:paraId="2B2B3BBC"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1210" w:type="dxa"/>
            <w:tcBorders>
              <w:top w:val="nil"/>
              <w:left w:val="nil"/>
              <w:bottom w:val="single" w:sz="4" w:space="0" w:color="auto"/>
              <w:right w:val="single" w:sz="8" w:space="0" w:color="auto"/>
            </w:tcBorders>
            <w:shd w:val="clear" w:color="auto" w:fill="auto"/>
            <w:noWrap/>
            <w:vAlign w:val="bottom"/>
            <w:hideMark/>
          </w:tcPr>
          <w:p w14:paraId="349F6AF2"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r>
      <w:tr w:rsidR="001E2888" w:rsidRPr="001E2888" w14:paraId="2C56B8BD" w14:textId="77777777" w:rsidTr="001E2888">
        <w:trPr>
          <w:trHeight w:val="600"/>
        </w:trPr>
        <w:tc>
          <w:tcPr>
            <w:tcW w:w="4860" w:type="dxa"/>
            <w:tcBorders>
              <w:top w:val="nil"/>
              <w:left w:val="single" w:sz="8" w:space="0" w:color="auto"/>
              <w:bottom w:val="single" w:sz="4" w:space="0" w:color="auto"/>
              <w:right w:val="single" w:sz="8" w:space="0" w:color="auto"/>
            </w:tcBorders>
            <w:shd w:val="clear" w:color="000000" w:fill="D0CECE"/>
            <w:noWrap/>
            <w:vAlign w:val="bottom"/>
            <w:hideMark/>
          </w:tcPr>
          <w:p w14:paraId="5F371B39" w14:textId="77777777" w:rsidR="001E2888" w:rsidRPr="001E2888" w:rsidRDefault="001E2888" w:rsidP="001E2888">
            <w:pPr>
              <w:rPr>
                <w:rFonts w:ascii="Calibri" w:eastAsia="Times New Roman" w:hAnsi="Calibri" w:cs="Calibri"/>
                <w:b/>
                <w:bCs/>
                <w:color w:val="000000"/>
                <w:sz w:val="22"/>
                <w:szCs w:val="22"/>
                <w:lang w:eastAsia="en-GB"/>
              </w:rPr>
            </w:pPr>
            <w:r w:rsidRPr="001E2888">
              <w:rPr>
                <w:rFonts w:ascii="Calibri" w:eastAsia="Times New Roman" w:hAnsi="Calibri" w:cs="Calibri"/>
                <w:b/>
                <w:bCs/>
                <w:color w:val="000000"/>
                <w:sz w:val="22"/>
                <w:szCs w:val="22"/>
                <w:lang w:eastAsia="en-GB"/>
              </w:rPr>
              <w:t>Programme development (Modules 1-5)</w:t>
            </w:r>
          </w:p>
        </w:tc>
        <w:tc>
          <w:tcPr>
            <w:tcW w:w="1198" w:type="dxa"/>
            <w:tcBorders>
              <w:top w:val="nil"/>
              <w:left w:val="nil"/>
              <w:bottom w:val="single" w:sz="4" w:space="0" w:color="auto"/>
              <w:right w:val="single" w:sz="4" w:space="0" w:color="auto"/>
            </w:tcBorders>
            <w:shd w:val="clear" w:color="auto" w:fill="auto"/>
            <w:noWrap/>
            <w:vAlign w:val="bottom"/>
            <w:hideMark/>
          </w:tcPr>
          <w:p w14:paraId="601C41B5"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£118,260.00</w:t>
            </w:r>
          </w:p>
        </w:tc>
        <w:tc>
          <w:tcPr>
            <w:tcW w:w="1082" w:type="dxa"/>
            <w:tcBorders>
              <w:top w:val="nil"/>
              <w:left w:val="nil"/>
              <w:bottom w:val="single" w:sz="4" w:space="0" w:color="auto"/>
              <w:right w:val="single" w:sz="4" w:space="0" w:color="auto"/>
            </w:tcBorders>
            <w:shd w:val="clear" w:color="auto" w:fill="auto"/>
            <w:noWrap/>
            <w:vAlign w:val="bottom"/>
            <w:hideMark/>
          </w:tcPr>
          <w:p w14:paraId="37119B17"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£30,240.00</w:t>
            </w:r>
          </w:p>
        </w:tc>
        <w:tc>
          <w:tcPr>
            <w:tcW w:w="1210" w:type="dxa"/>
            <w:tcBorders>
              <w:top w:val="nil"/>
              <w:left w:val="nil"/>
              <w:bottom w:val="single" w:sz="4" w:space="0" w:color="auto"/>
              <w:right w:val="single" w:sz="4" w:space="0" w:color="auto"/>
            </w:tcBorders>
            <w:shd w:val="clear" w:color="auto" w:fill="auto"/>
            <w:noWrap/>
            <w:vAlign w:val="bottom"/>
            <w:hideMark/>
          </w:tcPr>
          <w:p w14:paraId="39778F22"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1210" w:type="dxa"/>
            <w:tcBorders>
              <w:top w:val="nil"/>
              <w:left w:val="nil"/>
              <w:bottom w:val="single" w:sz="4" w:space="0" w:color="auto"/>
              <w:right w:val="single" w:sz="8" w:space="0" w:color="auto"/>
            </w:tcBorders>
            <w:shd w:val="clear" w:color="auto" w:fill="auto"/>
            <w:noWrap/>
            <w:vAlign w:val="bottom"/>
            <w:hideMark/>
          </w:tcPr>
          <w:p w14:paraId="3ABAD3A8"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r>
      <w:tr w:rsidR="001E2888" w:rsidRPr="001E2888" w14:paraId="2D2B096C" w14:textId="77777777" w:rsidTr="001E2888">
        <w:trPr>
          <w:trHeight w:val="600"/>
        </w:trPr>
        <w:tc>
          <w:tcPr>
            <w:tcW w:w="4860" w:type="dxa"/>
            <w:tcBorders>
              <w:top w:val="nil"/>
              <w:left w:val="single" w:sz="8" w:space="0" w:color="auto"/>
              <w:bottom w:val="single" w:sz="4" w:space="0" w:color="auto"/>
              <w:right w:val="single" w:sz="8" w:space="0" w:color="auto"/>
            </w:tcBorders>
            <w:shd w:val="clear" w:color="000000" w:fill="D0CECE"/>
            <w:vAlign w:val="bottom"/>
            <w:hideMark/>
          </w:tcPr>
          <w:p w14:paraId="15F9E2EF" w14:textId="77777777" w:rsidR="001E2888" w:rsidRPr="001E2888" w:rsidRDefault="001E2888" w:rsidP="001E2888">
            <w:pPr>
              <w:rPr>
                <w:rFonts w:ascii="Calibri" w:eastAsia="Times New Roman" w:hAnsi="Calibri" w:cs="Calibri"/>
                <w:b/>
                <w:bCs/>
                <w:color w:val="000000"/>
                <w:sz w:val="22"/>
                <w:szCs w:val="22"/>
                <w:lang w:eastAsia="en-GB"/>
              </w:rPr>
            </w:pPr>
            <w:r w:rsidRPr="001E2888">
              <w:rPr>
                <w:rFonts w:ascii="Calibri" w:eastAsia="Times New Roman" w:hAnsi="Calibri" w:cs="Calibri"/>
                <w:b/>
                <w:bCs/>
                <w:color w:val="000000"/>
                <w:sz w:val="22"/>
                <w:szCs w:val="22"/>
                <w:lang w:eastAsia="en-GB"/>
              </w:rPr>
              <w:t>2 x Module 2 (</w:t>
            </w:r>
            <w:proofErr w:type="gramStart"/>
            <w:r w:rsidRPr="001E2888">
              <w:rPr>
                <w:rFonts w:ascii="Calibri" w:eastAsia="Times New Roman" w:hAnsi="Calibri" w:cs="Calibri"/>
                <w:b/>
                <w:bCs/>
                <w:color w:val="000000"/>
                <w:sz w:val="22"/>
                <w:szCs w:val="22"/>
                <w:lang w:eastAsia="en-GB"/>
              </w:rPr>
              <w:t>Non MH Nurses</w:t>
            </w:r>
            <w:proofErr w:type="gramEnd"/>
            <w:r w:rsidRPr="001E2888">
              <w:rPr>
                <w:rFonts w:ascii="Calibri" w:eastAsia="Times New Roman" w:hAnsi="Calibri" w:cs="Calibri"/>
                <w:b/>
                <w:bCs/>
                <w:color w:val="000000"/>
                <w:sz w:val="22"/>
                <w:szCs w:val="22"/>
                <w:lang w:eastAsia="en-GB"/>
              </w:rPr>
              <w:t>): income after expenditure</w:t>
            </w:r>
          </w:p>
        </w:tc>
        <w:tc>
          <w:tcPr>
            <w:tcW w:w="1198" w:type="dxa"/>
            <w:tcBorders>
              <w:top w:val="nil"/>
              <w:left w:val="nil"/>
              <w:bottom w:val="single" w:sz="4" w:space="0" w:color="auto"/>
              <w:right w:val="single" w:sz="4" w:space="0" w:color="auto"/>
            </w:tcBorders>
            <w:shd w:val="clear" w:color="auto" w:fill="auto"/>
            <w:noWrap/>
            <w:vAlign w:val="bottom"/>
            <w:hideMark/>
          </w:tcPr>
          <w:p w14:paraId="2E83AE1C"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1082" w:type="dxa"/>
            <w:tcBorders>
              <w:top w:val="nil"/>
              <w:left w:val="nil"/>
              <w:bottom w:val="single" w:sz="4" w:space="0" w:color="auto"/>
              <w:right w:val="single" w:sz="4" w:space="0" w:color="auto"/>
            </w:tcBorders>
            <w:shd w:val="clear" w:color="auto" w:fill="auto"/>
            <w:noWrap/>
            <w:vAlign w:val="bottom"/>
            <w:hideMark/>
          </w:tcPr>
          <w:p w14:paraId="0CBB465C"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1210" w:type="dxa"/>
            <w:tcBorders>
              <w:top w:val="nil"/>
              <w:left w:val="nil"/>
              <w:bottom w:val="single" w:sz="4" w:space="0" w:color="auto"/>
              <w:right w:val="single" w:sz="4" w:space="0" w:color="auto"/>
            </w:tcBorders>
            <w:shd w:val="clear" w:color="auto" w:fill="auto"/>
            <w:noWrap/>
            <w:vAlign w:val="bottom"/>
            <w:hideMark/>
          </w:tcPr>
          <w:p w14:paraId="0786F744"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-£5,740.00</w:t>
            </w:r>
          </w:p>
        </w:tc>
        <w:tc>
          <w:tcPr>
            <w:tcW w:w="1210" w:type="dxa"/>
            <w:tcBorders>
              <w:top w:val="nil"/>
              <w:left w:val="nil"/>
              <w:bottom w:val="single" w:sz="4" w:space="0" w:color="auto"/>
              <w:right w:val="single" w:sz="8" w:space="0" w:color="auto"/>
            </w:tcBorders>
            <w:shd w:val="clear" w:color="auto" w:fill="auto"/>
            <w:noWrap/>
            <w:vAlign w:val="bottom"/>
            <w:hideMark/>
          </w:tcPr>
          <w:p w14:paraId="5FC895E3"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-£5,740.00</w:t>
            </w:r>
          </w:p>
        </w:tc>
      </w:tr>
      <w:tr w:rsidR="001E2888" w:rsidRPr="001E2888" w14:paraId="37ECABB7" w14:textId="77777777" w:rsidTr="001E2888">
        <w:trPr>
          <w:trHeight w:val="600"/>
        </w:trPr>
        <w:tc>
          <w:tcPr>
            <w:tcW w:w="4860" w:type="dxa"/>
            <w:tcBorders>
              <w:top w:val="nil"/>
              <w:left w:val="single" w:sz="8" w:space="0" w:color="auto"/>
              <w:bottom w:val="nil"/>
              <w:right w:val="single" w:sz="8" w:space="0" w:color="auto"/>
            </w:tcBorders>
            <w:shd w:val="clear" w:color="000000" w:fill="D0CECE"/>
            <w:vAlign w:val="bottom"/>
            <w:hideMark/>
          </w:tcPr>
          <w:p w14:paraId="6715338C" w14:textId="77777777" w:rsidR="001E2888" w:rsidRPr="001E2888" w:rsidRDefault="001E2888" w:rsidP="001E2888">
            <w:pPr>
              <w:rPr>
                <w:rFonts w:ascii="Calibri" w:eastAsia="Times New Roman" w:hAnsi="Calibri" w:cs="Calibri"/>
                <w:b/>
                <w:bCs/>
                <w:color w:val="000000"/>
                <w:sz w:val="22"/>
                <w:szCs w:val="22"/>
                <w:lang w:eastAsia="en-GB"/>
              </w:rPr>
            </w:pPr>
            <w:r w:rsidRPr="001E2888">
              <w:rPr>
                <w:rFonts w:ascii="Calibri" w:eastAsia="Times New Roman" w:hAnsi="Calibri" w:cs="Calibri"/>
                <w:b/>
                <w:bCs/>
                <w:color w:val="000000"/>
                <w:sz w:val="22"/>
                <w:szCs w:val="22"/>
                <w:lang w:eastAsia="en-GB"/>
              </w:rPr>
              <w:t>4 x Module 3, 4 and 5 (MH Nurses: income after expenditure</w:t>
            </w:r>
          </w:p>
        </w:tc>
        <w:tc>
          <w:tcPr>
            <w:tcW w:w="1198" w:type="dxa"/>
            <w:tcBorders>
              <w:top w:val="nil"/>
              <w:left w:val="nil"/>
              <w:bottom w:val="nil"/>
              <w:right w:val="single" w:sz="4" w:space="0" w:color="auto"/>
            </w:tcBorders>
            <w:shd w:val="clear" w:color="auto" w:fill="auto"/>
            <w:noWrap/>
            <w:vAlign w:val="bottom"/>
            <w:hideMark/>
          </w:tcPr>
          <w:p w14:paraId="33676E5B"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1082" w:type="dxa"/>
            <w:tcBorders>
              <w:top w:val="nil"/>
              <w:left w:val="nil"/>
              <w:bottom w:val="nil"/>
              <w:right w:val="single" w:sz="4" w:space="0" w:color="auto"/>
            </w:tcBorders>
            <w:shd w:val="clear" w:color="auto" w:fill="auto"/>
            <w:noWrap/>
            <w:vAlign w:val="bottom"/>
            <w:hideMark/>
          </w:tcPr>
          <w:p w14:paraId="22017380" w14:textId="77777777" w:rsidR="001E2888" w:rsidRPr="001E2888" w:rsidRDefault="001E2888" w:rsidP="001E2888">
            <w:pP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 </w:t>
            </w:r>
          </w:p>
        </w:tc>
        <w:tc>
          <w:tcPr>
            <w:tcW w:w="1210" w:type="dxa"/>
            <w:tcBorders>
              <w:top w:val="nil"/>
              <w:left w:val="nil"/>
              <w:bottom w:val="nil"/>
              <w:right w:val="single" w:sz="4" w:space="0" w:color="auto"/>
            </w:tcBorders>
            <w:shd w:val="clear" w:color="auto" w:fill="auto"/>
            <w:noWrap/>
            <w:vAlign w:val="bottom"/>
            <w:hideMark/>
          </w:tcPr>
          <w:p w14:paraId="2CB8B232"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-£51,780.00</w:t>
            </w:r>
          </w:p>
        </w:tc>
        <w:tc>
          <w:tcPr>
            <w:tcW w:w="1210" w:type="dxa"/>
            <w:tcBorders>
              <w:top w:val="nil"/>
              <w:left w:val="nil"/>
              <w:bottom w:val="nil"/>
              <w:right w:val="single" w:sz="8" w:space="0" w:color="auto"/>
            </w:tcBorders>
            <w:shd w:val="clear" w:color="auto" w:fill="auto"/>
            <w:noWrap/>
            <w:vAlign w:val="bottom"/>
            <w:hideMark/>
          </w:tcPr>
          <w:p w14:paraId="4498E096"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-£60,180.00</w:t>
            </w:r>
          </w:p>
        </w:tc>
      </w:tr>
      <w:tr w:rsidR="001E2888" w:rsidRPr="001E2888" w14:paraId="164C62C9" w14:textId="77777777" w:rsidTr="001E2888">
        <w:trPr>
          <w:trHeight w:val="600"/>
        </w:trPr>
        <w:tc>
          <w:tcPr>
            <w:tcW w:w="4860" w:type="dxa"/>
            <w:tcBorders>
              <w:top w:val="single" w:sz="8" w:space="0" w:color="auto"/>
              <w:left w:val="single" w:sz="8" w:space="0" w:color="auto"/>
              <w:bottom w:val="single" w:sz="8" w:space="0" w:color="auto"/>
              <w:right w:val="single" w:sz="8" w:space="0" w:color="auto"/>
            </w:tcBorders>
            <w:shd w:val="clear" w:color="000000" w:fill="D0CECE"/>
            <w:noWrap/>
            <w:vAlign w:val="bottom"/>
            <w:hideMark/>
          </w:tcPr>
          <w:p w14:paraId="0D84616D" w14:textId="77777777" w:rsidR="001E2888" w:rsidRPr="001E2888" w:rsidRDefault="001E2888" w:rsidP="001E2888">
            <w:pPr>
              <w:rPr>
                <w:rFonts w:ascii="Calibri" w:eastAsia="Times New Roman" w:hAnsi="Calibri" w:cs="Calibri"/>
                <w:b/>
                <w:bCs/>
                <w:color w:val="000000"/>
                <w:sz w:val="22"/>
                <w:szCs w:val="22"/>
                <w:lang w:eastAsia="en-GB"/>
              </w:rPr>
            </w:pPr>
            <w:r w:rsidRPr="001E2888">
              <w:rPr>
                <w:rFonts w:ascii="Calibri" w:eastAsia="Times New Roman" w:hAnsi="Calibri" w:cs="Calibri"/>
                <w:b/>
                <w:bCs/>
                <w:color w:val="000000"/>
                <w:sz w:val="22"/>
                <w:szCs w:val="22"/>
                <w:lang w:eastAsia="en-GB"/>
              </w:rPr>
              <w:t>Total year spend</w:t>
            </w:r>
          </w:p>
        </w:tc>
        <w:tc>
          <w:tcPr>
            <w:tcW w:w="1198" w:type="dxa"/>
            <w:tcBorders>
              <w:top w:val="single" w:sz="8" w:space="0" w:color="auto"/>
              <w:left w:val="nil"/>
              <w:bottom w:val="single" w:sz="8" w:space="0" w:color="auto"/>
              <w:right w:val="single" w:sz="4" w:space="0" w:color="auto"/>
            </w:tcBorders>
            <w:shd w:val="clear" w:color="auto" w:fill="auto"/>
            <w:noWrap/>
            <w:vAlign w:val="bottom"/>
            <w:hideMark/>
          </w:tcPr>
          <w:p w14:paraId="2A9A5330"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£215,598.00</w:t>
            </w:r>
          </w:p>
        </w:tc>
        <w:tc>
          <w:tcPr>
            <w:tcW w:w="1082" w:type="dxa"/>
            <w:tcBorders>
              <w:top w:val="single" w:sz="8" w:space="0" w:color="auto"/>
              <w:left w:val="nil"/>
              <w:bottom w:val="single" w:sz="8" w:space="0" w:color="auto"/>
              <w:right w:val="single" w:sz="4" w:space="0" w:color="auto"/>
            </w:tcBorders>
            <w:shd w:val="clear" w:color="auto" w:fill="auto"/>
            <w:noWrap/>
            <w:vAlign w:val="bottom"/>
            <w:hideMark/>
          </w:tcPr>
          <w:p w14:paraId="7D7621F0"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£65,169.00</w:t>
            </w:r>
          </w:p>
        </w:tc>
        <w:tc>
          <w:tcPr>
            <w:tcW w:w="1210" w:type="dxa"/>
            <w:tcBorders>
              <w:top w:val="single" w:sz="8" w:space="0" w:color="auto"/>
              <w:left w:val="nil"/>
              <w:bottom w:val="single" w:sz="8" w:space="0" w:color="auto"/>
              <w:right w:val="single" w:sz="4" w:space="0" w:color="auto"/>
            </w:tcBorders>
            <w:shd w:val="clear" w:color="auto" w:fill="auto"/>
            <w:noWrap/>
            <w:vAlign w:val="bottom"/>
            <w:hideMark/>
          </w:tcPr>
          <w:p w14:paraId="3800FBA9"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£2,456.00</w:t>
            </w:r>
          </w:p>
        </w:tc>
        <w:tc>
          <w:tcPr>
            <w:tcW w:w="1210" w:type="dxa"/>
            <w:tcBorders>
              <w:top w:val="single" w:sz="8" w:space="0" w:color="auto"/>
              <w:left w:val="nil"/>
              <w:bottom w:val="single" w:sz="8" w:space="0" w:color="auto"/>
              <w:right w:val="single" w:sz="8" w:space="0" w:color="auto"/>
            </w:tcBorders>
            <w:shd w:val="clear" w:color="auto" w:fill="auto"/>
            <w:noWrap/>
            <w:vAlign w:val="bottom"/>
            <w:hideMark/>
          </w:tcPr>
          <w:p w14:paraId="18C34575" w14:textId="77777777" w:rsidR="001E2888" w:rsidRPr="001E2888" w:rsidRDefault="001E2888" w:rsidP="001E2888">
            <w:pPr>
              <w:jc w:val="right"/>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-£5,944.00</w:t>
            </w:r>
          </w:p>
        </w:tc>
      </w:tr>
      <w:tr w:rsidR="001E2888" w:rsidRPr="001E2888" w14:paraId="586EFF82" w14:textId="77777777" w:rsidTr="001E2888">
        <w:trPr>
          <w:trHeight w:val="600"/>
        </w:trPr>
        <w:tc>
          <w:tcPr>
            <w:tcW w:w="4860" w:type="dxa"/>
            <w:tcBorders>
              <w:top w:val="nil"/>
              <w:left w:val="single" w:sz="8" w:space="0" w:color="auto"/>
              <w:bottom w:val="single" w:sz="8" w:space="0" w:color="auto"/>
              <w:right w:val="single" w:sz="8" w:space="0" w:color="auto"/>
            </w:tcBorders>
            <w:shd w:val="clear" w:color="000000" w:fill="D0CECE"/>
            <w:noWrap/>
            <w:vAlign w:val="bottom"/>
            <w:hideMark/>
          </w:tcPr>
          <w:p w14:paraId="0B76853A" w14:textId="77777777" w:rsidR="001E2888" w:rsidRPr="001E2888" w:rsidRDefault="001E2888" w:rsidP="001E2888">
            <w:pPr>
              <w:rPr>
                <w:rFonts w:ascii="Calibri" w:eastAsia="Times New Roman" w:hAnsi="Calibri" w:cs="Calibri"/>
                <w:b/>
                <w:bCs/>
                <w:color w:val="000000"/>
                <w:sz w:val="22"/>
                <w:szCs w:val="22"/>
                <w:lang w:eastAsia="en-GB"/>
              </w:rPr>
            </w:pPr>
            <w:r w:rsidRPr="001E2888">
              <w:rPr>
                <w:rFonts w:ascii="Calibri" w:eastAsia="Times New Roman" w:hAnsi="Calibri" w:cs="Calibri"/>
                <w:b/>
                <w:bCs/>
                <w:color w:val="000000"/>
                <w:sz w:val="22"/>
                <w:szCs w:val="22"/>
                <w:lang w:eastAsia="en-GB"/>
              </w:rPr>
              <w:t>Total</w:t>
            </w:r>
          </w:p>
        </w:tc>
        <w:tc>
          <w:tcPr>
            <w:tcW w:w="4700"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5CE1AB21" w14:textId="77777777" w:rsidR="001E2888" w:rsidRPr="001E2888" w:rsidRDefault="001E2888" w:rsidP="001E2888">
            <w:pPr>
              <w:jc w:val="center"/>
              <w:rPr>
                <w:rFonts w:ascii="Calibri" w:eastAsia="Times New Roman" w:hAnsi="Calibri" w:cs="Calibri"/>
                <w:color w:val="000000"/>
                <w:sz w:val="22"/>
                <w:szCs w:val="22"/>
                <w:lang w:eastAsia="en-GB"/>
              </w:rPr>
            </w:pPr>
            <w:r w:rsidRPr="001E2888">
              <w:rPr>
                <w:rFonts w:ascii="Calibri" w:eastAsia="Times New Roman" w:hAnsi="Calibri" w:cs="Calibri"/>
                <w:color w:val="000000"/>
                <w:sz w:val="22"/>
                <w:szCs w:val="22"/>
                <w:lang w:eastAsia="en-GB"/>
              </w:rPr>
              <w:t>£277,279.00</w:t>
            </w:r>
          </w:p>
        </w:tc>
      </w:tr>
    </w:tbl>
    <w:p w14:paraId="504865E0" w14:textId="77777777" w:rsidR="00B23B64" w:rsidRDefault="00B23B64" w:rsidP="00933394">
      <w:pPr>
        <w:rPr>
          <w:b/>
          <w:bCs/>
        </w:rPr>
      </w:pPr>
    </w:p>
    <w:p w14:paraId="338A2F2E" w14:textId="77777777" w:rsidR="00B23B64" w:rsidRPr="00B23B64" w:rsidRDefault="00B23B64" w:rsidP="00933394">
      <w:pPr>
        <w:rPr>
          <w:b/>
          <w:bCs/>
        </w:rPr>
      </w:pPr>
    </w:p>
    <w:p w14:paraId="4742F49F" w14:textId="77777777" w:rsidR="00933394" w:rsidRPr="00DA527C" w:rsidRDefault="00933394" w:rsidP="00DA527C"/>
    <w:sectPr w:rsidR="00933394" w:rsidRPr="00DA527C" w:rsidSect="00933394">
      <w:headerReference w:type="default" r:id="rId12"/>
      <w:footerReference w:type="even" r:id="rId13"/>
      <w:footerReference w:type="default" r:id="rId14"/>
      <w:headerReference w:type="first" r:id="rId15"/>
      <w:type w:val="continuous"/>
      <w:pgSz w:w="11900" w:h="16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BC5E" w14:textId="77777777" w:rsidR="00DD0024" w:rsidRDefault="00DD0024" w:rsidP="00AC72FD">
      <w:r>
        <w:separator/>
      </w:r>
    </w:p>
  </w:endnote>
  <w:endnote w:type="continuationSeparator" w:id="0">
    <w:p w14:paraId="7A09DDCB" w14:textId="77777777" w:rsidR="00DD0024" w:rsidRDefault="00DD0024" w:rsidP="00AC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E49B"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CF0B0"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0840" w14:textId="77777777" w:rsidR="00ED2809" w:rsidRPr="0091039C" w:rsidRDefault="00ED2809" w:rsidP="009D32F5">
    <w:pPr>
      <w:pStyle w:val="Footer"/>
      <w:framePr w:wrap="around" w:vAnchor="text" w:hAnchor="margin" w:xAlign="center" w:y="1"/>
      <w:jc w:val="right"/>
      <w:rPr>
        <w:rStyle w:val="PageNumber"/>
        <w:color w:val="7F7F7F" w:themeColor="text1" w:themeTint="80"/>
      </w:rPr>
    </w:pPr>
    <w:r w:rsidRPr="0091039C">
      <w:rPr>
        <w:rStyle w:val="PageNumber"/>
        <w:color w:val="7F7F7F" w:themeColor="text1" w:themeTint="80"/>
      </w:rPr>
      <w:fldChar w:fldCharType="begin"/>
    </w:r>
    <w:r w:rsidRPr="0091039C">
      <w:rPr>
        <w:rStyle w:val="PageNumber"/>
        <w:color w:val="7F7F7F" w:themeColor="text1" w:themeTint="80"/>
      </w:rPr>
      <w:instrText xml:space="preserve">PAGE  </w:instrText>
    </w:r>
    <w:r w:rsidRPr="0091039C">
      <w:rPr>
        <w:rStyle w:val="PageNumber"/>
        <w:color w:val="7F7F7F" w:themeColor="text1" w:themeTint="80"/>
      </w:rPr>
      <w:fldChar w:fldCharType="separate"/>
    </w:r>
    <w:r w:rsidR="00933394">
      <w:rPr>
        <w:rStyle w:val="PageNumber"/>
        <w:noProof/>
        <w:color w:val="7F7F7F" w:themeColor="text1" w:themeTint="80"/>
      </w:rPr>
      <w:t>2</w:t>
    </w:r>
    <w:r w:rsidRPr="0091039C">
      <w:rPr>
        <w:rStyle w:val="PageNumber"/>
        <w:color w:val="7F7F7F" w:themeColor="text1" w:themeTint="80"/>
      </w:rPr>
      <w:fldChar w:fldCharType="end"/>
    </w:r>
  </w:p>
  <w:p w14:paraId="3E892B75"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1763" w14:textId="77777777" w:rsidR="00DD0024" w:rsidRDefault="00DD0024" w:rsidP="00AC72FD">
      <w:r>
        <w:separator/>
      </w:r>
    </w:p>
  </w:footnote>
  <w:footnote w:type="continuationSeparator" w:id="0">
    <w:p w14:paraId="0AEE5353" w14:textId="77777777" w:rsidR="00DD0024" w:rsidRDefault="00DD0024" w:rsidP="00AC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80A0" w14:textId="77777777" w:rsidR="00ED2809" w:rsidRPr="00AC72FD" w:rsidRDefault="00E63FD4" w:rsidP="002D6889">
    <w:pPr>
      <w:pStyle w:val="Heading2"/>
      <w:spacing w:after="400"/>
      <w:jc w:val="right"/>
    </w:pPr>
    <w:r>
      <w:t>Specification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9384" w14:textId="77777777" w:rsidR="00ED2809" w:rsidRDefault="00ED2809">
    <w:pPr>
      <w:pStyle w:val="Header"/>
    </w:pPr>
    <w:r>
      <w:rPr>
        <w:noProof/>
        <w:lang w:eastAsia="en-GB"/>
      </w:rPr>
      <w:drawing>
        <wp:anchor distT="0" distB="0" distL="114300" distR="114300" simplePos="0" relativeHeight="251659264" behindDoc="0" locked="0" layoutInCell="1" allowOverlap="0" wp14:anchorId="49500925" wp14:editId="1E7BB753">
          <wp:simplePos x="0" y="0"/>
          <wp:positionH relativeFrom="page">
            <wp:posOffset>4360545</wp:posOffset>
          </wp:positionH>
          <wp:positionV relativeFrom="page">
            <wp:posOffset>314325</wp:posOffset>
          </wp:positionV>
          <wp:extent cx="2788920" cy="652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5DFC"/>
    <w:multiLevelType w:val="multilevel"/>
    <w:tmpl w:val="AC54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FA5207"/>
    <w:multiLevelType w:val="hybridMultilevel"/>
    <w:tmpl w:val="694C2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207732">
    <w:abstractNumId w:val="3"/>
  </w:num>
  <w:num w:numId="2" w16cid:durableId="1386947137">
    <w:abstractNumId w:val="4"/>
  </w:num>
  <w:num w:numId="3" w16cid:durableId="484124228">
    <w:abstractNumId w:val="2"/>
  </w:num>
  <w:num w:numId="4" w16cid:durableId="1205219951">
    <w:abstractNumId w:val="0"/>
  </w:num>
  <w:num w:numId="5" w16cid:durableId="145116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48"/>
    <w:rsid w:val="00013921"/>
    <w:rsid w:val="00074472"/>
    <w:rsid w:val="00083CC9"/>
    <w:rsid w:val="00086D61"/>
    <w:rsid w:val="000C0056"/>
    <w:rsid w:val="000F261B"/>
    <w:rsid w:val="00104A09"/>
    <w:rsid w:val="00117432"/>
    <w:rsid w:val="001640E2"/>
    <w:rsid w:val="00184133"/>
    <w:rsid w:val="001A2D1E"/>
    <w:rsid w:val="001C2168"/>
    <w:rsid w:val="001D2319"/>
    <w:rsid w:val="001D4F3A"/>
    <w:rsid w:val="001E100B"/>
    <w:rsid w:val="001E2888"/>
    <w:rsid w:val="00206B06"/>
    <w:rsid w:val="00213379"/>
    <w:rsid w:val="00231E16"/>
    <w:rsid w:val="0025038D"/>
    <w:rsid w:val="00256732"/>
    <w:rsid w:val="00266E43"/>
    <w:rsid w:val="002A74E8"/>
    <w:rsid w:val="002D6889"/>
    <w:rsid w:val="002E49BA"/>
    <w:rsid w:val="00336F7D"/>
    <w:rsid w:val="003432C4"/>
    <w:rsid w:val="00353675"/>
    <w:rsid w:val="003615CB"/>
    <w:rsid w:val="00384EE4"/>
    <w:rsid w:val="0039011C"/>
    <w:rsid w:val="00393454"/>
    <w:rsid w:val="003C2817"/>
    <w:rsid w:val="003E6FA2"/>
    <w:rsid w:val="004275F5"/>
    <w:rsid w:val="004A54C1"/>
    <w:rsid w:val="004B232C"/>
    <w:rsid w:val="004E064D"/>
    <w:rsid w:val="004F5930"/>
    <w:rsid w:val="0051450C"/>
    <w:rsid w:val="00525729"/>
    <w:rsid w:val="005259C3"/>
    <w:rsid w:val="00527FE2"/>
    <w:rsid w:val="00554723"/>
    <w:rsid w:val="00570FF9"/>
    <w:rsid w:val="005908CD"/>
    <w:rsid w:val="005F2166"/>
    <w:rsid w:val="005F38B9"/>
    <w:rsid w:val="00615B47"/>
    <w:rsid w:val="00714FBB"/>
    <w:rsid w:val="007759F3"/>
    <w:rsid w:val="007852D9"/>
    <w:rsid w:val="007D0269"/>
    <w:rsid w:val="007F2CB8"/>
    <w:rsid w:val="0082407E"/>
    <w:rsid w:val="00832F64"/>
    <w:rsid w:val="00833576"/>
    <w:rsid w:val="0085621F"/>
    <w:rsid w:val="00861C74"/>
    <w:rsid w:val="008833F0"/>
    <w:rsid w:val="008C2DAA"/>
    <w:rsid w:val="008F0F5C"/>
    <w:rsid w:val="00906015"/>
    <w:rsid w:val="0091039C"/>
    <w:rsid w:val="00913288"/>
    <w:rsid w:val="00933394"/>
    <w:rsid w:val="009468FF"/>
    <w:rsid w:val="00950568"/>
    <w:rsid w:val="00966569"/>
    <w:rsid w:val="00984A51"/>
    <w:rsid w:val="009912EF"/>
    <w:rsid w:val="009A0739"/>
    <w:rsid w:val="009D32F5"/>
    <w:rsid w:val="009E2641"/>
    <w:rsid w:val="009E3907"/>
    <w:rsid w:val="009E5C8B"/>
    <w:rsid w:val="00A030ED"/>
    <w:rsid w:val="00A41F17"/>
    <w:rsid w:val="00A54C2E"/>
    <w:rsid w:val="00A76867"/>
    <w:rsid w:val="00AC72FD"/>
    <w:rsid w:val="00AD3004"/>
    <w:rsid w:val="00B23B64"/>
    <w:rsid w:val="00B32083"/>
    <w:rsid w:val="00B44DC5"/>
    <w:rsid w:val="00B767C6"/>
    <w:rsid w:val="00CA7EEA"/>
    <w:rsid w:val="00CC2B96"/>
    <w:rsid w:val="00CD201A"/>
    <w:rsid w:val="00D0710D"/>
    <w:rsid w:val="00D52CA6"/>
    <w:rsid w:val="00D93548"/>
    <w:rsid w:val="00DA527C"/>
    <w:rsid w:val="00DD0024"/>
    <w:rsid w:val="00DF6A80"/>
    <w:rsid w:val="00E121F2"/>
    <w:rsid w:val="00E171C4"/>
    <w:rsid w:val="00E32CA5"/>
    <w:rsid w:val="00E63FD4"/>
    <w:rsid w:val="00E744F4"/>
    <w:rsid w:val="00E86558"/>
    <w:rsid w:val="00E92A39"/>
    <w:rsid w:val="00EA1CCF"/>
    <w:rsid w:val="00ED2809"/>
    <w:rsid w:val="00F124CD"/>
    <w:rsid w:val="00F37E68"/>
    <w:rsid w:val="00F53BA1"/>
    <w:rsid w:val="00F5593D"/>
    <w:rsid w:val="00F76BA3"/>
    <w:rsid w:val="00FC3621"/>
    <w:rsid w:val="00FF1A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AD8AD"/>
  <w14:defaultImageDpi w14:val="300"/>
  <w15:docId w15:val="{C4EFAEC5-D378-4D5B-892F-CC1F6DC3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2E49BA"/>
    <w:pPr>
      <w:keepNext/>
      <w:keepLines/>
      <w:spacing w:before="400" w:after="100" w:afterAutospacing="1"/>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2E49BA"/>
    <w:pPr>
      <w:keepNext/>
      <w:keepLines/>
      <w:spacing w:after="100" w:afterAutospacing="1"/>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2E49BA"/>
    <w:rPr>
      <w:rFonts w:eastAsiaTheme="majorEastAsia" w:cs="Arial"/>
      <w:b/>
      <w:bCs/>
      <w:color w:val="A00054"/>
      <w:sz w:val="40"/>
      <w:szCs w:val="40"/>
    </w:rPr>
  </w:style>
  <w:style w:type="character" w:customStyle="1" w:styleId="Heading2Char">
    <w:name w:val="Heading 2 Char"/>
    <w:basedOn w:val="DefaultParagraphFont"/>
    <w:link w:val="Heading2"/>
    <w:uiPriority w:val="9"/>
    <w:rsid w:val="002E49BA"/>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7F2CB8"/>
    <w:pPr>
      <w:spacing w:after="400"/>
    </w:pPr>
    <w:rPr>
      <w:color w:val="00389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2E49BA"/>
    <w:pPr>
      <w:spacing w:after="100" w:afterAutospacing="1"/>
    </w:pPr>
    <w:rPr>
      <w:color w:val="A00054"/>
      <w:sz w:val="28"/>
      <w:szCs w:val="28"/>
    </w:rPr>
  </w:style>
  <w:style w:type="paragraph" w:customStyle="1" w:styleId="Reportcovertitle">
    <w:name w:val="Report cover title"/>
    <w:basedOn w:val="Normal"/>
    <w:qFormat/>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styleId="ListParagraph">
    <w:name w:val="List Paragraph"/>
    <w:basedOn w:val="Normal"/>
    <w:uiPriority w:val="34"/>
    <w:qFormat/>
    <w:rsid w:val="00D93548"/>
    <w:pPr>
      <w:ind w:left="720"/>
      <w:contextualSpacing/>
    </w:pPr>
  </w:style>
  <w:style w:type="paragraph" w:styleId="TOCHeading">
    <w:name w:val="TOC Heading"/>
    <w:basedOn w:val="Heading1"/>
    <w:next w:val="Normal"/>
    <w:uiPriority w:val="39"/>
    <w:unhideWhenUsed/>
    <w:qFormat/>
    <w:rsid w:val="00D93548"/>
    <w:pPr>
      <w:spacing w:before="240" w:after="0" w:afterAutospacing="0" w:line="259" w:lineRule="auto"/>
      <w:outlineLvl w:val="9"/>
    </w:pPr>
    <w:rPr>
      <w:rFonts w:asciiTheme="majorHAnsi"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D93548"/>
    <w:pPr>
      <w:spacing w:after="100"/>
      <w:ind w:left="240"/>
    </w:pPr>
  </w:style>
  <w:style w:type="paragraph" w:styleId="TOC3">
    <w:name w:val="toc 3"/>
    <w:basedOn w:val="Normal"/>
    <w:next w:val="Normal"/>
    <w:autoRedefine/>
    <w:uiPriority w:val="39"/>
    <w:unhideWhenUsed/>
    <w:rsid w:val="00D93548"/>
    <w:pPr>
      <w:spacing w:after="100"/>
      <w:ind w:left="480"/>
    </w:pPr>
  </w:style>
  <w:style w:type="character" w:styleId="Hyperlink">
    <w:name w:val="Hyperlink"/>
    <w:basedOn w:val="DefaultParagraphFont"/>
    <w:uiPriority w:val="99"/>
    <w:unhideWhenUsed/>
    <w:rsid w:val="00D93548"/>
    <w:rPr>
      <w:color w:val="0000FF" w:themeColor="hyperlink"/>
      <w:u w:val="single"/>
    </w:rPr>
  </w:style>
  <w:style w:type="paragraph" w:customStyle="1" w:styleId="Default">
    <w:name w:val="Default"/>
    <w:rsid w:val="00E63FD4"/>
    <w:pPr>
      <w:autoSpaceDE w:val="0"/>
      <w:autoSpaceDN w:val="0"/>
      <w:adjustRightInd w:val="0"/>
    </w:pPr>
    <w:rPr>
      <w:rFonts w:eastAsia="Times New Roman"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056735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hodson\AppData\Local\Microsoft\Windows\INetCache\IE\4RAGHS5K\Word+document+template+plain+HEE+branded+documen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4a96a6-269d-4628-9d15-6c24f1bebd9f">
      <Terms xmlns="http://schemas.microsoft.com/office/infopath/2007/PartnerControls"/>
    </lcf76f155ced4ddcb4097134ff3c332f>
    <TaxCatchAll xmlns="28b028ff-38c2-46ce-a408-61c229a2e4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0" ma:contentTypeDescription="Create a new document." ma:contentTypeScope="" ma:versionID="2a5696d43d63575872b221e43d79e6cf">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78cd82fc46e380a1b4fb5ee8a9025fc9"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7245-6CD4-4F87-9B19-3D36F1750C4A}">
  <ds:schemaRefs>
    <ds:schemaRef ds:uri="http://schemas.microsoft.com/sharepoint/v3/contenttype/forms"/>
  </ds:schemaRefs>
</ds:datastoreItem>
</file>

<file path=customXml/itemProps2.xml><?xml version="1.0" encoding="utf-8"?>
<ds:datastoreItem xmlns:ds="http://schemas.openxmlformats.org/officeDocument/2006/customXml" ds:itemID="{B921AC12-366C-4207-835B-DD1811B5C408}">
  <ds:schemaRefs>
    <ds:schemaRef ds:uri="http://schemas.microsoft.com/office/2006/metadata/properties"/>
    <ds:schemaRef ds:uri="http://schemas.microsoft.com/office/infopath/2007/PartnerControls"/>
    <ds:schemaRef ds:uri="644a96a6-269d-4628-9d15-6c24f1bebd9f"/>
    <ds:schemaRef ds:uri="28b028ff-38c2-46ce-a408-61c229a2e494"/>
  </ds:schemaRefs>
</ds:datastoreItem>
</file>

<file path=customXml/itemProps3.xml><?xml version="1.0" encoding="utf-8"?>
<ds:datastoreItem xmlns:ds="http://schemas.openxmlformats.org/officeDocument/2006/customXml" ds:itemID="{4EAA69A1-0F74-4206-9D43-ED6A4948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96a6-269d-4628-9d15-6c24f1bebd9f"/>
    <ds:schemaRef ds:uri="28b028ff-38c2-46ce-a408-61c229a2e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7C5E6-307D-45EF-A9AE-3642A49F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Word+document+template+plain+HEE+branded+document+(2)</Template>
  <TotalTime>7</TotalTime>
  <Pages>7</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leila.hodson</dc:creator>
  <cp:lastModifiedBy>Mark Gilbert</cp:lastModifiedBy>
  <cp:revision>4</cp:revision>
  <dcterms:created xsi:type="dcterms:W3CDTF">2023-02-14T08:31:00Z</dcterms:created>
  <dcterms:modified xsi:type="dcterms:W3CDTF">2023-03-10T15:23:00Z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0x010100E67AB6C3B324914783FD5BF94BF3420E</vt:lpwstr>
  </property>
  <property fmtid="{D5CDD505-2E9C-101B-9397-08002B2CF9AE}" pid="3" name="MediaServiceImageTags">
    <vt:lpwstr/>
  </property>
</Properties>
</file>