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E4" w:rsidRDefault="00B763E4" w:rsidP="00595ABE">
      <w:pPr>
        <w:pStyle w:val="Heading2"/>
        <w:numPr>
          <w:ilvl w:val="0"/>
          <w:numId w:val="0"/>
        </w:numPr>
        <w:ind w:left="578"/>
      </w:pPr>
      <w:bookmarkStart w:id="0" w:name="_Toc413826961"/>
      <w:bookmarkStart w:id="1" w:name="_Toc413761115"/>
    </w:p>
    <w:p w:rsidR="00595ABE" w:rsidRPr="0038292B" w:rsidRDefault="00595ABE" w:rsidP="00595ABE">
      <w:pPr>
        <w:jc w:val="center"/>
        <w:rPr>
          <w:b/>
          <w:color w:val="auto"/>
          <w:sz w:val="32"/>
          <w:szCs w:val="32"/>
        </w:rPr>
      </w:pPr>
      <w:r w:rsidRPr="0038292B">
        <w:rPr>
          <w:b/>
          <w:color w:val="auto"/>
          <w:sz w:val="32"/>
          <w:szCs w:val="32"/>
        </w:rPr>
        <w:t xml:space="preserve">SERVICE SPECIFIACTION </w:t>
      </w:r>
    </w:p>
    <w:p w:rsidR="00B763E4" w:rsidRPr="0038292B" w:rsidRDefault="00B763E4" w:rsidP="00595ABE">
      <w:pPr>
        <w:jc w:val="center"/>
        <w:rPr>
          <w:b/>
          <w:color w:val="auto"/>
          <w:sz w:val="32"/>
          <w:szCs w:val="32"/>
        </w:rPr>
      </w:pPr>
      <w:r w:rsidRPr="0038292B">
        <w:rPr>
          <w:b/>
          <w:color w:val="auto"/>
          <w:sz w:val="32"/>
          <w:szCs w:val="32"/>
        </w:rPr>
        <w:t>CRISIS WORKERS</w:t>
      </w:r>
    </w:p>
    <w:p w:rsidR="00595ABE" w:rsidRPr="00595ABE" w:rsidRDefault="00595ABE" w:rsidP="00595ABE">
      <w:pPr>
        <w:pStyle w:val="Heading2"/>
        <w:numPr>
          <w:ilvl w:val="0"/>
          <w:numId w:val="0"/>
        </w:numPr>
        <w:ind w:left="578" w:hanging="578"/>
      </w:pPr>
    </w:p>
    <w:p w:rsidR="00DE4ED0" w:rsidRPr="0008684C" w:rsidRDefault="00DE4ED0">
      <w:pPr>
        <w:rPr>
          <w:rFonts w:asciiTheme="minorHAnsi" w:hAnsiTheme="minorHAnsi"/>
          <w:color w:val="auto"/>
          <w:sz w:val="24"/>
          <w:szCs w:val="24"/>
        </w:rPr>
      </w:pPr>
      <w:bookmarkStart w:id="2" w:name="_Toc413826960"/>
      <w:bookmarkEnd w:id="0"/>
      <w:r w:rsidRPr="0008684C">
        <w:rPr>
          <w:rFonts w:asciiTheme="minorHAnsi" w:hAnsiTheme="minorHAnsi"/>
          <w:color w:val="auto"/>
          <w:sz w:val="24"/>
          <w:szCs w:val="24"/>
        </w:rPr>
        <w:br w:type="page"/>
      </w:r>
    </w:p>
    <w:p w:rsidR="00050A0C" w:rsidRPr="00574884" w:rsidRDefault="00574884" w:rsidP="00DE4ED0">
      <w:pPr>
        <w:rPr>
          <w:rFonts w:asciiTheme="minorHAnsi" w:hAnsiTheme="minorHAnsi"/>
          <w:b/>
          <w:color w:val="auto"/>
          <w:sz w:val="24"/>
          <w:szCs w:val="24"/>
        </w:rPr>
      </w:pPr>
      <w:r w:rsidRPr="00574884">
        <w:rPr>
          <w:rFonts w:asciiTheme="minorHAnsi" w:hAnsiTheme="minorHAnsi"/>
          <w:b/>
          <w:color w:val="auto"/>
          <w:sz w:val="24"/>
          <w:szCs w:val="24"/>
        </w:rPr>
        <w:t>Contents</w:t>
      </w:r>
    </w:p>
    <w:bookmarkStart w:id="3" w:name="_Toc413826962"/>
    <w:bookmarkEnd w:id="2"/>
    <w:p w:rsidR="00595ABE" w:rsidRDefault="00574884">
      <w:pPr>
        <w:pStyle w:val="TOC1"/>
        <w:tabs>
          <w:tab w:val="left" w:pos="440"/>
          <w:tab w:val="right" w:leader="dot" w:pos="9016"/>
        </w:tabs>
        <w:rPr>
          <w:rFonts w:asciiTheme="minorHAnsi" w:eastAsiaTheme="minorEastAsia" w:hAnsiTheme="minorHAnsi" w:cstheme="minorBidi"/>
          <w:noProof/>
          <w:color w:val="auto"/>
        </w:rPr>
      </w:pPr>
      <w:r w:rsidRPr="00574884">
        <w:rPr>
          <w:color w:val="auto"/>
        </w:rPr>
        <w:fldChar w:fldCharType="begin"/>
      </w:r>
      <w:r w:rsidRPr="00574884">
        <w:rPr>
          <w:color w:val="auto"/>
        </w:rPr>
        <w:instrText xml:space="preserve"> TOC \o "1-2" \h \z \u </w:instrText>
      </w:r>
      <w:r w:rsidRPr="00574884">
        <w:rPr>
          <w:color w:val="auto"/>
        </w:rPr>
        <w:fldChar w:fldCharType="separate"/>
      </w:r>
      <w:hyperlink w:anchor="_Toc471909177" w:history="1">
        <w:r w:rsidR="00595ABE" w:rsidRPr="004B077F">
          <w:rPr>
            <w:rStyle w:val="Hyperlink"/>
            <w:noProof/>
          </w:rPr>
          <w:t>1</w:t>
        </w:r>
        <w:r w:rsidR="00595ABE">
          <w:rPr>
            <w:rFonts w:asciiTheme="minorHAnsi" w:eastAsiaTheme="minorEastAsia" w:hAnsiTheme="minorHAnsi" w:cstheme="minorBidi"/>
            <w:noProof/>
            <w:color w:val="auto"/>
          </w:rPr>
          <w:tab/>
        </w:r>
        <w:r w:rsidR="00595ABE" w:rsidRPr="004B077F">
          <w:rPr>
            <w:rStyle w:val="Hyperlink"/>
            <w:noProof/>
          </w:rPr>
          <w:t>Definitions</w:t>
        </w:r>
        <w:r w:rsidR="00595ABE">
          <w:rPr>
            <w:noProof/>
            <w:webHidden/>
          </w:rPr>
          <w:tab/>
        </w:r>
        <w:r w:rsidR="00595ABE">
          <w:rPr>
            <w:noProof/>
            <w:webHidden/>
          </w:rPr>
          <w:fldChar w:fldCharType="begin"/>
        </w:r>
        <w:r w:rsidR="00595ABE">
          <w:rPr>
            <w:noProof/>
            <w:webHidden/>
          </w:rPr>
          <w:instrText xml:space="preserve"> PAGEREF _Toc471909177 \h </w:instrText>
        </w:r>
        <w:r w:rsidR="00595ABE">
          <w:rPr>
            <w:noProof/>
            <w:webHidden/>
          </w:rPr>
        </w:r>
        <w:r w:rsidR="00595ABE">
          <w:rPr>
            <w:noProof/>
            <w:webHidden/>
          </w:rPr>
          <w:fldChar w:fldCharType="separate"/>
        </w:r>
        <w:r w:rsidR="00595ABE">
          <w:rPr>
            <w:noProof/>
            <w:webHidden/>
          </w:rPr>
          <w:t>4</w:t>
        </w:r>
        <w:r w:rsidR="00595ABE">
          <w:rPr>
            <w:noProof/>
            <w:webHidden/>
          </w:rPr>
          <w:fldChar w:fldCharType="end"/>
        </w:r>
      </w:hyperlink>
    </w:p>
    <w:p w:rsidR="00595ABE" w:rsidRDefault="00516B21">
      <w:pPr>
        <w:pStyle w:val="TOC1"/>
        <w:tabs>
          <w:tab w:val="left" w:pos="440"/>
          <w:tab w:val="right" w:leader="dot" w:pos="9016"/>
        </w:tabs>
        <w:rPr>
          <w:rFonts w:asciiTheme="minorHAnsi" w:eastAsiaTheme="minorEastAsia" w:hAnsiTheme="minorHAnsi" w:cstheme="minorBidi"/>
          <w:noProof/>
          <w:color w:val="auto"/>
        </w:rPr>
      </w:pPr>
      <w:hyperlink w:anchor="_Toc471909178" w:history="1">
        <w:r w:rsidR="00595ABE" w:rsidRPr="004B077F">
          <w:rPr>
            <w:rStyle w:val="Hyperlink"/>
            <w:noProof/>
          </w:rPr>
          <w:t>2</w:t>
        </w:r>
        <w:r w:rsidR="00595ABE">
          <w:rPr>
            <w:rFonts w:asciiTheme="minorHAnsi" w:eastAsiaTheme="minorEastAsia" w:hAnsiTheme="minorHAnsi" w:cstheme="minorBidi"/>
            <w:noProof/>
            <w:color w:val="auto"/>
          </w:rPr>
          <w:tab/>
        </w:r>
        <w:r w:rsidR="00595ABE" w:rsidRPr="004B077F">
          <w:rPr>
            <w:rStyle w:val="Hyperlink"/>
            <w:noProof/>
          </w:rPr>
          <w:t>SERVICE PURPOSE AND BACKGROUND</w:t>
        </w:r>
        <w:r w:rsidR="00595ABE">
          <w:rPr>
            <w:noProof/>
            <w:webHidden/>
          </w:rPr>
          <w:tab/>
        </w:r>
        <w:r w:rsidR="00595ABE">
          <w:rPr>
            <w:noProof/>
            <w:webHidden/>
          </w:rPr>
          <w:fldChar w:fldCharType="begin"/>
        </w:r>
        <w:r w:rsidR="00595ABE">
          <w:rPr>
            <w:noProof/>
            <w:webHidden/>
          </w:rPr>
          <w:instrText xml:space="preserve"> PAGEREF _Toc471909178 \h </w:instrText>
        </w:r>
        <w:r w:rsidR="00595ABE">
          <w:rPr>
            <w:noProof/>
            <w:webHidden/>
          </w:rPr>
        </w:r>
        <w:r w:rsidR="00595ABE">
          <w:rPr>
            <w:noProof/>
            <w:webHidden/>
          </w:rPr>
          <w:fldChar w:fldCharType="separate"/>
        </w:r>
        <w:r w:rsidR="00595ABE">
          <w:rPr>
            <w:noProof/>
            <w:webHidden/>
          </w:rPr>
          <w:t>6</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79" w:history="1">
        <w:r w:rsidR="00595ABE" w:rsidRPr="004B077F">
          <w:rPr>
            <w:rStyle w:val="Hyperlink"/>
            <w:noProof/>
          </w:rPr>
          <w:t>2.1</w:t>
        </w:r>
        <w:r w:rsidR="00595ABE">
          <w:rPr>
            <w:rFonts w:asciiTheme="minorHAnsi" w:eastAsiaTheme="minorEastAsia" w:hAnsiTheme="minorHAnsi" w:cstheme="minorBidi"/>
            <w:noProof/>
            <w:color w:val="auto"/>
          </w:rPr>
          <w:tab/>
        </w:r>
        <w:r w:rsidR="00595ABE" w:rsidRPr="004B077F">
          <w:rPr>
            <w:rStyle w:val="Hyperlink"/>
            <w:noProof/>
          </w:rPr>
          <w:t>Overview</w:t>
        </w:r>
        <w:r w:rsidR="00595ABE">
          <w:rPr>
            <w:noProof/>
            <w:webHidden/>
          </w:rPr>
          <w:tab/>
        </w:r>
        <w:r w:rsidR="00595ABE">
          <w:rPr>
            <w:noProof/>
            <w:webHidden/>
          </w:rPr>
          <w:fldChar w:fldCharType="begin"/>
        </w:r>
        <w:r w:rsidR="00595ABE">
          <w:rPr>
            <w:noProof/>
            <w:webHidden/>
          </w:rPr>
          <w:instrText xml:space="preserve"> PAGEREF _Toc471909179 \h </w:instrText>
        </w:r>
        <w:r w:rsidR="00595ABE">
          <w:rPr>
            <w:noProof/>
            <w:webHidden/>
          </w:rPr>
        </w:r>
        <w:r w:rsidR="00595ABE">
          <w:rPr>
            <w:noProof/>
            <w:webHidden/>
          </w:rPr>
          <w:fldChar w:fldCharType="separate"/>
        </w:r>
        <w:r w:rsidR="00595ABE">
          <w:rPr>
            <w:noProof/>
            <w:webHidden/>
          </w:rPr>
          <w:t>6</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80" w:history="1">
        <w:r w:rsidR="00595ABE" w:rsidRPr="004B077F">
          <w:rPr>
            <w:rStyle w:val="Hyperlink"/>
            <w:noProof/>
          </w:rPr>
          <w:t>2.2</w:t>
        </w:r>
        <w:r w:rsidR="00595ABE">
          <w:rPr>
            <w:rFonts w:asciiTheme="minorHAnsi" w:eastAsiaTheme="minorEastAsia" w:hAnsiTheme="minorHAnsi" w:cstheme="minorBidi"/>
            <w:noProof/>
            <w:color w:val="auto"/>
          </w:rPr>
          <w:tab/>
        </w:r>
        <w:r w:rsidR="00595ABE" w:rsidRPr="004B077F">
          <w:rPr>
            <w:rStyle w:val="Hyperlink"/>
            <w:noProof/>
          </w:rPr>
          <w:t>Outcomes</w:t>
        </w:r>
        <w:r w:rsidR="00595ABE">
          <w:rPr>
            <w:noProof/>
            <w:webHidden/>
          </w:rPr>
          <w:tab/>
        </w:r>
        <w:r w:rsidR="00595ABE">
          <w:rPr>
            <w:noProof/>
            <w:webHidden/>
          </w:rPr>
          <w:fldChar w:fldCharType="begin"/>
        </w:r>
        <w:r w:rsidR="00595ABE">
          <w:rPr>
            <w:noProof/>
            <w:webHidden/>
          </w:rPr>
          <w:instrText xml:space="preserve"> PAGEREF _Toc471909180 \h </w:instrText>
        </w:r>
        <w:r w:rsidR="00595ABE">
          <w:rPr>
            <w:noProof/>
            <w:webHidden/>
          </w:rPr>
        </w:r>
        <w:r w:rsidR="00595ABE">
          <w:rPr>
            <w:noProof/>
            <w:webHidden/>
          </w:rPr>
          <w:fldChar w:fldCharType="separate"/>
        </w:r>
        <w:r w:rsidR="00595ABE">
          <w:rPr>
            <w:noProof/>
            <w:webHidden/>
          </w:rPr>
          <w:t>6</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81" w:history="1">
        <w:r w:rsidR="00595ABE" w:rsidRPr="004B077F">
          <w:rPr>
            <w:rStyle w:val="Hyperlink"/>
            <w:noProof/>
          </w:rPr>
          <w:t>2.3</w:t>
        </w:r>
        <w:r w:rsidR="00595ABE">
          <w:rPr>
            <w:rFonts w:asciiTheme="minorHAnsi" w:eastAsiaTheme="minorEastAsia" w:hAnsiTheme="minorHAnsi" w:cstheme="minorBidi"/>
            <w:noProof/>
            <w:color w:val="auto"/>
          </w:rPr>
          <w:tab/>
        </w:r>
        <w:r w:rsidR="00595ABE" w:rsidRPr="004B077F">
          <w:rPr>
            <w:rStyle w:val="Hyperlink"/>
            <w:noProof/>
          </w:rPr>
          <w:t>Aims and Objectives</w:t>
        </w:r>
        <w:r w:rsidR="00595ABE">
          <w:rPr>
            <w:noProof/>
            <w:webHidden/>
          </w:rPr>
          <w:tab/>
        </w:r>
        <w:r w:rsidR="00595ABE">
          <w:rPr>
            <w:noProof/>
            <w:webHidden/>
          </w:rPr>
          <w:fldChar w:fldCharType="begin"/>
        </w:r>
        <w:r w:rsidR="00595ABE">
          <w:rPr>
            <w:noProof/>
            <w:webHidden/>
          </w:rPr>
          <w:instrText xml:space="preserve"> PAGEREF _Toc471909181 \h </w:instrText>
        </w:r>
        <w:r w:rsidR="00595ABE">
          <w:rPr>
            <w:noProof/>
            <w:webHidden/>
          </w:rPr>
        </w:r>
        <w:r w:rsidR="00595ABE">
          <w:rPr>
            <w:noProof/>
            <w:webHidden/>
          </w:rPr>
          <w:fldChar w:fldCharType="separate"/>
        </w:r>
        <w:r w:rsidR="00595ABE">
          <w:rPr>
            <w:noProof/>
            <w:webHidden/>
          </w:rPr>
          <w:t>6</w:t>
        </w:r>
        <w:r w:rsidR="00595ABE">
          <w:rPr>
            <w:noProof/>
            <w:webHidden/>
          </w:rPr>
          <w:fldChar w:fldCharType="end"/>
        </w:r>
      </w:hyperlink>
    </w:p>
    <w:p w:rsidR="00595ABE" w:rsidRDefault="00516B21">
      <w:pPr>
        <w:pStyle w:val="TOC1"/>
        <w:tabs>
          <w:tab w:val="left" w:pos="440"/>
          <w:tab w:val="right" w:leader="dot" w:pos="9016"/>
        </w:tabs>
        <w:rPr>
          <w:rFonts w:asciiTheme="minorHAnsi" w:eastAsiaTheme="minorEastAsia" w:hAnsiTheme="minorHAnsi" w:cstheme="minorBidi"/>
          <w:noProof/>
          <w:color w:val="auto"/>
        </w:rPr>
      </w:pPr>
      <w:hyperlink w:anchor="_Toc471909182" w:history="1">
        <w:r w:rsidR="00595ABE" w:rsidRPr="004B077F">
          <w:rPr>
            <w:rStyle w:val="Hyperlink"/>
            <w:noProof/>
          </w:rPr>
          <w:t>3</w:t>
        </w:r>
        <w:r w:rsidR="00595ABE">
          <w:rPr>
            <w:rFonts w:asciiTheme="minorHAnsi" w:eastAsiaTheme="minorEastAsia" w:hAnsiTheme="minorHAnsi" w:cstheme="minorBidi"/>
            <w:noProof/>
            <w:color w:val="auto"/>
          </w:rPr>
          <w:tab/>
        </w:r>
        <w:r w:rsidR="00595ABE" w:rsidRPr="004B077F">
          <w:rPr>
            <w:rStyle w:val="Hyperlink"/>
            <w:noProof/>
          </w:rPr>
          <w:t>Service Requirements and Delivery</w:t>
        </w:r>
        <w:r w:rsidR="00595ABE">
          <w:rPr>
            <w:noProof/>
            <w:webHidden/>
          </w:rPr>
          <w:tab/>
        </w:r>
        <w:r w:rsidR="00595ABE">
          <w:rPr>
            <w:noProof/>
            <w:webHidden/>
          </w:rPr>
          <w:fldChar w:fldCharType="begin"/>
        </w:r>
        <w:r w:rsidR="00595ABE">
          <w:rPr>
            <w:noProof/>
            <w:webHidden/>
          </w:rPr>
          <w:instrText xml:space="preserve"> PAGEREF _Toc471909182 \h </w:instrText>
        </w:r>
        <w:r w:rsidR="00595ABE">
          <w:rPr>
            <w:noProof/>
            <w:webHidden/>
          </w:rPr>
        </w:r>
        <w:r w:rsidR="00595ABE">
          <w:rPr>
            <w:noProof/>
            <w:webHidden/>
          </w:rPr>
          <w:fldChar w:fldCharType="separate"/>
        </w:r>
        <w:r w:rsidR="00595ABE">
          <w:rPr>
            <w:noProof/>
            <w:webHidden/>
          </w:rPr>
          <w:t>7</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83" w:history="1">
        <w:r w:rsidR="00595ABE" w:rsidRPr="004B077F">
          <w:rPr>
            <w:rStyle w:val="Hyperlink"/>
            <w:noProof/>
          </w:rPr>
          <w:t>3.1</w:t>
        </w:r>
        <w:r w:rsidR="00595ABE">
          <w:rPr>
            <w:rFonts w:asciiTheme="minorHAnsi" w:eastAsiaTheme="minorEastAsia" w:hAnsiTheme="minorHAnsi" w:cstheme="minorBidi"/>
            <w:noProof/>
            <w:color w:val="auto"/>
          </w:rPr>
          <w:tab/>
        </w:r>
        <w:r w:rsidR="00595ABE" w:rsidRPr="004B077F">
          <w:rPr>
            <w:rStyle w:val="Hyperlink"/>
            <w:noProof/>
          </w:rPr>
          <w:t>Service Description</w:t>
        </w:r>
        <w:r w:rsidR="00595ABE">
          <w:rPr>
            <w:noProof/>
            <w:webHidden/>
          </w:rPr>
          <w:tab/>
        </w:r>
        <w:r w:rsidR="00595ABE">
          <w:rPr>
            <w:noProof/>
            <w:webHidden/>
          </w:rPr>
          <w:fldChar w:fldCharType="begin"/>
        </w:r>
        <w:r w:rsidR="00595ABE">
          <w:rPr>
            <w:noProof/>
            <w:webHidden/>
          </w:rPr>
          <w:instrText xml:space="preserve"> PAGEREF _Toc471909183 \h </w:instrText>
        </w:r>
        <w:r w:rsidR="00595ABE">
          <w:rPr>
            <w:noProof/>
            <w:webHidden/>
          </w:rPr>
        </w:r>
        <w:r w:rsidR="00595ABE">
          <w:rPr>
            <w:noProof/>
            <w:webHidden/>
          </w:rPr>
          <w:fldChar w:fldCharType="separate"/>
        </w:r>
        <w:r w:rsidR="00595ABE">
          <w:rPr>
            <w:noProof/>
            <w:webHidden/>
          </w:rPr>
          <w:t>7</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84" w:history="1">
        <w:r w:rsidR="00595ABE" w:rsidRPr="004B077F">
          <w:rPr>
            <w:rStyle w:val="Hyperlink"/>
            <w:noProof/>
          </w:rPr>
          <w:t>3.2</w:t>
        </w:r>
        <w:r w:rsidR="00595ABE">
          <w:rPr>
            <w:rFonts w:asciiTheme="minorHAnsi" w:eastAsiaTheme="minorEastAsia" w:hAnsiTheme="minorHAnsi" w:cstheme="minorBidi"/>
            <w:noProof/>
            <w:color w:val="auto"/>
          </w:rPr>
          <w:tab/>
        </w:r>
        <w:r w:rsidR="00595ABE" w:rsidRPr="004B077F">
          <w:rPr>
            <w:rStyle w:val="Hyperlink"/>
            <w:noProof/>
          </w:rPr>
          <w:t>Safeguarding</w:t>
        </w:r>
        <w:r w:rsidR="00595ABE">
          <w:rPr>
            <w:noProof/>
            <w:webHidden/>
          </w:rPr>
          <w:tab/>
        </w:r>
        <w:r w:rsidR="00595ABE">
          <w:rPr>
            <w:noProof/>
            <w:webHidden/>
          </w:rPr>
          <w:fldChar w:fldCharType="begin"/>
        </w:r>
        <w:r w:rsidR="00595ABE">
          <w:rPr>
            <w:noProof/>
            <w:webHidden/>
          </w:rPr>
          <w:instrText xml:space="preserve"> PAGEREF _Toc471909184 \h </w:instrText>
        </w:r>
        <w:r w:rsidR="00595ABE">
          <w:rPr>
            <w:noProof/>
            <w:webHidden/>
          </w:rPr>
        </w:r>
        <w:r w:rsidR="00595ABE">
          <w:rPr>
            <w:noProof/>
            <w:webHidden/>
          </w:rPr>
          <w:fldChar w:fldCharType="separate"/>
        </w:r>
        <w:r w:rsidR="00595ABE">
          <w:rPr>
            <w:noProof/>
            <w:webHidden/>
          </w:rPr>
          <w:t>8</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85" w:history="1">
        <w:r w:rsidR="00595ABE" w:rsidRPr="004B077F">
          <w:rPr>
            <w:rStyle w:val="Hyperlink"/>
            <w:noProof/>
          </w:rPr>
          <w:t>3.3</w:t>
        </w:r>
        <w:r w:rsidR="00595ABE">
          <w:rPr>
            <w:rFonts w:asciiTheme="minorHAnsi" w:eastAsiaTheme="minorEastAsia" w:hAnsiTheme="minorHAnsi" w:cstheme="minorBidi"/>
            <w:noProof/>
            <w:color w:val="auto"/>
          </w:rPr>
          <w:tab/>
        </w:r>
        <w:r w:rsidR="00595ABE" w:rsidRPr="004B077F">
          <w:rPr>
            <w:rStyle w:val="Hyperlink"/>
            <w:noProof/>
          </w:rPr>
          <w:t>Accessibility and Equality</w:t>
        </w:r>
        <w:r w:rsidR="00595ABE">
          <w:rPr>
            <w:noProof/>
            <w:webHidden/>
          </w:rPr>
          <w:tab/>
        </w:r>
        <w:r w:rsidR="00595ABE">
          <w:rPr>
            <w:noProof/>
            <w:webHidden/>
          </w:rPr>
          <w:fldChar w:fldCharType="begin"/>
        </w:r>
        <w:r w:rsidR="00595ABE">
          <w:rPr>
            <w:noProof/>
            <w:webHidden/>
          </w:rPr>
          <w:instrText xml:space="preserve"> PAGEREF _Toc471909185 \h </w:instrText>
        </w:r>
        <w:r w:rsidR="00595ABE">
          <w:rPr>
            <w:noProof/>
            <w:webHidden/>
          </w:rPr>
        </w:r>
        <w:r w:rsidR="00595ABE">
          <w:rPr>
            <w:noProof/>
            <w:webHidden/>
          </w:rPr>
          <w:fldChar w:fldCharType="separate"/>
        </w:r>
        <w:r w:rsidR="00595ABE">
          <w:rPr>
            <w:noProof/>
            <w:webHidden/>
          </w:rPr>
          <w:t>8</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86" w:history="1">
        <w:r w:rsidR="00595ABE" w:rsidRPr="004B077F">
          <w:rPr>
            <w:rStyle w:val="Hyperlink"/>
            <w:noProof/>
          </w:rPr>
          <w:t>3.4</w:t>
        </w:r>
        <w:r w:rsidR="00595ABE">
          <w:rPr>
            <w:rFonts w:asciiTheme="minorHAnsi" w:eastAsiaTheme="minorEastAsia" w:hAnsiTheme="minorHAnsi" w:cstheme="minorBidi"/>
            <w:noProof/>
            <w:color w:val="auto"/>
          </w:rPr>
          <w:tab/>
        </w:r>
        <w:r w:rsidR="00595ABE" w:rsidRPr="004B077F">
          <w:rPr>
            <w:rStyle w:val="Hyperlink"/>
            <w:noProof/>
          </w:rPr>
          <w:t>Information Management and Technology</w:t>
        </w:r>
        <w:r w:rsidR="00595ABE">
          <w:rPr>
            <w:noProof/>
            <w:webHidden/>
          </w:rPr>
          <w:tab/>
        </w:r>
        <w:r w:rsidR="00595ABE">
          <w:rPr>
            <w:noProof/>
            <w:webHidden/>
          </w:rPr>
          <w:fldChar w:fldCharType="begin"/>
        </w:r>
        <w:r w:rsidR="00595ABE">
          <w:rPr>
            <w:noProof/>
            <w:webHidden/>
          </w:rPr>
          <w:instrText xml:space="preserve"> PAGEREF _Toc471909186 \h </w:instrText>
        </w:r>
        <w:r w:rsidR="00595ABE">
          <w:rPr>
            <w:noProof/>
            <w:webHidden/>
          </w:rPr>
        </w:r>
        <w:r w:rsidR="00595ABE">
          <w:rPr>
            <w:noProof/>
            <w:webHidden/>
          </w:rPr>
          <w:fldChar w:fldCharType="separate"/>
        </w:r>
        <w:r w:rsidR="00595ABE">
          <w:rPr>
            <w:noProof/>
            <w:webHidden/>
          </w:rPr>
          <w:t>9</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87" w:history="1">
        <w:r w:rsidR="00595ABE" w:rsidRPr="004B077F">
          <w:rPr>
            <w:rStyle w:val="Hyperlink"/>
            <w:noProof/>
          </w:rPr>
          <w:t>3.5</w:t>
        </w:r>
        <w:r w:rsidR="00595ABE">
          <w:rPr>
            <w:rFonts w:asciiTheme="minorHAnsi" w:eastAsiaTheme="minorEastAsia" w:hAnsiTheme="minorHAnsi" w:cstheme="minorBidi"/>
            <w:noProof/>
            <w:color w:val="auto"/>
          </w:rPr>
          <w:tab/>
        </w:r>
        <w:r w:rsidR="00595ABE" w:rsidRPr="004B077F">
          <w:rPr>
            <w:rStyle w:val="Hyperlink"/>
            <w:noProof/>
          </w:rPr>
          <w:t>Information Governance and Security</w:t>
        </w:r>
        <w:r w:rsidR="00595ABE">
          <w:rPr>
            <w:noProof/>
            <w:webHidden/>
          </w:rPr>
          <w:tab/>
        </w:r>
        <w:r w:rsidR="00595ABE">
          <w:rPr>
            <w:noProof/>
            <w:webHidden/>
          </w:rPr>
          <w:fldChar w:fldCharType="begin"/>
        </w:r>
        <w:r w:rsidR="00595ABE">
          <w:rPr>
            <w:noProof/>
            <w:webHidden/>
          </w:rPr>
          <w:instrText xml:space="preserve"> PAGEREF _Toc471909187 \h </w:instrText>
        </w:r>
        <w:r w:rsidR="00595ABE">
          <w:rPr>
            <w:noProof/>
            <w:webHidden/>
          </w:rPr>
        </w:r>
        <w:r w:rsidR="00595ABE">
          <w:rPr>
            <w:noProof/>
            <w:webHidden/>
          </w:rPr>
          <w:fldChar w:fldCharType="separate"/>
        </w:r>
        <w:r w:rsidR="00595ABE">
          <w:rPr>
            <w:noProof/>
            <w:webHidden/>
          </w:rPr>
          <w:t>9</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88" w:history="1">
        <w:r w:rsidR="00595ABE" w:rsidRPr="004B077F">
          <w:rPr>
            <w:rStyle w:val="Hyperlink"/>
            <w:noProof/>
          </w:rPr>
          <w:t>3.6</w:t>
        </w:r>
        <w:r w:rsidR="00595ABE">
          <w:rPr>
            <w:rFonts w:asciiTheme="minorHAnsi" w:eastAsiaTheme="minorEastAsia" w:hAnsiTheme="minorHAnsi" w:cstheme="minorBidi"/>
            <w:noProof/>
            <w:color w:val="auto"/>
          </w:rPr>
          <w:tab/>
        </w:r>
        <w:r w:rsidR="00595ABE" w:rsidRPr="004B077F">
          <w:rPr>
            <w:rStyle w:val="Hyperlink"/>
            <w:noProof/>
          </w:rPr>
          <w:t>Promotional Work and Communications</w:t>
        </w:r>
        <w:r w:rsidR="00595ABE">
          <w:rPr>
            <w:noProof/>
            <w:webHidden/>
          </w:rPr>
          <w:tab/>
        </w:r>
        <w:r w:rsidR="00595ABE">
          <w:rPr>
            <w:noProof/>
            <w:webHidden/>
          </w:rPr>
          <w:fldChar w:fldCharType="begin"/>
        </w:r>
        <w:r w:rsidR="00595ABE">
          <w:rPr>
            <w:noProof/>
            <w:webHidden/>
          </w:rPr>
          <w:instrText xml:space="preserve"> PAGEREF _Toc471909188 \h </w:instrText>
        </w:r>
        <w:r w:rsidR="00595ABE">
          <w:rPr>
            <w:noProof/>
            <w:webHidden/>
          </w:rPr>
        </w:r>
        <w:r w:rsidR="00595ABE">
          <w:rPr>
            <w:noProof/>
            <w:webHidden/>
          </w:rPr>
          <w:fldChar w:fldCharType="separate"/>
        </w:r>
        <w:r w:rsidR="00595ABE">
          <w:rPr>
            <w:noProof/>
            <w:webHidden/>
          </w:rPr>
          <w:t>10</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89" w:history="1">
        <w:r w:rsidR="00595ABE" w:rsidRPr="004B077F">
          <w:rPr>
            <w:rStyle w:val="Hyperlink"/>
            <w:noProof/>
          </w:rPr>
          <w:t>3.7</w:t>
        </w:r>
        <w:r w:rsidR="00595ABE">
          <w:rPr>
            <w:rFonts w:asciiTheme="minorHAnsi" w:eastAsiaTheme="minorEastAsia" w:hAnsiTheme="minorHAnsi" w:cstheme="minorBidi"/>
            <w:noProof/>
            <w:color w:val="auto"/>
          </w:rPr>
          <w:tab/>
        </w:r>
        <w:r w:rsidR="00595ABE" w:rsidRPr="004B077F">
          <w:rPr>
            <w:rStyle w:val="Hyperlink"/>
            <w:noProof/>
          </w:rPr>
          <w:t>Business Continuity</w:t>
        </w:r>
        <w:r w:rsidR="00595ABE">
          <w:rPr>
            <w:noProof/>
            <w:webHidden/>
          </w:rPr>
          <w:tab/>
        </w:r>
        <w:r w:rsidR="00595ABE">
          <w:rPr>
            <w:noProof/>
            <w:webHidden/>
          </w:rPr>
          <w:fldChar w:fldCharType="begin"/>
        </w:r>
        <w:r w:rsidR="00595ABE">
          <w:rPr>
            <w:noProof/>
            <w:webHidden/>
          </w:rPr>
          <w:instrText xml:space="preserve"> PAGEREF _Toc471909189 \h </w:instrText>
        </w:r>
        <w:r w:rsidR="00595ABE">
          <w:rPr>
            <w:noProof/>
            <w:webHidden/>
          </w:rPr>
        </w:r>
        <w:r w:rsidR="00595ABE">
          <w:rPr>
            <w:noProof/>
            <w:webHidden/>
          </w:rPr>
          <w:fldChar w:fldCharType="separate"/>
        </w:r>
        <w:r w:rsidR="00595ABE">
          <w:rPr>
            <w:noProof/>
            <w:webHidden/>
          </w:rPr>
          <w:t>10</w:t>
        </w:r>
        <w:r w:rsidR="00595ABE">
          <w:rPr>
            <w:noProof/>
            <w:webHidden/>
          </w:rPr>
          <w:fldChar w:fldCharType="end"/>
        </w:r>
      </w:hyperlink>
    </w:p>
    <w:p w:rsidR="00595ABE" w:rsidRDefault="00516B21">
      <w:pPr>
        <w:pStyle w:val="TOC1"/>
        <w:tabs>
          <w:tab w:val="left" w:pos="440"/>
          <w:tab w:val="right" w:leader="dot" w:pos="9016"/>
        </w:tabs>
        <w:rPr>
          <w:rFonts w:asciiTheme="minorHAnsi" w:eastAsiaTheme="minorEastAsia" w:hAnsiTheme="minorHAnsi" w:cstheme="minorBidi"/>
          <w:noProof/>
          <w:color w:val="auto"/>
        </w:rPr>
      </w:pPr>
      <w:hyperlink w:anchor="_Toc471909190" w:history="1">
        <w:r w:rsidR="00595ABE" w:rsidRPr="004B077F">
          <w:rPr>
            <w:rStyle w:val="Hyperlink"/>
            <w:noProof/>
          </w:rPr>
          <w:t>4</w:t>
        </w:r>
        <w:r w:rsidR="00595ABE">
          <w:rPr>
            <w:rFonts w:asciiTheme="minorHAnsi" w:eastAsiaTheme="minorEastAsia" w:hAnsiTheme="minorHAnsi" w:cstheme="minorBidi"/>
            <w:noProof/>
            <w:color w:val="auto"/>
          </w:rPr>
          <w:tab/>
        </w:r>
        <w:r w:rsidR="00595ABE" w:rsidRPr="004B077F">
          <w:rPr>
            <w:rStyle w:val="Hyperlink"/>
            <w:noProof/>
          </w:rPr>
          <w:t>Whole System Relationships</w:t>
        </w:r>
        <w:r w:rsidR="00595ABE">
          <w:rPr>
            <w:noProof/>
            <w:webHidden/>
          </w:rPr>
          <w:tab/>
        </w:r>
        <w:r w:rsidR="00595ABE">
          <w:rPr>
            <w:noProof/>
            <w:webHidden/>
          </w:rPr>
          <w:fldChar w:fldCharType="begin"/>
        </w:r>
        <w:r w:rsidR="00595ABE">
          <w:rPr>
            <w:noProof/>
            <w:webHidden/>
          </w:rPr>
          <w:instrText xml:space="preserve"> PAGEREF _Toc471909190 \h </w:instrText>
        </w:r>
        <w:r w:rsidR="00595ABE">
          <w:rPr>
            <w:noProof/>
            <w:webHidden/>
          </w:rPr>
        </w:r>
        <w:r w:rsidR="00595ABE">
          <w:rPr>
            <w:noProof/>
            <w:webHidden/>
          </w:rPr>
          <w:fldChar w:fldCharType="separate"/>
        </w:r>
        <w:r w:rsidR="00595ABE">
          <w:rPr>
            <w:noProof/>
            <w:webHidden/>
          </w:rPr>
          <w:t>10</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91" w:history="1">
        <w:r w:rsidR="00595ABE" w:rsidRPr="004B077F">
          <w:rPr>
            <w:rStyle w:val="Hyperlink"/>
            <w:noProof/>
          </w:rPr>
          <w:t>4.1</w:t>
        </w:r>
        <w:r w:rsidR="00595ABE">
          <w:rPr>
            <w:rFonts w:asciiTheme="minorHAnsi" w:eastAsiaTheme="minorEastAsia" w:hAnsiTheme="minorHAnsi" w:cstheme="minorBidi"/>
            <w:noProof/>
            <w:color w:val="auto"/>
          </w:rPr>
          <w:tab/>
        </w:r>
        <w:r w:rsidR="00595ABE" w:rsidRPr="004B077F">
          <w:rPr>
            <w:rStyle w:val="Hyperlink"/>
            <w:noProof/>
          </w:rPr>
          <w:t>Partnership Approach</w:t>
        </w:r>
        <w:r w:rsidR="00595ABE">
          <w:rPr>
            <w:noProof/>
            <w:webHidden/>
          </w:rPr>
          <w:tab/>
        </w:r>
        <w:r w:rsidR="00595ABE">
          <w:rPr>
            <w:noProof/>
            <w:webHidden/>
          </w:rPr>
          <w:fldChar w:fldCharType="begin"/>
        </w:r>
        <w:r w:rsidR="00595ABE">
          <w:rPr>
            <w:noProof/>
            <w:webHidden/>
          </w:rPr>
          <w:instrText xml:space="preserve"> PAGEREF _Toc471909191 \h </w:instrText>
        </w:r>
        <w:r w:rsidR="00595ABE">
          <w:rPr>
            <w:noProof/>
            <w:webHidden/>
          </w:rPr>
        </w:r>
        <w:r w:rsidR="00595ABE">
          <w:rPr>
            <w:noProof/>
            <w:webHidden/>
          </w:rPr>
          <w:fldChar w:fldCharType="separate"/>
        </w:r>
        <w:r w:rsidR="00595ABE">
          <w:rPr>
            <w:noProof/>
            <w:webHidden/>
          </w:rPr>
          <w:t>10</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92" w:history="1">
        <w:r w:rsidR="00595ABE" w:rsidRPr="004B077F">
          <w:rPr>
            <w:rStyle w:val="Hyperlink"/>
            <w:noProof/>
          </w:rPr>
          <w:t>4.2</w:t>
        </w:r>
        <w:r w:rsidR="00595ABE">
          <w:rPr>
            <w:rFonts w:asciiTheme="minorHAnsi" w:eastAsiaTheme="minorEastAsia" w:hAnsiTheme="minorHAnsi" w:cstheme="minorBidi"/>
            <w:noProof/>
            <w:color w:val="auto"/>
          </w:rPr>
          <w:tab/>
        </w:r>
        <w:r w:rsidR="00595ABE" w:rsidRPr="004B077F">
          <w:rPr>
            <w:rStyle w:val="Hyperlink"/>
            <w:noProof/>
          </w:rPr>
          <w:t>Referral Routes/ Service Access</w:t>
        </w:r>
        <w:r w:rsidR="00595ABE">
          <w:rPr>
            <w:noProof/>
            <w:webHidden/>
          </w:rPr>
          <w:tab/>
        </w:r>
        <w:r w:rsidR="00595ABE">
          <w:rPr>
            <w:noProof/>
            <w:webHidden/>
          </w:rPr>
          <w:fldChar w:fldCharType="begin"/>
        </w:r>
        <w:r w:rsidR="00595ABE">
          <w:rPr>
            <w:noProof/>
            <w:webHidden/>
          </w:rPr>
          <w:instrText xml:space="preserve"> PAGEREF _Toc471909192 \h </w:instrText>
        </w:r>
        <w:r w:rsidR="00595ABE">
          <w:rPr>
            <w:noProof/>
            <w:webHidden/>
          </w:rPr>
        </w:r>
        <w:r w:rsidR="00595ABE">
          <w:rPr>
            <w:noProof/>
            <w:webHidden/>
          </w:rPr>
          <w:fldChar w:fldCharType="separate"/>
        </w:r>
        <w:r w:rsidR="00595ABE">
          <w:rPr>
            <w:noProof/>
            <w:webHidden/>
          </w:rPr>
          <w:t>11</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93" w:history="1">
        <w:r w:rsidR="00595ABE" w:rsidRPr="004B077F">
          <w:rPr>
            <w:rStyle w:val="Hyperlink"/>
            <w:noProof/>
          </w:rPr>
          <w:t>4.3</w:t>
        </w:r>
        <w:r w:rsidR="00595ABE">
          <w:rPr>
            <w:rFonts w:asciiTheme="minorHAnsi" w:eastAsiaTheme="minorEastAsia" w:hAnsiTheme="minorHAnsi" w:cstheme="minorBidi"/>
            <w:noProof/>
            <w:color w:val="auto"/>
          </w:rPr>
          <w:tab/>
        </w:r>
        <w:r w:rsidR="00595ABE" w:rsidRPr="004B077F">
          <w:rPr>
            <w:rStyle w:val="Hyperlink"/>
            <w:noProof/>
          </w:rPr>
          <w:t>Onward Referral</w:t>
        </w:r>
        <w:r w:rsidR="00595ABE">
          <w:rPr>
            <w:noProof/>
            <w:webHidden/>
          </w:rPr>
          <w:tab/>
        </w:r>
        <w:r w:rsidR="00595ABE">
          <w:rPr>
            <w:noProof/>
            <w:webHidden/>
          </w:rPr>
          <w:fldChar w:fldCharType="begin"/>
        </w:r>
        <w:r w:rsidR="00595ABE">
          <w:rPr>
            <w:noProof/>
            <w:webHidden/>
          </w:rPr>
          <w:instrText xml:space="preserve"> PAGEREF _Toc471909193 \h </w:instrText>
        </w:r>
        <w:r w:rsidR="00595ABE">
          <w:rPr>
            <w:noProof/>
            <w:webHidden/>
          </w:rPr>
        </w:r>
        <w:r w:rsidR="00595ABE">
          <w:rPr>
            <w:noProof/>
            <w:webHidden/>
          </w:rPr>
          <w:fldChar w:fldCharType="separate"/>
        </w:r>
        <w:r w:rsidR="00595ABE">
          <w:rPr>
            <w:noProof/>
            <w:webHidden/>
          </w:rPr>
          <w:t>11</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94" w:history="1">
        <w:r w:rsidR="00595ABE" w:rsidRPr="004B077F">
          <w:rPr>
            <w:rStyle w:val="Hyperlink"/>
            <w:noProof/>
          </w:rPr>
          <w:t>4.4</w:t>
        </w:r>
        <w:r w:rsidR="00595ABE">
          <w:rPr>
            <w:rFonts w:asciiTheme="minorHAnsi" w:eastAsiaTheme="minorEastAsia" w:hAnsiTheme="minorHAnsi" w:cstheme="minorBidi"/>
            <w:noProof/>
            <w:color w:val="auto"/>
          </w:rPr>
          <w:tab/>
        </w:r>
        <w:r w:rsidR="00595ABE" w:rsidRPr="004B077F">
          <w:rPr>
            <w:rStyle w:val="Hyperlink"/>
            <w:noProof/>
          </w:rPr>
          <w:t>Information Sharing</w:t>
        </w:r>
        <w:r w:rsidR="00595ABE">
          <w:rPr>
            <w:noProof/>
            <w:webHidden/>
          </w:rPr>
          <w:tab/>
        </w:r>
        <w:r w:rsidR="00595ABE">
          <w:rPr>
            <w:noProof/>
            <w:webHidden/>
          </w:rPr>
          <w:fldChar w:fldCharType="begin"/>
        </w:r>
        <w:r w:rsidR="00595ABE">
          <w:rPr>
            <w:noProof/>
            <w:webHidden/>
          </w:rPr>
          <w:instrText xml:space="preserve"> PAGEREF _Toc471909194 \h </w:instrText>
        </w:r>
        <w:r w:rsidR="00595ABE">
          <w:rPr>
            <w:noProof/>
            <w:webHidden/>
          </w:rPr>
        </w:r>
        <w:r w:rsidR="00595ABE">
          <w:rPr>
            <w:noProof/>
            <w:webHidden/>
          </w:rPr>
          <w:fldChar w:fldCharType="separate"/>
        </w:r>
        <w:r w:rsidR="00595ABE">
          <w:rPr>
            <w:noProof/>
            <w:webHidden/>
          </w:rPr>
          <w:t>12</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95" w:history="1">
        <w:r w:rsidR="00595ABE" w:rsidRPr="004B077F">
          <w:rPr>
            <w:rStyle w:val="Hyperlink"/>
            <w:noProof/>
          </w:rPr>
          <w:t>4.5</w:t>
        </w:r>
        <w:r w:rsidR="00595ABE">
          <w:rPr>
            <w:rFonts w:asciiTheme="minorHAnsi" w:eastAsiaTheme="minorEastAsia" w:hAnsiTheme="minorHAnsi" w:cstheme="minorBidi"/>
            <w:noProof/>
            <w:color w:val="auto"/>
          </w:rPr>
          <w:tab/>
        </w:r>
        <w:r w:rsidR="00595ABE" w:rsidRPr="004B077F">
          <w:rPr>
            <w:rStyle w:val="Hyperlink"/>
            <w:noProof/>
          </w:rPr>
          <w:t>Working Relationship with the Commissioner</w:t>
        </w:r>
        <w:r w:rsidR="00595ABE">
          <w:rPr>
            <w:noProof/>
            <w:webHidden/>
          </w:rPr>
          <w:tab/>
        </w:r>
        <w:r w:rsidR="00595ABE">
          <w:rPr>
            <w:noProof/>
            <w:webHidden/>
          </w:rPr>
          <w:fldChar w:fldCharType="begin"/>
        </w:r>
        <w:r w:rsidR="00595ABE">
          <w:rPr>
            <w:noProof/>
            <w:webHidden/>
          </w:rPr>
          <w:instrText xml:space="preserve"> PAGEREF _Toc471909195 \h </w:instrText>
        </w:r>
        <w:r w:rsidR="00595ABE">
          <w:rPr>
            <w:noProof/>
            <w:webHidden/>
          </w:rPr>
        </w:r>
        <w:r w:rsidR="00595ABE">
          <w:rPr>
            <w:noProof/>
            <w:webHidden/>
          </w:rPr>
          <w:fldChar w:fldCharType="separate"/>
        </w:r>
        <w:r w:rsidR="00595ABE">
          <w:rPr>
            <w:noProof/>
            <w:webHidden/>
          </w:rPr>
          <w:t>12</w:t>
        </w:r>
        <w:r w:rsidR="00595ABE">
          <w:rPr>
            <w:noProof/>
            <w:webHidden/>
          </w:rPr>
          <w:fldChar w:fldCharType="end"/>
        </w:r>
      </w:hyperlink>
    </w:p>
    <w:p w:rsidR="00595ABE" w:rsidRDefault="00516B21">
      <w:pPr>
        <w:pStyle w:val="TOC1"/>
        <w:tabs>
          <w:tab w:val="left" w:pos="440"/>
          <w:tab w:val="right" w:leader="dot" w:pos="9016"/>
        </w:tabs>
        <w:rPr>
          <w:rFonts w:asciiTheme="minorHAnsi" w:eastAsiaTheme="minorEastAsia" w:hAnsiTheme="minorHAnsi" w:cstheme="minorBidi"/>
          <w:noProof/>
          <w:color w:val="auto"/>
        </w:rPr>
      </w:pPr>
      <w:hyperlink w:anchor="_Toc471909196" w:history="1">
        <w:r w:rsidR="00595ABE" w:rsidRPr="004B077F">
          <w:rPr>
            <w:rStyle w:val="Hyperlink"/>
            <w:noProof/>
          </w:rPr>
          <w:t>5</w:t>
        </w:r>
        <w:r w:rsidR="00595ABE">
          <w:rPr>
            <w:rFonts w:asciiTheme="minorHAnsi" w:eastAsiaTheme="minorEastAsia" w:hAnsiTheme="minorHAnsi" w:cstheme="minorBidi"/>
            <w:noProof/>
            <w:color w:val="auto"/>
          </w:rPr>
          <w:tab/>
        </w:r>
        <w:r w:rsidR="00595ABE" w:rsidRPr="004B077F">
          <w:rPr>
            <w:rStyle w:val="Hyperlink"/>
            <w:noProof/>
          </w:rPr>
          <w:t>Workforce Requirements</w:t>
        </w:r>
        <w:r w:rsidR="00595ABE">
          <w:rPr>
            <w:noProof/>
            <w:webHidden/>
          </w:rPr>
          <w:tab/>
        </w:r>
        <w:r w:rsidR="00595ABE">
          <w:rPr>
            <w:noProof/>
            <w:webHidden/>
          </w:rPr>
          <w:fldChar w:fldCharType="begin"/>
        </w:r>
        <w:r w:rsidR="00595ABE">
          <w:rPr>
            <w:noProof/>
            <w:webHidden/>
          </w:rPr>
          <w:instrText xml:space="preserve"> PAGEREF _Toc471909196 \h </w:instrText>
        </w:r>
        <w:r w:rsidR="00595ABE">
          <w:rPr>
            <w:noProof/>
            <w:webHidden/>
          </w:rPr>
        </w:r>
        <w:r w:rsidR="00595ABE">
          <w:rPr>
            <w:noProof/>
            <w:webHidden/>
          </w:rPr>
          <w:fldChar w:fldCharType="separate"/>
        </w:r>
        <w:r w:rsidR="00595ABE">
          <w:rPr>
            <w:noProof/>
            <w:webHidden/>
          </w:rPr>
          <w:t>12</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97" w:history="1">
        <w:r w:rsidR="00595ABE" w:rsidRPr="004B077F">
          <w:rPr>
            <w:rStyle w:val="Hyperlink"/>
            <w:noProof/>
          </w:rPr>
          <w:t>5.1</w:t>
        </w:r>
        <w:r w:rsidR="00595ABE">
          <w:rPr>
            <w:rFonts w:asciiTheme="minorHAnsi" w:eastAsiaTheme="minorEastAsia" w:hAnsiTheme="minorHAnsi" w:cstheme="minorBidi"/>
            <w:noProof/>
            <w:color w:val="auto"/>
          </w:rPr>
          <w:tab/>
        </w:r>
        <w:r w:rsidR="00595ABE" w:rsidRPr="004B077F">
          <w:rPr>
            <w:rStyle w:val="Hyperlink"/>
            <w:noProof/>
          </w:rPr>
          <w:t>Training/ Accreditation and Competency Requirements</w:t>
        </w:r>
        <w:r w:rsidR="00595ABE">
          <w:rPr>
            <w:noProof/>
            <w:webHidden/>
          </w:rPr>
          <w:tab/>
        </w:r>
        <w:r w:rsidR="00595ABE">
          <w:rPr>
            <w:noProof/>
            <w:webHidden/>
          </w:rPr>
          <w:fldChar w:fldCharType="begin"/>
        </w:r>
        <w:r w:rsidR="00595ABE">
          <w:rPr>
            <w:noProof/>
            <w:webHidden/>
          </w:rPr>
          <w:instrText xml:space="preserve"> PAGEREF _Toc471909197 \h </w:instrText>
        </w:r>
        <w:r w:rsidR="00595ABE">
          <w:rPr>
            <w:noProof/>
            <w:webHidden/>
          </w:rPr>
        </w:r>
        <w:r w:rsidR="00595ABE">
          <w:rPr>
            <w:noProof/>
            <w:webHidden/>
          </w:rPr>
          <w:fldChar w:fldCharType="separate"/>
        </w:r>
        <w:r w:rsidR="00595ABE">
          <w:rPr>
            <w:noProof/>
            <w:webHidden/>
          </w:rPr>
          <w:t>12</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98" w:history="1">
        <w:r w:rsidR="00595ABE" w:rsidRPr="004B077F">
          <w:rPr>
            <w:rStyle w:val="Hyperlink"/>
            <w:noProof/>
          </w:rPr>
          <w:t>5.2</w:t>
        </w:r>
        <w:r w:rsidR="00595ABE">
          <w:rPr>
            <w:rFonts w:asciiTheme="minorHAnsi" w:eastAsiaTheme="minorEastAsia" w:hAnsiTheme="minorHAnsi" w:cstheme="minorBidi"/>
            <w:noProof/>
            <w:color w:val="auto"/>
          </w:rPr>
          <w:tab/>
        </w:r>
        <w:r w:rsidR="00595ABE" w:rsidRPr="004B077F">
          <w:rPr>
            <w:rStyle w:val="Hyperlink"/>
            <w:noProof/>
          </w:rPr>
          <w:t>Workforce development</w:t>
        </w:r>
        <w:r w:rsidR="00595ABE">
          <w:rPr>
            <w:noProof/>
            <w:webHidden/>
          </w:rPr>
          <w:tab/>
        </w:r>
        <w:r w:rsidR="00595ABE">
          <w:rPr>
            <w:noProof/>
            <w:webHidden/>
          </w:rPr>
          <w:fldChar w:fldCharType="begin"/>
        </w:r>
        <w:r w:rsidR="00595ABE">
          <w:rPr>
            <w:noProof/>
            <w:webHidden/>
          </w:rPr>
          <w:instrText xml:space="preserve"> PAGEREF _Toc471909198 \h </w:instrText>
        </w:r>
        <w:r w:rsidR="00595ABE">
          <w:rPr>
            <w:noProof/>
            <w:webHidden/>
          </w:rPr>
        </w:r>
        <w:r w:rsidR="00595ABE">
          <w:rPr>
            <w:noProof/>
            <w:webHidden/>
          </w:rPr>
          <w:fldChar w:fldCharType="separate"/>
        </w:r>
        <w:r w:rsidR="00595ABE">
          <w:rPr>
            <w:noProof/>
            <w:webHidden/>
          </w:rPr>
          <w:t>13</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199" w:history="1">
        <w:r w:rsidR="00595ABE" w:rsidRPr="004B077F">
          <w:rPr>
            <w:rStyle w:val="Hyperlink"/>
            <w:noProof/>
          </w:rPr>
          <w:t>5.3</w:t>
        </w:r>
        <w:r w:rsidR="00595ABE">
          <w:rPr>
            <w:rFonts w:asciiTheme="minorHAnsi" w:eastAsiaTheme="minorEastAsia" w:hAnsiTheme="minorHAnsi" w:cstheme="minorBidi"/>
            <w:noProof/>
            <w:color w:val="auto"/>
          </w:rPr>
          <w:tab/>
        </w:r>
        <w:r w:rsidR="00595ABE" w:rsidRPr="004B077F">
          <w:rPr>
            <w:rStyle w:val="Hyperlink"/>
            <w:noProof/>
          </w:rPr>
          <w:t>Staff Supervision and Support</w:t>
        </w:r>
        <w:r w:rsidR="00595ABE">
          <w:rPr>
            <w:noProof/>
            <w:webHidden/>
          </w:rPr>
          <w:tab/>
        </w:r>
        <w:r w:rsidR="00595ABE">
          <w:rPr>
            <w:noProof/>
            <w:webHidden/>
          </w:rPr>
          <w:fldChar w:fldCharType="begin"/>
        </w:r>
        <w:r w:rsidR="00595ABE">
          <w:rPr>
            <w:noProof/>
            <w:webHidden/>
          </w:rPr>
          <w:instrText xml:space="preserve"> PAGEREF _Toc471909199 \h </w:instrText>
        </w:r>
        <w:r w:rsidR="00595ABE">
          <w:rPr>
            <w:noProof/>
            <w:webHidden/>
          </w:rPr>
        </w:r>
        <w:r w:rsidR="00595ABE">
          <w:rPr>
            <w:noProof/>
            <w:webHidden/>
          </w:rPr>
          <w:fldChar w:fldCharType="separate"/>
        </w:r>
        <w:r w:rsidR="00595ABE">
          <w:rPr>
            <w:noProof/>
            <w:webHidden/>
          </w:rPr>
          <w:t>13</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200" w:history="1">
        <w:r w:rsidR="00595ABE" w:rsidRPr="004B077F">
          <w:rPr>
            <w:rStyle w:val="Hyperlink"/>
            <w:noProof/>
          </w:rPr>
          <w:t>5.4</w:t>
        </w:r>
        <w:r w:rsidR="00595ABE">
          <w:rPr>
            <w:rFonts w:asciiTheme="minorHAnsi" w:eastAsiaTheme="minorEastAsia" w:hAnsiTheme="minorHAnsi" w:cstheme="minorBidi"/>
            <w:noProof/>
            <w:color w:val="auto"/>
          </w:rPr>
          <w:tab/>
        </w:r>
        <w:r w:rsidR="00595ABE" w:rsidRPr="004B077F">
          <w:rPr>
            <w:rStyle w:val="Hyperlink"/>
            <w:noProof/>
          </w:rPr>
          <w:t>Staff Clearance and Vetting</w:t>
        </w:r>
        <w:r w:rsidR="00595ABE">
          <w:rPr>
            <w:noProof/>
            <w:webHidden/>
          </w:rPr>
          <w:tab/>
        </w:r>
        <w:r w:rsidR="00595ABE">
          <w:rPr>
            <w:noProof/>
            <w:webHidden/>
          </w:rPr>
          <w:fldChar w:fldCharType="begin"/>
        </w:r>
        <w:r w:rsidR="00595ABE">
          <w:rPr>
            <w:noProof/>
            <w:webHidden/>
          </w:rPr>
          <w:instrText xml:space="preserve"> PAGEREF _Toc471909200 \h </w:instrText>
        </w:r>
        <w:r w:rsidR="00595ABE">
          <w:rPr>
            <w:noProof/>
            <w:webHidden/>
          </w:rPr>
        </w:r>
        <w:r w:rsidR="00595ABE">
          <w:rPr>
            <w:noProof/>
            <w:webHidden/>
          </w:rPr>
          <w:fldChar w:fldCharType="separate"/>
        </w:r>
        <w:r w:rsidR="00595ABE">
          <w:rPr>
            <w:noProof/>
            <w:webHidden/>
          </w:rPr>
          <w:t>13</w:t>
        </w:r>
        <w:r w:rsidR="00595ABE">
          <w:rPr>
            <w:noProof/>
            <w:webHidden/>
          </w:rPr>
          <w:fldChar w:fldCharType="end"/>
        </w:r>
      </w:hyperlink>
    </w:p>
    <w:p w:rsidR="00595ABE" w:rsidRDefault="00516B21">
      <w:pPr>
        <w:pStyle w:val="TOC1"/>
        <w:tabs>
          <w:tab w:val="left" w:pos="440"/>
          <w:tab w:val="right" w:leader="dot" w:pos="9016"/>
        </w:tabs>
        <w:rPr>
          <w:rFonts w:asciiTheme="minorHAnsi" w:eastAsiaTheme="minorEastAsia" w:hAnsiTheme="minorHAnsi" w:cstheme="minorBidi"/>
          <w:noProof/>
          <w:color w:val="auto"/>
        </w:rPr>
      </w:pPr>
      <w:hyperlink w:anchor="_Toc471909201" w:history="1">
        <w:r w:rsidR="00595ABE" w:rsidRPr="004B077F">
          <w:rPr>
            <w:rStyle w:val="Hyperlink"/>
            <w:noProof/>
          </w:rPr>
          <w:t>6</w:t>
        </w:r>
        <w:r w:rsidR="00595ABE">
          <w:rPr>
            <w:rFonts w:asciiTheme="minorHAnsi" w:eastAsiaTheme="minorEastAsia" w:hAnsiTheme="minorHAnsi" w:cstheme="minorBidi"/>
            <w:noProof/>
            <w:color w:val="auto"/>
          </w:rPr>
          <w:tab/>
        </w:r>
        <w:r w:rsidR="00595ABE" w:rsidRPr="004B077F">
          <w:rPr>
            <w:rStyle w:val="Hyperlink"/>
            <w:noProof/>
          </w:rPr>
          <w:t>Quality Requirements</w:t>
        </w:r>
        <w:r w:rsidR="00595ABE">
          <w:rPr>
            <w:noProof/>
            <w:webHidden/>
          </w:rPr>
          <w:tab/>
        </w:r>
        <w:r w:rsidR="00595ABE">
          <w:rPr>
            <w:noProof/>
            <w:webHidden/>
          </w:rPr>
          <w:fldChar w:fldCharType="begin"/>
        </w:r>
        <w:r w:rsidR="00595ABE">
          <w:rPr>
            <w:noProof/>
            <w:webHidden/>
          </w:rPr>
          <w:instrText xml:space="preserve"> PAGEREF _Toc471909201 \h </w:instrText>
        </w:r>
        <w:r w:rsidR="00595ABE">
          <w:rPr>
            <w:noProof/>
            <w:webHidden/>
          </w:rPr>
        </w:r>
        <w:r w:rsidR="00595ABE">
          <w:rPr>
            <w:noProof/>
            <w:webHidden/>
          </w:rPr>
          <w:fldChar w:fldCharType="separate"/>
        </w:r>
        <w:r w:rsidR="00595ABE">
          <w:rPr>
            <w:noProof/>
            <w:webHidden/>
          </w:rPr>
          <w:t>13</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202" w:history="1">
        <w:r w:rsidR="00595ABE" w:rsidRPr="004B077F">
          <w:rPr>
            <w:rStyle w:val="Hyperlink"/>
            <w:noProof/>
          </w:rPr>
          <w:t>6.1</w:t>
        </w:r>
        <w:r w:rsidR="00595ABE">
          <w:rPr>
            <w:rFonts w:asciiTheme="minorHAnsi" w:eastAsiaTheme="minorEastAsia" w:hAnsiTheme="minorHAnsi" w:cstheme="minorBidi"/>
            <w:noProof/>
            <w:color w:val="auto"/>
          </w:rPr>
          <w:tab/>
        </w:r>
        <w:r w:rsidR="00595ABE" w:rsidRPr="004B077F">
          <w:rPr>
            <w:rStyle w:val="Hyperlink"/>
            <w:noProof/>
          </w:rPr>
          <w:t>Service User Experience</w:t>
        </w:r>
        <w:r w:rsidR="00595ABE">
          <w:rPr>
            <w:noProof/>
            <w:webHidden/>
          </w:rPr>
          <w:tab/>
        </w:r>
        <w:r w:rsidR="00595ABE">
          <w:rPr>
            <w:noProof/>
            <w:webHidden/>
          </w:rPr>
          <w:fldChar w:fldCharType="begin"/>
        </w:r>
        <w:r w:rsidR="00595ABE">
          <w:rPr>
            <w:noProof/>
            <w:webHidden/>
          </w:rPr>
          <w:instrText xml:space="preserve"> PAGEREF _Toc471909202 \h </w:instrText>
        </w:r>
        <w:r w:rsidR="00595ABE">
          <w:rPr>
            <w:noProof/>
            <w:webHidden/>
          </w:rPr>
        </w:r>
        <w:r w:rsidR="00595ABE">
          <w:rPr>
            <w:noProof/>
            <w:webHidden/>
          </w:rPr>
          <w:fldChar w:fldCharType="separate"/>
        </w:r>
        <w:r w:rsidR="00595ABE">
          <w:rPr>
            <w:noProof/>
            <w:webHidden/>
          </w:rPr>
          <w:t>13</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203" w:history="1">
        <w:r w:rsidR="00595ABE" w:rsidRPr="004B077F">
          <w:rPr>
            <w:rStyle w:val="Hyperlink"/>
            <w:noProof/>
          </w:rPr>
          <w:t>6.2</w:t>
        </w:r>
        <w:r w:rsidR="00595ABE">
          <w:rPr>
            <w:rFonts w:asciiTheme="minorHAnsi" w:eastAsiaTheme="minorEastAsia" w:hAnsiTheme="minorHAnsi" w:cstheme="minorBidi"/>
            <w:noProof/>
            <w:color w:val="auto"/>
          </w:rPr>
          <w:tab/>
        </w:r>
        <w:r w:rsidR="00595ABE" w:rsidRPr="004B077F">
          <w:rPr>
            <w:rStyle w:val="Hyperlink"/>
            <w:noProof/>
          </w:rPr>
          <w:t>Improving Services</w:t>
        </w:r>
        <w:r w:rsidR="00595ABE">
          <w:rPr>
            <w:noProof/>
            <w:webHidden/>
          </w:rPr>
          <w:tab/>
        </w:r>
        <w:r w:rsidR="00595ABE">
          <w:rPr>
            <w:noProof/>
            <w:webHidden/>
          </w:rPr>
          <w:fldChar w:fldCharType="begin"/>
        </w:r>
        <w:r w:rsidR="00595ABE">
          <w:rPr>
            <w:noProof/>
            <w:webHidden/>
          </w:rPr>
          <w:instrText xml:space="preserve"> PAGEREF _Toc471909203 \h </w:instrText>
        </w:r>
        <w:r w:rsidR="00595ABE">
          <w:rPr>
            <w:noProof/>
            <w:webHidden/>
          </w:rPr>
        </w:r>
        <w:r w:rsidR="00595ABE">
          <w:rPr>
            <w:noProof/>
            <w:webHidden/>
          </w:rPr>
          <w:fldChar w:fldCharType="separate"/>
        </w:r>
        <w:r w:rsidR="00595ABE">
          <w:rPr>
            <w:noProof/>
            <w:webHidden/>
          </w:rPr>
          <w:t>14</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204" w:history="1">
        <w:r w:rsidR="00595ABE" w:rsidRPr="004B077F">
          <w:rPr>
            <w:rStyle w:val="Hyperlink"/>
            <w:noProof/>
          </w:rPr>
          <w:t>6.3</w:t>
        </w:r>
        <w:r w:rsidR="00595ABE">
          <w:rPr>
            <w:rFonts w:asciiTheme="minorHAnsi" w:eastAsiaTheme="minorEastAsia" w:hAnsiTheme="minorHAnsi" w:cstheme="minorBidi"/>
            <w:noProof/>
            <w:color w:val="auto"/>
          </w:rPr>
          <w:tab/>
        </w:r>
        <w:r w:rsidR="00595ABE" w:rsidRPr="004B077F">
          <w:rPr>
            <w:rStyle w:val="Hyperlink"/>
            <w:noProof/>
          </w:rPr>
          <w:t>Health and Safety /Risk Management</w:t>
        </w:r>
        <w:r w:rsidR="00595ABE">
          <w:rPr>
            <w:noProof/>
            <w:webHidden/>
          </w:rPr>
          <w:tab/>
        </w:r>
        <w:r w:rsidR="00595ABE">
          <w:rPr>
            <w:noProof/>
            <w:webHidden/>
          </w:rPr>
          <w:fldChar w:fldCharType="begin"/>
        </w:r>
        <w:r w:rsidR="00595ABE">
          <w:rPr>
            <w:noProof/>
            <w:webHidden/>
          </w:rPr>
          <w:instrText xml:space="preserve"> PAGEREF _Toc471909204 \h </w:instrText>
        </w:r>
        <w:r w:rsidR="00595ABE">
          <w:rPr>
            <w:noProof/>
            <w:webHidden/>
          </w:rPr>
        </w:r>
        <w:r w:rsidR="00595ABE">
          <w:rPr>
            <w:noProof/>
            <w:webHidden/>
          </w:rPr>
          <w:fldChar w:fldCharType="separate"/>
        </w:r>
        <w:r w:rsidR="00595ABE">
          <w:rPr>
            <w:noProof/>
            <w:webHidden/>
          </w:rPr>
          <w:t>14</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205" w:history="1">
        <w:r w:rsidR="00595ABE" w:rsidRPr="004B077F">
          <w:rPr>
            <w:rStyle w:val="Hyperlink"/>
            <w:noProof/>
          </w:rPr>
          <w:t>6.4</w:t>
        </w:r>
        <w:r w:rsidR="00595ABE">
          <w:rPr>
            <w:rFonts w:asciiTheme="minorHAnsi" w:eastAsiaTheme="minorEastAsia" w:hAnsiTheme="minorHAnsi" w:cstheme="minorBidi"/>
            <w:noProof/>
            <w:color w:val="auto"/>
          </w:rPr>
          <w:tab/>
        </w:r>
        <w:r w:rsidR="00595ABE" w:rsidRPr="004B077F">
          <w:rPr>
            <w:rStyle w:val="Hyperlink"/>
            <w:noProof/>
          </w:rPr>
          <w:t>Governance and Leadership</w:t>
        </w:r>
        <w:r w:rsidR="00595ABE">
          <w:rPr>
            <w:noProof/>
            <w:webHidden/>
          </w:rPr>
          <w:tab/>
        </w:r>
        <w:r w:rsidR="00595ABE">
          <w:rPr>
            <w:noProof/>
            <w:webHidden/>
          </w:rPr>
          <w:fldChar w:fldCharType="begin"/>
        </w:r>
        <w:r w:rsidR="00595ABE">
          <w:rPr>
            <w:noProof/>
            <w:webHidden/>
          </w:rPr>
          <w:instrText xml:space="preserve"> PAGEREF _Toc471909205 \h </w:instrText>
        </w:r>
        <w:r w:rsidR="00595ABE">
          <w:rPr>
            <w:noProof/>
            <w:webHidden/>
          </w:rPr>
        </w:r>
        <w:r w:rsidR="00595ABE">
          <w:rPr>
            <w:noProof/>
            <w:webHidden/>
          </w:rPr>
          <w:fldChar w:fldCharType="separate"/>
        </w:r>
        <w:r w:rsidR="00595ABE">
          <w:rPr>
            <w:noProof/>
            <w:webHidden/>
          </w:rPr>
          <w:t>15</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206" w:history="1">
        <w:r w:rsidR="00595ABE" w:rsidRPr="004B077F">
          <w:rPr>
            <w:rStyle w:val="Hyperlink"/>
            <w:noProof/>
          </w:rPr>
          <w:t>6.5</w:t>
        </w:r>
        <w:r w:rsidR="00595ABE">
          <w:rPr>
            <w:rFonts w:asciiTheme="minorHAnsi" w:eastAsiaTheme="minorEastAsia" w:hAnsiTheme="minorHAnsi" w:cstheme="minorBidi"/>
            <w:noProof/>
            <w:color w:val="auto"/>
          </w:rPr>
          <w:tab/>
        </w:r>
        <w:r w:rsidR="00595ABE" w:rsidRPr="004B077F">
          <w:rPr>
            <w:rStyle w:val="Hyperlink"/>
            <w:noProof/>
          </w:rPr>
          <w:t>Complaints</w:t>
        </w:r>
        <w:r w:rsidR="00595ABE">
          <w:rPr>
            <w:noProof/>
            <w:webHidden/>
          </w:rPr>
          <w:tab/>
        </w:r>
        <w:r w:rsidR="00595ABE">
          <w:rPr>
            <w:noProof/>
            <w:webHidden/>
          </w:rPr>
          <w:fldChar w:fldCharType="begin"/>
        </w:r>
        <w:r w:rsidR="00595ABE">
          <w:rPr>
            <w:noProof/>
            <w:webHidden/>
          </w:rPr>
          <w:instrText xml:space="preserve"> PAGEREF _Toc471909206 \h </w:instrText>
        </w:r>
        <w:r w:rsidR="00595ABE">
          <w:rPr>
            <w:noProof/>
            <w:webHidden/>
          </w:rPr>
        </w:r>
        <w:r w:rsidR="00595ABE">
          <w:rPr>
            <w:noProof/>
            <w:webHidden/>
          </w:rPr>
          <w:fldChar w:fldCharType="separate"/>
        </w:r>
        <w:r w:rsidR="00595ABE">
          <w:rPr>
            <w:noProof/>
            <w:webHidden/>
          </w:rPr>
          <w:t>15</w:t>
        </w:r>
        <w:r w:rsidR="00595ABE">
          <w:rPr>
            <w:noProof/>
            <w:webHidden/>
          </w:rPr>
          <w:fldChar w:fldCharType="end"/>
        </w:r>
      </w:hyperlink>
    </w:p>
    <w:p w:rsidR="00595ABE" w:rsidRDefault="00516B21">
      <w:pPr>
        <w:pStyle w:val="TOC1"/>
        <w:tabs>
          <w:tab w:val="left" w:pos="440"/>
          <w:tab w:val="right" w:leader="dot" w:pos="9016"/>
        </w:tabs>
        <w:rPr>
          <w:rFonts w:asciiTheme="minorHAnsi" w:eastAsiaTheme="minorEastAsia" w:hAnsiTheme="minorHAnsi" w:cstheme="minorBidi"/>
          <w:noProof/>
          <w:color w:val="auto"/>
        </w:rPr>
      </w:pPr>
      <w:hyperlink w:anchor="_Toc471909207" w:history="1">
        <w:r w:rsidR="00595ABE" w:rsidRPr="004B077F">
          <w:rPr>
            <w:rStyle w:val="Hyperlink"/>
            <w:noProof/>
          </w:rPr>
          <w:t>7</w:t>
        </w:r>
        <w:r w:rsidR="00595ABE">
          <w:rPr>
            <w:rFonts w:asciiTheme="minorHAnsi" w:eastAsiaTheme="minorEastAsia" w:hAnsiTheme="minorHAnsi" w:cstheme="minorBidi"/>
            <w:noProof/>
            <w:color w:val="auto"/>
          </w:rPr>
          <w:tab/>
        </w:r>
        <w:r w:rsidR="00595ABE" w:rsidRPr="004B077F">
          <w:rPr>
            <w:rStyle w:val="Hyperlink"/>
            <w:noProof/>
          </w:rPr>
          <w:t>Contract Arrangements</w:t>
        </w:r>
        <w:r w:rsidR="00595ABE">
          <w:rPr>
            <w:noProof/>
            <w:webHidden/>
          </w:rPr>
          <w:tab/>
        </w:r>
        <w:r w:rsidR="00595ABE">
          <w:rPr>
            <w:noProof/>
            <w:webHidden/>
          </w:rPr>
          <w:fldChar w:fldCharType="begin"/>
        </w:r>
        <w:r w:rsidR="00595ABE">
          <w:rPr>
            <w:noProof/>
            <w:webHidden/>
          </w:rPr>
          <w:instrText xml:space="preserve"> PAGEREF _Toc471909207 \h </w:instrText>
        </w:r>
        <w:r w:rsidR="00595ABE">
          <w:rPr>
            <w:noProof/>
            <w:webHidden/>
          </w:rPr>
        </w:r>
        <w:r w:rsidR="00595ABE">
          <w:rPr>
            <w:noProof/>
            <w:webHidden/>
          </w:rPr>
          <w:fldChar w:fldCharType="separate"/>
        </w:r>
        <w:r w:rsidR="00595ABE">
          <w:rPr>
            <w:noProof/>
            <w:webHidden/>
          </w:rPr>
          <w:t>16</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208" w:history="1">
        <w:r w:rsidR="00595ABE" w:rsidRPr="004B077F">
          <w:rPr>
            <w:rStyle w:val="Hyperlink"/>
            <w:noProof/>
          </w:rPr>
          <w:t>7.1</w:t>
        </w:r>
        <w:r w:rsidR="00595ABE">
          <w:rPr>
            <w:rFonts w:asciiTheme="minorHAnsi" w:eastAsiaTheme="minorEastAsia" w:hAnsiTheme="minorHAnsi" w:cstheme="minorBidi"/>
            <w:noProof/>
            <w:color w:val="auto"/>
          </w:rPr>
          <w:tab/>
        </w:r>
        <w:r w:rsidR="00595ABE" w:rsidRPr="004B077F">
          <w:rPr>
            <w:rStyle w:val="Hyperlink"/>
            <w:noProof/>
          </w:rPr>
          <w:t>Service Mobilisation</w:t>
        </w:r>
        <w:r w:rsidR="00595ABE">
          <w:rPr>
            <w:noProof/>
            <w:webHidden/>
          </w:rPr>
          <w:tab/>
        </w:r>
        <w:r w:rsidR="00595ABE">
          <w:rPr>
            <w:noProof/>
            <w:webHidden/>
          </w:rPr>
          <w:fldChar w:fldCharType="begin"/>
        </w:r>
        <w:r w:rsidR="00595ABE">
          <w:rPr>
            <w:noProof/>
            <w:webHidden/>
          </w:rPr>
          <w:instrText xml:space="preserve"> PAGEREF _Toc471909208 \h </w:instrText>
        </w:r>
        <w:r w:rsidR="00595ABE">
          <w:rPr>
            <w:noProof/>
            <w:webHidden/>
          </w:rPr>
        </w:r>
        <w:r w:rsidR="00595ABE">
          <w:rPr>
            <w:noProof/>
            <w:webHidden/>
          </w:rPr>
          <w:fldChar w:fldCharType="separate"/>
        </w:r>
        <w:r w:rsidR="00595ABE">
          <w:rPr>
            <w:noProof/>
            <w:webHidden/>
          </w:rPr>
          <w:t>16</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209" w:history="1">
        <w:r w:rsidR="00595ABE" w:rsidRPr="004B077F">
          <w:rPr>
            <w:rStyle w:val="Hyperlink"/>
            <w:noProof/>
          </w:rPr>
          <w:t>7.2</w:t>
        </w:r>
        <w:r w:rsidR="00595ABE">
          <w:rPr>
            <w:rFonts w:asciiTheme="minorHAnsi" w:eastAsiaTheme="minorEastAsia" w:hAnsiTheme="minorHAnsi" w:cstheme="minorBidi"/>
            <w:noProof/>
            <w:color w:val="auto"/>
          </w:rPr>
          <w:tab/>
        </w:r>
        <w:r w:rsidR="00595ABE" w:rsidRPr="004B077F">
          <w:rPr>
            <w:rStyle w:val="Hyperlink"/>
            <w:noProof/>
          </w:rPr>
          <w:t>Exit Arrangements</w:t>
        </w:r>
        <w:r w:rsidR="00595ABE">
          <w:rPr>
            <w:noProof/>
            <w:webHidden/>
          </w:rPr>
          <w:tab/>
        </w:r>
        <w:r w:rsidR="00595ABE">
          <w:rPr>
            <w:noProof/>
            <w:webHidden/>
          </w:rPr>
          <w:fldChar w:fldCharType="begin"/>
        </w:r>
        <w:r w:rsidR="00595ABE">
          <w:rPr>
            <w:noProof/>
            <w:webHidden/>
          </w:rPr>
          <w:instrText xml:space="preserve"> PAGEREF _Toc471909209 \h </w:instrText>
        </w:r>
        <w:r w:rsidR="00595ABE">
          <w:rPr>
            <w:noProof/>
            <w:webHidden/>
          </w:rPr>
        </w:r>
        <w:r w:rsidR="00595ABE">
          <w:rPr>
            <w:noProof/>
            <w:webHidden/>
          </w:rPr>
          <w:fldChar w:fldCharType="separate"/>
        </w:r>
        <w:r w:rsidR="00595ABE">
          <w:rPr>
            <w:noProof/>
            <w:webHidden/>
          </w:rPr>
          <w:t>17</w:t>
        </w:r>
        <w:r w:rsidR="00595ABE">
          <w:rPr>
            <w:noProof/>
            <w:webHidden/>
          </w:rPr>
          <w:fldChar w:fldCharType="end"/>
        </w:r>
      </w:hyperlink>
    </w:p>
    <w:p w:rsidR="00595ABE" w:rsidRDefault="00516B21">
      <w:pPr>
        <w:pStyle w:val="TOC1"/>
        <w:tabs>
          <w:tab w:val="left" w:pos="440"/>
          <w:tab w:val="right" w:leader="dot" w:pos="9016"/>
        </w:tabs>
        <w:rPr>
          <w:rFonts w:asciiTheme="minorHAnsi" w:eastAsiaTheme="minorEastAsia" w:hAnsiTheme="minorHAnsi" w:cstheme="minorBidi"/>
          <w:noProof/>
          <w:color w:val="auto"/>
        </w:rPr>
      </w:pPr>
      <w:hyperlink w:anchor="_Toc471909210" w:history="1">
        <w:r w:rsidR="00595ABE" w:rsidRPr="004B077F">
          <w:rPr>
            <w:rStyle w:val="Hyperlink"/>
            <w:noProof/>
          </w:rPr>
          <w:t>8</w:t>
        </w:r>
        <w:r w:rsidR="00595ABE">
          <w:rPr>
            <w:rFonts w:asciiTheme="minorHAnsi" w:eastAsiaTheme="minorEastAsia" w:hAnsiTheme="minorHAnsi" w:cstheme="minorBidi"/>
            <w:noProof/>
            <w:color w:val="auto"/>
          </w:rPr>
          <w:tab/>
        </w:r>
        <w:r w:rsidR="00595ABE" w:rsidRPr="004B077F">
          <w:rPr>
            <w:rStyle w:val="Hyperlink"/>
            <w:noProof/>
          </w:rPr>
          <w:t>Contract Management</w:t>
        </w:r>
        <w:r w:rsidR="00595ABE">
          <w:rPr>
            <w:noProof/>
            <w:webHidden/>
          </w:rPr>
          <w:tab/>
        </w:r>
        <w:r w:rsidR="00595ABE">
          <w:rPr>
            <w:noProof/>
            <w:webHidden/>
          </w:rPr>
          <w:fldChar w:fldCharType="begin"/>
        </w:r>
        <w:r w:rsidR="00595ABE">
          <w:rPr>
            <w:noProof/>
            <w:webHidden/>
          </w:rPr>
          <w:instrText xml:space="preserve"> PAGEREF _Toc471909210 \h </w:instrText>
        </w:r>
        <w:r w:rsidR="00595ABE">
          <w:rPr>
            <w:noProof/>
            <w:webHidden/>
          </w:rPr>
        </w:r>
        <w:r w:rsidR="00595ABE">
          <w:rPr>
            <w:noProof/>
            <w:webHidden/>
          </w:rPr>
          <w:fldChar w:fldCharType="separate"/>
        </w:r>
        <w:r w:rsidR="00595ABE">
          <w:rPr>
            <w:noProof/>
            <w:webHidden/>
          </w:rPr>
          <w:t>17</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211" w:history="1">
        <w:r w:rsidR="00595ABE" w:rsidRPr="004B077F">
          <w:rPr>
            <w:rStyle w:val="Hyperlink"/>
            <w:noProof/>
          </w:rPr>
          <w:t>Appendix 1- Management Information</w:t>
        </w:r>
        <w:r w:rsidR="00595ABE">
          <w:rPr>
            <w:noProof/>
            <w:webHidden/>
          </w:rPr>
          <w:tab/>
        </w:r>
        <w:r w:rsidR="00595ABE">
          <w:rPr>
            <w:noProof/>
            <w:webHidden/>
          </w:rPr>
          <w:fldChar w:fldCharType="begin"/>
        </w:r>
        <w:r w:rsidR="00595ABE">
          <w:rPr>
            <w:noProof/>
            <w:webHidden/>
          </w:rPr>
          <w:instrText xml:space="preserve"> PAGEREF _Toc471909211 \h </w:instrText>
        </w:r>
        <w:r w:rsidR="00595ABE">
          <w:rPr>
            <w:noProof/>
            <w:webHidden/>
          </w:rPr>
        </w:r>
        <w:r w:rsidR="00595ABE">
          <w:rPr>
            <w:noProof/>
            <w:webHidden/>
          </w:rPr>
          <w:fldChar w:fldCharType="separate"/>
        </w:r>
        <w:r w:rsidR="00595ABE">
          <w:rPr>
            <w:noProof/>
            <w:webHidden/>
          </w:rPr>
          <w:t>19</w:t>
        </w:r>
        <w:r w:rsidR="00595ABE">
          <w:rPr>
            <w:noProof/>
            <w:webHidden/>
          </w:rPr>
          <w:fldChar w:fldCharType="end"/>
        </w:r>
      </w:hyperlink>
    </w:p>
    <w:p w:rsidR="00595ABE" w:rsidRDefault="00516B21">
      <w:pPr>
        <w:pStyle w:val="TOC2"/>
        <w:rPr>
          <w:rFonts w:asciiTheme="minorHAnsi" w:eastAsiaTheme="minorEastAsia" w:hAnsiTheme="minorHAnsi" w:cstheme="minorBidi"/>
          <w:noProof/>
          <w:color w:val="auto"/>
        </w:rPr>
      </w:pPr>
      <w:hyperlink w:anchor="_Toc471909212" w:history="1">
        <w:r w:rsidR="00595ABE" w:rsidRPr="004B077F">
          <w:rPr>
            <w:rStyle w:val="Hyperlink"/>
            <w:noProof/>
          </w:rPr>
          <w:t>Appendix 2- Performance Indicators</w:t>
        </w:r>
        <w:r w:rsidR="00595ABE">
          <w:rPr>
            <w:noProof/>
            <w:webHidden/>
          </w:rPr>
          <w:tab/>
        </w:r>
        <w:r w:rsidR="00595ABE">
          <w:rPr>
            <w:noProof/>
            <w:webHidden/>
          </w:rPr>
          <w:fldChar w:fldCharType="begin"/>
        </w:r>
        <w:r w:rsidR="00595ABE">
          <w:rPr>
            <w:noProof/>
            <w:webHidden/>
          </w:rPr>
          <w:instrText xml:space="preserve"> PAGEREF _Toc471909212 \h </w:instrText>
        </w:r>
        <w:r w:rsidR="00595ABE">
          <w:rPr>
            <w:noProof/>
            <w:webHidden/>
          </w:rPr>
        </w:r>
        <w:r w:rsidR="00595ABE">
          <w:rPr>
            <w:noProof/>
            <w:webHidden/>
          </w:rPr>
          <w:fldChar w:fldCharType="separate"/>
        </w:r>
        <w:r w:rsidR="00595ABE">
          <w:rPr>
            <w:noProof/>
            <w:webHidden/>
          </w:rPr>
          <w:t>23</w:t>
        </w:r>
        <w:r w:rsidR="00595ABE">
          <w:rPr>
            <w:noProof/>
            <w:webHidden/>
          </w:rPr>
          <w:fldChar w:fldCharType="end"/>
        </w:r>
      </w:hyperlink>
    </w:p>
    <w:p w:rsidR="00574884" w:rsidRDefault="00574884" w:rsidP="00574884">
      <w:pPr>
        <w:spacing w:before="0" w:beforeAutospacing="0" w:after="0" w:line="240" w:lineRule="auto"/>
        <w:rPr>
          <w:rFonts w:asciiTheme="minorHAnsi" w:hAnsiTheme="minorHAnsi"/>
          <w:b/>
          <w:color w:val="auto"/>
          <w:sz w:val="24"/>
          <w:szCs w:val="24"/>
        </w:rPr>
      </w:pPr>
      <w:r w:rsidRPr="00574884">
        <w:rPr>
          <w:color w:val="auto"/>
        </w:rPr>
        <w:fldChar w:fldCharType="end"/>
      </w:r>
      <w:r>
        <w:br w:type="page"/>
      </w:r>
    </w:p>
    <w:p w:rsidR="007D11E1" w:rsidRPr="0008684C" w:rsidRDefault="007D11E1" w:rsidP="00512C59">
      <w:pPr>
        <w:pStyle w:val="Heading1"/>
        <w:numPr>
          <w:ilvl w:val="0"/>
          <w:numId w:val="4"/>
        </w:numPr>
      </w:pPr>
      <w:bookmarkStart w:id="4" w:name="_Toc471909177"/>
      <w:r w:rsidRPr="0008684C">
        <w:t>Definitions</w:t>
      </w:r>
      <w:bookmarkEnd w:id="1"/>
      <w:bookmarkEnd w:id="3"/>
      <w:bookmarkEnd w:id="4"/>
      <w:r w:rsidRPr="0008684C">
        <w:t xml:space="preserve"> </w:t>
      </w:r>
    </w:p>
    <w:p w:rsidR="00050A0C" w:rsidRPr="0008684C" w:rsidRDefault="00050A0C" w:rsidP="005A55AC">
      <w:pPr>
        <w:pStyle w:val="Heading3"/>
      </w:pPr>
      <w:r w:rsidRPr="0008684C">
        <w:t xml:space="preserve">In addition to the Definitions and Interpretation of Section 1 of the Contract, the following terms are used in relation to the Independent Sexual Violence Advisor </w:t>
      </w:r>
      <w:r w:rsidR="009778ED" w:rsidRPr="0008684C">
        <w:t xml:space="preserve">and Child and Young Person’s Advocate </w:t>
      </w:r>
      <w:r w:rsidRPr="0008684C">
        <w:t>Service in this specification.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6858"/>
      </w:tblGrid>
      <w:tr w:rsidR="00927576" w:rsidRPr="0008684C" w:rsidTr="00401CB4">
        <w:trPr>
          <w:tblHeader/>
        </w:trPr>
        <w:tc>
          <w:tcPr>
            <w:tcW w:w="2322" w:type="dxa"/>
            <w:shd w:val="clear" w:color="auto" w:fill="auto"/>
          </w:tcPr>
          <w:p w:rsidR="00927576" w:rsidRPr="0008684C" w:rsidRDefault="00927576" w:rsidP="00401CB4">
            <w:pPr>
              <w:spacing w:before="0" w:beforeAutospacing="0" w:after="0" w:line="240" w:lineRule="auto"/>
              <w:rPr>
                <w:rFonts w:asciiTheme="minorHAnsi" w:hAnsiTheme="minorHAnsi"/>
                <w:b/>
                <w:color w:val="auto"/>
                <w:sz w:val="24"/>
                <w:szCs w:val="24"/>
              </w:rPr>
            </w:pPr>
            <w:r w:rsidRPr="0008684C">
              <w:rPr>
                <w:rFonts w:asciiTheme="minorHAnsi" w:hAnsiTheme="minorHAnsi"/>
                <w:b/>
                <w:color w:val="auto"/>
                <w:sz w:val="24"/>
                <w:szCs w:val="24"/>
              </w:rPr>
              <w:t>Term</w:t>
            </w:r>
          </w:p>
        </w:tc>
        <w:tc>
          <w:tcPr>
            <w:tcW w:w="6858" w:type="dxa"/>
            <w:shd w:val="clear" w:color="auto" w:fill="auto"/>
          </w:tcPr>
          <w:p w:rsidR="00927576" w:rsidRPr="0008684C" w:rsidRDefault="00927576" w:rsidP="00401CB4">
            <w:pPr>
              <w:spacing w:before="0" w:beforeAutospacing="0" w:after="0" w:line="240" w:lineRule="auto"/>
              <w:rPr>
                <w:rFonts w:asciiTheme="minorHAnsi" w:hAnsiTheme="minorHAnsi"/>
                <w:b/>
                <w:color w:val="auto"/>
                <w:sz w:val="24"/>
                <w:szCs w:val="24"/>
              </w:rPr>
            </w:pPr>
            <w:r w:rsidRPr="0008684C">
              <w:rPr>
                <w:rFonts w:asciiTheme="minorHAnsi" w:hAnsiTheme="minorHAnsi"/>
                <w:b/>
                <w:color w:val="auto"/>
                <w:sz w:val="24"/>
                <w:szCs w:val="24"/>
              </w:rPr>
              <w:t>Definition</w:t>
            </w:r>
          </w:p>
        </w:tc>
      </w:tr>
      <w:tr w:rsidR="00927576" w:rsidRPr="0008684C" w:rsidTr="00401CB4">
        <w:tc>
          <w:tcPr>
            <w:tcW w:w="2322" w:type="dxa"/>
            <w:shd w:val="clear" w:color="auto" w:fill="auto"/>
          </w:tcPr>
          <w:p w:rsidR="00927576" w:rsidRPr="0008684C" w:rsidRDefault="00927576"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Acute cases (of sexual assault)</w:t>
            </w:r>
          </w:p>
        </w:tc>
        <w:tc>
          <w:tcPr>
            <w:tcW w:w="6858" w:type="dxa"/>
            <w:shd w:val="clear" w:color="auto" w:fill="auto"/>
          </w:tcPr>
          <w:p w:rsidR="00927576" w:rsidRPr="0008684C" w:rsidRDefault="00692F22" w:rsidP="00401CB4">
            <w:pPr>
              <w:spacing w:before="0" w:beforeAutospacing="0" w:after="0" w:line="240" w:lineRule="auto"/>
              <w:rPr>
                <w:rFonts w:asciiTheme="minorHAnsi" w:hAnsiTheme="minorHAnsi"/>
                <w:color w:val="auto"/>
                <w:sz w:val="24"/>
                <w:szCs w:val="24"/>
              </w:rPr>
            </w:pPr>
            <w:r w:rsidRPr="00E634F2">
              <w:rPr>
                <w:rFonts w:asciiTheme="minorHAnsi" w:hAnsiTheme="minorHAnsi"/>
                <w:color w:val="auto"/>
                <w:sz w:val="24"/>
                <w:szCs w:val="24"/>
              </w:rPr>
              <w:t>the period of time as defined by the FFLM</w:t>
            </w:r>
          </w:p>
        </w:tc>
      </w:tr>
      <w:tr w:rsidR="00927576" w:rsidRPr="0008684C" w:rsidTr="00401CB4">
        <w:tc>
          <w:tcPr>
            <w:tcW w:w="2322" w:type="dxa"/>
            <w:shd w:val="clear" w:color="auto" w:fill="auto"/>
          </w:tcPr>
          <w:p w:rsidR="00927576" w:rsidRPr="0008684C" w:rsidRDefault="00927576"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Assault by penetration</w:t>
            </w:r>
          </w:p>
        </w:tc>
        <w:tc>
          <w:tcPr>
            <w:tcW w:w="6858" w:type="dxa"/>
            <w:shd w:val="clear" w:color="auto" w:fill="auto"/>
          </w:tcPr>
          <w:p w:rsidR="00927576" w:rsidRPr="0008684C" w:rsidRDefault="00927576" w:rsidP="00E634F2">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 xml:space="preserve">Intentional penetration of the vagina or </w:t>
            </w:r>
            <w:r w:rsidR="0038292B" w:rsidRPr="0008684C">
              <w:rPr>
                <w:rFonts w:asciiTheme="minorHAnsi" w:hAnsiTheme="minorHAnsi"/>
                <w:color w:val="auto"/>
                <w:sz w:val="24"/>
                <w:szCs w:val="24"/>
              </w:rPr>
              <w:t xml:space="preserve">anus </w:t>
            </w:r>
            <w:r w:rsidR="0038292B">
              <w:rPr>
                <w:rFonts w:asciiTheme="minorHAnsi" w:hAnsiTheme="minorHAnsi"/>
                <w:color w:val="auto"/>
                <w:sz w:val="24"/>
                <w:szCs w:val="24"/>
              </w:rPr>
              <w:t>or</w:t>
            </w:r>
            <w:r w:rsidR="003F5221">
              <w:rPr>
                <w:rFonts w:asciiTheme="minorHAnsi" w:hAnsiTheme="minorHAnsi"/>
                <w:color w:val="auto"/>
                <w:sz w:val="24"/>
                <w:szCs w:val="24"/>
              </w:rPr>
              <w:t xml:space="preserve"> mouth </w:t>
            </w:r>
            <w:r w:rsidRPr="0008684C">
              <w:rPr>
                <w:rFonts w:asciiTheme="minorHAnsi" w:hAnsiTheme="minorHAnsi"/>
                <w:color w:val="auto"/>
                <w:sz w:val="24"/>
                <w:szCs w:val="24"/>
              </w:rPr>
              <w:t>of another person with a part of his/her body or anything else.</w:t>
            </w:r>
          </w:p>
        </w:tc>
      </w:tr>
      <w:tr w:rsidR="00927576" w:rsidRPr="0008684C" w:rsidTr="00401CB4">
        <w:tc>
          <w:tcPr>
            <w:tcW w:w="2322" w:type="dxa"/>
            <w:shd w:val="clear" w:color="auto" w:fill="auto"/>
          </w:tcPr>
          <w:p w:rsidR="00927576" w:rsidRPr="0008684C" w:rsidRDefault="00927576"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Child Sexual Exploitation</w:t>
            </w:r>
          </w:p>
          <w:p w:rsidR="00927576" w:rsidRPr="0008684C" w:rsidRDefault="00927576"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(CSE)</w:t>
            </w:r>
          </w:p>
        </w:tc>
        <w:tc>
          <w:tcPr>
            <w:tcW w:w="6858" w:type="dxa"/>
            <w:shd w:val="clear" w:color="auto" w:fill="auto"/>
          </w:tcPr>
          <w:p w:rsidR="00927576" w:rsidRPr="0008684C" w:rsidRDefault="00927576"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A form of sexual abuse that involves the manipulation and/or coercion of young people under the age of 18 into sexual activity. Child Sexual Exploitation can manifest itself in different ways, it can involve peers manipulating or forcing Victims into sexual activity, which can involve opportunistic or organised networks of perpetrators.</w:t>
            </w:r>
          </w:p>
        </w:tc>
      </w:tr>
      <w:tr w:rsidR="00927576" w:rsidRPr="0008684C" w:rsidTr="00401CB4">
        <w:tc>
          <w:tcPr>
            <w:tcW w:w="2322" w:type="dxa"/>
            <w:shd w:val="clear" w:color="auto" w:fill="auto"/>
          </w:tcPr>
          <w:p w:rsidR="00927576" w:rsidRPr="0008684C" w:rsidRDefault="00927576"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Criminal Justice System</w:t>
            </w:r>
          </w:p>
        </w:tc>
        <w:tc>
          <w:tcPr>
            <w:tcW w:w="6858" w:type="dxa"/>
            <w:shd w:val="clear" w:color="auto" w:fill="auto"/>
          </w:tcPr>
          <w:p w:rsidR="00927576" w:rsidRPr="0008684C" w:rsidRDefault="00927576"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All of the processes involved with investigating and prosecuting perpetrator(s) of a crime. This involves the police, Crown Prosecution Service and the Courts.</w:t>
            </w:r>
          </w:p>
        </w:tc>
      </w:tr>
      <w:tr w:rsidR="0054461A" w:rsidRPr="0008684C" w:rsidTr="00AA1DC7">
        <w:tc>
          <w:tcPr>
            <w:tcW w:w="2322" w:type="dxa"/>
            <w:shd w:val="clear" w:color="auto" w:fill="auto"/>
          </w:tcPr>
          <w:p w:rsidR="0054461A" w:rsidRPr="0008684C" w:rsidRDefault="0054461A">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Crisis Worker</w:t>
            </w:r>
          </w:p>
        </w:tc>
        <w:tc>
          <w:tcPr>
            <w:tcW w:w="6858" w:type="dxa"/>
            <w:shd w:val="clear" w:color="auto" w:fill="auto"/>
          </w:tcPr>
          <w:p w:rsidR="0054461A" w:rsidRPr="0008684C" w:rsidRDefault="0054461A">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A member of the Sexual Assault Referral Centre staff who will provide initial advice and/ or support to a Victim who contacts the centre. This will include support during a Sexual Offence Examination.</w:t>
            </w:r>
          </w:p>
        </w:tc>
      </w:tr>
      <w:tr w:rsidR="00927576" w:rsidRPr="0008684C" w:rsidDel="00272704" w:rsidTr="00401CB4">
        <w:tc>
          <w:tcPr>
            <w:tcW w:w="2322" w:type="dxa"/>
            <w:shd w:val="clear" w:color="auto" w:fill="auto"/>
          </w:tcPr>
          <w:p w:rsidR="00927576" w:rsidRPr="0008684C" w:rsidDel="00272704" w:rsidRDefault="00927576"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Independent Sexual Violence Advisor (ISVA)</w:t>
            </w:r>
          </w:p>
        </w:tc>
        <w:tc>
          <w:tcPr>
            <w:tcW w:w="6858" w:type="dxa"/>
            <w:shd w:val="clear" w:color="auto" w:fill="auto"/>
          </w:tcPr>
          <w:p w:rsidR="00200342" w:rsidRPr="00E634F2" w:rsidDel="00272704" w:rsidRDefault="00927576"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 xml:space="preserve">A person who has successfully </w:t>
            </w:r>
            <w:r w:rsidRPr="00E634F2">
              <w:rPr>
                <w:rFonts w:asciiTheme="minorHAnsi" w:hAnsiTheme="minorHAnsi"/>
                <w:color w:val="auto"/>
                <w:sz w:val="24"/>
                <w:szCs w:val="24"/>
              </w:rPr>
              <w:t xml:space="preserve">completed </w:t>
            </w:r>
            <w:r w:rsidR="005013A5" w:rsidRPr="00E634F2">
              <w:rPr>
                <w:rFonts w:asciiTheme="minorHAnsi" w:hAnsiTheme="minorHAnsi"/>
                <w:color w:val="auto"/>
                <w:sz w:val="24"/>
                <w:szCs w:val="24"/>
              </w:rPr>
              <w:t xml:space="preserve">Home Office </w:t>
            </w:r>
            <w:r w:rsidRPr="00E634F2">
              <w:rPr>
                <w:rFonts w:asciiTheme="minorHAnsi" w:hAnsiTheme="minorHAnsi"/>
                <w:color w:val="auto"/>
                <w:sz w:val="24"/>
                <w:szCs w:val="24"/>
              </w:rPr>
              <w:t xml:space="preserve">accredited </w:t>
            </w:r>
            <w:r w:rsidRPr="0008684C">
              <w:rPr>
                <w:rFonts w:asciiTheme="minorHAnsi" w:hAnsiTheme="minorHAnsi"/>
                <w:color w:val="auto"/>
                <w:sz w:val="24"/>
                <w:szCs w:val="24"/>
              </w:rPr>
              <w:t xml:space="preserve">Independent Sexual Violence Advisor training and provides practical and non-therapeutic emotional support to adult victims of sexual assault or abuse to help them to deal with the aftermath and consequences. The person is not involved in the police investigation or any other service being provided for the victim, other than the Independent Sexual Violence Advisor Service itself. </w:t>
            </w:r>
          </w:p>
        </w:tc>
      </w:tr>
      <w:tr w:rsidR="000D4B8A" w:rsidRPr="0008684C" w:rsidDel="00272704" w:rsidTr="00AA1DC7">
        <w:tc>
          <w:tcPr>
            <w:tcW w:w="2322" w:type="dxa"/>
            <w:shd w:val="clear" w:color="auto" w:fill="auto"/>
          </w:tcPr>
          <w:p w:rsidR="000D4B8A" w:rsidRPr="0008684C" w:rsidRDefault="000D4B8A" w:rsidP="00F51A66">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Integrated Sexual Assault Referral Service(s)</w:t>
            </w:r>
          </w:p>
          <w:p w:rsidR="000D4B8A" w:rsidRPr="0008684C" w:rsidRDefault="000D4B8A">
            <w:pPr>
              <w:spacing w:before="0" w:beforeAutospacing="0" w:after="0" w:line="240" w:lineRule="auto"/>
              <w:rPr>
                <w:rFonts w:asciiTheme="minorHAnsi" w:hAnsiTheme="minorHAnsi"/>
                <w:color w:val="auto"/>
                <w:sz w:val="24"/>
                <w:szCs w:val="24"/>
              </w:rPr>
            </w:pPr>
          </w:p>
        </w:tc>
        <w:tc>
          <w:tcPr>
            <w:tcW w:w="6858" w:type="dxa"/>
            <w:shd w:val="clear" w:color="auto" w:fill="auto"/>
          </w:tcPr>
          <w:p w:rsidR="000D4B8A" w:rsidRPr="0008684C" w:rsidRDefault="000D4B8A" w:rsidP="00C93268">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A number of services developed to provide immediate health care and longer-term emotional and practical support for Victims of sexual assault.</w:t>
            </w:r>
          </w:p>
        </w:tc>
      </w:tr>
      <w:tr w:rsidR="000D4B8A" w:rsidRPr="0008684C" w:rsidTr="00401CB4">
        <w:tc>
          <w:tcPr>
            <w:tcW w:w="2322"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Performance Indicators</w:t>
            </w:r>
          </w:p>
        </w:tc>
        <w:tc>
          <w:tcPr>
            <w:tcW w:w="6858"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Those measures of the performance of the Service set out in Appendix 2.</w:t>
            </w:r>
          </w:p>
        </w:tc>
      </w:tr>
      <w:tr w:rsidR="000D4B8A" w:rsidRPr="0008684C" w:rsidTr="00401CB4">
        <w:tc>
          <w:tcPr>
            <w:tcW w:w="2322"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Rape</w:t>
            </w:r>
          </w:p>
        </w:tc>
        <w:tc>
          <w:tcPr>
            <w:tcW w:w="6858"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Intentional penetration of the vagina, anus or mouth of another person with his penis.</w:t>
            </w:r>
          </w:p>
        </w:tc>
      </w:tr>
      <w:tr w:rsidR="000D4B8A" w:rsidRPr="0008684C" w:rsidTr="00401CB4">
        <w:trPr>
          <w:trHeight w:val="96"/>
        </w:trPr>
        <w:tc>
          <w:tcPr>
            <w:tcW w:w="2322"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SARC Management</w:t>
            </w:r>
          </w:p>
        </w:tc>
        <w:tc>
          <w:tcPr>
            <w:tcW w:w="6858"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The staff or organisation with responsibility for managing the effective operation of SARC and co-ordinating services for Service Users.</w:t>
            </w:r>
          </w:p>
        </w:tc>
      </w:tr>
      <w:tr w:rsidR="000D4B8A" w:rsidRPr="0008684C" w:rsidTr="00401CB4">
        <w:tc>
          <w:tcPr>
            <w:tcW w:w="2322"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Serious Incident</w:t>
            </w:r>
          </w:p>
        </w:tc>
        <w:tc>
          <w:tcPr>
            <w:tcW w:w="6858"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An incident as defined in ‘National Framework for Reporting and Learning from Serious Incidents Requiring Investigation’ (NPSA; 2010)</w:t>
            </w:r>
            <w:r w:rsidR="005013A5">
              <w:rPr>
                <w:rFonts w:asciiTheme="minorHAnsi" w:hAnsiTheme="minorHAnsi"/>
                <w:color w:val="auto"/>
                <w:sz w:val="24"/>
                <w:szCs w:val="24"/>
              </w:rPr>
              <w:t xml:space="preserve">  </w:t>
            </w:r>
          </w:p>
        </w:tc>
      </w:tr>
      <w:tr w:rsidR="000D4B8A" w:rsidRPr="0008684C" w:rsidTr="00401CB4">
        <w:tc>
          <w:tcPr>
            <w:tcW w:w="2322" w:type="dxa"/>
            <w:shd w:val="clear" w:color="auto" w:fill="auto"/>
          </w:tcPr>
          <w:p w:rsidR="000D4B8A" w:rsidRPr="00E634F2" w:rsidRDefault="000D4B8A" w:rsidP="00401CB4">
            <w:pPr>
              <w:spacing w:before="0" w:beforeAutospacing="0" w:after="0" w:line="240" w:lineRule="auto"/>
              <w:rPr>
                <w:rFonts w:asciiTheme="minorHAnsi" w:hAnsiTheme="minorHAnsi"/>
                <w:color w:val="auto"/>
                <w:sz w:val="24"/>
                <w:szCs w:val="24"/>
              </w:rPr>
            </w:pPr>
            <w:r w:rsidRPr="00E634F2">
              <w:rPr>
                <w:rFonts w:asciiTheme="minorHAnsi" w:hAnsiTheme="minorHAnsi"/>
                <w:color w:val="auto"/>
                <w:sz w:val="24"/>
                <w:szCs w:val="24"/>
              </w:rPr>
              <w:t>Service</w:t>
            </w:r>
          </w:p>
        </w:tc>
        <w:tc>
          <w:tcPr>
            <w:tcW w:w="6858" w:type="dxa"/>
            <w:shd w:val="clear" w:color="auto" w:fill="auto"/>
          </w:tcPr>
          <w:p w:rsidR="000D4B8A" w:rsidRPr="00E634F2" w:rsidRDefault="005013A5" w:rsidP="005013A5">
            <w:pPr>
              <w:spacing w:before="0" w:beforeAutospacing="0" w:after="0" w:line="240" w:lineRule="auto"/>
              <w:rPr>
                <w:rFonts w:asciiTheme="minorHAnsi" w:hAnsiTheme="minorHAnsi"/>
                <w:color w:val="auto"/>
                <w:sz w:val="24"/>
                <w:szCs w:val="24"/>
              </w:rPr>
            </w:pPr>
            <w:r w:rsidRPr="00E634F2">
              <w:rPr>
                <w:rFonts w:asciiTheme="minorHAnsi" w:hAnsiTheme="minorHAnsi"/>
                <w:color w:val="auto"/>
                <w:sz w:val="24"/>
                <w:szCs w:val="24"/>
              </w:rPr>
              <w:t>SARC Services</w:t>
            </w:r>
          </w:p>
        </w:tc>
      </w:tr>
      <w:tr w:rsidR="000D4B8A" w:rsidRPr="0008684C" w:rsidTr="00401CB4">
        <w:tc>
          <w:tcPr>
            <w:tcW w:w="2322"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Service User</w:t>
            </w:r>
          </w:p>
        </w:tc>
        <w:tc>
          <w:tcPr>
            <w:tcW w:w="6858"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A person who has been a Victim of a sexual assault or sexual abuse and who has contacted or is receiving services from the Service.</w:t>
            </w:r>
          </w:p>
        </w:tc>
      </w:tr>
      <w:tr w:rsidR="000D4B8A" w:rsidRPr="0008684C" w:rsidTr="00401CB4">
        <w:tc>
          <w:tcPr>
            <w:tcW w:w="2322"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Sexual assault, sexual violence, sexual abuse</w:t>
            </w:r>
          </w:p>
        </w:tc>
        <w:tc>
          <w:tcPr>
            <w:tcW w:w="6858"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 xml:space="preserve">These terms are used interchangeably within the specification and not necessarily in their technical or legal definitions to refer to an act of touching or penetration committed by person </w:t>
            </w:r>
            <w:proofErr w:type="gramStart"/>
            <w:r w:rsidRPr="0008684C">
              <w:rPr>
                <w:rFonts w:asciiTheme="minorHAnsi" w:hAnsiTheme="minorHAnsi"/>
                <w:color w:val="auto"/>
                <w:sz w:val="24"/>
                <w:szCs w:val="24"/>
              </w:rPr>
              <w:t>A</w:t>
            </w:r>
            <w:proofErr w:type="gramEnd"/>
            <w:r w:rsidRPr="0008684C">
              <w:rPr>
                <w:rFonts w:asciiTheme="minorHAnsi" w:hAnsiTheme="minorHAnsi"/>
                <w:color w:val="auto"/>
                <w:sz w:val="24"/>
                <w:szCs w:val="24"/>
              </w:rPr>
              <w:t xml:space="preserve"> on person B, where that act is sexual and the person A does not reasonably believe that B consents. </w:t>
            </w:r>
            <w:r w:rsidR="005013A5">
              <w:rPr>
                <w:rFonts w:asciiTheme="minorHAnsi" w:hAnsiTheme="minorHAnsi"/>
                <w:color w:val="auto"/>
                <w:sz w:val="24"/>
                <w:szCs w:val="24"/>
              </w:rPr>
              <w:t xml:space="preserve">  </w:t>
            </w:r>
          </w:p>
        </w:tc>
      </w:tr>
      <w:tr w:rsidR="00651F07" w:rsidRPr="0008684C" w:rsidTr="00AA1DC7">
        <w:tc>
          <w:tcPr>
            <w:tcW w:w="2322" w:type="dxa"/>
            <w:shd w:val="clear" w:color="auto" w:fill="auto"/>
          </w:tcPr>
          <w:p w:rsidR="00651F07" w:rsidRPr="0008684C" w:rsidRDefault="00651F07">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Sexual Assault Referral Centre (</w:t>
            </w:r>
            <w:r w:rsidR="007D747D" w:rsidRPr="0008684C">
              <w:rPr>
                <w:rFonts w:asciiTheme="minorHAnsi" w:hAnsiTheme="minorHAnsi"/>
                <w:color w:val="auto"/>
                <w:sz w:val="24"/>
                <w:szCs w:val="24"/>
              </w:rPr>
              <w:t>SARC</w:t>
            </w:r>
            <w:r w:rsidRPr="0008684C">
              <w:rPr>
                <w:rFonts w:asciiTheme="minorHAnsi" w:hAnsiTheme="minorHAnsi"/>
                <w:color w:val="auto"/>
                <w:sz w:val="24"/>
                <w:szCs w:val="24"/>
              </w:rPr>
              <w:t>)</w:t>
            </w:r>
          </w:p>
        </w:tc>
        <w:tc>
          <w:tcPr>
            <w:tcW w:w="6858" w:type="dxa"/>
            <w:shd w:val="clear" w:color="auto" w:fill="auto"/>
          </w:tcPr>
          <w:p w:rsidR="00651F07" w:rsidRPr="0008684C" w:rsidRDefault="00651F07" w:rsidP="003B4CFF">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A one-stop service centre where forensic-medical examinations are conducted, police interviews with Victims can be undertaken and which provides advice on accessing support, health and other services.</w:t>
            </w:r>
          </w:p>
        </w:tc>
      </w:tr>
      <w:tr w:rsidR="000D4B8A" w:rsidRPr="0008684C" w:rsidTr="00401CB4">
        <w:tc>
          <w:tcPr>
            <w:tcW w:w="2322"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Sexual Offence Examination</w:t>
            </w:r>
          </w:p>
        </w:tc>
        <w:tc>
          <w:tcPr>
            <w:tcW w:w="6858"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A medical examination and where appropriate, an examination including the recording and retrieval of evidence of injuries and forensic samples.</w:t>
            </w:r>
          </w:p>
        </w:tc>
      </w:tr>
      <w:tr w:rsidR="000D4B8A" w:rsidRPr="0008684C" w:rsidDel="00272704" w:rsidTr="00401CB4">
        <w:trPr>
          <w:trHeight w:val="1100"/>
        </w:trPr>
        <w:tc>
          <w:tcPr>
            <w:tcW w:w="2322" w:type="dxa"/>
            <w:shd w:val="clear" w:color="auto" w:fill="auto"/>
          </w:tcPr>
          <w:p w:rsidR="000D4B8A" w:rsidRPr="0008684C" w:rsidDel="00272704" w:rsidRDefault="00507910" w:rsidP="00401CB4">
            <w:pPr>
              <w:spacing w:before="0" w:beforeAutospacing="0" w:after="0" w:line="240" w:lineRule="auto"/>
              <w:rPr>
                <w:rFonts w:asciiTheme="minorHAnsi" w:hAnsiTheme="minorHAnsi"/>
                <w:color w:val="auto"/>
                <w:sz w:val="24"/>
                <w:szCs w:val="24"/>
              </w:rPr>
            </w:pPr>
            <w:r>
              <w:rPr>
                <w:rFonts w:asciiTheme="minorHAnsi" w:hAnsiTheme="minorHAnsi"/>
                <w:color w:val="auto"/>
                <w:sz w:val="24"/>
                <w:szCs w:val="24"/>
              </w:rPr>
              <w:t>Sexual Offences Liaison Officer</w:t>
            </w:r>
          </w:p>
          <w:p w:rsidR="000D4B8A" w:rsidRPr="0008684C" w:rsidDel="00272704" w:rsidRDefault="00507910" w:rsidP="00401CB4">
            <w:pPr>
              <w:spacing w:before="0" w:beforeAutospacing="0" w:after="0" w:line="240" w:lineRule="auto"/>
              <w:rPr>
                <w:rFonts w:asciiTheme="minorHAnsi" w:hAnsiTheme="minorHAnsi"/>
                <w:color w:val="auto"/>
                <w:sz w:val="24"/>
                <w:szCs w:val="24"/>
              </w:rPr>
            </w:pPr>
            <w:r>
              <w:rPr>
                <w:rFonts w:asciiTheme="minorHAnsi" w:hAnsiTheme="minorHAnsi"/>
                <w:color w:val="auto"/>
                <w:sz w:val="24"/>
                <w:szCs w:val="24"/>
              </w:rPr>
              <w:t>(S0L</w:t>
            </w:r>
            <w:r w:rsidR="000D4B8A" w:rsidRPr="0008684C" w:rsidDel="00272704">
              <w:rPr>
                <w:rFonts w:asciiTheme="minorHAnsi" w:hAnsiTheme="minorHAnsi"/>
                <w:color w:val="auto"/>
                <w:sz w:val="24"/>
                <w:szCs w:val="24"/>
              </w:rPr>
              <w:t>O)</w:t>
            </w:r>
          </w:p>
        </w:tc>
        <w:tc>
          <w:tcPr>
            <w:tcW w:w="6858" w:type="dxa"/>
            <w:shd w:val="clear" w:color="auto" w:fill="auto"/>
          </w:tcPr>
          <w:p w:rsidR="000D4B8A" w:rsidRPr="0008684C" w:rsidDel="00272704" w:rsidRDefault="000D4B8A" w:rsidP="00507910">
            <w:pPr>
              <w:spacing w:before="0" w:beforeAutospacing="0" w:after="0" w:line="240" w:lineRule="auto"/>
              <w:rPr>
                <w:rFonts w:asciiTheme="minorHAnsi" w:hAnsiTheme="minorHAnsi"/>
                <w:color w:val="auto"/>
                <w:sz w:val="24"/>
                <w:szCs w:val="24"/>
              </w:rPr>
            </w:pPr>
            <w:r w:rsidRPr="0008684C" w:rsidDel="00272704">
              <w:rPr>
                <w:rFonts w:asciiTheme="minorHAnsi" w:hAnsiTheme="minorHAnsi"/>
                <w:color w:val="auto"/>
                <w:sz w:val="24"/>
                <w:szCs w:val="24"/>
              </w:rPr>
              <w:t xml:space="preserve">A police officer </w:t>
            </w:r>
            <w:r w:rsidRPr="00507910" w:rsidDel="00272704">
              <w:rPr>
                <w:rFonts w:asciiTheme="minorHAnsi" w:hAnsiTheme="minorHAnsi"/>
                <w:color w:val="auto"/>
                <w:sz w:val="24"/>
                <w:szCs w:val="24"/>
              </w:rPr>
              <w:t>who has undertaken rigorous training to work with complainants of sexual violence.</w:t>
            </w:r>
            <w:r w:rsidR="005013A5" w:rsidRPr="00507910">
              <w:rPr>
                <w:rFonts w:asciiTheme="minorHAnsi" w:hAnsiTheme="minorHAnsi"/>
                <w:color w:val="auto"/>
                <w:sz w:val="24"/>
                <w:szCs w:val="24"/>
              </w:rPr>
              <w:t xml:space="preserve"> </w:t>
            </w:r>
          </w:p>
        </w:tc>
      </w:tr>
      <w:tr w:rsidR="000D4B8A" w:rsidRPr="0008684C" w:rsidTr="00401CB4">
        <w:tc>
          <w:tcPr>
            <w:tcW w:w="2322"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Staff</w:t>
            </w:r>
          </w:p>
        </w:tc>
        <w:tc>
          <w:tcPr>
            <w:tcW w:w="6858" w:type="dxa"/>
            <w:shd w:val="clear" w:color="auto" w:fill="auto"/>
          </w:tcPr>
          <w:p w:rsidR="000D4B8A" w:rsidRPr="0008684C" w:rsidRDefault="000D4B8A" w:rsidP="00942D90">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Where part of the service model, this will include any apprentices or other individuals involved in providing the Service.</w:t>
            </w:r>
          </w:p>
        </w:tc>
      </w:tr>
      <w:tr w:rsidR="000D4B8A" w:rsidRPr="0008684C" w:rsidTr="00401CB4">
        <w:tc>
          <w:tcPr>
            <w:tcW w:w="2322"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Third Sector</w:t>
            </w:r>
          </w:p>
        </w:tc>
        <w:tc>
          <w:tcPr>
            <w:tcW w:w="6858"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Voluntary, community, faith and social enterprise organisations</w:t>
            </w:r>
          </w:p>
        </w:tc>
      </w:tr>
      <w:tr w:rsidR="000D4B8A" w:rsidRPr="0008684C" w:rsidTr="00401CB4">
        <w:tc>
          <w:tcPr>
            <w:tcW w:w="2322" w:type="dxa"/>
            <w:shd w:val="clear" w:color="auto" w:fill="auto"/>
          </w:tcPr>
          <w:p w:rsidR="000D4B8A" w:rsidRPr="0008684C" w:rsidRDefault="000D4B8A" w:rsidP="00401CB4">
            <w:pPr>
              <w:spacing w:before="0" w:beforeAutospacing="0" w:after="0" w:line="240" w:lineRule="auto"/>
              <w:rPr>
                <w:rFonts w:asciiTheme="minorHAnsi" w:hAnsiTheme="minorHAnsi"/>
                <w:color w:val="auto"/>
                <w:sz w:val="24"/>
                <w:szCs w:val="24"/>
              </w:rPr>
            </w:pPr>
            <w:r w:rsidRPr="0008684C">
              <w:rPr>
                <w:rFonts w:asciiTheme="minorHAnsi" w:hAnsiTheme="minorHAnsi"/>
                <w:color w:val="auto"/>
                <w:sz w:val="24"/>
                <w:szCs w:val="24"/>
              </w:rPr>
              <w:t>Victim</w:t>
            </w:r>
          </w:p>
        </w:tc>
        <w:tc>
          <w:tcPr>
            <w:tcW w:w="6858" w:type="dxa"/>
            <w:shd w:val="clear" w:color="auto" w:fill="auto"/>
          </w:tcPr>
          <w:p w:rsidR="000D4B8A" w:rsidRPr="0008684C" w:rsidRDefault="000D4B8A" w:rsidP="00C93268">
            <w:pPr>
              <w:spacing w:before="0" w:beforeAutospacing="0" w:after="0" w:line="240" w:lineRule="auto"/>
              <w:rPr>
                <w:rFonts w:asciiTheme="minorHAnsi" w:hAnsiTheme="minorHAnsi"/>
                <w:color w:val="auto"/>
                <w:sz w:val="24"/>
                <w:szCs w:val="24"/>
              </w:rPr>
            </w:pPr>
            <w:r w:rsidRPr="00507910">
              <w:rPr>
                <w:rFonts w:asciiTheme="minorHAnsi" w:hAnsiTheme="minorHAnsi"/>
                <w:color w:val="auto"/>
                <w:sz w:val="24"/>
                <w:szCs w:val="24"/>
              </w:rPr>
              <w:t>A person who has made an allegation that they have been the subject to a sexual assault (including sexual abuse and sexual exploitation) or, in some cases of vulnerable children or adults, where sexual assault is suspected but has not been disclosed by the person. There are varying views on the most appropriate terminology to be used, to avoid labelling the person in any way and the use the term in this document is in the defined context only.</w:t>
            </w:r>
            <w:r w:rsidRPr="00507910" w:rsidDel="00D60306">
              <w:rPr>
                <w:rFonts w:asciiTheme="minorHAnsi" w:hAnsiTheme="minorHAnsi"/>
                <w:color w:val="auto"/>
                <w:sz w:val="24"/>
                <w:szCs w:val="24"/>
              </w:rPr>
              <w:t xml:space="preserve"> </w:t>
            </w:r>
            <w:r w:rsidR="00581FD0" w:rsidRPr="00507910">
              <w:rPr>
                <w:rFonts w:asciiTheme="minorHAnsi" w:hAnsiTheme="minorHAnsi"/>
                <w:color w:val="auto"/>
                <w:sz w:val="24"/>
                <w:szCs w:val="24"/>
              </w:rPr>
              <w:t xml:space="preserve">  This is being discussed at a national level at this time and there is a suggestion that the term victim is replaced with ‘complainant’.</w:t>
            </w:r>
          </w:p>
        </w:tc>
      </w:tr>
    </w:tbl>
    <w:p w:rsidR="007D11E1" w:rsidRPr="0008684C" w:rsidRDefault="007D11E1" w:rsidP="007D11E1">
      <w:pPr>
        <w:spacing w:before="0" w:beforeAutospacing="0" w:after="0" w:line="240" w:lineRule="auto"/>
        <w:rPr>
          <w:rFonts w:asciiTheme="minorHAnsi" w:hAnsiTheme="minorHAnsi"/>
          <w:color w:val="auto"/>
          <w:sz w:val="24"/>
          <w:szCs w:val="24"/>
        </w:rPr>
      </w:pPr>
    </w:p>
    <w:p w:rsidR="00DD336A" w:rsidRPr="0008684C" w:rsidRDefault="00DD336A">
      <w:pPr>
        <w:rPr>
          <w:rFonts w:asciiTheme="minorHAnsi" w:hAnsiTheme="minorHAnsi"/>
          <w:b/>
          <w:color w:val="auto"/>
          <w:sz w:val="24"/>
          <w:szCs w:val="24"/>
        </w:rPr>
      </w:pPr>
      <w:bookmarkStart w:id="5" w:name="_Toc413761116"/>
      <w:bookmarkStart w:id="6" w:name="_Toc413826963"/>
      <w:r w:rsidRPr="0008684C">
        <w:br w:type="page"/>
      </w:r>
    </w:p>
    <w:p w:rsidR="007D11E1" w:rsidRPr="0008684C" w:rsidRDefault="00C4178C" w:rsidP="005A55AC">
      <w:pPr>
        <w:pStyle w:val="Heading1"/>
      </w:pPr>
      <w:bookmarkStart w:id="7" w:name="_Toc471909178"/>
      <w:r w:rsidRPr="0008684C">
        <w:t>SERVICE PURPOSE AND BACKGROUND</w:t>
      </w:r>
      <w:bookmarkEnd w:id="5"/>
      <w:bookmarkEnd w:id="6"/>
      <w:bookmarkEnd w:id="7"/>
      <w:r w:rsidRPr="0008684C">
        <w:t xml:space="preserve"> </w:t>
      </w:r>
    </w:p>
    <w:p w:rsidR="00BB2EB0" w:rsidRPr="00E77E8A" w:rsidRDefault="00BB2EB0" w:rsidP="00EE2CE2">
      <w:pPr>
        <w:pStyle w:val="Heading2"/>
      </w:pPr>
      <w:bookmarkStart w:id="8" w:name="_Toc471909179"/>
      <w:bookmarkStart w:id="9" w:name="_Toc413826964"/>
      <w:r w:rsidRPr="00E77E8A">
        <w:t>Overview</w:t>
      </w:r>
      <w:bookmarkEnd w:id="8"/>
    </w:p>
    <w:p w:rsidR="001E1E7A" w:rsidRPr="00E77E8A" w:rsidRDefault="001E1E7A" w:rsidP="005A55AC">
      <w:pPr>
        <w:pStyle w:val="Heading3"/>
      </w:pPr>
      <w:r w:rsidRPr="00E77E8A">
        <w:t>A</w:t>
      </w:r>
      <w:r w:rsidR="00D5460E" w:rsidRPr="00E77E8A">
        <w:t xml:space="preserve"> 24/7 Crisis Service </w:t>
      </w:r>
      <w:r w:rsidRPr="00E77E8A">
        <w:t xml:space="preserve">for </w:t>
      </w:r>
      <w:r w:rsidR="00D5460E" w:rsidRPr="00E77E8A">
        <w:t>vict</w:t>
      </w:r>
      <w:r w:rsidRPr="00E77E8A">
        <w:t>ims of rape and sexual violence offering</w:t>
      </w:r>
      <w:r w:rsidR="00D5460E" w:rsidRPr="00E77E8A">
        <w:t xml:space="preserve"> telephone support and opportunities to undergo forensic medical examinations whether</w:t>
      </w:r>
      <w:r w:rsidRPr="00E77E8A">
        <w:t xml:space="preserve"> a complainant is</w:t>
      </w:r>
      <w:r w:rsidR="00D5460E" w:rsidRPr="00E77E8A">
        <w:t xml:space="preserve"> reporting to the police or not</w:t>
      </w:r>
      <w:r w:rsidRPr="00E77E8A">
        <w:t xml:space="preserve"> covering the Northumbria Force area</w:t>
      </w:r>
      <w:r w:rsidR="00D5460E" w:rsidRPr="00E77E8A">
        <w:t xml:space="preserve">.  </w:t>
      </w:r>
      <w:r w:rsidR="00D34F8F" w:rsidRPr="00E77E8A">
        <w:t xml:space="preserve"> </w:t>
      </w:r>
      <w:r w:rsidR="006229BC" w:rsidRPr="00E77E8A">
        <w:t>Th</w:t>
      </w:r>
      <w:r w:rsidR="007571C5" w:rsidRPr="00E77E8A">
        <w:t xml:space="preserve">e Service </w:t>
      </w:r>
      <w:r w:rsidR="006229BC" w:rsidRPr="00E77E8A">
        <w:t>will ensure that each individual Service User receives the most appropriate ca</w:t>
      </w:r>
      <w:r w:rsidRPr="00E77E8A">
        <w:t>re to meet their assessed needs.</w:t>
      </w:r>
    </w:p>
    <w:p w:rsidR="006369A5" w:rsidRPr="0008684C" w:rsidRDefault="006369A5" w:rsidP="005A55AC">
      <w:pPr>
        <w:pStyle w:val="Heading3"/>
      </w:pPr>
      <w:r w:rsidRPr="0008684C">
        <w:t>Sexual violence and abuse can cause severe and long-lasting harm to individuals across a range of health, social and economic factors.  It can worsen the impact of inequalities which mostly affect women (although men make up a significant</w:t>
      </w:r>
      <w:r w:rsidR="00095CEF" w:rsidRPr="0008684C">
        <w:t xml:space="preserve"> and under-recognised group</w:t>
      </w:r>
      <w:r w:rsidRPr="0008684C">
        <w:t xml:space="preserve"> of </w:t>
      </w:r>
      <w:r w:rsidR="00BE504A" w:rsidRPr="0008684C">
        <w:t>Victim</w:t>
      </w:r>
      <w:r w:rsidRPr="0008684C">
        <w:t xml:space="preserve">s), the vulnerable and the disadvantaged, and are often linked to domestic </w:t>
      </w:r>
      <w:r w:rsidR="004479B6" w:rsidRPr="0008684C">
        <w:t>abuse</w:t>
      </w:r>
      <w:r w:rsidRPr="0008684C">
        <w:t>.  Long-term effects can include depression, anxiety, post</w:t>
      </w:r>
      <w:r w:rsidR="00EC71C5">
        <w:t>-</w:t>
      </w:r>
      <w:r w:rsidRPr="0008684C">
        <w:t xml:space="preserve">traumatic stress disorder, psychosis, drug and substance misuse, self-harm and suicide, of which a higher prevalence is documented amongst young people who have experienced sexual assault. However, when </w:t>
      </w:r>
      <w:r w:rsidR="00281BED" w:rsidRPr="0008684C">
        <w:t>Victim</w:t>
      </w:r>
      <w:r w:rsidRPr="0008684C">
        <w:t xml:space="preserve">s receive the support they need when they need it, they are more likely to take positive steps to recovery. It is therefore important that </w:t>
      </w:r>
      <w:r w:rsidR="00281BED" w:rsidRPr="0008684C">
        <w:rPr>
          <w:lang w:eastAsia="en-US"/>
        </w:rPr>
        <w:t>Victim</w:t>
      </w:r>
      <w:r w:rsidRPr="0008684C">
        <w:rPr>
          <w:lang w:eastAsia="en-US"/>
        </w:rPr>
        <w:t>s</w:t>
      </w:r>
      <w:r w:rsidRPr="0008684C">
        <w:t xml:space="preserve"> of sexual violence have good access to effective services, whether or not they wish to report incidents to the police. </w:t>
      </w:r>
    </w:p>
    <w:p w:rsidR="007D11E1" w:rsidRPr="0008684C" w:rsidRDefault="007D11E1" w:rsidP="00EE2CE2">
      <w:pPr>
        <w:pStyle w:val="Heading2"/>
      </w:pPr>
      <w:bookmarkStart w:id="10" w:name="_Toc471909180"/>
      <w:r w:rsidRPr="0008684C">
        <w:t>Outcomes</w:t>
      </w:r>
      <w:bookmarkEnd w:id="9"/>
      <w:bookmarkEnd w:id="10"/>
      <w:r w:rsidRPr="0008684C">
        <w:t xml:space="preserve">  </w:t>
      </w:r>
    </w:p>
    <w:p w:rsidR="00210392" w:rsidRPr="0008684C" w:rsidRDefault="00210392" w:rsidP="005A55AC">
      <w:pPr>
        <w:pStyle w:val="Heading3"/>
      </w:pPr>
      <w:r w:rsidRPr="0008684C">
        <w:t>The overarching outcome for the service is to enable Service Users to cope</w:t>
      </w:r>
      <w:r w:rsidR="007571C5" w:rsidRPr="0008684C">
        <w:t xml:space="preserve"> and recover from their assault or abuse</w:t>
      </w:r>
      <w:r w:rsidRPr="0008684C">
        <w:t>, without the need from long-term support or medical care</w:t>
      </w:r>
      <w:r w:rsidR="004479B6" w:rsidRPr="0008684C">
        <w:t>,</w:t>
      </w:r>
      <w:r w:rsidRPr="0008684C">
        <w:t xml:space="preserve"> and to</w:t>
      </w:r>
      <w:r w:rsidR="007571C5" w:rsidRPr="0008684C">
        <w:t xml:space="preserve"> support them to</w:t>
      </w:r>
      <w:r w:rsidRPr="0008684C">
        <w:t xml:space="preserve"> </w:t>
      </w:r>
      <w:r w:rsidR="00621A0B" w:rsidRPr="0008684C">
        <w:t>recover as much as possible and develop</w:t>
      </w:r>
      <w:r w:rsidRPr="0008684C">
        <w:t xml:space="preserve"> a good quality of life.</w:t>
      </w:r>
    </w:p>
    <w:p w:rsidR="006229BC" w:rsidRPr="0008684C" w:rsidRDefault="006229BC" w:rsidP="005A55AC">
      <w:pPr>
        <w:pStyle w:val="Heading3"/>
      </w:pPr>
      <w:r w:rsidRPr="0008684C">
        <w:t>The Service will have the following outcomes:</w:t>
      </w:r>
    </w:p>
    <w:p w:rsidR="00E75E54" w:rsidRPr="0008684C" w:rsidRDefault="00E75E54" w:rsidP="00882B47">
      <w:pPr>
        <w:pStyle w:val="Bullets"/>
      </w:pPr>
      <w:r w:rsidRPr="0008684C">
        <w:t xml:space="preserve">Improved ability of </w:t>
      </w:r>
      <w:r w:rsidR="00BE504A" w:rsidRPr="0008684C">
        <w:t>Victim</w:t>
      </w:r>
      <w:r w:rsidRPr="0008684C">
        <w:t>s to cope with the aftermath of a sexual assault or sexual abuse.</w:t>
      </w:r>
    </w:p>
    <w:p w:rsidR="00E75E54" w:rsidRPr="0008684C" w:rsidRDefault="00E75E54" w:rsidP="00882B47">
      <w:pPr>
        <w:pStyle w:val="Bullets"/>
      </w:pPr>
      <w:r w:rsidRPr="0008684C">
        <w:t xml:space="preserve">Reduced long-term impact of a sexual offence on the </w:t>
      </w:r>
      <w:r w:rsidR="00BE504A" w:rsidRPr="0008684C">
        <w:t>Victim</w:t>
      </w:r>
      <w:r w:rsidRPr="0008684C">
        <w:t xml:space="preserve">, in terms of their mental well-being, sexual and wider health and overall quality of life and reduce repeat </w:t>
      </w:r>
      <w:r w:rsidR="00621A0B" w:rsidRPr="0008684C">
        <w:t>v</w:t>
      </w:r>
      <w:r w:rsidR="00BE504A" w:rsidRPr="0008684C">
        <w:t>ictim</w:t>
      </w:r>
      <w:r w:rsidRPr="0008684C">
        <w:t>isation resulting from increased vulnerability</w:t>
      </w:r>
      <w:r w:rsidR="007571C5" w:rsidRPr="0008684C">
        <w:t>, which also reduces long-term costs for services</w:t>
      </w:r>
      <w:r w:rsidRPr="0008684C">
        <w:t>.</w:t>
      </w:r>
    </w:p>
    <w:p w:rsidR="00E75E54" w:rsidRPr="0008684C" w:rsidRDefault="00E75E54" w:rsidP="00882B47">
      <w:pPr>
        <w:pStyle w:val="Bullets"/>
      </w:pPr>
      <w:r w:rsidRPr="0008684C">
        <w:t xml:space="preserve">Increased number of </w:t>
      </w:r>
      <w:r w:rsidR="00BE504A" w:rsidRPr="0008684C">
        <w:t>Victim</w:t>
      </w:r>
      <w:r w:rsidRPr="0008684C">
        <w:t xml:space="preserve">s coming forward to report and seek support following sexual assault or abuse, as police and self-referrals, including from underrepresented groups, leading to an increase in cases referred to CPS, increased prosecutions and increased safeguarding of vulnerable children or adults. </w:t>
      </w:r>
    </w:p>
    <w:p w:rsidR="00271D28" w:rsidRPr="0008684C" w:rsidRDefault="00271D28" w:rsidP="00882B47">
      <w:pPr>
        <w:pStyle w:val="Bullets"/>
      </w:pPr>
      <w:r w:rsidRPr="0008684C">
        <w:t xml:space="preserve">Improved </w:t>
      </w:r>
      <w:r w:rsidR="00BE504A" w:rsidRPr="0008684C">
        <w:t>Victim</w:t>
      </w:r>
      <w:r w:rsidRPr="0008684C">
        <w:t xml:space="preserve"> confidence in reporting to the police, resulting in increased reporting</w:t>
      </w:r>
      <w:r w:rsidR="00621A0B" w:rsidRPr="0008684C">
        <w:t>.</w:t>
      </w:r>
    </w:p>
    <w:p w:rsidR="00CE5738" w:rsidRPr="0008684C" w:rsidRDefault="00CE5738" w:rsidP="00882B47">
      <w:pPr>
        <w:pStyle w:val="Bullets"/>
      </w:pPr>
      <w:r w:rsidRPr="0008684C">
        <w:t>Enhanced outcomes for Service Users as well as reducing longer-term demands on the NHS and other services through early intervention.</w:t>
      </w:r>
    </w:p>
    <w:p w:rsidR="007D11E1" w:rsidRPr="0008684C" w:rsidRDefault="00E75E54" w:rsidP="00EE2CE2">
      <w:pPr>
        <w:pStyle w:val="Heading2"/>
      </w:pPr>
      <w:bookmarkStart w:id="11" w:name="_Toc471909181"/>
      <w:r w:rsidRPr="0008684C">
        <w:t>Aims and O</w:t>
      </w:r>
      <w:r w:rsidR="007D11E1" w:rsidRPr="0008684C">
        <w:t>bjectives</w:t>
      </w:r>
      <w:bookmarkEnd w:id="11"/>
    </w:p>
    <w:p w:rsidR="00210392" w:rsidRPr="0008684C" w:rsidRDefault="00210392" w:rsidP="005A55AC">
      <w:pPr>
        <w:pStyle w:val="Heading3"/>
      </w:pPr>
      <w:r w:rsidRPr="0008684C">
        <w:t>The aims of the Service are to:</w:t>
      </w:r>
    </w:p>
    <w:p w:rsidR="00210392" w:rsidRPr="0008684C" w:rsidRDefault="00210392" w:rsidP="00210392">
      <w:pPr>
        <w:pStyle w:val="Bullets"/>
      </w:pPr>
      <w:r w:rsidRPr="0008684C">
        <w:t xml:space="preserve">Provide an unbiased, independent service which is </w:t>
      </w:r>
      <w:r w:rsidR="00621A0B" w:rsidRPr="0008684C">
        <w:t>sensitive to gender and</w:t>
      </w:r>
      <w:r w:rsidRPr="0008684C">
        <w:t xml:space="preserve"> for adults, children and young people.</w:t>
      </w:r>
    </w:p>
    <w:p w:rsidR="00EC7CA0" w:rsidRPr="0008684C" w:rsidRDefault="00210392" w:rsidP="00EC7CA0">
      <w:pPr>
        <w:pStyle w:val="Bullets"/>
      </w:pPr>
      <w:r w:rsidRPr="0008684C">
        <w:t>Offer a</w:t>
      </w:r>
      <w:r w:rsidR="00EC7CA0" w:rsidRPr="0008684C">
        <w:t xml:space="preserve"> </w:t>
      </w:r>
      <w:r w:rsidR="007571C5" w:rsidRPr="0008684C">
        <w:t>S</w:t>
      </w:r>
      <w:r w:rsidR="00EC7CA0" w:rsidRPr="0008684C">
        <w:t>ervice which is Service User</w:t>
      </w:r>
      <w:r w:rsidRPr="0008684C">
        <w:t xml:space="preserve">-orientated and delivered in </w:t>
      </w:r>
      <w:r w:rsidR="00EC7CA0" w:rsidRPr="0008684C">
        <w:t>a manner which suits the Service User</w:t>
      </w:r>
      <w:r w:rsidRPr="0008684C">
        <w:t>’s needs and preferences within the services on offer</w:t>
      </w:r>
      <w:r w:rsidR="00EC7CA0" w:rsidRPr="0008684C">
        <w:t xml:space="preserve">, in a manner which treats </w:t>
      </w:r>
      <w:r w:rsidR="00337013" w:rsidRPr="0008684C">
        <w:t>Service User</w:t>
      </w:r>
      <w:r w:rsidR="00EC7CA0" w:rsidRPr="0008684C">
        <w:t>s with dignity and respect and which promotes confidentiality</w:t>
      </w:r>
      <w:r w:rsidR="00E75E54" w:rsidRPr="0008684C">
        <w:t>, discretion</w:t>
      </w:r>
      <w:r w:rsidR="00EC7CA0" w:rsidRPr="0008684C">
        <w:t xml:space="preserve"> and sensitivity.</w:t>
      </w:r>
    </w:p>
    <w:p w:rsidR="00D86BF4" w:rsidRPr="0008684C" w:rsidRDefault="00210392" w:rsidP="00A21F2D">
      <w:pPr>
        <w:pStyle w:val="Bullets"/>
      </w:pPr>
      <w:r w:rsidRPr="0008684C">
        <w:t>Provide a</w:t>
      </w:r>
      <w:r w:rsidR="00D86BF4" w:rsidRPr="0008684C">
        <w:t xml:space="preserve">ccess to the same quality service for </w:t>
      </w:r>
      <w:r w:rsidR="00BE504A" w:rsidRPr="0008684C">
        <w:t>Victim</w:t>
      </w:r>
      <w:r w:rsidR="00D86BF4" w:rsidRPr="0008684C">
        <w:t xml:space="preserve">s </w:t>
      </w:r>
      <w:r w:rsidR="001E1E7A">
        <w:t>wherever they live in the Force area</w:t>
      </w:r>
      <w:r w:rsidR="00882B47" w:rsidRPr="0008684C">
        <w:t>.</w:t>
      </w:r>
    </w:p>
    <w:p w:rsidR="00B05605" w:rsidRPr="00731C81" w:rsidRDefault="00210392" w:rsidP="00731C81">
      <w:pPr>
        <w:pStyle w:val="Bullets"/>
        <w:rPr>
          <w:strike/>
        </w:rPr>
      </w:pPr>
      <w:r w:rsidRPr="0008684C">
        <w:t>Provide a</w:t>
      </w:r>
      <w:r w:rsidR="00271D28" w:rsidRPr="0008684C">
        <w:t xml:space="preserve"> seamless service to the </w:t>
      </w:r>
      <w:r w:rsidR="00BE504A" w:rsidRPr="0008684C">
        <w:t>Victim</w:t>
      </w:r>
      <w:r w:rsidRPr="0008684C">
        <w:t xml:space="preserve"> </w:t>
      </w:r>
      <w:r w:rsidR="00271D28" w:rsidRPr="0008684C">
        <w:t xml:space="preserve">ensuring that there is on-going support </w:t>
      </w:r>
    </w:p>
    <w:p w:rsidR="00271D28" w:rsidRPr="0008684C" w:rsidRDefault="00210392" w:rsidP="00A21F2D">
      <w:pPr>
        <w:pStyle w:val="Bullets"/>
      </w:pPr>
      <w:r w:rsidRPr="0008684C">
        <w:t>O</w:t>
      </w:r>
      <w:r w:rsidR="00271D28" w:rsidRPr="0008684C">
        <w:t xml:space="preserve">ffer support to </w:t>
      </w:r>
      <w:r w:rsidR="00BE504A" w:rsidRPr="0008684C">
        <w:t>Victim</w:t>
      </w:r>
      <w:r w:rsidR="00271D28" w:rsidRPr="0008684C">
        <w:t>s who are unsure about reporting to the police to make an informed choice and have support with that process which they might not otherwise have</w:t>
      </w:r>
      <w:r w:rsidR="00882B47" w:rsidRPr="0008684C">
        <w:t>.</w:t>
      </w:r>
    </w:p>
    <w:p w:rsidR="00E75E54" w:rsidRPr="0008684C" w:rsidRDefault="00210392" w:rsidP="00E75E54">
      <w:pPr>
        <w:pStyle w:val="Bullets"/>
      </w:pPr>
      <w:r w:rsidRPr="0008684C">
        <w:t xml:space="preserve">Provide </w:t>
      </w:r>
      <w:r w:rsidR="00E75E54" w:rsidRPr="0008684C">
        <w:t>r</w:t>
      </w:r>
      <w:r w:rsidR="00095CEF" w:rsidRPr="0008684C">
        <w:t xml:space="preserve">eferral to wider </w:t>
      </w:r>
      <w:r w:rsidR="00337013" w:rsidRPr="0008684C">
        <w:t>Service User</w:t>
      </w:r>
      <w:r w:rsidR="00095CEF" w:rsidRPr="0008684C">
        <w:t xml:space="preserve"> support through the follow-on care pathways</w:t>
      </w:r>
      <w:r w:rsidR="00E75E54" w:rsidRPr="0008684C">
        <w:t xml:space="preserve"> which address the </w:t>
      </w:r>
      <w:r w:rsidR="00B736FD" w:rsidRPr="0008684C">
        <w:t>Service User</w:t>
      </w:r>
      <w:r w:rsidR="00E75E54" w:rsidRPr="0008684C">
        <w:t>’s medical, psychosocial and on-going needs</w:t>
      </w:r>
      <w:r w:rsidR="00B1080F" w:rsidRPr="0008684C">
        <w:t xml:space="preserve"> and develop effective partnership working to facilitate this</w:t>
      </w:r>
      <w:r w:rsidR="00E75E54" w:rsidRPr="0008684C">
        <w:t>.</w:t>
      </w:r>
    </w:p>
    <w:p w:rsidR="001B3950" w:rsidRPr="0008684C" w:rsidRDefault="00210392" w:rsidP="00A21F2D">
      <w:pPr>
        <w:pStyle w:val="Bullets"/>
      </w:pPr>
      <w:r w:rsidRPr="0008684C">
        <w:t>I</w:t>
      </w:r>
      <w:r w:rsidR="001B3950" w:rsidRPr="0008684C">
        <w:t xml:space="preserve">mprove the collation of accurate data in respect of sexual violence to assist in the </w:t>
      </w:r>
      <w:r w:rsidRPr="0008684C">
        <w:t xml:space="preserve">implementation of education, </w:t>
      </w:r>
      <w:r w:rsidR="001B3950" w:rsidRPr="0008684C">
        <w:t>prevention</w:t>
      </w:r>
      <w:r w:rsidRPr="0008684C">
        <w:t xml:space="preserve"> and service development</w:t>
      </w:r>
      <w:r w:rsidR="001B3950" w:rsidRPr="0008684C">
        <w:t>.</w:t>
      </w:r>
    </w:p>
    <w:p w:rsidR="00C318FA" w:rsidRPr="0008684C" w:rsidRDefault="007571C5" w:rsidP="00A21F2D">
      <w:pPr>
        <w:pStyle w:val="Bullets"/>
      </w:pPr>
      <w:r w:rsidRPr="0008684C">
        <w:t>Provide i</w:t>
      </w:r>
      <w:r w:rsidR="00C318FA" w:rsidRPr="0008684C">
        <w:t>dentification of ri</w:t>
      </w:r>
      <w:r w:rsidR="00B1080F" w:rsidRPr="0008684C">
        <w:t xml:space="preserve">sk of self-harm, suicide and personal safety issues, </w:t>
      </w:r>
      <w:r w:rsidR="00C318FA" w:rsidRPr="0008684C">
        <w:t xml:space="preserve">reducing the risk to the </w:t>
      </w:r>
      <w:r w:rsidR="00B1080F" w:rsidRPr="0008684C">
        <w:t>Service User.</w:t>
      </w:r>
      <w:r w:rsidR="00C318FA" w:rsidRPr="0008684C">
        <w:t xml:space="preserve"> </w:t>
      </w:r>
    </w:p>
    <w:p w:rsidR="006369A5" w:rsidRPr="0008684C" w:rsidRDefault="006369A5" w:rsidP="00A21F2D">
      <w:pPr>
        <w:pStyle w:val="Bullets"/>
      </w:pPr>
      <w:r w:rsidRPr="0008684C">
        <w:t>Increase access to services and reporting of incidents to the police by males,</w:t>
      </w:r>
      <w:r w:rsidR="007571C5" w:rsidRPr="0008684C">
        <w:t xml:space="preserve"> people who are</w:t>
      </w:r>
      <w:r w:rsidRPr="0008684C">
        <w:t xml:space="preserve"> L</w:t>
      </w:r>
      <w:r w:rsidR="007571C5" w:rsidRPr="0008684C">
        <w:t xml:space="preserve">esbian, Gay, Bisexual and Transgender </w:t>
      </w:r>
      <w:r w:rsidRPr="0008684C">
        <w:t xml:space="preserve">and other underrepresented groups, by developing the data available and </w:t>
      </w:r>
      <w:r w:rsidR="00882B47" w:rsidRPr="0008684C">
        <w:t>working with partners to</w:t>
      </w:r>
      <w:r w:rsidRPr="0008684C">
        <w:t xml:space="preserve"> target promotional work, as well as appropriate services.</w:t>
      </w:r>
    </w:p>
    <w:p w:rsidR="00E75E54" w:rsidRPr="0008684C" w:rsidRDefault="00E75E54" w:rsidP="00E75E54">
      <w:pPr>
        <w:pStyle w:val="Bullets"/>
      </w:pPr>
      <w:r w:rsidRPr="0008684C">
        <w:t>Lead to high levels of Service User satisfaction with the Service.</w:t>
      </w:r>
    </w:p>
    <w:p w:rsidR="00B05605" w:rsidRPr="00B05605" w:rsidRDefault="00882B47" w:rsidP="005A55AC">
      <w:pPr>
        <w:pStyle w:val="Bullets"/>
        <w:spacing w:after="240"/>
        <w:rPr>
          <w:strike/>
        </w:rPr>
      </w:pPr>
      <w:r w:rsidRPr="0008684C">
        <w:t xml:space="preserve">Develop </w:t>
      </w:r>
      <w:r w:rsidR="00E75E54" w:rsidRPr="0008684C">
        <w:t xml:space="preserve">awareness of professionals in relevant agencies of the pathways for referral to services and </w:t>
      </w:r>
      <w:r w:rsidRPr="0008684C">
        <w:t xml:space="preserve">promote </w:t>
      </w:r>
      <w:r w:rsidR="00E75E54" w:rsidRPr="0008684C">
        <w:t>a high level of awareness</w:t>
      </w:r>
      <w:r w:rsidR="00B05605">
        <w:t>.</w:t>
      </w:r>
      <w:r w:rsidR="00E75E54" w:rsidRPr="0008684C">
        <w:t xml:space="preserve"> </w:t>
      </w:r>
    </w:p>
    <w:p w:rsidR="007D11E1" w:rsidRPr="0008684C" w:rsidRDefault="007D11E1" w:rsidP="005A55AC">
      <w:pPr>
        <w:pStyle w:val="Heading1"/>
      </w:pPr>
      <w:bookmarkStart w:id="12" w:name="_Toc413761117"/>
      <w:bookmarkStart w:id="13" w:name="_Toc413826965"/>
      <w:bookmarkStart w:id="14" w:name="_Toc471909182"/>
      <w:r w:rsidRPr="0008684C">
        <w:t>Service Requirements and Delivery</w:t>
      </w:r>
      <w:bookmarkEnd w:id="12"/>
      <w:bookmarkEnd w:id="13"/>
      <w:bookmarkEnd w:id="14"/>
    </w:p>
    <w:p w:rsidR="00C4178C" w:rsidRPr="0008684C" w:rsidRDefault="00DE4E25" w:rsidP="00EE2CE2">
      <w:pPr>
        <w:pStyle w:val="Heading2"/>
      </w:pPr>
      <w:bookmarkStart w:id="15" w:name="_Toc471909183"/>
      <w:r w:rsidRPr="0008684C">
        <w:t>Service Description</w:t>
      </w:r>
      <w:bookmarkEnd w:id="15"/>
    </w:p>
    <w:p w:rsidR="006369A5" w:rsidRPr="0008684C" w:rsidRDefault="006369A5" w:rsidP="005A55AC">
      <w:pPr>
        <w:pStyle w:val="Heading3"/>
      </w:pPr>
      <w:r w:rsidRPr="0008684C">
        <w:t>The aims are f</w:t>
      </w:r>
      <w:r w:rsidR="00274326" w:rsidRPr="0008684C">
        <w:t xml:space="preserve">or the </w:t>
      </w:r>
      <w:r w:rsidR="00F932F7">
        <w:t>Provider</w:t>
      </w:r>
      <w:r w:rsidR="00274326" w:rsidRPr="0008684C">
        <w:t xml:space="preserve"> to deliver a </w:t>
      </w:r>
      <w:r w:rsidRPr="0008684C">
        <w:t xml:space="preserve">service which ensures that each individual </w:t>
      </w:r>
      <w:r w:rsidR="00337013" w:rsidRPr="0008684C">
        <w:t>Service User</w:t>
      </w:r>
      <w:r w:rsidRPr="0008684C">
        <w:t xml:space="preserve"> receives the most appropriate care to meet their assessed </w:t>
      </w:r>
      <w:r w:rsidRPr="00B05605">
        <w:t>needs.  This will take place in a timely manner</w:t>
      </w:r>
      <w:r w:rsidR="00855DCB" w:rsidRPr="00B05605">
        <w:t xml:space="preserve"> on a 24/7basis.  </w:t>
      </w:r>
      <w:r w:rsidR="00C069EC">
        <w:t>Crisis workers will be expected to arrive at the SARC within 60 minutes or at other venues such as a hospital/prison at an agreed time.</w:t>
      </w:r>
      <w:r w:rsidR="00855DCB" w:rsidRPr="00B05605">
        <w:t xml:space="preserve">  </w:t>
      </w:r>
      <w:r w:rsidR="00855DCB">
        <w:t>The service will</w:t>
      </w:r>
      <w:r w:rsidRPr="0008684C">
        <w:t xml:space="preserve"> support the </w:t>
      </w:r>
      <w:r w:rsidR="00337013" w:rsidRPr="0008684C">
        <w:t>Service User</w:t>
      </w:r>
      <w:r w:rsidRPr="0008684C">
        <w:t xml:space="preserve"> through their recovery, assist the investigative process if they wish to pursue a criminal justice outcome, and ultimately reduce the amount of long</w:t>
      </w:r>
      <w:r w:rsidR="008C05F5" w:rsidRPr="0008684C">
        <w:t>-</w:t>
      </w:r>
      <w:r w:rsidRPr="0008684C">
        <w:t xml:space="preserve">term care needed. The </w:t>
      </w:r>
      <w:r w:rsidR="00F932F7">
        <w:t>Provider</w:t>
      </w:r>
      <w:r w:rsidRPr="0008684C">
        <w:t xml:space="preserve"> will:</w:t>
      </w:r>
    </w:p>
    <w:p w:rsidR="00F46C21" w:rsidRPr="002E4284" w:rsidRDefault="00F46C21" w:rsidP="00731C81">
      <w:pPr>
        <w:pStyle w:val="Bullets"/>
        <w:numPr>
          <w:ilvl w:val="0"/>
          <w:numId w:val="0"/>
        </w:numPr>
        <w:ind w:left="720"/>
        <w:jc w:val="left"/>
        <w:rPr>
          <w:b/>
        </w:rPr>
      </w:pPr>
      <w:r w:rsidRPr="002E4284">
        <w:rPr>
          <w:b/>
        </w:rPr>
        <w:t>The service will provide:</w:t>
      </w:r>
    </w:p>
    <w:p w:rsidR="00B17DA4" w:rsidRPr="00B05605" w:rsidRDefault="00B17DA4" w:rsidP="00337013">
      <w:pPr>
        <w:pStyle w:val="Bullets"/>
        <w:jc w:val="left"/>
      </w:pPr>
      <w:r w:rsidRPr="00B05605">
        <w:t xml:space="preserve">Provide a Service that meets the needs of </w:t>
      </w:r>
      <w:r w:rsidR="00F46C21" w:rsidRPr="00B05605">
        <w:t>those aged 16 and over.</w:t>
      </w:r>
    </w:p>
    <w:p w:rsidR="009E3082" w:rsidRPr="0008684C" w:rsidRDefault="009F197B" w:rsidP="00337013">
      <w:pPr>
        <w:pStyle w:val="Bullets"/>
        <w:jc w:val="left"/>
      </w:pPr>
      <w:r w:rsidRPr="0008684C">
        <w:t>Provide a confidential, p</w:t>
      </w:r>
      <w:r w:rsidR="009E3082" w:rsidRPr="0008684C">
        <w:t>rofessional and sensitive service</w:t>
      </w:r>
      <w:r w:rsidR="00945765" w:rsidRPr="0008684C">
        <w:t>, providing dignity and respect and giving the Service User reassurance that they are believed</w:t>
      </w:r>
      <w:r w:rsidR="00B264B9" w:rsidRPr="0008684C">
        <w:t>;</w:t>
      </w:r>
      <w:r w:rsidR="00945765" w:rsidRPr="0008684C">
        <w:t xml:space="preserve"> </w:t>
      </w:r>
    </w:p>
    <w:p w:rsidR="009E3082" w:rsidRPr="0008684C" w:rsidRDefault="009F197B" w:rsidP="00337013">
      <w:pPr>
        <w:pStyle w:val="Bullets"/>
        <w:jc w:val="left"/>
      </w:pPr>
      <w:r w:rsidRPr="0008684C">
        <w:t>Provide a</w:t>
      </w:r>
      <w:r w:rsidR="009E3082" w:rsidRPr="0008684C">
        <w:t>ppropriately qualified, experienced and supported staff</w:t>
      </w:r>
      <w:r w:rsidR="00B264B9" w:rsidRPr="0008684C">
        <w:t>;</w:t>
      </w:r>
    </w:p>
    <w:p w:rsidR="005C28ED" w:rsidRPr="0008684C" w:rsidRDefault="005C28ED" w:rsidP="00337013">
      <w:pPr>
        <w:pStyle w:val="Bullets"/>
        <w:jc w:val="left"/>
      </w:pPr>
      <w:r w:rsidRPr="0008684C">
        <w:t>Work as part of a multi-discip</w:t>
      </w:r>
      <w:r w:rsidR="00B264B9" w:rsidRPr="0008684C">
        <w:t>linary team including the SARC M</w:t>
      </w:r>
      <w:r w:rsidRPr="0008684C">
        <w:t xml:space="preserve">anagement staff to ensure a seamless, sensitive and professional service for the </w:t>
      </w:r>
      <w:r w:rsidR="00337013" w:rsidRPr="0008684C">
        <w:t>Service User</w:t>
      </w:r>
      <w:r w:rsidRPr="0008684C">
        <w:t>.</w:t>
      </w:r>
    </w:p>
    <w:p w:rsidR="00F8537A" w:rsidRDefault="00B17DA4" w:rsidP="00401CB4">
      <w:pPr>
        <w:pStyle w:val="Bullets"/>
        <w:numPr>
          <w:ilvl w:val="0"/>
          <w:numId w:val="0"/>
        </w:numPr>
        <w:ind w:left="714"/>
        <w:jc w:val="left"/>
      </w:pPr>
      <w:r w:rsidRPr="0008684C">
        <w:t xml:space="preserve">*The </w:t>
      </w:r>
      <w:r w:rsidR="004B2C81" w:rsidRPr="0008684C">
        <w:t>Commissioner</w:t>
      </w:r>
      <w:r w:rsidRPr="0008684C">
        <w:t xml:space="preserve"> recognises that for children and young people under the age of 18, the Service cannot be seen as truly independent</w:t>
      </w:r>
      <w:r w:rsidR="003A030B" w:rsidRPr="0008684C">
        <w:t xml:space="preserve"> of the process</w:t>
      </w:r>
      <w:r w:rsidRPr="0008684C">
        <w:t xml:space="preserve"> due to the need to involve safeguarding agencies and those with parental responsibility (see Paragraph 4.8.2).</w:t>
      </w:r>
    </w:p>
    <w:p w:rsidR="00731C81" w:rsidRPr="002E4284" w:rsidRDefault="00731C81" w:rsidP="00401CB4">
      <w:pPr>
        <w:pStyle w:val="Bullets"/>
        <w:numPr>
          <w:ilvl w:val="0"/>
          <w:numId w:val="0"/>
        </w:numPr>
        <w:ind w:left="714"/>
        <w:jc w:val="left"/>
        <w:rPr>
          <w:b/>
        </w:rPr>
      </w:pPr>
      <w:r w:rsidRPr="002E4284">
        <w:rPr>
          <w:b/>
        </w:rPr>
        <w:t>The Role of the Crisis worker:</w:t>
      </w:r>
    </w:p>
    <w:p w:rsidR="0034311F" w:rsidRPr="00512C59" w:rsidRDefault="00731C81" w:rsidP="00731C81">
      <w:pPr>
        <w:pStyle w:val="Bullets"/>
        <w:jc w:val="left"/>
      </w:pPr>
      <w:r w:rsidRPr="00512C59">
        <w:t xml:space="preserve"> </w:t>
      </w:r>
      <w:r w:rsidR="00C069EC">
        <w:t>To provide advocacy service and telephone support to callers in the context of a sensitive and non-judgemental service using effective communication services. Crisis workers will be expected to a</w:t>
      </w:r>
      <w:r w:rsidR="002E4284" w:rsidRPr="00512C59">
        <w:t>ccept</w:t>
      </w:r>
      <w:r w:rsidR="00826D75" w:rsidRPr="00512C59">
        <w:t xml:space="preserve"> cold calls carrying </w:t>
      </w:r>
      <w:r w:rsidR="002E4284" w:rsidRPr="00512C59">
        <w:t>immediate assessment of risk/need-triage and respond appropriately</w:t>
      </w:r>
      <w:r w:rsidR="0034311F" w:rsidRPr="00512C59">
        <w:t>. In regards to telephone information and support crisis workers will be expected to:</w:t>
      </w:r>
    </w:p>
    <w:p w:rsidR="0034311F" w:rsidRPr="00512C59" w:rsidRDefault="0034311F" w:rsidP="00512C59">
      <w:pPr>
        <w:numPr>
          <w:ilvl w:val="0"/>
          <w:numId w:val="5"/>
        </w:numPr>
        <w:spacing w:before="0" w:beforeAutospacing="0" w:after="0" w:line="240" w:lineRule="auto"/>
        <w:rPr>
          <w:rFonts w:asciiTheme="minorHAnsi" w:hAnsiTheme="minorHAnsi" w:cstheme="minorHAnsi"/>
          <w:color w:val="auto"/>
          <w:sz w:val="24"/>
          <w:szCs w:val="24"/>
        </w:rPr>
      </w:pPr>
      <w:r w:rsidRPr="00512C59">
        <w:rPr>
          <w:rFonts w:asciiTheme="minorHAnsi" w:hAnsiTheme="minorHAnsi" w:cstheme="minorHAnsi"/>
          <w:color w:val="auto"/>
          <w:sz w:val="24"/>
          <w:szCs w:val="24"/>
        </w:rPr>
        <w:t>Inform callers about the services offered at the SARC and to provide information surrounding other voluntary and statutory services available in relation to serious sexual assault and other associated issues.</w:t>
      </w:r>
    </w:p>
    <w:p w:rsidR="0034311F" w:rsidRPr="00512C59" w:rsidRDefault="0034311F" w:rsidP="00512C59">
      <w:pPr>
        <w:numPr>
          <w:ilvl w:val="0"/>
          <w:numId w:val="5"/>
        </w:numPr>
        <w:spacing w:before="0" w:beforeAutospacing="0" w:after="0" w:line="240" w:lineRule="auto"/>
        <w:rPr>
          <w:rFonts w:asciiTheme="minorHAnsi" w:hAnsiTheme="minorHAnsi" w:cstheme="minorHAnsi"/>
          <w:i/>
          <w:iCs/>
          <w:color w:val="auto"/>
          <w:sz w:val="24"/>
          <w:szCs w:val="24"/>
        </w:rPr>
      </w:pPr>
      <w:r w:rsidRPr="00512C59">
        <w:rPr>
          <w:rFonts w:asciiTheme="minorHAnsi" w:hAnsiTheme="minorHAnsi" w:cstheme="minorHAnsi"/>
          <w:color w:val="auto"/>
          <w:sz w:val="24"/>
          <w:szCs w:val="24"/>
        </w:rPr>
        <w:t xml:space="preserve">To offer a telephone support service to callers requiring assistance surrounding sexual assault in the context of a sensitive and non-judgmental service using effective communication skills. </w:t>
      </w:r>
    </w:p>
    <w:p w:rsidR="0034311F" w:rsidRPr="00512C59" w:rsidRDefault="0034311F" w:rsidP="00512C59">
      <w:pPr>
        <w:numPr>
          <w:ilvl w:val="0"/>
          <w:numId w:val="5"/>
        </w:numPr>
        <w:spacing w:before="0" w:beforeAutospacing="0" w:after="0" w:line="240" w:lineRule="auto"/>
        <w:rPr>
          <w:rFonts w:asciiTheme="minorHAnsi" w:hAnsiTheme="minorHAnsi" w:cstheme="minorHAnsi"/>
          <w:i/>
          <w:iCs/>
          <w:color w:val="auto"/>
          <w:sz w:val="24"/>
          <w:szCs w:val="24"/>
        </w:rPr>
      </w:pPr>
      <w:r w:rsidRPr="00512C59">
        <w:rPr>
          <w:rFonts w:asciiTheme="minorHAnsi" w:hAnsiTheme="minorHAnsi" w:cstheme="minorHAnsi"/>
          <w:color w:val="auto"/>
          <w:sz w:val="24"/>
          <w:szCs w:val="24"/>
        </w:rPr>
        <w:t>To provide callers with clear and accurate information enabling the client to make an informed choice based upon the options available.</w:t>
      </w:r>
    </w:p>
    <w:p w:rsidR="0034311F" w:rsidRPr="00512C59" w:rsidRDefault="0034311F" w:rsidP="00512C59">
      <w:pPr>
        <w:numPr>
          <w:ilvl w:val="0"/>
          <w:numId w:val="5"/>
        </w:numPr>
        <w:spacing w:before="0" w:beforeAutospacing="0" w:after="0" w:line="240" w:lineRule="auto"/>
        <w:rPr>
          <w:rFonts w:asciiTheme="minorHAnsi" w:hAnsiTheme="minorHAnsi" w:cstheme="minorHAnsi"/>
          <w:i/>
          <w:iCs/>
          <w:color w:val="auto"/>
          <w:sz w:val="24"/>
          <w:szCs w:val="24"/>
        </w:rPr>
      </w:pPr>
      <w:r w:rsidRPr="00512C59">
        <w:rPr>
          <w:rFonts w:asciiTheme="minorHAnsi" w:hAnsiTheme="minorHAnsi" w:cstheme="minorHAnsi"/>
          <w:color w:val="auto"/>
          <w:sz w:val="24"/>
          <w:szCs w:val="24"/>
        </w:rPr>
        <w:t>To effectively respond to changing and diverse situations at short notice, this may on occasions be highly emotional, time critical and/or volatile in nature.</w:t>
      </w:r>
    </w:p>
    <w:p w:rsidR="0034311F" w:rsidRPr="00512C59" w:rsidRDefault="0034311F" w:rsidP="00512C59">
      <w:pPr>
        <w:numPr>
          <w:ilvl w:val="0"/>
          <w:numId w:val="5"/>
        </w:numPr>
        <w:spacing w:before="0" w:beforeAutospacing="0" w:after="0" w:line="240" w:lineRule="auto"/>
        <w:rPr>
          <w:rFonts w:asciiTheme="minorHAnsi" w:hAnsiTheme="minorHAnsi" w:cstheme="minorHAnsi"/>
          <w:i/>
          <w:iCs/>
          <w:color w:val="auto"/>
          <w:sz w:val="24"/>
          <w:szCs w:val="24"/>
        </w:rPr>
      </w:pPr>
      <w:r w:rsidRPr="00512C59">
        <w:rPr>
          <w:rFonts w:asciiTheme="minorHAnsi" w:hAnsiTheme="minorHAnsi" w:cstheme="minorHAnsi"/>
          <w:color w:val="auto"/>
          <w:sz w:val="24"/>
          <w:szCs w:val="24"/>
        </w:rPr>
        <w:t xml:space="preserve">To provide telephone support and/or information to clients with no availability within office hours   </w:t>
      </w:r>
    </w:p>
    <w:p w:rsidR="0034311F" w:rsidRPr="00512C59" w:rsidRDefault="0034311F" w:rsidP="00512C59">
      <w:pPr>
        <w:numPr>
          <w:ilvl w:val="0"/>
          <w:numId w:val="5"/>
        </w:numPr>
        <w:spacing w:before="0" w:beforeAutospacing="0" w:after="0" w:line="240" w:lineRule="auto"/>
        <w:rPr>
          <w:rFonts w:asciiTheme="minorHAnsi" w:hAnsiTheme="minorHAnsi" w:cstheme="minorHAnsi"/>
          <w:i/>
          <w:iCs/>
          <w:color w:val="auto"/>
          <w:sz w:val="24"/>
          <w:szCs w:val="24"/>
        </w:rPr>
      </w:pPr>
      <w:r w:rsidRPr="00512C59">
        <w:rPr>
          <w:rFonts w:asciiTheme="minorHAnsi" w:hAnsiTheme="minorHAnsi" w:cstheme="minorHAnsi"/>
          <w:color w:val="auto"/>
          <w:sz w:val="24"/>
          <w:szCs w:val="24"/>
        </w:rPr>
        <w:t xml:space="preserve">To provide information and/or guidance to other professionals calling with enquiries </w:t>
      </w:r>
    </w:p>
    <w:p w:rsidR="00A538D2" w:rsidRPr="00512C59" w:rsidRDefault="00A538D2" w:rsidP="00512C59">
      <w:pPr>
        <w:pStyle w:val="Bullets"/>
        <w:numPr>
          <w:ilvl w:val="0"/>
          <w:numId w:val="0"/>
        </w:numPr>
        <w:jc w:val="left"/>
        <w:rPr>
          <w:rFonts w:cstheme="minorHAnsi"/>
        </w:rPr>
      </w:pPr>
    </w:p>
    <w:p w:rsidR="00A538D2" w:rsidRPr="00512C59" w:rsidRDefault="002E4284" w:rsidP="00A538D2">
      <w:pPr>
        <w:pStyle w:val="Bullets"/>
        <w:jc w:val="left"/>
        <w:rPr>
          <w:rFonts w:cstheme="minorHAnsi"/>
        </w:rPr>
      </w:pPr>
      <w:r w:rsidRPr="00512C59">
        <w:rPr>
          <w:rFonts w:cstheme="minorHAnsi"/>
        </w:rPr>
        <w:t>Preparing the SARC for the arrival of the service user</w:t>
      </w:r>
      <w:r w:rsidR="00A538D2" w:rsidRPr="00512C59">
        <w:rPr>
          <w:rFonts w:cstheme="minorHAnsi"/>
        </w:rPr>
        <w:t xml:space="preserve">. Crisis workers will be expected to attend the SARC and prepare the building in readiness to receive clients and accompanying personnel.  </w:t>
      </w:r>
    </w:p>
    <w:p w:rsidR="002E4284" w:rsidRPr="00512C59" w:rsidRDefault="002E4284" w:rsidP="00512C59">
      <w:pPr>
        <w:pStyle w:val="Bullets"/>
        <w:jc w:val="left"/>
        <w:rPr>
          <w:rFonts w:cstheme="minorHAnsi"/>
        </w:rPr>
      </w:pPr>
      <w:r w:rsidRPr="00512C59">
        <w:rPr>
          <w:rFonts w:cstheme="minorHAnsi"/>
        </w:rPr>
        <w:t>Making the service user feel safe and at ease</w:t>
      </w:r>
      <w:r w:rsidR="00A538D2" w:rsidRPr="00512C59">
        <w:rPr>
          <w:rFonts w:cstheme="minorHAnsi"/>
        </w:rPr>
        <w:t xml:space="preserve">. </w:t>
      </w:r>
    </w:p>
    <w:p w:rsidR="002E4284" w:rsidRPr="00512C59" w:rsidRDefault="002E4284" w:rsidP="00731C81">
      <w:pPr>
        <w:pStyle w:val="Bullets"/>
        <w:jc w:val="left"/>
      </w:pPr>
      <w:r w:rsidRPr="00512C59">
        <w:t>Establishing that the service user is at the SARC out of choice</w:t>
      </w:r>
      <w:r w:rsidR="00A538D2" w:rsidRPr="00512C59">
        <w:t xml:space="preserve">. </w:t>
      </w:r>
    </w:p>
    <w:p w:rsidR="0038415F" w:rsidRDefault="002E4284" w:rsidP="0038415F">
      <w:pPr>
        <w:pStyle w:val="Bullets"/>
        <w:jc w:val="left"/>
      </w:pPr>
      <w:r w:rsidRPr="00512C59">
        <w:t>Explaining the role of the SARC and the process involved in forensic examination</w:t>
      </w:r>
    </w:p>
    <w:p w:rsidR="0038415F" w:rsidRPr="00512C59" w:rsidRDefault="0038415F" w:rsidP="0038415F">
      <w:pPr>
        <w:pStyle w:val="Bullets"/>
        <w:jc w:val="left"/>
      </w:pPr>
      <w:r>
        <w:t>Checking the service user can shower and have fresh clothing after the examination</w:t>
      </w:r>
    </w:p>
    <w:p w:rsidR="002E4284" w:rsidRPr="00512C59" w:rsidRDefault="002E4284" w:rsidP="00512C59">
      <w:pPr>
        <w:pStyle w:val="Bullets"/>
        <w:jc w:val="left"/>
        <w:rPr>
          <w:rFonts w:cstheme="minorHAnsi"/>
        </w:rPr>
      </w:pPr>
      <w:r w:rsidRPr="00512C59">
        <w:t>Outlining issues of consent and confidentiality</w:t>
      </w:r>
      <w:r w:rsidR="00A538D2" w:rsidRPr="00512C59">
        <w:t>. Crisis</w:t>
      </w:r>
      <w:r w:rsidR="00512C59" w:rsidRPr="00512C59">
        <w:t xml:space="preserve"> workers will</w:t>
      </w:r>
      <w:r w:rsidR="00512C59" w:rsidRPr="00512C59">
        <w:rPr>
          <w:rFonts w:cstheme="minorHAnsi"/>
        </w:rPr>
        <w:t xml:space="preserve"> be expected to provide advocacy service in the context of a sensitive and non-judgmental service using effective and appropriate communication skills.</w:t>
      </w:r>
    </w:p>
    <w:p w:rsidR="001E1583" w:rsidRDefault="002E4284" w:rsidP="001E1583">
      <w:pPr>
        <w:pStyle w:val="Bullets"/>
        <w:jc w:val="left"/>
      </w:pPr>
      <w:r>
        <w:t>Collecting information from the service user (demographics etc.) and contact details</w:t>
      </w:r>
    </w:p>
    <w:p w:rsidR="0038415F" w:rsidRDefault="002E4284" w:rsidP="0038415F">
      <w:pPr>
        <w:pStyle w:val="Bullets"/>
        <w:jc w:val="left"/>
        <w:rPr>
          <w:rFonts w:cstheme="minorHAnsi"/>
        </w:rPr>
      </w:pPr>
      <w:r w:rsidRPr="001E1583">
        <w:rPr>
          <w:rFonts w:cstheme="minorHAnsi"/>
        </w:rPr>
        <w:t xml:space="preserve">Ensuring the wishes of the service user </w:t>
      </w:r>
      <w:proofErr w:type="gramStart"/>
      <w:r w:rsidRPr="001E1583">
        <w:rPr>
          <w:rFonts w:cstheme="minorHAnsi"/>
        </w:rPr>
        <w:t>are</w:t>
      </w:r>
      <w:proofErr w:type="gramEnd"/>
      <w:r w:rsidRPr="001E1583">
        <w:rPr>
          <w:rFonts w:cstheme="minorHAnsi"/>
        </w:rPr>
        <w:t xml:space="preserve"> voiced in the process</w:t>
      </w:r>
      <w:r w:rsidR="00D60BDB" w:rsidRPr="001E1583">
        <w:rPr>
          <w:rFonts w:cstheme="minorHAnsi"/>
        </w:rPr>
        <w:t>. Crisis workers will be expected to offer a confidential and supportive environment in which to enable the client to regain control.</w:t>
      </w:r>
      <w:r w:rsidR="001E1583" w:rsidRPr="001E1583">
        <w:rPr>
          <w:rFonts w:cstheme="minorHAnsi"/>
        </w:rPr>
        <w:t xml:space="preserve"> Crisis workers will be expected to ensure that any action that is taken is consistent with the client’s wishes.</w:t>
      </w:r>
    </w:p>
    <w:p w:rsidR="0038415F" w:rsidRPr="0038415F" w:rsidRDefault="0038415F" w:rsidP="0038415F">
      <w:pPr>
        <w:pStyle w:val="Bullets"/>
        <w:jc w:val="left"/>
        <w:rPr>
          <w:rFonts w:cstheme="minorHAnsi"/>
        </w:rPr>
      </w:pPr>
      <w:r>
        <w:t>Checking the service user’s understanding of the process of examination</w:t>
      </w:r>
    </w:p>
    <w:p w:rsidR="002E4284" w:rsidRDefault="002E4284" w:rsidP="00731C81">
      <w:pPr>
        <w:pStyle w:val="Bullets"/>
        <w:jc w:val="left"/>
      </w:pPr>
      <w:r>
        <w:t xml:space="preserve">Acting as a chaperone throughout </w:t>
      </w:r>
    </w:p>
    <w:p w:rsidR="0038415F" w:rsidRPr="00C069EC" w:rsidRDefault="002E4284" w:rsidP="0038415F">
      <w:pPr>
        <w:pStyle w:val="Bullets"/>
        <w:jc w:val="left"/>
      </w:pPr>
      <w:r w:rsidRPr="00C069EC">
        <w:t xml:space="preserve">Liaising between the </w:t>
      </w:r>
      <w:r w:rsidR="00893321" w:rsidRPr="00C069EC">
        <w:t>service user and friends/family/police/clinicians as required</w:t>
      </w:r>
      <w:r w:rsidR="0038415F" w:rsidRPr="00C069EC">
        <w:t>.</w:t>
      </w:r>
    </w:p>
    <w:p w:rsidR="00C069EC" w:rsidRPr="00C069EC" w:rsidRDefault="00C069EC" w:rsidP="0038415F">
      <w:pPr>
        <w:pStyle w:val="Bullets"/>
        <w:jc w:val="left"/>
      </w:pPr>
      <w:r w:rsidRPr="00C069EC">
        <w:rPr>
          <w:rFonts w:cs="Calibri"/>
        </w:rPr>
        <w:t>To provide support to friends and family in a sensitive and non-judgmental way.</w:t>
      </w:r>
    </w:p>
    <w:p w:rsidR="00893321" w:rsidRPr="0038415F" w:rsidRDefault="0038415F" w:rsidP="0038415F">
      <w:pPr>
        <w:pStyle w:val="Bullets"/>
        <w:jc w:val="left"/>
      </w:pPr>
      <w:r>
        <w:t>C</w:t>
      </w:r>
      <w:r w:rsidR="00893321" w:rsidRPr="00512C59">
        <w:t>o-ordinate the service provided for the service user, including the forensic examiner, police and child or adult safeguarding staff and where necessary, any follow up services</w:t>
      </w:r>
      <w:r w:rsidR="00512C59" w:rsidRPr="00512C59">
        <w:t xml:space="preserve">. Crisis workers will be expected to co-ordinate the actions of </w:t>
      </w:r>
      <w:r w:rsidR="00512C59" w:rsidRPr="001E1583">
        <w:t>external personnel as required in order to create a seamless and supportive environment for the client. Such personnel may include for example; specialist police officers, forensic examining doctors, paediatricians, family, friends and</w:t>
      </w:r>
      <w:r w:rsidR="001E1583" w:rsidRPr="001E1583">
        <w:t xml:space="preserve"> other agency representatives. Crisis workers will be expected to liaise with co-workers at the SARC including FME’s and Police Officers ensuring a professional hand-over of cases to daytime staff as required.</w:t>
      </w:r>
      <w:r w:rsidR="001E1583">
        <w:t xml:space="preserve"> Crisis workers will also be expected to offer and explain follow </w:t>
      </w:r>
      <w:r>
        <w:t xml:space="preserve">on services as appropriate and make arrangements for any follow up required; liaising with other agencies e.g. if there are any immediate housing issues etc. </w:t>
      </w:r>
    </w:p>
    <w:p w:rsidR="00512C59" w:rsidRDefault="00893321" w:rsidP="00512C59">
      <w:pPr>
        <w:pStyle w:val="Bullets"/>
        <w:jc w:val="left"/>
      </w:pPr>
      <w:r w:rsidRPr="00512C59">
        <w:t>Completing initial needs assessments</w:t>
      </w:r>
      <w:r w:rsidR="00512C59" w:rsidRPr="00512C59">
        <w:t xml:space="preserve"> </w:t>
      </w:r>
    </w:p>
    <w:p w:rsidR="00512C59" w:rsidRPr="00512C59" w:rsidRDefault="00512C59" w:rsidP="00512C59">
      <w:pPr>
        <w:pStyle w:val="Bullets"/>
        <w:jc w:val="left"/>
      </w:pPr>
      <w:r>
        <w:t xml:space="preserve">Crisis workers will be expected to </w:t>
      </w:r>
      <w:r w:rsidRPr="00512C59">
        <w:rPr>
          <w:rFonts w:cs="Calibri"/>
        </w:rPr>
        <w:t>provide assistance to the clinician performing the forensic test and samples, assisting in the examination including use of the colposcope, helping to label and bag samples</w:t>
      </w:r>
      <w:r w:rsidRPr="00512C59">
        <w:t xml:space="preserve"> </w:t>
      </w:r>
      <w:r w:rsidRPr="00512C59">
        <w:rPr>
          <w:rFonts w:cs="Calibri"/>
        </w:rPr>
        <w:t>taken in evidence and supporting any needs of the service user within the examination.</w:t>
      </w:r>
    </w:p>
    <w:p w:rsidR="00512C59" w:rsidRPr="00512C59" w:rsidRDefault="00512C59" w:rsidP="00512C59">
      <w:pPr>
        <w:pStyle w:val="Bullets"/>
        <w:jc w:val="left"/>
        <w:rPr>
          <w:rFonts w:cstheme="minorHAnsi"/>
        </w:rPr>
      </w:pPr>
      <w:r w:rsidRPr="00512C59">
        <w:rPr>
          <w:rFonts w:cstheme="minorHAnsi"/>
        </w:rPr>
        <w:t>Crisis workers will be expected to obtain early evidential samples from clients unwilling to be examined by a forensic doctor. Such samples may be urine, saliva and/or clothing samples.</w:t>
      </w:r>
    </w:p>
    <w:p w:rsidR="00512C59" w:rsidRPr="00512C59" w:rsidRDefault="00512C59" w:rsidP="00512C59">
      <w:pPr>
        <w:pStyle w:val="Bullets"/>
        <w:rPr>
          <w:rFonts w:cstheme="minorHAnsi"/>
        </w:rPr>
      </w:pPr>
      <w:r w:rsidRPr="00512C59">
        <w:rPr>
          <w:rFonts w:cstheme="minorHAnsi"/>
        </w:rPr>
        <w:t xml:space="preserve">Crisis workers will be expected to obtain basic early account (statement of events) from clients unwilling to report to Police at this stage. </w:t>
      </w:r>
    </w:p>
    <w:p w:rsidR="00512C59" w:rsidRPr="00D60BDB" w:rsidRDefault="00512C59" w:rsidP="00512C59">
      <w:pPr>
        <w:pStyle w:val="Bullets"/>
        <w:jc w:val="left"/>
        <w:rPr>
          <w:rFonts w:cstheme="minorHAnsi"/>
        </w:rPr>
      </w:pPr>
      <w:r w:rsidRPr="00D60BDB">
        <w:rPr>
          <w:rFonts w:cstheme="minorHAnsi"/>
        </w:rPr>
        <w:t xml:space="preserve">Crisis workers will be expected to </w:t>
      </w:r>
      <w:r w:rsidR="00D60BDB" w:rsidRPr="00D60BDB">
        <w:rPr>
          <w:rFonts w:cstheme="minorHAnsi"/>
        </w:rPr>
        <w:t>partake in the collection of anonymous police intelligence information where appropriate.</w:t>
      </w:r>
    </w:p>
    <w:p w:rsidR="00512C59" w:rsidRPr="00D60BDB" w:rsidRDefault="00512C59" w:rsidP="00512C59">
      <w:pPr>
        <w:pStyle w:val="Bullets"/>
        <w:jc w:val="left"/>
        <w:rPr>
          <w:rFonts w:cstheme="minorHAnsi"/>
        </w:rPr>
      </w:pPr>
      <w:r w:rsidRPr="00D60BDB">
        <w:rPr>
          <w:rFonts w:cstheme="minorHAnsi"/>
        </w:rPr>
        <w:t>Crisis workers will be expected to</w:t>
      </w:r>
      <w:r w:rsidR="00D60BDB" w:rsidRPr="00D60BDB">
        <w:rPr>
          <w:rFonts w:cstheme="minorHAnsi"/>
        </w:rPr>
        <w:t xml:space="preserve"> ensure that SARC procedures are adhered to by all parties in attendance to minimise the risk of DNA contamination and/or any other event that may prove detrimental to any potential criminal prosecution</w:t>
      </w:r>
    </w:p>
    <w:p w:rsidR="001E1583" w:rsidRPr="001E1583" w:rsidRDefault="00512C59" w:rsidP="001E1583">
      <w:pPr>
        <w:pStyle w:val="Bullets"/>
        <w:jc w:val="left"/>
        <w:rPr>
          <w:rFonts w:cstheme="minorHAnsi"/>
        </w:rPr>
      </w:pPr>
      <w:r w:rsidRPr="00D60BDB">
        <w:rPr>
          <w:rFonts w:cstheme="minorHAnsi"/>
        </w:rPr>
        <w:t>Crisis workers will be expected to</w:t>
      </w:r>
      <w:r w:rsidR="00D60BDB" w:rsidRPr="00D60BDB">
        <w:rPr>
          <w:rFonts w:cstheme="minorHAnsi"/>
        </w:rPr>
        <w:t xml:space="preserve"> ensure that all areas are left in a forensically clean </w:t>
      </w:r>
      <w:r w:rsidR="00D60BDB" w:rsidRPr="001E1583">
        <w:rPr>
          <w:rFonts w:cstheme="minorHAnsi"/>
        </w:rPr>
        <w:t>state- maintaining the suite to exacting standards of cleanliness needed to minimise the risk of DNA contamination (in accordance with Forensic Science Services).</w:t>
      </w:r>
    </w:p>
    <w:p w:rsidR="001E1583" w:rsidRDefault="001E1583" w:rsidP="001E1583">
      <w:pPr>
        <w:pStyle w:val="Bullets"/>
        <w:jc w:val="left"/>
        <w:rPr>
          <w:rFonts w:cstheme="minorHAnsi"/>
        </w:rPr>
      </w:pPr>
      <w:r w:rsidRPr="001E1583">
        <w:rPr>
          <w:rFonts w:cstheme="minorHAnsi"/>
        </w:rPr>
        <w:t>Crisis workers will be expected to ensure the safe keeping of keys to the SARC and ensure that the building is left secured and alarmed.</w:t>
      </w:r>
    </w:p>
    <w:p w:rsidR="0038415F" w:rsidRDefault="0038415F" w:rsidP="0038415F">
      <w:pPr>
        <w:pStyle w:val="Bullets"/>
      </w:pPr>
      <w:r>
        <w:t>To maintain accurate, confidential information of all activity within the SARC whilst in attendance and ensure safe storage of all sensitive information.</w:t>
      </w:r>
    </w:p>
    <w:p w:rsidR="0038415F" w:rsidRDefault="0038415F" w:rsidP="0038415F">
      <w:pPr>
        <w:pStyle w:val="Bullets"/>
      </w:pPr>
      <w:r>
        <w:t xml:space="preserve">To maintain accurate, confidential records of all calls to SARC. </w:t>
      </w:r>
    </w:p>
    <w:p w:rsidR="0038415F" w:rsidRDefault="0038415F" w:rsidP="0038415F">
      <w:pPr>
        <w:pStyle w:val="Bullets"/>
      </w:pPr>
      <w:r>
        <w:t>To liaise with the Centre Manager and/or other SARC Workers in relation to actions taken in line with SARC and policies and procedures.</w:t>
      </w:r>
    </w:p>
    <w:p w:rsidR="0038415F" w:rsidRDefault="0038415F" w:rsidP="0038415F">
      <w:pPr>
        <w:pStyle w:val="Bullets"/>
      </w:pPr>
      <w:r>
        <w:t>To provide accurate time sheets detailing call outs and time accrued on telephone within the specified time scales.</w:t>
      </w:r>
    </w:p>
    <w:p w:rsidR="0038415F" w:rsidRPr="00C069EC" w:rsidRDefault="0038415F" w:rsidP="0038415F">
      <w:pPr>
        <w:pStyle w:val="Bullets"/>
      </w:pPr>
      <w:r>
        <w:t xml:space="preserve">To participate in general administrative duties in relation to the smooth running of </w:t>
      </w:r>
      <w:r w:rsidRPr="00C069EC">
        <w:t>the SARC</w:t>
      </w:r>
    </w:p>
    <w:p w:rsidR="00C069EC" w:rsidRPr="00C069EC" w:rsidRDefault="0038415F" w:rsidP="00C069EC">
      <w:pPr>
        <w:pStyle w:val="Bullets"/>
      </w:pPr>
      <w:r w:rsidRPr="00C069EC">
        <w:t>To participate in monitoring and evaluation of services and in the development of SARC policies</w:t>
      </w:r>
    </w:p>
    <w:p w:rsidR="00C069EC" w:rsidRPr="00C069EC" w:rsidRDefault="0038415F" w:rsidP="00C069EC">
      <w:pPr>
        <w:pStyle w:val="Bullets"/>
      </w:pPr>
      <w:r w:rsidRPr="00C069EC">
        <w:t>To participate fully in training identified as necessary to car</w:t>
      </w:r>
      <w:r w:rsidR="00C069EC" w:rsidRPr="00C069EC">
        <w:t xml:space="preserve">ry out the functions of the post (for example </w:t>
      </w:r>
      <w:r w:rsidR="00C069EC" w:rsidRPr="00C069EC">
        <w:rPr>
          <w:rFonts w:cs="Calibri"/>
        </w:rPr>
        <w:t>basic life support, safeguarding children, safeguarding adults, deliberate self-harm, communication skills training, including telephone skills)</w:t>
      </w:r>
    </w:p>
    <w:p w:rsidR="00C069EC" w:rsidRPr="00C069EC" w:rsidRDefault="00C069EC" w:rsidP="00C069EC">
      <w:pPr>
        <w:pStyle w:val="Bullets"/>
        <w:rPr>
          <w:i/>
          <w:iCs/>
        </w:rPr>
      </w:pPr>
      <w:r w:rsidRPr="00C069EC">
        <w:rPr>
          <w:rFonts w:cs="Calibri"/>
        </w:rPr>
        <w:t xml:space="preserve">To carry out basic life support, when </w:t>
      </w:r>
      <w:r w:rsidRPr="00C069EC">
        <w:rPr>
          <w:rFonts w:ascii="Calibri" w:hAnsi="Calibri" w:cs="Times New Roman"/>
        </w:rPr>
        <w:t>required.</w:t>
      </w:r>
    </w:p>
    <w:p w:rsidR="00C069EC" w:rsidRPr="00C069EC" w:rsidRDefault="00C069EC" w:rsidP="00C069EC">
      <w:pPr>
        <w:pStyle w:val="Bullets"/>
        <w:rPr>
          <w:i/>
          <w:iCs/>
        </w:rPr>
      </w:pPr>
      <w:r w:rsidRPr="00C069EC">
        <w:rPr>
          <w:rFonts w:cs="Calibri"/>
        </w:rPr>
        <w:t xml:space="preserve">To attend regular individual/group clinical supervision </w:t>
      </w:r>
      <w:r w:rsidRPr="00C069EC">
        <w:rPr>
          <w:rFonts w:ascii="Calibri" w:hAnsi="Calibri" w:cs="Times New Roman"/>
        </w:rPr>
        <w:t>sessions.</w:t>
      </w:r>
    </w:p>
    <w:p w:rsidR="00C4178C" w:rsidRPr="0008684C" w:rsidRDefault="00C4178C" w:rsidP="00EE2CE2">
      <w:pPr>
        <w:pStyle w:val="Heading2"/>
      </w:pPr>
      <w:bookmarkStart w:id="16" w:name="_Toc471909184"/>
      <w:r w:rsidRPr="0008684C">
        <w:t>Safeguarding</w:t>
      </w:r>
      <w:bookmarkEnd w:id="16"/>
    </w:p>
    <w:p w:rsidR="007608BD" w:rsidRPr="0008684C" w:rsidRDefault="004A6973" w:rsidP="005A55AC">
      <w:pPr>
        <w:pStyle w:val="Heading3"/>
      </w:pPr>
      <w:r w:rsidRPr="0008684C">
        <w:t xml:space="preserve">The </w:t>
      </w:r>
      <w:r w:rsidR="00F932F7">
        <w:t>Provider</w:t>
      </w:r>
      <w:r w:rsidRPr="0008684C">
        <w:t xml:space="preserve"> must work to </w:t>
      </w:r>
      <w:r w:rsidR="007608BD" w:rsidRPr="0008684C">
        <w:t xml:space="preserve">relevant local </w:t>
      </w:r>
      <w:r w:rsidR="00D35125" w:rsidRPr="0008684C">
        <w:t>children’s and adults</w:t>
      </w:r>
      <w:r w:rsidR="00651F07" w:rsidRPr="0008684C">
        <w:t>’</w:t>
      </w:r>
      <w:r w:rsidR="00D35125" w:rsidRPr="0008684C">
        <w:t xml:space="preserve"> </w:t>
      </w:r>
      <w:r w:rsidR="007608BD" w:rsidRPr="0008684C">
        <w:t xml:space="preserve">safeguarding policies and procedures </w:t>
      </w:r>
      <w:r w:rsidR="00C22685" w:rsidRPr="0008684C">
        <w:t>including</w:t>
      </w:r>
      <w:r w:rsidR="007608BD" w:rsidRPr="0008684C">
        <w:t xml:space="preserve"> those covering sexual abuse, domestic abuse, grooming, sexual exploitation and female genital mutilation. </w:t>
      </w:r>
    </w:p>
    <w:p w:rsidR="007608BD" w:rsidRPr="0008684C" w:rsidRDefault="00D623B1" w:rsidP="005A55AC">
      <w:pPr>
        <w:pStyle w:val="Heading3"/>
      </w:pPr>
      <w:r w:rsidRPr="00B05605">
        <w:t xml:space="preserve">Staff </w:t>
      </w:r>
      <w:r w:rsidR="007608BD" w:rsidRPr="0008684C">
        <w:t xml:space="preserve">may occasionally be required to advise or attend safeguarding strategy meetings for children or vulnerable adults. The </w:t>
      </w:r>
      <w:r w:rsidR="00F932F7">
        <w:t>Provider</w:t>
      </w:r>
      <w:r w:rsidR="007608BD" w:rsidRPr="0008684C">
        <w:t xml:space="preserve"> may be required to supply evidence to or attend serious case reviews and child death reviews, in accordance with locally agreed procedures and timescales. </w:t>
      </w:r>
    </w:p>
    <w:p w:rsidR="00C4178C" w:rsidRPr="0008684C" w:rsidRDefault="00C4178C" w:rsidP="00EE2CE2">
      <w:pPr>
        <w:pStyle w:val="Heading2"/>
      </w:pPr>
      <w:bookmarkStart w:id="17" w:name="_Toc471909185"/>
      <w:r w:rsidRPr="0008684C">
        <w:t>Accessibility and Equality</w:t>
      </w:r>
      <w:bookmarkEnd w:id="17"/>
    </w:p>
    <w:p w:rsidR="00B93661" w:rsidRPr="0008684C" w:rsidRDefault="00B93661" w:rsidP="005A55AC">
      <w:pPr>
        <w:pStyle w:val="Heading3"/>
      </w:pPr>
      <w:r w:rsidRPr="0008684C">
        <w:t>The general equality duty that is set out in the Equality Act 2010 requires public authorities, in the exercise of their functions, to have due regard to the need to:</w:t>
      </w:r>
    </w:p>
    <w:p w:rsidR="00B93661" w:rsidRPr="0008684C" w:rsidRDefault="00B93661" w:rsidP="005F3F73">
      <w:pPr>
        <w:pStyle w:val="Bullets"/>
      </w:pPr>
      <w:r w:rsidRPr="0008684C">
        <w:t>Eliminate unlawful discrimination, harassment and victimisation and other conduct prohibited by the Act.</w:t>
      </w:r>
    </w:p>
    <w:p w:rsidR="00B93661" w:rsidRPr="0008684C" w:rsidRDefault="00B93661" w:rsidP="005F3F73">
      <w:pPr>
        <w:pStyle w:val="Bullets"/>
      </w:pPr>
      <w:r w:rsidRPr="0008684C">
        <w:t>Advance equality of opportunity between people who share a protected characteristic and those who do not.</w:t>
      </w:r>
    </w:p>
    <w:p w:rsidR="00B93661" w:rsidRPr="0008684C" w:rsidRDefault="00B93661" w:rsidP="005F3F73">
      <w:pPr>
        <w:pStyle w:val="Bullets"/>
      </w:pPr>
      <w:r w:rsidRPr="0008684C">
        <w:t>Foster good relations between people who share a protected characteristic and those who do not.</w:t>
      </w:r>
    </w:p>
    <w:p w:rsidR="009E3082" w:rsidRPr="0008684C" w:rsidRDefault="00B93661" w:rsidP="005A55AC">
      <w:pPr>
        <w:pStyle w:val="Heading3"/>
      </w:pPr>
      <w:r w:rsidRPr="0008684C">
        <w:t xml:space="preserve">The Service will have to assure effective implementation of The Equality Act 2010 as women and girls are the major group of </w:t>
      </w:r>
      <w:r w:rsidR="005F3F73" w:rsidRPr="0008684C">
        <w:t xml:space="preserve">people who are </w:t>
      </w:r>
      <w:r w:rsidRPr="0008684C">
        <w:t>sexually</w:t>
      </w:r>
      <w:r w:rsidR="005F3F73" w:rsidRPr="0008684C">
        <w:t xml:space="preserve"> assaulted</w:t>
      </w:r>
      <w:r w:rsidRPr="0008684C">
        <w:t>.</w:t>
      </w:r>
      <w:r w:rsidRPr="0008684C">
        <w:rPr>
          <w:rStyle w:val="FootnoteReference"/>
          <w:rFonts w:cstheme="majorBidi"/>
        </w:rPr>
        <w:footnoteReference w:id="1"/>
      </w:r>
      <w:r w:rsidRPr="0008684C">
        <w:t xml:space="preserve"> </w:t>
      </w:r>
      <w:r w:rsidR="006369A5" w:rsidRPr="0008684C">
        <w:t xml:space="preserve">The </w:t>
      </w:r>
      <w:r w:rsidR="00F932F7">
        <w:t>Provider</w:t>
      </w:r>
      <w:r w:rsidR="006369A5" w:rsidRPr="0008684C">
        <w:t xml:space="preserve"> will provide a service which is cognisant of gender, sexuality, </w:t>
      </w:r>
      <w:r w:rsidR="005B1CA4" w:rsidRPr="0008684C">
        <w:t xml:space="preserve">ethnicity </w:t>
      </w:r>
      <w:r w:rsidR="006369A5" w:rsidRPr="0008684C">
        <w:t>and diversity and equality requirements</w:t>
      </w:r>
      <w:r w:rsidR="005F3F73" w:rsidRPr="0008684C">
        <w:t>.</w:t>
      </w:r>
      <w:r w:rsidR="006369A5" w:rsidRPr="0008684C">
        <w:t xml:space="preserve"> </w:t>
      </w:r>
      <w:r w:rsidRPr="0008684C">
        <w:t>It will also need to make all reasonable adjustments for those with physical and learning disabilities, including in terms of meeting locations, times</w:t>
      </w:r>
      <w:r w:rsidR="005F3F73" w:rsidRPr="0008684C">
        <w:t xml:space="preserve"> and</w:t>
      </w:r>
      <w:r w:rsidRPr="0008684C">
        <w:t xml:space="preserve"> methods of contact. </w:t>
      </w:r>
      <w:r w:rsidR="009F197B" w:rsidRPr="0008684C">
        <w:t>This includes making arrangement</w:t>
      </w:r>
      <w:r w:rsidR="006363AB" w:rsidRPr="0008684C">
        <w:t>s</w:t>
      </w:r>
      <w:r w:rsidR="009F197B" w:rsidRPr="0008684C">
        <w:t xml:space="preserve"> for interpreters and </w:t>
      </w:r>
      <w:r w:rsidR="005B1CA4" w:rsidRPr="0008684C">
        <w:t>British</w:t>
      </w:r>
      <w:r w:rsidR="009F197B" w:rsidRPr="0008684C">
        <w:t xml:space="preserve"> Sign Language where required. </w:t>
      </w:r>
      <w:r w:rsidR="005F3F73" w:rsidRPr="0008684C">
        <w:t xml:space="preserve">The </w:t>
      </w:r>
      <w:r w:rsidR="00F932F7">
        <w:t>Provider</w:t>
      </w:r>
      <w:r w:rsidR="005F3F73" w:rsidRPr="0008684C">
        <w:t xml:space="preserve"> will take account of the particular sensitivities</w:t>
      </w:r>
      <w:r w:rsidRPr="0008684C">
        <w:t xml:space="preserve"> </w:t>
      </w:r>
      <w:r w:rsidR="00651F07" w:rsidRPr="0008684C">
        <w:t>related to support for</w:t>
      </w:r>
      <w:r w:rsidR="005D322F" w:rsidRPr="0008684C">
        <w:t xml:space="preserve"> </w:t>
      </w:r>
      <w:r w:rsidR="00BE504A" w:rsidRPr="0008684C">
        <w:t>Victim</w:t>
      </w:r>
      <w:r w:rsidR="005D322F" w:rsidRPr="0008684C">
        <w:t xml:space="preserve">s from ethnic minorities, including the barrier which use of local interpreters can create. </w:t>
      </w:r>
    </w:p>
    <w:p w:rsidR="00BE196A" w:rsidRPr="00D623B1" w:rsidRDefault="00B93661" w:rsidP="00B05605">
      <w:pPr>
        <w:pStyle w:val="Heading3"/>
        <w:rPr>
          <w:strike/>
        </w:rPr>
      </w:pPr>
      <w:r w:rsidRPr="0008684C">
        <w:t xml:space="preserve">The </w:t>
      </w:r>
      <w:r w:rsidR="00F932F7">
        <w:t>Provider</w:t>
      </w:r>
      <w:r w:rsidRPr="0008684C">
        <w:t xml:space="preserve"> will be required to promote access to services from those groups who face particular barriers. This will also include referral to specialist national services, where rele</w:t>
      </w:r>
      <w:r w:rsidR="005D322F" w:rsidRPr="0008684C">
        <w:t>vant, such as female genital mutilation and trafficking</w:t>
      </w:r>
      <w:r w:rsidR="00B05605" w:rsidRPr="00B05605">
        <w:t xml:space="preserve">. </w:t>
      </w:r>
      <w:r w:rsidR="004D3A2B" w:rsidRPr="0008684C">
        <w:t xml:space="preserve">Collection and reporting of Management Information on the demographics of Service Users will ensure that the </w:t>
      </w:r>
      <w:r w:rsidR="00F932F7">
        <w:t>Provider</w:t>
      </w:r>
      <w:r w:rsidR="004D3A2B" w:rsidRPr="0008684C">
        <w:t xml:space="preserve">, </w:t>
      </w:r>
      <w:r w:rsidR="004B2C81" w:rsidRPr="0008684C">
        <w:t>Commissioner</w:t>
      </w:r>
      <w:r w:rsidR="004D3A2B" w:rsidRPr="0008684C">
        <w:t xml:space="preserve"> and partners</w:t>
      </w:r>
      <w:r w:rsidR="006369A5" w:rsidRPr="0008684C">
        <w:t xml:space="preserve"> understand the make-up of those accessing services to inform this work, as well as future commissioning requirements. </w:t>
      </w:r>
    </w:p>
    <w:p w:rsidR="00C4178C" w:rsidRPr="0008684C" w:rsidRDefault="00C4178C" w:rsidP="00EE2CE2">
      <w:pPr>
        <w:pStyle w:val="Heading2"/>
      </w:pPr>
      <w:bookmarkStart w:id="18" w:name="_Toc471909186"/>
      <w:r w:rsidRPr="0008684C">
        <w:t>Information Management and Technology</w:t>
      </w:r>
      <w:bookmarkEnd w:id="18"/>
    </w:p>
    <w:p w:rsidR="007F4F56" w:rsidRPr="0008684C" w:rsidRDefault="002F133A" w:rsidP="005A55AC">
      <w:pPr>
        <w:pStyle w:val="Heading3"/>
      </w:pPr>
      <w:r w:rsidRPr="0008684C">
        <w:t xml:space="preserve">The </w:t>
      </w:r>
      <w:r w:rsidR="00F932F7">
        <w:t>Provider</w:t>
      </w:r>
      <w:r w:rsidRPr="0008684C">
        <w:t xml:space="preserve"> will ensure the development of and periodic review of record keeping procedures and documentation, as well as procedures and records for obtaining consent from the </w:t>
      </w:r>
      <w:r w:rsidR="00337013" w:rsidRPr="0008684C">
        <w:t>Service User</w:t>
      </w:r>
      <w:r w:rsidRPr="0008684C">
        <w:t xml:space="preserve">. It will be responsible for the compilation and maintenance of accurate, secure confidential records of all contacts with the Service, </w:t>
      </w:r>
      <w:r w:rsidR="007F4F56" w:rsidRPr="0008684C">
        <w:t xml:space="preserve">in line with Data Protection requirements. </w:t>
      </w:r>
    </w:p>
    <w:p w:rsidR="007608BD" w:rsidRPr="0008684C" w:rsidRDefault="007608BD" w:rsidP="005A55AC">
      <w:pPr>
        <w:pStyle w:val="Heading3"/>
      </w:pPr>
      <w:r w:rsidRPr="0008684C">
        <w:t xml:space="preserve">An electronic and/or paper-based system will be in place for the management of records related to </w:t>
      </w:r>
      <w:r w:rsidR="00337013" w:rsidRPr="0008684C">
        <w:t>Service User</w:t>
      </w:r>
      <w:r w:rsidRPr="0008684C">
        <w:t xml:space="preserve">s of the </w:t>
      </w:r>
      <w:r w:rsidR="001F0634" w:rsidRPr="0008684C">
        <w:t>Service</w:t>
      </w:r>
      <w:r w:rsidRPr="0008684C">
        <w:t xml:space="preserve">. The </w:t>
      </w:r>
      <w:r w:rsidR="00F932F7">
        <w:t>Provider</w:t>
      </w:r>
      <w:r w:rsidRPr="0008684C">
        <w:t xml:space="preserve"> must ensure that </w:t>
      </w:r>
      <w:proofErr w:type="gramStart"/>
      <w:r w:rsidR="004F5FE9" w:rsidRPr="0008684C">
        <w:t xml:space="preserve">staff </w:t>
      </w:r>
      <w:r w:rsidRPr="0008684C">
        <w:t>complete</w:t>
      </w:r>
      <w:proofErr w:type="gramEnd"/>
      <w:r w:rsidRPr="0008684C">
        <w:t xml:space="preserve"> all relevant and necessary information on records</w:t>
      </w:r>
      <w:r w:rsidR="001F0634" w:rsidRPr="0008684C">
        <w:t xml:space="preserve">. Any changes to the </w:t>
      </w:r>
      <w:r w:rsidRPr="0008684C">
        <w:t xml:space="preserve">procedures for updating the records must be in accordance with local procedures that must be agreed with the </w:t>
      </w:r>
      <w:r w:rsidR="004B2C81" w:rsidRPr="0008684C">
        <w:t>Commissioner</w:t>
      </w:r>
      <w:r w:rsidR="0038292B">
        <w:t xml:space="preserve"> and the SARC</w:t>
      </w:r>
      <w:r w:rsidRPr="0008684C">
        <w:t>. Relevant tra</w:t>
      </w:r>
      <w:r w:rsidR="00626FEA" w:rsidRPr="0008684C">
        <w:t>ining must be undertaken by staff</w:t>
      </w:r>
      <w:r w:rsidRPr="0008684C">
        <w:t xml:space="preserve">. The </w:t>
      </w:r>
      <w:r w:rsidR="00F932F7">
        <w:t>Provider</w:t>
      </w:r>
      <w:r w:rsidRPr="0008684C">
        <w:t xml:space="preserve"> must ensure that any notes/ copies of fo</w:t>
      </w:r>
      <w:r w:rsidR="00626FEA" w:rsidRPr="0008684C">
        <w:t>rms or schedules taken by the staff</w:t>
      </w:r>
      <w:r w:rsidRPr="0008684C">
        <w:t xml:space="preserve"> are retained and stored securely and in line with </w:t>
      </w:r>
      <w:r w:rsidR="00626FEA" w:rsidRPr="0008684C">
        <w:t xml:space="preserve">Data Protection requirements. </w:t>
      </w:r>
      <w:r w:rsidRPr="0008684C">
        <w:t xml:space="preserve">The </w:t>
      </w:r>
      <w:r w:rsidR="00F932F7">
        <w:t>Provider</w:t>
      </w:r>
      <w:r w:rsidRPr="0008684C">
        <w:t xml:space="preserve"> will work with the SARC </w:t>
      </w:r>
      <w:r w:rsidR="004F5FE9" w:rsidRPr="0008684C">
        <w:t>M</w:t>
      </w:r>
      <w:r w:rsidRPr="0008684C">
        <w:t xml:space="preserve">anagement to develop appropriate record management policies. Records will continue to be available to the </w:t>
      </w:r>
      <w:r w:rsidR="004B2C81" w:rsidRPr="0008684C">
        <w:t>Commissioner</w:t>
      </w:r>
      <w:r w:rsidRPr="0008684C">
        <w:t xml:space="preserve"> in the event that the </w:t>
      </w:r>
      <w:r w:rsidR="00F932F7">
        <w:t>Provider</w:t>
      </w:r>
      <w:r w:rsidRPr="0008684C">
        <w:t xml:space="preserve"> no longer holds the Contract. </w:t>
      </w:r>
    </w:p>
    <w:p w:rsidR="004E0465" w:rsidRPr="009A29A7" w:rsidRDefault="009E689B" w:rsidP="005A55AC">
      <w:pPr>
        <w:pStyle w:val="Heading3"/>
        <w:rPr>
          <w:strike/>
        </w:rPr>
      </w:pPr>
      <w:r w:rsidRPr="0008684C">
        <w:t xml:space="preserve">The </w:t>
      </w:r>
      <w:r w:rsidR="00F932F7">
        <w:t>Provider</w:t>
      </w:r>
      <w:r w:rsidRPr="0008684C">
        <w:t xml:space="preserve"> will co-operate with other providers of </w:t>
      </w:r>
      <w:r w:rsidR="00EE2CE2" w:rsidRPr="0008684C">
        <w:t>I</w:t>
      </w:r>
      <w:r w:rsidRPr="0008684C">
        <w:t>ntegrated Sexual Assault Referral Services to develop co-ordinated data recording and analysis. This will avoid duplication of data collection and enable the accurate identification of the number and demographics of individuals who are accessing services</w:t>
      </w:r>
      <w:r w:rsidR="004E0465" w:rsidRPr="0008684C">
        <w:t xml:space="preserve">. The </w:t>
      </w:r>
      <w:r w:rsidR="00F932F7">
        <w:t>Provider</w:t>
      </w:r>
      <w:r w:rsidR="004E0465" w:rsidRPr="0008684C">
        <w:t xml:space="preserve"> will </w:t>
      </w:r>
      <w:r w:rsidR="00A7338E" w:rsidRPr="0008684C">
        <w:t xml:space="preserve">be involved in work to develop a common set of referral information amongst wider services which come into contact with </w:t>
      </w:r>
      <w:r w:rsidR="00BE504A" w:rsidRPr="0008684C">
        <w:t>Victim</w:t>
      </w:r>
      <w:r w:rsidR="00A7338E" w:rsidRPr="0008684C">
        <w:t>s, working with the Sexual Assault Pathways Working Group or its successors</w:t>
      </w:r>
      <w:r w:rsidR="004E0465" w:rsidRPr="0008684C">
        <w:t xml:space="preserve">, along with a case tracking system which will enable the effectiveness of referral and the outcomes for the Service Users to be tracked. </w:t>
      </w:r>
    </w:p>
    <w:p w:rsidR="00C4178C" w:rsidRPr="0008684C" w:rsidRDefault="00C4178C" w:rsidP="00EE2CE2">
      <w:pPr>
        <w:pStyle w:val="Heading2"/>
      </w:pPr>
      <w:bookmarkStart w:id="19" w:name="_Toc471909187"/>
      <w:r w:rsidRPr="0008684C">
        <w:t>Information Governance and Security</w:t>
      </w:r>
      <w:bookmarkEnd w:id="19"/>
    </w:p>
    <w:p w:rsidR="001F0634" w:rsidRPr="0008684C" w:rsidRDefault="004E0465" w:rsidP="005A55AC">
      <w:pPr>
        <w:pStyle w:val="Heading3"/>
      </w:pPr>
      <w:r w:rsidRPr="0008684C">
        <w:t xml:space="preserve">The </w:t>
      </w:r>
      <w:r w:rsidR="00F932F7">
        <w:t>Provider</w:t>
      </w:r>
      <w:r w:rsidRPr="0008684C">
        <w:t xml:space="preserve"> must have in place an Information Management and Technology system which is able to record and provide reports on information to carry out the Service effectively and as set out in this Specification. </w:t>
      </w:r>
      <w:r w:rsidR="001F0634" w:rsidRPr="0008684C">
        <w:t xml:space="preserve">The </w:t>
      </w:r>
      <w:r w:rsidR="00F932F7">
        <w:t>Provider</w:t>
      </w:r>
      <w:r w:rsidR="001F0634" w:rsidRPr="0008684C">
        <w:t xml:space="preserve"> must put in place appropriate governance and security for the </w:t>
      </w:r>
      <w:r w:rsidRPr="0008684C">
        <w:t xml:space="preserve">Information </w:t>
      </w:r>
      <w:r w:rsidR="001F0634" w:rsidRPr="0008684C">
        <w:t>M</w:t>
      </w:r>
      <w:r w:rsidRPr="0008684C">
        <w:t xml:space="preserve">anagement and Technology </w:t>
      </w:r>
      <w:r w:rsidR="001F0634" w:rsidRPr="0008684C">
        <w:t xml:space="preserve">system to safeguard </w:t>
      </w:r>
      <w:r w:rsidR="00337013" w:rsidRPr="0008684C">
        <w:t>Service User</w:t>
      </w:r>
      <w:r w:rsidR="001F0634" w:rsidRPr="0008684C">
        <w:t xml:space="preserve"> information.</w:t>
      </w:r>
      <w:r w:rsidR="0077004D" w:rsidRPr="0008684C">
        <w:t xml:space="preserve"> This includes use of secure email.</w:t>
      </w:r>
      <w:r w:rsidR="001F0634" w:rsidRPr="0008684C">
        <w:t xml:space="preserve"> </w:t>
      </w:r>
      <w:r w:rsidR="0077004D" w:rsidRPr="0008684C">
        <w:t xml:space="preserve"> </w:t>
      </w:r>
    </w:p>
    <w:p w:rsidR="00C4178C" w:rsidRPr="0008684C" w:rsidRDefault="00C4178C" w:rsidP="00EE2CE2">
      <w:pPr>
        <w:pStyle w:val="Heading2"/>
      </w:pPr>
      <w:bookmarkStart w:id="20" w:name="_Toc471909188"/>
      <w:r w:rsidRPr="0008684C">
        <w:t>Promotional Work and Communications</w:t>
      </w:r>
      <w:bookmarkEnd w:id="20"/>
    </w:p>
    <w:p w:rsidR="00F43E3F" w:rsidRPr="009A29A7" w:rsidRDefault="00F43E3F" w:rsidP="00E24DF7">
      <w:pPr>
        <w:pStyle w:val="Heading3"/>
        <w:rPr>
          <w:strike/>
        </w:rPr>
      </w:pPr>
      <w:r w:rsidRPr="0008684C">
        <w:t xml:space="preserve">Communications and promotional material will be produced and supplied by the </w:t>
      </w:r>
      <w:r w:rsidR="00B05605">
        <w:t xml:space="preserve">SARC </w:t>
      </w:r>
      <w:r w:rsidRPr="0008684C">
        <w:t xml:space="preserve">and the </w:t>
      </w:r>
      <w:r w:rsidR="00E77E8A">
        <w:t xml:space="preserve">SARC </w:t>
      </w:r>
      <w:r w:rsidRPr="0008684C">
        <w:t xml:space="preserve">will work with the </w:t>
      </w:r>
      <w:r w:rsidR="00F932F7">
        <w:t>Provider</w:t>
      </w:r>
      <w:r w:rsidRPr="0008684C">
        <w:t xml:space="preserve"> and other providers to support development of a programme of public communications and promotion. This will be led at an operational level by the SARC Management, working with the </w:t>
      </w:r>
      <w:r w:rsidR="00F932F7">
        <w:t>Provider</w:t>
      </w:r>
      <w:r w:rsidR="00EE2CE2" w:rsidRPr="0008684C">
        <w:t xml:space="preserve"> and other providers of I</w:t>
      </w:r>
      <w:r w:rsidRPr="0008684C">
        <w:t>ntegrated Sexual Assault Referral</w:t>
      </w:r>
      <w:r w:rsidR="00E24DF7">
        <w:t>.</w:t>
      </w:r>
    </w:p>
    <w:p w:rsidR="00AF3AC0" w:rsidRPr="009A29A7" w:rsidRDefault="000462EF" w:rsidP="005A55AC">
      <w:pPr>
        <w:pStyle w:val="Heading3"/>
        <w:rPr>
          <w:strike/>
        </w:rPr>
      </w:pPr>
      <w:r>
        <w:t xml:space="preserve">The </w:t>
      </w:r>
      <w:r w:rsidR="009A29A7" w:rsidRPr="000462EF">
        <w:t>SARC</w:t>
      </w:r>
      <w:r w:rsidR="009A29A7">
        <w:t xml:space="preserve"> </w:t>
      </w:r>
      <w:r w:rsidR="00793197" w:rsidRPr="0008684C">
        <w:t xml:space="preserve">will have an important educational and training role, promoting awareness of the different signs and symptoms of sexual assault and its impact on the </w:t>
      </w:r>
      <w:r w:rsidR="00BE504A" w:rsidRPr="0008684C">
        <w:t>Victim</w:t>
      </w:r>
      <w:r w:rsidR="00793197" w:rsidRPr="0008684C">
        <w:t>, as well as of the services available and how others can refer into them, for health, social care and other relevant professionals.</w:t>
      </w:r>
      <w:r w:rsidR="00AF3AC0" w:rsidRPr="0008684C">
        <w:t xml:space="preserve"> The SARC Management will be responsible for making arrangements for awareness training for staff working in frontline roles in health, social care and other relevant professionals and the </w:t>
      </w:r>
      <w:r w:rsidR="00F932F7">
        <w:t>Provider</w:t>
      </w:r>
      <w:r w:rsidR="00AF3AC0" w:rsidRPr="0008684C">
        <w:t xml:space="preserve"> will work with it to provide input on its Service. </w:t>
      </w:r>
    </w:p>
    <w:p w:rsidR="00C4178C" w:rsidRPr="0008684C" w:rsidRDefault="00C4178C" w:rsidP="00EE2CE2">
      <w:pPr>
        <w:pStyle w:val="Heading2"/>
      </w:pPr>
      <w:bookmarkStart w:id="21" w:name="_Toc471909189"/>
      <w:r w:rsidRPr="0008684C">
        <w:t>Business Continuity</w:t>
      </w:r>
      <w:bookmarkEnd w:id="21"/>
    </w:p>
    <w:p w:rsidR="001F0634" w:rsidRPr="0008684C" w:rsidRDefault="001F0634" w:rsidP="005A55AC">
      <w:pPr>
        <w:pStyle w:val="Heading3"/>
        <w:rPr>
          <w:lang w:eastAsia="en-US"/>
        </w:rPr>
      </w:pPr>
      <w:r w:rsidRPr="0008684C">
        <w:rPr>
          <w:lang w:eastAsia="en-US"/>
        </w:rPr>
        <w:t xml:space="preserve">The </w:t>
      </w:r>
      <w:r w:rsidR="00F932F7">
        <w:rPr>
          <w:lang w:eastAsia="en-US"/>
        </w:rPr>
        <w:t>Provider</w:t>
      </w:r>
      <w:r w:rsidRPr="0008684C">
        <w:rPr>
          <w:lang w:eastAsia="en-US"/>
        </w:rPr>
        <w:t xml:space="preserve"> is expected to have business continuity arrangements in place for all aspects of the</w:t>
      </w:r>
      <w:r w:rsidR="00EE2CE2" w:rsidRPr="0008684C">
        <w:rPr>
          <w:lang w:eastAsia="en-US"/>
        </w:rPr>
        <w:t xml:space="preserve"> </w:t>
      </w:r>
      <w:r w:rsidR="00651F07" w:rsidRPr="0008684C">
        <w:rPr>
          <w:lang w:eastAsia="en-US"/>
        </w:rPr>
        <w:t>S</w:t>
      </w:r>
      <w:r w:rsidR="009958EF">
        <w:rPr>
          <w:lang w:eastAsia="en-US"/>
        </w:rPr>
        <w:t xml:space="preserve">ervice. </w:t>
      </w:r>
    </w:p>
    <w:p w:rsidR="007D11E1" w:rsidRPr="0008684C" w:rsidRDefault="007D11E1" w:rsidP="005A55AC">
      <w:pPr>
        <w:pStyle w:val="Heading1"/>
      </w:pPr>
      <w:bookmarkStart w:id="22" w:name="_Toc413761118"/>
      <w:bookmarkStart w:id="23" w:name="_Toc413826966"/>
      <w:bookmarkStart w:id="24" w:name="_Toc471909190"/>
      <w:r w:rsidRPr="0008684C">
        <w:t>Whole System Relationships</w:t>
      </w:r>
      <w:bookmarkEnd w:id="22"/>
      <w:bookmarkEnd w:id="23"/>
      <w:bookmarkEnd w:id="24"/>
      <w:r w:rsidRPr="0008684C">
        <w:t xml:space="preserve"> </w:t>
      </w:r>
    </w:p>
    <w:p w:rsidR="00C12A94" w:rsidRPr="0008684C" w:rsidRDefault="00BF7C30" w:rsidP="00EE2CE2">
      <w:pPr>
        <w:pStyle w:val="Heading2"/>
      </w:pPr>
      <w:bookmarkStart w:id="25" w:name="_Toc471909191"/>
      <w:r w:rsidRPr="0008684C">
        <w:t>Partnership Approach</w:t>
      </w:r>
      <w:bookmarkEnd w:id="25"/>
    </w:p>
    <w:p w:rsidR="0053552A" w:rsidRPr="0008684C" w:rsidRDefault="0003786C" w:rsidP="005A55AC">
      <w:pPr>
        <w:pStyle w:val="Heading3"/>
      </w:pPr>
      <w:r w:rsidRPr="0008684C">
        <w:t xml:space="preserve">The SARC Management will provide day–to–day operational support and guidance for the </w:t>
      </w:r>
      <w:r w:rsidR="00F932F7">
        <w:t>Provider</w:t>
      </w:r>
      <w:r w:rsidRPr="0008684C">
        <w:t xml:space="preserve"> in relation to the services provided at the Sexual Assault Referral Centre. </w:t>
      </w:r>
      <w:r w:rsidR="005C4524" w:rsidRPr="0008684C">
        <w:t xml:space="preserve">It will also have the lead role in developing the integration of the Integrated Sexual Assault Referral Service at a strategic and operational level, ensuring </w:t>
      </w:r>
      <w:r w:rsidR="00BE504A" w:rsidRPr="0008684C">
        <w:t>Victim</w:t>
      </w:r>
      <w:r w:rsidR="005C4524" w:rsidRPr="0008684C">
        <w:t>s are referred to the services they require regardless of which service they first approach and</w:t>
      </w:r>
      <w:r w:rsidRPr="0008684C">
        <w:t xml:space="preserve"> experience as seamless a service as possible. As</w:t>
      </w:r>
      <w:r w:rsidR="005C4524" w:rsidRPr="0008684C">
        <w:t xml:space="preserve"> such</w:t>
      </w:r>
      <w:r w:rsidRPr="0008684C">
        <w:t xml:space="preserve">, the </w:t>
      </w:r>
      <w:r w:rsidR="007D747D" w:rsidRPr="0008684C">
        <w:t>SARC Management</w:t>
      </w:r>
      <w:r w:rsidR="005C4524" w:rsidRPr="0008684C">
        <w:t xml:space="preserve"> will have a ‘Partnership Management’ role. This will include leading the process to ensure effective partnership working and communication with all stakeholders and where appropriate linking in with other service providers to develop identity, cohesion, effective joint working and a shared eth</w:t>
      </w:r>
      <w:r w:rsidRPr="0008684C">
        <w:t>os amongst the commissioned Integrated Sexual Assault Referral Service</w:t>
      </w:r>
      <w:r w:rsidR="005C4524" w:rsidRPr="0008684C">
        <w:t xml:space="preserve"> providers. </w:t>
      </w:r>
    </w:p>
    <w:p w:rsidR="00C12A94" w:rsidRPr="0008684C" w:rsidRDefault="00C12A94" w:rsidP="005A55AC">
      <w:pPr>
        <w:pStyle w:val="Heading3"/>
      </w:pPr>
      <w:r w:rsidRPr="0008684C">
        <w:t xml:space="preserve">The </w:t>
      </w:r>
      <w:r w:rsidR="00F932F7">
        <w:t>Provider</w:t>
      </w:r>
      <w:r w:rsidRPr="0008684C">
        <w:t xml:space="preserve"> must be committed to an interagency approach and work closely with the police and other criminal justice agencies, health and social care services and voluntary sector organisations to support the delivery</w:t>
      </w:r>
      <w:r w:rsidR="0053552A" w:rsidRPr="0008684C">
        <w:t xml:space="preserve"> and development</w:t>
      </w:r>
      <w:r w:rsidRPr="0008684C">
        <w:t xml:space="preserve"> of the </w:t>
      </w:r>
      <w:r w:rsidR="007C305F" w:rsidRPr="0008684C">
        <w:t xml:space="preserve">services to </w:t>
      </w:r>
      <w:r w:rsidR="00BE504A" w:rsidRPr="0008684C">
        <w:t>Victim</w:t>
      </w:r>
      <w:r w:rsidR="007C305F" w:rsidRPr="0008684C">
        <w:t>s a</w:t>
      </w:r>
      <w:r w:rsidRPr="0008684C">
        <w:t xml:space="preserve">cross </w:t>
      </w:r>
      <w:r w:rsidR="007F0255">
        <w:t>Northumbria</w:t>
      </w:r>
      <w:r w:rsidRPr="0008684C">
        <w:t>.</w:t>
      </w:r>
      <w:r w:rsidR="00EE1546" w:rsidRPr="0008684C">
        <w:t xml:space="preserve"> </w:t>
      </w:r>
      <w:r w:rsidR="00BF7C30" w:rsidRPr="0008684C">
        <w:t>Key relationships include:</w:t>
      </w:r>
    </w:p>
    <w:p w:rsidR="00BF7C30" w:rsidRPr="00E24DF7" w:rsidRDefault="009A29A7" w:rsidP="00A21F2D">
      <w:pPr>
        <w:pStyle w:val="Bullets"/>
        <w:rPr>
          <w:strike/>
        </w:rPr>
      </w:pPr>
      <w:r w:rsidRPr="00E24DF7">
        <w:t>Northumbria Police</w:t>
      </w:r>
    </w:p>
    <w:p w:rsidR="00BF7C30" w:rsidRPr="0008684C" w:rsidRDefault="00BF7C30" w:rsidP="00A21F2D">
      <w:pPr>
        <w:pStyle w:val="Bullets"/>
      </w:pPr>
      <w:r w:rsidRPr="0008684C">
        <w:t xml:space="preserve">The Police and Crime Commissioner for </w:t>
      </w:r>
      <w:r w:rsidR="009A29A7">
        <w:t>Northumbria</w:t>
      </w:r>
    </w:p>
    <w:p w:rsidR="00BF7C30" w:rsidRPr="0008684C" w:rsidRDefault="00BF7C30" w:rsidP="00A21F2D">
      <w:pPr>
        <w:pStyle w:val="Bullets"/>
      </w:pPr>
      <w:r w:rsidRPr="0008684C">
        <w:t>NHS England</w:t>
      </w:r>
    </w:p>
    <w:p w:rsidR="00BF7C30" w:rsidRPr="0008684C" w:rsidRDefault="00BF7C30" w:rsidP="00A21F2D">
      <w:pPr>
        <w:pStyle w:val="Bullets"/>
      </w:pPr>
      <w:r w:rsidRPr="0008684C">
        <w:t>Community and acute health providers, including local paediatric services, gynaecological services, sexual health services, accident and emergency services</w:t>
      </w:r>
    </w:p>
    <w:p w:rsidR="00BF7C30" w:rsidRPr="0008684C" w:rsidRDefault="00BF7C30" w:rsidP="00A21F2D">
      <w:pPr>
        <w:pStyle w:val="Bullets"/>
      </w:pPr>
      <w:r w:rsidRPr="0008684C">
        <w:t>Child and adolescent mental health services</w:t>
      </w:r>
    </w:p>
    <w:p w:rsidR="00BF7C30" w:rsidRPr="0008684C" w:rsidRDefault="00BF7C30" w:rsidP="00A21F2D">
      <w:pPr>
        <w:pStyle w:val="Bullets"/>
      </w:pPr>
      <w:r w:rsidRPr="0008684C">
        <w:t xml:space="preserve">Adult mental health services </w:t>
      </w:r>
    </w:p>
    <w:p w:rsidR="00BF7C30" w:rsidRPr="0008684C" w:rsidRDefault="00BF7C30" w:rsidP="00A21F2D">
      <w:pPr>
        <w:pStyle w:val="Bullets"/>
      </w:pPr>
      <w:r w:rsidRPr="0008684C">
        <w:t>Crown Prosecution Service</w:t>
      </w:r>
    </w:p>
    <w:p w:rsidR="007C305F" w:rsidRPr="0008684C" w:rsidRDefault="007C305F" w:rsidP="00A21F2D">
      <w:pPr>
        <w:pStyle w:val="Bullets"/>
      </w:pPr>
      <w:r w:rsidRPr="0008684C">
        <w:t>Sexual Assault Referral Centre</w:t>
      </w:r>
    </w:p>
    <w:p w:rsidR="00BF7C30" w:rsidRPr="0008684C" w:rsidRDefault="00BF7C30" w:rsidP="00A21F2D">
      <w:pPr>
        <w:pStyle w:val="Bullets"/>
      </w:pPr>
      <w:r w:rsidRPr="0008684C">
        <w:t>Third Sector organisations, including other providers of specialist services for</w:t>
      </w:r>
      <w:r w:rsidR="007C305F" w:rsidRPr="0008684C">
        <w:t xml:space="preserve"> </w:t>
      </w:r>
      <w:r w:rsidR="00BE504A" w:rsidRPr="0008684C">
        <w:t>Victim</w:t>
      </w:r>
      <w:r w:rsidR="007C305F" w:rsidRPr="0008684C">
        <w:t>s of sexual assault, child sexual exploitation, trafficking, female genital mutilation, both local and national</w:t>
      </w:r>
    </w:p>
    <w:p w:rsidR="00BF7C30" w:rsidRPr="0008684C" w:rsidRDefault="007C305F" w:rsidP="00A21F2D">
      <w:pPr>
        <w:pStyle w:val="Bullets"/>
      </w:pPr>
      <w:r w:rsidRPr="0008684C">
        <w:t>Children’s Services and Adult Social Care</w:t>
      </w:r>
    </w:p>
    <w:p w:rsidR="00BF7C30" w:rsidRPr="0008684C" w:rsidRDefault="00BF7C30" w:rsidP="00A21F2D">
      <w:pPr>
        <w:pStyle w:val="Bullets"/>
      </w:pPr>
      <w:r w:rsidRPr="0008684C">
        <w:t>Other services and partnerships</w:t>
      </w:r>
      <w:r w:rsidR="0053552A" w:rsidRPr="0008684C">
        <w:t xml:space="preserve">, including those commissioned by the </w:t>
      </w:r>
      <w:r w:rsidR="004B2C81" w:rsidRPr="0008684C">
        <w:t>Commissioner</w:t>
      </w:r>
      <w:r w:rsidR="0053552A" w:rsidRPr="0008684C">
        <w:t xml:space="preserve"> or its strategic partners,</w:t>
      </w:r>
      <w:r w:rsidRPr="0008684C">
        <w:t xml:space="preserve"> as appropriate</w:t>
      </w:r>
    </w:p>
    <w:p w:rsidR="004A2AEE" w:rsidRPr="0008684C" w:rsidRDefault="004A2AEE" w:rsidP="005A55AC">
      <w:pPr>
        <w:pStyle w:val="Heading3"/>
      </w:pPr>
      <w:r w:rsidRPr="0008684C">
        <w:t xml:space="preserve">The </w:t>
      </w:r>
      <w:r w:rsidR="00F932F7">
        <w:t>Provider</w:t>
      </w:r>
      <w:r w:rsidRPr="0008684C">
        <w:t xml:space="preserve"> will be expected to work closely with any other providers of </w:t>
      </w:r>
      <w:r w:rsidR="00200342" w:rsidRPr="0008684C">
        <w:t>ISVA</w:t>
      </w:r>
      <w:r w:rsidRPr="0008684C">
        <w:t xml:space="preserve"> </w:t>
      </w:r>
      <w:r w:rsidR="00200342" w:rsidRPr="0008684C">
        <w:t>s</w:t>
      </w:r>
      <w:r w:rsidRPr="0008684C">
        <w:t>ervices in the</w:t>
      </w:r>
      <w:r w:rsidR="001E1E7A">
        <w:t xml:space="preserve"> Force Area</w:t>
      </w:r>
      <w:r w:rsidRPr="0008684C">
        <w:t xml:space="preserve">, where agreed by the </w:t>
      </w:r>
      <w:r w:rsidR="00A30B45" w:rsidRPr="0008684C">
        <w:t>Commissioner</w:t>
      </w:r>
      <w:r w:rsidR="0038292B">
        <w:t xml:space="preserve"> and the SARC Management</w:t>
      </w:r>
      <w:r w:rsidRPr="0008684C">
        <w:t>, to agree which organisation will take which cases, provide smooth referral between services, avoid gaps and duplication</w:t>
      </w:r>
      <w:r w:rsidR="00651F07" w:rsidRPr="0008684C">
        <w:t>,</w:t>
      </w:r>
      <w:r w:rsidRPr="0008684C">
        <w:t xml:space="preserve"> to make best use of resources. </w:t>
      </w:r>
    </w:p>
    <w:p w:rsidR="007D11E1" w:rsidRPr="0008684C" w:rsidRDefault="007D11E1" w:rsidP="00EE2CE2">
      <w:pPr>
        <w:pStyle w:val="Heading2"/>
      </w:pPr>
      <w:bookmarkStart w:id="26" w:name="_Toc471909192"/>
      <w:r w:rsidRPr="0008684C">
        <w:t xml:space="preserve">Referral </w:t>
      </w:r>
      <w:r w:rsidR="00C4178C" w:rsidRPr="0008684C">
        <w:t>Routes/</w:t>
      </w:r>
      <w:r w:rsidR="006363AB" w:rsidRPr="0008684C">
        <w:t xml:space="preserve"> </w:t>
      </w:r>
      <w:r w:rsidR="00C4178C" w:rsidRPr="0008684C">
        <w:t>Service Access</w:t>
      </w:r>
      <w:bookmarkEnd w:id="26"/>
    </w:p>
    <w:p w:rsidR="00A36AA4" w:rsidRPr="0008684C" w:rsidRDefault="0053552A" w:rsidP="005A55AC">
      <w:pPr>
        <w:pStyle w:val="Heading3"/>
        <w:rPr>
          <w:lang w:val="en-US"/>
        </w:rPr>
      </w:pPr>
      <w:r w:rsidRPr="0008684C">
        <w:t xml:space="preserve">The </w:t>
      </w:r>
      <w:r w:rsidR="00F932F7">
        <w:t>Provider</w:t>
      </w:r>
      <w:r w:rsidRPr="0008684C">
        <w:t xml:space="preserve"> will work with the </w:t>
      </w:r>
      <w:r w:rsidR="007D747D" w:rsidRPr="0008684C">
        <w:t>SARC Management</w:t>
      </w:r>
      <w:r w:rsidRPr="0008684C">
        <w:t xml:space="preserve"> to develop referral forms and protocols, working with other Integrated Sexual Assault Referral Service provider</w:t>
      </w:r>
      <w:r w:rsidR="00F34CA1" w:rsidRPr="0008684C">
        <w:t>(</w:t>
      </w:r>
      <w:r w:rsidRPr="0008684C">
        <w:t>s</w:t>
      </w:r>
      <w:r w:rsidR="00F34CA1" w:rsidRPr="0008684C">
        <w:t>)</w:t>
      </w:r>
      <w:r w:rsidRPr="0008684C">
        <w:t xml:space="preserve"> and ensure they are implemented effectively by the </w:t>
      </w:r>
      <w:r w:rsidR="00F932F7">
        <w:t>Provider</w:t>
      </w:r>
      <w:r w:rsidRPr="0008684C">
        <w:t xml:space="preserve">’s staff.  The </w:t>
      </w:r>
      <w:r w:rsidR="007D747D" w:rsidRPr="0008684C">
        <w:t>SARC Management</w:t>
      </w:r>
      <w:r w:rsidRPr="0008684C">
        <w:t xml:space="preserve"> will have the lead in ensuring these pathways are developed. </w:t>
      </w:r>
      <w:r w:rsidR="00A36AA4" w:rsidRPr="0008684C">
        <w:rPr>
          <w:lang w:val="en-US"/>
        </w:rPr>
        <w:t xml:space="preserve">Service Users should not need to repeat their story when they transfer from the </w:t>
      </w:r>
      <w:r w:rsidR="007D747D" w:rsidRPr="0008684C">
        <w:t>SARC</w:t>
      </w:r>
      <w:r w:rsidR="00A36AA4" w:rsidRPr="0008684C">
        <w:rPr>
          <w:lang w:val="en-US"/>
        </w:rPr>
        <w:t xml:space="preserve">to the Service to </w:t>
      </w:r>
      <w:r w:rsidR="004F5FE9" w:rsidRPr="0008684C">
        <w:rPr>
          <w:lang w:val="en-US"/>
        </w:rPr>
        <w:t>counselling</w:t>
      </w:r>
      <w:r w:rsidR="00A36AA4" w:rsidRPr="0008684C">
        <w:rPr>
          <w:lang w:val="en-US"/>
        </w:rPr>
        <w:t xml:space="preserve"> services or enter the service from any of the three partners. The ability to deliver this joined-up approach working in full partnership will need to be demonstrated by Bidders during the tender process.</w:t>
      </w:r>
    </w:p>
    <w:p w:rsidR="00654601" w:rsidRPr="007F7414" w:rsidRDefault="00654601" w:rsidP="005A55AC">
      <w:pPr>
        <w:pStyle w:val="Heading3"/>
      </w:pPr>
      <w:r>
        <w:t xml:space="preserve">The Commissioner aims to develop an integrated service where there is a single point of access to support. The </w:t>
      </w:r>
      <w:r w:rsidR="00F932F7">
        <w:t>Provider</w:t>
      </w:r>
      <w:r>
        <w:t xml:space="preserve"> will be expected to work with t</w:t>
      </w:r>
      <w:r w:rsidRPr="007F7414">
        <w:t>he Sexual Assault Referral Centre</w:t>
      </w:r>
      <w:r>
        <w:t xml:space="preserve"> to develop this access point, which will need to involve an initial risk and needs assessment, assessment of eligibility for services and recording of information about the Service User to support case tracking</w:t>
      </w:r>
      <w:r w:rsidR="00E24DF7">
        <w:t xml:space="preserve">. </w:t>
      </w:r>
      <w:r w:rsidRPr="007F7414">
        <w:t>The Sexual Assault Referral Centre Management will provide a single contact telephone number which will be advertised publically as the contact point for services</w:t>
      </w:r>
      <w:r>
        <w:t>,</w:t>
      </w:r>
      <w:r w:rsidRPr="007F7414">
        <w:t xml:space="preserve"> which will enable a 24/7 response to enq</w:t>
      </w:r>
      <w:r w:rsidR="00E24DF7">
        <w:t>uiries through a crisis worker</w:t>
      </w:r>
      <w:r w:rsidRPr="007F7414">
        <w:t xml:space="preserve">. Referrals from agencies will </w:t>
      </w:r>
      <w:r>
        <w:t xml:space="preserve">also </w:t>
      </w:r>
      <w:r w:rsidRPr="007F7414">
        <w:t xml:space="preserve">be made </w:t>
      </w:r>
      <w:r>
        <w:t>via the single point of access</w:t>
      </w:r>
      <w:r w:rsidRPr="007F7414">
        <w:t>. It is recognised that victims may approach the Service directly, such as where a friend has recommended it</w:t>
      </w:r>
      <w:r>
        <w:t xml:space="preserve"> and the </w:t>
      </w:r>
      <w:r w:rsidR="00F932F7">
        <w:t>Provider</w:t>
      </w:r>
      <w:r>
        <w:t xml:space="preserve"> will be expected to ensure that there is assessment of needs, risk and eligibility and case tracking as part of the model developed for the single point of access</w:t>
      </w:r>
      <w:r w:rsidRPr="007F7414">
        <w:t xml:space="preserve">.  </w:t>
      </w:r>
    </w:p>
    <w:p w:rsidR="007D11E1" w:rsidRPr="0008684C" w:rsidRDefault="007D11E1" w:rsidP="00EE2CE2">
      <w:pPr>
        <w:pStyle w:val="Heading2"/>
      </w:pPr>
      <w:bookmarkStart w:id="27" w:name="_Toc471909193"/>
      <w:r w:rsidRPr="0008684C">
        <w:t xml:space="preserve">Onward </w:t>
      </w:r>
      <w:r w:rsidR="00C4178C" w:rsidRPr="0008684C">
        <w:t>Referral</w:t>
      </w:r>
      <w:bookmarkEnd w:id="27"/>
      <w:r w:rsidR="00C4178C" w:rsidRPr="0008684C">
        <w:t xml:space="preserve"> </w:t>
      </w:r>
    </w:p>
    <w:p w:rsidR="00F66462" w:rsidRPr="0008684C" w:rsidRDefault="00C41D7F" w:rsidP="005A55AC">
      <w:pPr>
        <w:pStyle w:val="Heading3"/>
      </w:pPr>
      <w:r w:rsidRPr="0008684C">
        <w:t xml:space="preserve">The </w:t>
      </w:r>
      <w:r w:rsidR="00F932F7">
        <w:t>Provider</w:t>
      </w:r>
      <w:r w:rsidRPr="0008684C">
        <w:t xml:space="preserve"> is expected to have processes in place for making acute referrals to mental health services for those at high risk o</w:t>
      </w:r>
      <w:r w:rsidR="00374BB0" w:rsidRPr="0008684C">
        <w:t xml:space="preserve">f self-harm or suicide. This </w:t>
      </w:r>
      <w:r w:rsidRPr="0008684C">
        <w:t>Service is not intended to be therapeutic and therefore those Service User</w:t>
      </w:r>
      <w:r w:rsidR="0053552A" w:rsidRPr="0008684C">
        <w:t>s</w:t>
      </w:r>
      <w:r w:rsidRPr="0008684C">
        <w:t xml:space="preserve"> who would benefit from counsel</w:t>
      </w:r>
      <w:r w:rsidR="00E24DF7">
        <w:t xml:space="preserve">ling should be referred to </w:t>
      </w:r>
      <w:r w:rsidRPr="0008684C">
        <w:t>child and adolescent or adult mental health services</w:t>
      </w:r>
      <w:r w:rsidR="00A32934" w:rsidRPr="0008684C">
        <w:t>, where potential longer-term mental health issues are identified, or other specialist local services</w:t>
      </w:r>
      <w:r w:rsidR="00374BB0" w:rsidRPr="0008684C">
        <w:t>.</w:t>
      </w:r>
      <w:r w:rsidR="00F66462" w:rsidRPr="0008684C">
        <w:t xml:space="preserve"> </w:t>
      </w:r>
    </w:p>
    <w:p w:rsidR="00A920CB" w:rsidRPr="0008684C" w:rsidRDefault="007D11E1" w:rsidP="00EE2CE2">
      <w:pPr>
        <w:pStyle w:val="Heading2"/>
      </w:pPr>
      <w:bookmarkStart w:id="28" w:name="_Toc471909194"/>
      <w:r w:rsidRPr="0008684C">
        <w:t xml:space="preserve">Information </w:t>
      </w:r>
      <w:r w:rsidR="00C4178C" w:rsidRPr="0008684C">
        <w:t>Sharing</w:t>
      </w:r>
      <w:bookmarkEnd w:id="28"/>
      <w:r w:rsidR="00C4178C" w:rsidRPr="0008684C">
        <w:t xml:space="preserve"> </w:t>
      </w:r>
    </w:p>
    <w:p w:rsidR="00F43E3F" w:rsidRPr="00E24DF7" w:rsidRDefault="007F4F56" w:rsidP="005A55AC">
      <w:pPr>
        <w:pStyle w:val="Heading3"/>
      </w:pPr>
      <w:r w:rsidRPr="0008684C">
        <w:t xml:space="preserve">The </w:t>
      </w:r>
      <w:r w:rsidR="00F932F7">
        <w:t>Provider</w:t>
      </w:r>
      <w:r w:rsidRPr="0008684C">
        <w:t xml:space="preserve"> will share data with Commissioners</w:t>
      </w:r>
      <w:r w:rsidR="0038292B">
        <w:t>, SARC Management</w:t>
      </w:r>
      <w:r w:rsidRPr="0008684C">
        <w:t xml:space="preserve"> </w:t>
      </w:r>
      <w:r w:rsidR="004F5FE9" w:rsidRPr="0008684C">
        <w:t>and other service providers which</w:t>
      </w:r>
      <w:r w:rsidR="005E7A31" w:rsidRPr="0008684C">
        <w:t xml:space="preserve"> form part of the Integrated Sexual Assault Referral Service </w:t>
      </w:r>
      <w:r w:rsidRPr="0008684C">
        <w:t xml:space="preserve">to facilitate the ongoing planning and development of services. The </w:t>
      </w:r>
      <w:r w:rsidR="00F932F7">
        <w:t>Provider</w:t>
      </w:r>
      <w:r w:rsidRPr="0008684C">
        <w:t xml:space="preserve"> must have appropriate information sharing agreements for any data it receives from or shares with other pr</w:t>
      </w:r>
      <w:r w:rsidR="006A75A2" w:rsidRPr="0008684C">
        <w:t>oviders and agencies to enable any further care or treatment and ensure a complete record is kept for that individual by the appropriate services</w:t>
      </w:r>
      <w:r w:rsidR="00F43E3F" w:rsidRPr="0008684C">
        <w:t xml:space="preserve"> so that Service User does not have to keep repeat</w:t>
      </w:r>
      <w:r w:rsidR="00774D3F" w:rsidRPr="0008684C">
        <w:t>ing information about themself</w:t>
      </w:r>
      <w:r w:rsidR="00F43E3F" w:rsidRPr="0008684C">
        <w:t xml:space="preserve">. This information sharing must be at an appropriate level of detail to promote safeguarding but not unnecessarily disclose certain personal </w:t>
      </w:r>
      <w:r w:rsidR="00F43E3F" w:rsidRPr="00E24DF7">
        <w:t>details or details of the sexual assault which are not required by that service.</w:t>
      </w:r>
      <w:r w:rsidR="00967A15" w:rsidRPr="00E24DF7">
        <w:t xml:space="preserve"> </w:t>
      </w:r>
    </w:p>
    <w:p w:rsidR="007608BD" w:rsidRPr="00E24DF7" w:rsidRDefault="007608BD" w:rsidP="005A55AC">
      <w:pPr>
        <w:pStyle w:val="Heading3"/>
      </w:pPr>
      <w:r w:rsidRPr="00E24DF7">
        <w:t xml:space="preserve">The </w:t>
      </w:r>
      <w:r w:rsidR="00F932F7">
        <w:t>Provider</w:t>
      </w:r>
      <w:r w:rsidRPr="00E24DF7">
        <w:t xml:space="preserve"> will work with </w:t>
      </w:r>
      <w:r w:rsidR="002F16BA" w:rsidRPr="00E24DF7">
        <w:t>Northumbria Police</w:t>
      </w:r>
      <w:r w:rsidRPr="00E24DF7">
        <w:t xml:space="preserve"> and the </w:t>
      </w:r>
      <w:r w:rsidR="007D747D" w:rsidRPr="00E24DF7">
        <w:t xml:space="preserve">SARC </w:t>
      </w:r>
      <w:r w:rsidRPr="00E24DF7">
        <w:t xml:space="preserve">Management to develop a process for provision of anonymous intelligence to the Constabulary. The </w:t>
      </w:r>
      <w:r w:rsidR="002F16BA" w:rsidRPr="00E24DF7">
        <w:t xml:space="preserve">Crisis Worker </w:t>
      </w:r>
      <w:r w:rsidRPr="00E24DF7">
        <w:t xml:space="preserve">will obtain the necessary informed consent of the Service User before doing this. </w:t>
      </w:r>
    </w:p>
    <w:p w:rsidR="00A920CB" w:rsidRPr="0008684C" w:rsidRDefault="00A920CB" w:rsidP="00EE2CE2">
      <w:pPr>
        <w:pStyle w:val="Heading2"/>
      </w:pPr>
      <w:bookmarkStart w:id="29" w:name="_Toc471909195"/>
      <w:r w:rsidRPr="0008684C">
        <w:t>Working</w:t>
      </w:r>
      <w:r w:rsidR="006363AB" w:rsidRPr="0008684C">
        <w:t xml:space="preserve"> Relationship </w:t>
      </w:r>
      <w:r w:rsidRPr="0008684C">
        <w:t xml:space="preserve">with the </w:t>
      </w:r>
      <w:r w:rsidR="004B2C81" w:rsidRPr="0008684C">
        <w:t>Commissioner</w:t>
      </w:r>
      <w:bookmarkEnd w:id="29"/>
    </w:p>
    <w:p w:rsidR="00A920CB" w:rsidRPr="0008684C" w:rsidRDefault="00774D3F" w:rsidP="005A55AC">
      <w:pPr>
        <w:pStyle w:val="Heading3"/>
      </w:pPr>
      <w:r w:rsidRPr="0008684C">
        <w:t xml:space="preserve">The </w:t>
      </w:r>
      <w:r w:rsidR="004B2C81" w:rsidRPr="0008684C">
        <w:t>Commissioner</w:t>
      </w:r>
      <w:r w:rsidRPr="0008684C">
        <w:t>’s aim</w:t>
      </w:r>
      <w:r w:rsidR="00A920CB" w:rsidRPr="0008684C">
        <w:t xml:space="preserve"> is to promote a working collaborative partnership approach to the provisi</w:t>
      </w:r>
      <w:r w:rsidR="00E24DF7">
        <w:t xml:space="preserve">on of the service. </w:t>
      </w:r>
      <w:r w:rsidR="008F3C0E" w:rsidRPr="0008684C">
        <w:t xml:space="preserve">This includes providing advice and assistance with the development of </w:t>
      </w:r>
      <w:r w:rsidR="00C84168" w:rsidRPr="0008684C">
        <w:t xml:space="preserve">relationships with other </w:t>
      </w:r>
      <w:r w:rsidR="00F932F7">
        <w:t xml:space="preserve">commissioners and </w:t>
      </w:r>
      <w:r w:rsidR="00C84168" w:rsidRPr="0008684C">
        <w:t>providers and integration of the Integrated Sexual Assault Referral Service</w:t>
      </w:r>
      <w:r w:rsidR="00AF3AC0" w:rsidRPr="0008684C">
        <w:t>, particularly during the service mobilisation phase.</w:t>
      </w:r>
      <w:r w:rsidR="00F932F7">
        <w:t xml:space="preserve"> The Provider will be expected to work with the commissioner, SARC Management and other service providers at the SARC and as part of referral pathways to develop any new pathways or operational protocols as required. </w:t>
      </w:r>
    </w:p>
    <w:p w:rsidR="007D11E1" w:rsidRPr="0008684C" w:rsidRDefault="007D11E1" w:rsidP="005A55AC">
      <w:pPr>
        <w:pStyle w:val="Heading1"/>
      </w:pPr>
      <w:bookmarkStart w:id="30" w:name="_Toc413761119"/>
      <w:bookmarkStart w:id="31" w:name="_Toc413826967"/>
      <w:bookmarkStart w:id="32" w:name="_Toc471909196"/>
      <w:r w:rsidRPr="0008684C">
        <w:t>Workforce Requirements</w:t>
      </w:r>
      <w:bookmarkEnd w:id="30"/>
      <w:bookmarkEnd w:id="31"/>
      <w:bookmarkEnd w:id="32"/>
      <w:r w:rsidRPr="0008684C">
        <w:t xml:space="preserve"> </w:t>
      </w:r>
    </w:p>
    <w:p w:rsidR="007D11E1" w:rsidRPr="0008684C" w:rsidRDefault="007D11E1" w:rsidP="00EE2CE2">
      <w:pPr>
        <w:pStyle w:val="Heading2"/>
      </w:pPr>
      <w:bookmarkStart w:id="33" w:name="_Toc471909197"/>
      <w:r w:rsidRPr="0008684C">
        <w:t>Training/</w:t>
      </w:r>
      <w:r w:rsidR="00BE196A" w:rsidRPr="0008684C">
        <w:t xml:space="preserve"> A</w:t>
      </w:r>
      <w:r w:rsidRPr="0008684C">
        <w:t xml:space="preserve">ccreditation </w:t>
      </w:r>
      <w:r w:rsidR="00D4324A" w:rsidRPr="0008684C">
        <w:t xml:space="preserve">and Competency </w:t>
      </w:r>
      <w:r w:rsidR="00BE196A" w:rsidRPr="0008684C">
        <w:t>R</w:t>
      </w:r>
      <w:r w:rsidRPr="0008684C">
        <w:t>equirements</w:t>
      </w:r>
      <w:bookmarkEnd w:id="33"/>
    </w:p>
    <w:p w:rsidR="00E24DF7" w:rsidRPr="00E24DF7" w:rsidRDefault="00BE196A" w:rsidP="005A55AC">
      <w:pPr>
        <w:pStyle w:val="Heading3"/>
        <w:rPr>
          <w:strike/>
        </w:rPr>
      </w:pPr>
      <w:r w:rsidRPr="0008684C">
        <w:t xml:space="preserve">The </w:t>
      </w:r>
      <w:r w:rsidR="00F932F7">
        <w:t>Provider</w:t>
      </w:r>
      <w:r w:rsidRPr="0008684C">
        <w:t xml:space="preserve"> must provide, employ or have access to appropriate resources to deliver the Service defined in this Specification. </w:t>
      </w:r>
    </w:p>
    <w:p w:rsidR="00D4324A" w:rsidRPr="0008684C" w:rsidRDefault="008E0B4C" w:rsidP="005A55AC">
      <w:pPr>
        <w:pStyle w:val="Heading3"/>
      </w:pPr>
      <w:r w:rsidRPr="0008684C">
        <w:t xml:space="preserve">Staff </w:t>
      </w:r>
      <w:r w:rsidR="00774D3F" w:rsidRPr="0008684C">
        <w:t xml:space="preserve">working in role which support the </w:t>
      </w:r>
      <w:r w:rsidR="007D747D" w:rsidRPr="0008684C">
        <w:t xml:space="preserve">ISVAs </w:t>
      </w:r>
      <w:r w:rsidR="00774D3F" w:rsidRPr="0008684C">
        <w:t>and who have direct contact with the public, such as answering a helpline, will be expected to have undertaken suitable accredited training</w:t>
      </w:r>
      <w:r w:rsidR="00D02284" w:rsidRPr="0008684C">
        <w:t xml:space="preserve"> </w:t>
      </w:r>
      <w:r w:rsidR="00513736" w:rsidRPr="0008684C">
        <w:t>in counselling, sexual violence crisis work, responding to Victims of sexual violence or similar and have a good awareness of the impact of sexual abuse</w:t>
      </w:r>
      <w:r w:rsidR="00774D3F" w:rsidRPr="0008684C">
        <w:t xml:space="preserve">. </w:t>
      </w:r>
      <w:r w:rsidRPr="0008684C">
        <w:t xml:space="preserve"> </w:t>
      </w:r>
      <w:r w:rsidR="00D4324A" w:rsidRPr="0008684C">
        <w:t xml:space="preserve">The </w:t>
      </w:r>
      <w:r w:rsidR="00F932F7">
        <w:t>Provider</w:t>
      </w:r>
      <w:r w:rsidR="00D4324A" w:rsidRPr="0008684C">
        <w:t xml:space="preserve"> will be expected to ensure that </w:t>
      </w:r>
      <w:proofErr w:type="gramStart"/>
      <w:r w:rsidR="00D4324A" w:rsidRPr="0008684C">
        <w:t>staff have</w:t>
      </w:r>
      <w:proofErr w:type="gramEnd"/>
      <w:r w:rsidR="00D4324A" w:rsidRPr="0008684C">
        <w:t xml:space="preserve"> training on any relevant changes in legislation, national guidance and standards. This will include undertaking any </w:t>
      </w:r>
      <w:r w:rsidR="00D4324A" w:rsidRPr="00B65E12">
        <w:t xml:space="preserve">training which is recommended </w:t>
      </w:r>
      <w:r w:rsidR="002F16BA" w:rsidRPr="00B65E12">
        <w:t>by SARC Management.</w:t>
      </w:r>
    </w:p>
    <w:p w:rsidR="003D56BF" w:rsidRPr="001C143F" w:rsidRDefault="001C143F" w:rsidP="005A55AC">
      <w:pPr>
        <w:pStyle w:val="Heading3"/>
        <w:rPr>
          <w:strike/>
        </w:rPr>
      </w:pPr>
      <w:r w:rsidRPr="00B65E12">
        <w:t xml:space="preserve">Crisis Workers </w:t>
      </w:r>
      <w:r w:rsidR="003D56BF" w:rsidRPr="00B65E12">
        <w:t xml:space="preserve">will require </w:t>
      </w:r>
      <w:r w:rsidR="003D56BF" w:rsidRPr="0008684C">
        <w:t xml:space="preserve">appropriate competencies and understanding of and sensitivity to the young person’s developmental, social and emotional needs and his or her intellectual level. They must be able to communicate comfortably with young people, provide reassurance to and deal with consent and safeguarding issues. </w:t>
      </w:r>
    </w:p>
    <w:p w:rsidR="007D11E1" w:rsidRPr="0008684C" w:rsidRDefault="007D11E1" w:rsidP="00EE2CE2">
      <w:pPr>
        <w:pStyle w:val="Heading2"/>
      </w:pPr>
      <w:bookmarkStart w:id="34" w:name="_Toc471909198"/>
      <w:r w:rsidRPr="0008684C">
        <w:t>Workforce development</w:t>
      </w:r>
      <w:bookmarkEnd w:id="34"/>
      <w:r w:rsidRPr="0008684C">
        <w:t xml:space="preserve"> </w:t>
      </w:r>
    </w:p>
    <w:p w:rsidR="00395201" w:rsidRPr="0008684C" w:rsidRDefault="00395201" w:rsidP="005A55AC">
      <w:pPr>
        <w:pStyle w:val="Heading3"/>
      </w:pPr>
      <w:r w:rsidRPr="0008684C">
        <w:t xml:space="preserve">The </w:t>
      </w:r>
      <w:r w:rsidR="00F932F7">
        <w:t>Provider</w:t>
      </w:r>
      <w:r w:rsidRPr="0008684C">
        <w:t xml:space="preserve"> will be expected to have detailed workforce development plans to enable the development of skills and </w:t>
      </w:r>
      <w:r w:rsidRPr="0008684C">
        <w:t xml:space="preserve">expertise </w:t>
      </w:r>
      <w:r w:rsidR="007F0255">
        <w:t>in Northumbria</w:t>
      </w:r>
      <w:r w:rsidRPr="0008684C">
        <w:t xml:space="preserve"> to </w:t>
      </w:r>
      <w:r w:rsidRPr="0008684C">
        <w:t xml:space="preserve">fulfil the requirements of the new </w:t>
      </w:r>
      <w:r w:rsidR="007D747D" w:rsidRPr="0008684C">
        <w:t>S</w:t>
      </w:r>
      <w:r w:rsidRPr="0008684C">
        <w:t>ervice</w:t>
      </w:r>
      <w:r w:rsidR="007F0255">
        <w:t>.</w:t>
      </w:r>
    </w:p>
    <w:p w:rsidR="00C51E7B" w:rsidRPr="0008684C" w:rsidRDefault="00C51E7B" w:rsidP="005A55AC">
      <w:pPr>
        <w:pStyle w:val="Heading3"/>
      </w:pPr>
      <w:r w:rsidRPr="0008684C">
        <w:t xml:space="preserve">The </w:t>
      </w:r>
      <w:r w:rsidR="00F932F7">
        <w:t>Provider</w:t>
      </w:r>
      <w:r w:rsidRPr="0008684C">
        <w:t xml:space="preserve"> will participate in relevant sexual violence, safeguarding and other relevant networks. It should also participate in relevant national bodies and networks, to ensure that its staff are up-to-date with national requirements, guidelines and training requirements. This list is not exhaustive.</w:t>
      </w:r>
    </w:p>
    <w:p w:rsidR="007D11E1" w:rsidRPr="0008684C" w:rsidRDefault="007D11E1" w:rsidP="00EE2CE2">
      <w:pPr>
        <w:pStyle w:val="Heading2"/>
      </w:pPr>
      <w:bookmarkStart w:id="35" w:name="_Toc471909199"/>
      <w:r w:rsidRPr="0008684C">
        <w:t xml:space="preserve">Staff </w:t>
      </w:r>
      <w:r w:rsidR="001F0DF7" w:rsidRPr="0008684C">
        <w:t>S</w:t>
      </w:r>
      <w:r w:rsidRPr="0008684C">
        <w:t xml:space="preserve">upervision and </w:t>
      </w:r>
      <w:r w:rsidR="001F0DF7" w:rsidRPr="0008684C">
        <w:t>S</w:t>
      </w:r>
      <w:r w:rsidRPr="0008684C">
        <w:t>upport</w:t>
      </w:r>
      <w:bookmarkEnd w:id="35"/>
      <w:r w:rsidRPr="0008684C">
        <w:t xml:space="preserve"> </w:t>
      </w:r>
    </w:p>
    <w:p w:rsidR="00942D90" w:rsidRPr="00942D90" w:rsidRDefault="00395201" w:rsidP="005A55AC">
      <w:pPr>
        <w:pStyle w:val="Heading3"/>
      </w:pPr>
      <w:r w:rsidRPr="00942D90">
        <w:t xml:space="preserve">The </w:t>
      </w:r>
      <w:r w:rsidR="00F932F7">
        <w:t>Provider</w:t>
      </w:r>
      <w:r w:rsidRPr="00942D90">
        <w:t xml:space="preserve"> will ensure that staff are able to obtain support and help in situations where there are problems requiring further expertise and experience</w:t>
      </w:r>
      <w:r w:rsidR="00012776" w:rsidRPr="00942D90">
        <w:t xml:space="preserve">, particularly complex cases. </w:t>
      </w:r>
      <w:r w:rsidR="00BB27CE" w:rsidRPr="00942D90">
        <w:t xml:space="preserve">  </w:t>
      </w:r>
    </w:p>
    <w:p w:rsidR="001F0DF7" w:rsidRPr="0008684C" w:rsidRDefault="00395201" w:rsidP="005A55AC">
      <w:pPr>
        <w:pStyle w:val="Heading3"/>
      </w:pPr>
      <w:r w:rsidRPr="0008684C">
        <w:t xml:space="preserve">Vicarious trauma can be a serious issue for staff working with </w:t>
      </w:r>
      <w:r w:rsidR="00BE504A" w:rsidRPr="0008684C">
        <w:t>Victim</w:t>
      </w:r>
      <w:r w:rsidRPr="0008684C">
        <w:t>s of sexual assaul</w:t>
      </w:r>
      <w:r w:rsidR="007D747D" w:rsidRPr="0008684C">
        <w:t xml:space="preserve">t and </w:t>
      </w:r>
      <w:r w:rsidRPr="0008684C">
        <w:t xml:space="preserve">clinical supervision should take place </w:t>
      </w:r>
      <w:r w:rsidR="007D747D" w:rsidRPr="0008684C">
        <w:t>regularly</w:t>
      </w:r>
      <w:r w:rsidRPr="0008684C">
        <w:t xml:space="preserve">. Workforce plans and job planning should take account of the need for regular supervision (psychological) and mentoring for all staff as a way of reducing the risk, in addition to peer review and clinical supervision. This will be cost effective in the long term, by reducing stress and improving staff retention and the service provided to the </w:t>
      </w:r>
      <w:r w:rsidR="00337013" w:rsidRPr="0008684C">
        <w:t>Service User</w:t>
      </w:r>
      <w:r w:rsidRPr="0008684C">
        <w:t xml:space="preserve">. </w:t>
      </w:r>
    </w:p>
    <w:p w:rsidR="00FE1561" w:rsidRDefault="00012776" w:rsidP="00FE1561">
      <w:pPr>
        <w:pStyle w:val="Heading3"/>
      </w:pPr>
      <w:r w:rsidRPr="0008684C">
        <w:t>Peer support is also expected to provide support and a source of advice and learning.</w:t>
      </w:r>
    </w:p>
    <w:p w:rsidR="00FE1561" w:rsidRPr="00FE1561" w:rsidRDefault="00FE1561" w:rsidP="00FE1561">
      <w:pPr>
        <w:pStyle w:val="Heading3"/>
        <w:rPr>
          <w:rFonts w:cstheme="minorHAnsi"/>
        </w:rPr>
      </w:pPr>
      <w:r w:rsidRPr="00FE1561">
        <w:rPr>
          <w:rFonts w:cstheme="minorHAnsi"/>
        </w:rPr>
        <w:t>The Provider shall, at their own expense, ensure that all crisis workers are immunised against Hepatitis B, TB and Tetanus.</w:t>
      </w:r>
    </w:p>
    <w:p w:rsidR="00395201" w:rsidRPr="0008684C" w:rsidRDefault="00395201" w:rsidP="00EE2CE2">
      <w:pPr>
        <w:pStyle w:val="Heading2"/>
      </w:pPr>
      <w:bookmarkStart w:id="36" w:name="_Toc471909200"/>
      <w:r w:rsidRPr="0008684C">
        <w:t>Staff Clearance and Vetting</w:t>
      </w:r>
      <w:bookmarkEnd w:id="36"/>
    </w:p>
    <w:p w:rsidR="00497441" w:rsidRPr="00942D90" w:rsidRDefault="00E61835" w:rsidP="005A55AC">
      <w:pPr>
        <w:pStyle w:val="Heading3"/>
      </w:pPr>
      <w:r w:rsidRPr="00942D90">
        <w:t xml:space="preserve">The </w:t>
      </w:r>
      <w:r w:rsidR="00F932F7">
        <w:t>Provider</w:t>
      </w:r>
      <w:r w:rsidR="00497441" w:rsidRPr="00942D90">
        <w:t xml:space="preserve"> must undertake Disclosure and Barring Service (DBS) checks for all staff employed by the service and comply with its duties to refer information to the Independent Safeguarding </w:t>
      </w:r>
      <w:r w:rsidR="004B2C81" w:rsidRPr="00942D90">
        <w:t>Commissioner</w:t>
      </w:r>
      <w:r w:rsidR="00497441" w:rsidRPr="00942D90">
        <w:t xml:space="preserve"> (“ISA”) under the Safeguarding Vulnerable Groups Act 2006. The </w:t>
      </w:r>
      <w:r w:rsidR="00F932F7">
        <w:t>Provider</w:t>
      </w:r>
      <w:r w:rsidR="00497441" w:rsidRPr="00942D90">
        <w:t xml:space="preserve"> shall ensure all staff </w:t>
      </w:r>
      <w:proofErr w:type="gramStart"/>
      <w:r w:rsidR="00497441" w:rsidRPr="00942D90">
        <w:t>are</w:t>
      </w:r>
      <w:proofErr w:type="gramEnd"/>
      <w:r w:rsidR="00497441" w:rsidRPr="00942D90">
        <w:t xml:space="preserve"> risk assessed and</w:t>
      </w:r>
      <w:r w:rsidR="007D747D" w:rsidRPr="00942D90">
        <w:t>,</w:t>
      </w:r>
      <w:r w:rsidR="00497441" w:rsidRPr="00942D90">
        <w:t xml:space="preserve"> where required</w:t>
      </w:r>
      <w:r w:rsidR="007D747D" w:rsidRPr="00942D90">
        <w:t>,</w:t>
      </w:r>
      <w:r w:rsidR="00497441" w:rsidRPr="00942D90">
        <w:t xml:space="preserve"> </w:t>
      </w:r>
      <w:r w:rsidR="007D747D" w:rsidRPr="00942D90">
        <w:t>e</w:t>
      </w:r>
      <w:r w:rsidR="00497441" w:rsidRPr="00942D90">
        <w:t xml:space="preserve">nhanced DBS checks are undertaken. The </w:t>
      </w:r>
      <w:r w:rsidR="00F932F7">
        <w:t>Provider</w:t>
      </w:r>
      <w:r w:rsidR="00497441" w:rsidRPr="00942D90">
        <w:t xml:space="preserve"> shall ensure that the DBS checks are regularly updated in line with statutory requirements.</w:t>
      </w:r>
      <w:r w:rsidR="00BB27CE" w:rsidRPr="00942D90">
        <w:t xml:space="preserve">  It will also be a requirement for all contracted staff to undergo Northumbria Police Vetting and this will be arranged by SARC Management.</w:t>
      </w:r>
    </w:p>
    <w:p w:rsidR="007D11E1" w:rsidRPr="0008684C" w:rsidRDefault="007D11E1" w:rsidP="005A55AC">
      <w:pPr>
        <w:pStyle w:val="Heading1"/>
      </w:pPr>
      <w:bookmarkStart w:id="37" w:name="_Toc413761121"/>
      <w:bookmarkStart w:id="38" w:name="_Toc413826969"/>
      <w:bookmarkStart w:id="39" w:name="_Toc471909201"/>
      <w:r w:rsidRPr="0008684C">
        <w:t>Quality Requirements</w:t>
      </w:r>
      <w:bookmarkEnd w:id="37"/>
      <w:bookmarkEnd w:id="38"/>
      <w:bookmarkEnd w:id="39"/>
      <w:r w:rsidRPr="0008684C">
        <w:t xml:space="preserve"> </w:t>
      </w:r>
    </w:p>
    <w:p w:rsidR="007D11E1" w:rsidRPr="0008684C" w:rsidRDefault="007D11E1" w:rsidP="00EE2CE2">
      <w:pPr>
        <w:pStyle w:val="Heading2"/>
      </w:pPr>
      <w:bookmarkStart w:id="40" w:name="_Toc471909202"/>
      <w:r w:rsidRPr="0008684C">
        <w:t xml:space="preserve">Service </w:t>
      </w:r>
      <w:r w:rsidR="005B27AF" w:rsidRPr="0008684C">
        <w:t>User Experience</w:t>
      </w:r>
      <w:bookmarkEnd w:id="40"/>
      <w:r w:rsidR="005B27AF" w:rsidRPr="0008684C">
        <w:t xml:space="preserve"> </w:t>
      </w:r>
    </w:p>
    <w:p w:rsidR="005B27AF" w:rsidRPr="0008684C" w:rsidRDefault="005B27AF" w:rsidP="005A55AC">
      <w:pPr>
        <w:pStyle w:val="Heading3"/>
      </w:pPr>
      <w:r w:rsidRPr="0008684C">
        <w:t xml:space="preserve">The </w:t>
      </w:r>
      <w:r w:rsidR="00F932F7">
        <w:t>Provider</w:t>
      </w:r>
      <w:r w:rsidRPr="0008684C">
        <w:t xml:space="preserve"> must deliver the Services through a service model and style that treats every </w:t>
      </w:r>
      <w:r w:rsidR="00337013" w:rsidRPr="0008684C">
        <w:t>Service User</w:t>
      </w:r>
      <w:r w:rsidRPr="0008684C">
        <w:t xml:space="preserve"> as a valued individual, with respect for their dignity and privacy by:</w:t>
      </w:r>
    </w:p>
    <w:p w:rsidR="005B27AF" w:rsidRPr="0008684C" w:rsidRDefault="005B27AF" w:rsidP="00A21F2D">
      <w:pPr>
        <w:pStyle w:val="Bullets"/>
      </w:pPr>
      <w:r w:rsidRPr="0008684C">
        <w:t xml:space="preserve">Ensuring that the provision of the services protect and maximise </w:t>
      </w:r>
      <w:r w:rsidR="00337013" w:rsidRPr="0008684C">
        <w:t>Service User</w:t>
      </w:r>
      <w:r w:rsidRPr="0008684C">
        <w:t xml:space="preserve"> dignity, privacy and confidentiality.</w:t>
      </w:r>
    </w:p>
    <w:p w:rsidR="005B27AF" w:rsidRPr="0008684C" w:rsidRDefault="005B27AF" w:rsidP="00A21F2D">
      <w:pPr>
        <w:pStyle w:val="Bullets"/>
      </w:pPr>
      <w:r w:rsidRPr="0008684C">
        <w:t xml:space="preserve">Ensuring that all </w:t>
      </w:r>
      <w:r w:rsidR="00E61835" w:rsidRPr="0008684C">
        <w:t>staff</w:t>
      </w:r>
      <w:r w:rsidRPr="0008684C">
        <w:t xml:space="preserve"> behave professionally and with discretion towards all </w:t>
      </w:r>
      <w:r w:rsidR="00337013" w:rsidRPr="0008684C">
        <w:t>Service User</w:t>
      </w:r>
      <w:r w:rsidRPr="0008684C">
        <w:t>s and colleagues at all times.</w:t>
      </w:r>
    </w:p>
    <w:p w:rsidR="008A329A" w:rsidRPr="0008684C" w:rsidRDefault="008A329A" w:rsidP="005A55AC">
      <w:pPr>
        <w:pStyle w:val="Heading3"/>
      </w:pPr>
      <w:r w:rsidRPr="0008684C">
        <w:t xml:space="preserve">The </w:t>
      </w:r>
      <w:r w:rsidR="00F932F7">
        <w:t>Provider</w:t>
      </w:r>
      <w:r w:rsidRPr="0008684C">
        <w:t xml:space="preserve"> will be responsible for collecting information on </w:t>
      </w:r>
      <w:r w:rsidR="00337013" w:rsidRPr="0008684C">
        <w:t>Service User</w:t>
      </w:r>
      <w:r w:rsidRPr="0008684C">
        <w:t xml:space="preserve"> satisfaction through an appropriate method agreed with the </w:t>
      </w:r>
      <w:r w:rsidR="004B2C81" w:rsidRPr="0008684C">
        <w:t>Commissioner</w:t>
      </w:r>
      <w:r w:rsidR="00F932F7">
        <w:t xml:space="preserve"> and SARC Management and analyse</w:t>
      </w:r>
      <w:r w:rsidRPr="0008684C">
        <w:t xml:space="preserve"> the results. </w:t>
      </w:r>
      <w:r w:rsidR="002E65AE" w:rsidRPr="0008684C">
        <w:t xml:space="preserve">The method must allow the Service User to provide an honest view without feeling influenced by the presence of </w:t>
      </w:r>
      <w:r w:rsidR="007D747D" w:rsidRPr="0008684C">
        <w:t>a member of staff</w:t>
      </w:r>
      <w:r w:rsidR="002E65AE" w:rsidRPr="0008684C">
        <w:t xml:space="preserve">. </w:t>
      </w:r>
      <w:r w:rsidRPr="0008684C">
        <w:t xml:space="preserve">The </w:t>
      </w:r>
      <w:r w:rsidR="00F932F7">
        <w:t>Provider</w:t>
      </w:r>
      <w:r w:rsidRPr="0008684C">
        <w:t xml:space="preserve"> will review the results, identify areas for improvement and implement actions to make those improvements, working with other </w:t>
      </w:r>
      <w:r w:rsidR="007D747D" w:rsidRPr="0008684C">
        <w:t>I</w:t>
      </w:r>
      <w:r w:rsidRPr="0008684C">
        <w:t xml:space="preserve">ntegrated Sexual Assault Referral Service providers as required. </w:t>
      </w:r>
    </w:p>
    <w:p w:rsidR="007D11E1" w:rsidRPr="0008684C" w:rsidRDefault="007D11E1" w:rsidP="00EE2CE2">
      <w:pPr>
        <w:pStyle w:val="Heading2"/>
      </w:pPr>
      <w:bookmarkStart w:id="41" w:name="_Toc471909203"/>
      <w:r w:rsidRPr="0008684C">
        <w:t xml:space="preserve">Improving </w:t>
      </w:r>
      <w:r w:rsidR="007F4F56" w:rsidRPr="0008684C">
        <w:t>Services</w:t>
      </w:r>
      <w:bookmarkEnd w:id="41"/>
    </w:p>
    <w:p w:rsidR="002F133A" w:rsidRPr="0008684C" w:rsidRDefault="002F133A" w:rsidP="005A55AC">
      <w:pPr>
        <w:pStyle w:val="Heading3"/>
      </w:pPr>
      <w:r w:rsidRPr="0008684C">
        <w:t xml:space="preserve">The </w:t>
      </w:r>
      <w:r w:rsidR="00F932F7">
        <w:t>Provider</w:t>
      </w:r>
      <w:r w:rsidRPr="0008684C">
        <w:t xml:space="preserve"> will have responsibility for ensuring robust data is collected and analysed to form a basis for service development and for improvement to services.</w:t>
      </w:r>
    </w:p>
    <w:p w:rsidR="005C4524" w:rsidRPr="0008684C" w:rsidRDefault="005C4524" w:rsidP="005A55AC">
      <w:pPr>
        <w:pStyle w:val="Heading3"/>
      </w:pPr>
      <w:r w:rsidRPr="0008684C">
        <w:t xml:space="preserve">The </w:t>
      </w:r>
      <w:r w:rsidR="00F932F7">
        <w:t>Provider</w:t>
      </w:r>
      <w:r w:rsidRPr="0008684C">
        <w:t xml:space="preserve"> will participate in local and national research and audit in relation to rape and sexual assault and delivery of </w:t>
      </w:r>
      <w:r w:rsidR="00BB27CE" w:rsidRPr="00942D90">
        <w:t xml:space="preserve">Crisis Worker </w:t>
      </w:r>
      <w:r w:rsidRPr="00942D90">
        <w:t>services</w:t>
      </w:r>
      <w:r w:rsidRPr="0008684C">
        <w:t xml:space="preserve">, as required by the </w:t>
      </w:r>
      <w:r w:rsidR="004B2C81" w:rsidRPr="0008684C">
        <w:t>Commissioner</w:t>
      </w:r>
      <w:r w:rsidRPr="0008684C">
        <w:t>, to develop the evidence base on what works, and evaluate the impact of and improve services.</w:t>
      </w:r>
    </w:p>
    <w:p w:rsidR="007D11E1" w:rsidRPr="0008684C" w:rsidRDefault="007D11E1" w:rsidP="00EE2CE2">
      <w:pPr>
        <w:pStyle w:val="Heading2"/>
      </w:pPr>
      <w:bookmarkStart w:id="42" w:name="_Toc471909204"/>
      <w:r w:rsidRPr="0008684C">
        <w:t xml:space="preserve">Health </w:t>
      </w:r>
      <w:r w:rsidR="007F4F56" w:rsidRPr="0008684C">
        <w:t>and Safety /Risk Management</w:t>
      </w:r>
      <w:bookmarkEnd w:id="42"/>
      <w:r w:rsidR="007F4F56" w:rsidRPr="0008684C">
        <w:t xml:space="preserve">  </w:t>
      </w:r>
    </w:p>
    <w:p w:rsidR="008A329A" w:rsidRPr="0008684C" w:rsidRDefault="008A329A" w:rsidP="005A55AC">
      <w:pPr>
        <w:pStyle w:val="Heading3"/>
      </w:pPr>
      <w:r w:rsidRPr="0008684C">
        <w:t xml:space="preserve">The </w:t>
      </w:r>
      <w:r w:rsidR="00F932F7">
        <w:t>Provider</w:t>
      </w:r>
      <w:r w:rsidRPr="0008684C">
        <w:t xml:space="preserve"> must have appropriate policies and procedures in place to ensure the safety of its Service Users and their families/ other supporters and employees. It must also have</w:t>
      </w:r>
      <w:r w:rsidR="007D747D" w:rsidRPr="0008684C">
        <w:t xml:space="preserve"> a process for</w:t>
      </w:r>
      <w:r w:rsidRPr="0008684C">
        <w:t xml:space="preserve"> assessing and managing risks, including operational, strategic, financial and reputational risks</w:t>
      </w:r>
      <w:r w:rsidR="00D10A2D" w:rsidRPr="0008684C">
        <w:t>, including lone working</w:t>
      </w:r>
      <w:r w:rsidRPr="0008684C">
        <w:t>.</w:t>
      </w:r>
    </w:p>
    <w:p w:rsidR="000D4111" w:rsidRPr="0008684C" w:rsidRDefault="000D4111" w:rsidP="005A55AC">
      <w:pPr>
        <w:pStyle w:val="Heading3"/>
      </w:pPr>
      <w:r w:rsidRPr="0008684C">
        <w:t xml:space="preserve">The Provider must notify the </w:t>
      </w:r>
      <w:r w:rsidR="00A30B45" w:rsidRPr="0008684C">
        <w:t>Commissioner</w:t>
      </w:r>
      <w:r w:rsidRPr="0008684C">
        <w:t xml:space="preserve"> of any Serious Incident (SI) as defined in: </w:t>
      </w:r>
      <w:r w:rsidR="007D747D" w:rsidRPr="0008684C">
        <w:t>‘</w:t>
      </w:r>
      <w:r w:rsidRPr="0008684C">
        <w:t>National Framework for Reporting and Learning from Serious Incidents Requiring Investigation</w:t>
      </w:r>
      <w:r w:rsidR="007D747D" w:rsidRPr="0008684C">
        <w:t>’</w:t>
      </w:r>
      <w:r w:rsidRPr="0008684C">
        <w:t xml:space="preserve">, (NPSA; 2010) together with updates and further guidance as might be issued. </w:t>
      </w:r>
    </w:p>
    <w:p w:rsidR="000D4111" w:rsidRPr="0008684C" w:rsidRDefault="007D747D" w:rsidP="005A55AC">
      <w:pPr>
        <w:pStyle w:val="Heading3"/>
      </w:pPr>
      <w:r w:rsidRPr="0008684C">
        <w:t>Serious I</w:t>
      </w:r>
      <w:r w:rsidR="000D4111" w:rsidRPr="0008684C">
        <w:t>ncidents include, but are not limited to, incidents relating to:</w:t>
      </w:r>
    </w:p>
    <w:p w:rsidR="000D4111" w:rsidRPr="0008684C" w:rsidRDefault="000D4111" w:rsidP="00401CB4">
      <w:pPr>
        <w:pStyle w:val="Bullets"/>
      </w:pPr>
      <w:r w:rsidRPr="0008684C">
        <w:t xml:space="preserve">Death occurring within the premises owned or leased by the </w:t>
      </w:r>
      <w:r w:rsidR="00F932F7">
        <w:t>Provider</w:t>
      </w:r>
      <w:r w:rsidRPr="0008684C">
        <w:t>;</w:t>
      </w:r>
    </w:p>
    <w:p w:rsidR="000D4111" w:rsidRPr="0008684C" w:rsidRDefault="000D4111" w:rsidP="00401CB4">
      <w:pPr>
        <w:pStyle w:val="Bullets"/>
      </w:pPr>
      <w:r w:rsidRPr="0008684C">
        <w:t>Service User complaint;</w:t>
      </w:r>
    </w:p>
    <w:p w:rsidR="000D4111" w:rsidRPr="0008684C" w:rsidRDefault="000D4111" w:rsidP="00401CB4">
      <w:pPr>
        <w:pStyle w:val="Bullets"/>
      </w:pPr>
      <w:r w:rsidRPr="0008684C">
        <w:t>Service User suicide;</w:t>
      </w:r>
    </w:p>
    <w:p w:rsidR="000D4111" w:rsidRPr="0008684C" w:rsidRDefault="000D4111" w:rsidP="00401CB4">
      <w:pPr>
        <w:pStyle w:val="Bullets"/>
      </w:pPr>
      <w:r w:rsidRPr="0008684C">
        <w:t xml:space="preserve">Data loss and information security; </w:t>
      </w:r>
    </w:p>
    <w:p w:rsidR="000D4111" w:rsidRPr="0008684C" w:rsidRDefault="000D4111" w:rsidP="00401CB4">
      <w:pPr>
        <w:pStyle w:val="Bullets"/>
      </w:pPr>
      <w:r w:rsidRPr="0008684C">
        <w:t>Adult safeguarding incidents;</w:t>
      </w:r>
    </w:p>
    <w:p w:rsidR="000D4111" w:rsidRPr="0008684C" w:rsidRDefault="000D4111" w:rsidP="00401CB4">
      <w:pPr>
        <w:pStyle w:val="Bullets"/>
      </w:pPr>
      <w:r w:rsidRPr="0008684C">
        <w:t>Child protection incidents;</w:t>
      </w:r>
    </w:p>
    <w:p w:rsidR="000D4111" w:rsidRPr="0008684C" w:rsidRDefault="000D4111" w:rsidP="00401CB4">
      <w:pPr>
        <w:pStyle w:val="Bullets"/>
      </w:pPr>
      <w:r w:rsidRPr="0008684C">
        <w:t>Other administrative; and</w:t>
      </w:r>
    </w:p>
    <w:p w:rsidR="000D4111" w:rsidRPr="0008684C" w:rsidRDefault="000D4111" w:rsidP="00401CB4">
      <w:pPr>
        <w:pStyle w:val="Bullets"/>
      </w:pPr>
      <w:r w:rsidRPr="0008684C">
        <w:t xml:space="preserve">Other incidents </w:t>
      </w:r>
      <w:r w:rsidR="009E149A" w:rsidRPr="0008684C">
        <w:t>e.g.</w:t>
      </w:r>
      <w:r w:rsidRPr="0008684C">
        <w:t xml:space="preserve"> assault.</w:t>
      </w:r>
    </w:p>
    <w:p w:rsidR="000D4111" w:rsidRPr="0008684C" w:rsidRDefault="000D4111" w:rsidP="005A55AC">
      <w:pPr>
        <w:pStyle w:val="Heading3"/>
      </w:pPr>
      <w:r w:rsidRPr="0008684C">
        <w:t>Three types of Serious</w:t>
      </w:r>
      <w:r w:rsidR="001F0DF7" w:rsidRPr="0008684C">
        <w:t xml:space="preserve"> I</w:t>
      </w:r>
      <w:r w:rsidRPr="0008684C">
        <w:t>ncidents must be reported:</w:t>
      </w:r>
    </w:p>
    <w:p w:rsidR="000D4111" w:rsidRPr="0008684C" w:rsidRDefault="000D4111" w:rsidP="00401CB4">
      <w:pPr>
        <w:pStyle w:val="Bullets"/>
      </w:pPr>
      <w:r w:rsidRPr="0008684C">
        <w:t>Incidents that have occurred;</w:t>
      </w:r>
    </w:p>
    <w:p w:rsidR="000D4111" w:rsidRPr="0008684C" w:rsidRDefault="000D4111" w:rsidP="00401CB4">
      <w:pPr>
        <w:pStyle w:val="Bullets"/>
      </w:pPr>
      <w:r w:rsidRPr="0008684C">
        <w:t xml:space="preserve">Incidents that have been prevented; </w:t>
      </w:r>
    </w:p>
    <w:p w:rsidR="000D4111" w:rsidRPr="0008684C" w:rsidRDefault="000D4111" w:rsidP="00401CB4">
      <w:pPr>
        <w:pStyle w:val="Bullets"/>
      </w:pPr>
      <w:r w:rsidRPr="0008684C">
        <w:t>And incidents that might happen.</w:t>
      </w:r>
    </w:p>
    <w:p w:rsidR="000D4111" w:rsidRPr="0008684C" w:rsidRDefault="000D4111" w:rsidP="005A55AC">
      <w:pPr>
        <w:pStyle w:val="Heading3"/>
      </w:pPr>
      <w:r w:rsidRPr="0008684C">
        <w:t xml:space="preserve">A Serious Incident must be reported to the </w:t>
      </w:r>
      <w:r w:rsidR="004B2C81" w:rsidRPr="0008684C">
        <w:t>Commissioner</w:t>
      </w:r>
      <w:r w:rsidRPr="0008684C">
        <w:t xml:space="preserve"> within 2 working days. </w:t>
      </w:r>
    </w:p>
    <w:p w:rsidR="000D4111" w:rsidRPr="0008684C" w:rsidRDefault="000D4111" w:rsidP="005A55AC">
      <w:pPr>
        <w:pStyle w:val="Heading3"/>
      </w:pPr>
      <w:r w:rsidRPr="0008684C">
        <w:t xml:space="preserve">The </w:t>
      </w:r>
      <w:r w:rsidR="00F932F7">
        <w:t>Provider</w:t>
      </w:r>
      <w:r w:rsidRPr="0008684C">
        <w:t xml:space="preserve"> must supply quarterly information on all incidents reported, including analysis of trends and a summary of remedial actions undertaken.</w:t>
      </w:r>
    </w:p>
    <w:p w:rsidR="007D11E1" w:rsidRPr="0008684C" w:rsidRDefault="007D11E1" w:rsidP="00EE2CE2">
      <w:pPr>
        <w:pStyle w:val="Heading2"/>
      </w:pPr>
      <w:bookmarkStart w:id="43" w:name="_Toc471909205"/>
      <w:r w:rsidRPr="0008684C">
        <w:t>Governance and Leadership</w:t>
      </w:r>
      <w:bookmarkEnd w:id="43"/>
      <w:r w:rsidRPr="0008684C">
        <w:t xml:space="preserve"> </w:t>
      </w:r>
    </w:p>
    <w:p w:rsidR="007F4F56" w:rsidRPr="0008684C" w:rsidRDefault="007F4F56" w:rsidP="005A55AC">
      <w:pPr>
        <w:pStyle w:val="Heading3"/>
      </w:pPr>
      <w:r w:rsidRPr="0008684C">
        <w:t xml:space="preserve">The </w:t>
      </w:r>
      <w:r w:rsidR="00F932F7">
        <w:t>Provider</w:t>
      </w:r>
      <w:r w:rsidRPr="0008684C">
        <w:t xml:space="preserve"> will be expected to have robust governance procedures and checks in place. The person nominated </w:t>
      </w:r>
      <w:r w:rsidR="007D747D" w:rsidRPr="0008684C">
        <w:t xml:space="preserve">to lead on this </w:t>
      </w:r>
      <w:r w:rsidRPr="0008684C">
        <w:t xml:space="preserve">shall be a person who performs or manages Services under this </w:t>
      </w:r>
      <w:r w:rsidR="007D747D" w:rsidRPr="0008684C">
        <w:t>Specification</w:t>
      </w:r>
      <w:r w:rsidRPr="0008684C">
        <w:t>.</w:t>
      </w:r>
      <w:r w:rsidR="00862003" w:rsidRPr="0008684C">
        <w:t xml:space="preserve"> Incident and complaints m</w:t>
      </w:r>
      <w:r w:rsidR="00DD373C">
        <w:t>anagement must be in line with F</w:t>
      </w:r>
      <w:r w:rsidR="00862003" w:rsidRPr="0008684C">
        <w:t>orce/NHS procedures.</w:t>
      </w:r>
    </w:p>
    <w:p w:rsidR="00497441" w:rsidRPr="0008684C" w:rsidRDefault="00F932F7" w:rsidP="005A55AC">
      <w:pPr>
        <w:pStyle w:val="Heading3"/>
      </w:pPr>
      <w:r>
        <w:t>Provider</w:t>
      </w:r>
      <w:r w:rsidR="00497441" w:rsidRPr="0008684C">
        <w:t xml:space="preserve">s are to have sufficient written policies, procedures and codes of practice in place to ensure that instruction and guidance for the </w:t>
      </w:r>
      <w:r>
        <w:t>Provider</w:t>
      </w:r>
      <w:r w:rsidR="00497441" w:rsidRPr="0008684C">
        <w:t xml:space="preserve">’s staff are available in relation to the functions and activities described. The </w:t>
      </w:r>
      <w:r>
        <w:t>Provider</w:t>
      </w:r>
      <w:r w:rsidR="00497441" w:rsidRPr="0008684C">
        <w:t xml:space="preserve"> will have or operate within:</w:t>
      </w:r>
    </w:p>
    <w:p w:rsidR="00497441" w:rsidRPr="0008684C" w:rsidRDefault="00497441" w:rsidP="00A21F2D">
      <w:pPr>
        <w:pStyle w:val="Bullets"/>
      </w:pPr>
      <w:r w:rsidRPr="0008684C">
        <w:t>Local Safeguarding Adult and Children Procedures</w:t>
      </w:r>
    </w:p>
    <w:p w:rsidR="00497441" w:rsidRPr="0008684C" w:rsidRDefault="00497441" w:rsidP="00A21F2D">
      <w:pPr>
        <w:pStyle w:val="Bullets"/>
      </w:pPr>
      <w:r w:rsidRPr="0008684C">
        <w:t>SARC Policies and Procedures</w:t>
      </w:r>
    </w:p>
    <w:p w:rsidR="00497441" w:rsidRPr="0008684C" w:rsidRDefault="00497441" w:rsidP="00A21F2D">
      <w:pPr>
        <w:pStyle w:val="Bullets"/>
      </w:pPr>
      <w:r w:rsidRPr="0008684C">
        <w:t xml:space="preserve">A written confidentiality policy </w:t>
      </w:r>
    </w:p>
    <w:p w:rsidR="00497441" w:rsidRPr="0008684C" w:rsidRDefault="00497441" w:rsidP="00A21F2D">
      <w:pPr>
        <w:pStyle w:val="Bullets"/>
      </w:pPr>
      <w:r w:rsidRPr="0008684C">
        <w:t xml:space="preserve">A written complaints policy </w:t>
      </w:r>
      <w:r w:rsidR="00166D87" w:rsidRPr="0008684C">
        <w:t>(see Section 7.5)</w:t>
      </w:r>
    </w:p>
    <w:p w:rsidR="00497441" w:rsidRPr="0008684C" w:rsidRDefault="00497441" w:rsidP="00A21F2D">
      <w:pPr>
        <w:pStyle w:val="Bullets"/>
      </w:pPr>
      <w:r w:rsidRPr="0008684C">
        <w:t xml:space="preserve">Clear guidelines on action to be taken for </w:t>
      </w:r>
      <w:r w:rsidR="00337013" w:rsidRPr="0008684C">
        <w:t>Service User</w:t>
      </w:r>
      <w:r w:rsidRPr="0008684C">
        <w:t>s who are deemed to be at risk of self-harm</w:t>
      </w:r>
    </w:p>
    <w:p w:rsidR="004C3FFC" w:rsidRPr="0008684C" w:rsidRDefault="007D747D" w:rsidP="00A21F2D">
      <w:pPr>
        <w:pStyle w:val="Bullets"/>
      </w:pPr>
      <w:r w:rsidRPr="0008684C">
        <w:t>A lone working policy</w:t>
      </w:r>
    </w:p>
    <w:p w:rsidR="004C3FFC" w:rsidRDefault="004C3FFC" w:rsidP="00A21F2D">
      <w:pPr>
        <w:pStyle w:val="Bullets"/>
      </w:pPr>
      <w:r w:rsidRPr="0008684C">
        <w:t>A record keeping policy and procedures as set out in Section 4.10</w:t>
      </w:r>
    </w:p>
    <w:p w:rsidR="00942D90" w:rsidRPr="0008684C" w:rsidRDefault="00942D90" w:rsidP="00A21F2D">
      <w:pPr>
        <w:pStyle w:val="Bullets"/>
      </w:pPr>
      <w:r>
        <w:t>Information sharing agreements as required with other providers at the SARC</w:t>
      </w:r>
    </w:p>
    <w:p w:rsidR="007D11E1" w:rsidRPr="0008684C" w:rsidRDefault="007D11E1" w:rsidP="00EE2CE2">
      <w:pPr>
        <w:pStyle w:val="Heading2"/>
      </w:pPr>
      <w:bookmarkStart w:id="44" w:name="_Toc471909206"/>
      <w:r w:rsidRPr="0008684C">
        <w:t>Complaints</w:t>
      </w:r>
      <w:bookmarkEnd w:id="44"/>
      <w:r w:rsidRPr="0008684C">
        <w:t xml:space="preserve"> </w:t>
      </w:r>
    </w:p>
    <w:p w:rsidR="00E476CF" w:rsidRPr="0008684C" w:rsidRDefault="000D4111" w:rsidP="005A55AC">
      <w:pPr>
        <w:pStyle w:val="Heading3"/>
      </w:pPr>
      <w:r w:rsidRPr="0008684C">
        <w:t>The Provider must have in place a comprehensive complaints written procedure, which will deal with operational complaints</w:t>
      </w:r>
      <w:r w:rsidR="0033020C" w:rsidRPr="0008684C">
        <w:t xml:space="preserve"> </w:t>
      </w:r>
      <w:r w:rsidRPr="0008684C">
        <w:t>and contractual complaints.</w:t>
      </w:r>
      <w:r w:rsidR="00E476CF" w:rsidRPr="0008684C">
        <w:t xml:space="preserve"> As a minimum the complaints procedure must include:</w:t>
      </w:r>
    </w:p>
    <w:p w:rsidR="00E476CF" w:rsidRPr="0008684C" w:rsidRDefault="00E476CF" w:rsidP="00401CB4">
      <w:pPr>
        <w:pStyle w:val="Bullets"/>
      </w:pPr>
      <w:r w:rsidRPr="0008684C">
        <w:t>A clear reporting procedure including categorisation of complaints;</w:t>
      </w:r>
    </w:p>
    <w:p w:rsidR="00E476CF" w:rsidRPr="0008684C" w:rsidRDefault="00E476CF" w:rsidP="00401CB4">
      <w:pPr>
        <w:pStyle w:val="Bullets"/>
      </w:pPr>
      <w:r w:rsidRPr="0008684C">
        <w:t>A written response to all complaints;</w:t>
      </w:r>
    </w:p>
    <w:p w:rsidR="00E476CF" w:rsidRPr="0008684C" w:rsidRDefault="00E476CF" w:rsidP="00401CB4">
      <w:pPr>
        <w:pStyle w:val="Bullets"/>
      </w:pPr>
      <w:r w:rsidRPr="0008684C">
        <w:t>A log of all complaints, their investigation and outcome;</w:t>
      </w:r>
    </w:p>
    <w:p w:rsidR="00E476CF" w:rsidRPr="0008684C" w:rsidRDefault="00E476CF" w:rsidP="00401CB4">
      <w:pPr>
        <w:pStyle w:val="Bullets"/>
      </w:pPr>
      <w:r w:rsidRPr="0008684C">
        <w:t>Resolution timescale targets and processes;</w:t>
      </w:r>
    </w:p>
    <w:p w:rsidR="000D4111" w:rsidRPr="0008684C" w:rsidRDefault="00E476CF" w:rsidP="00401CB4">
      <w:pPr>
        <w:pStyle w:val="Bullets"/>
      </w:pPr>
      <w:r w:rsidRPr="0008684C">
        <w:t>Escalation points with the names/position of those responsible at every level of the process</w:t>
      </w:r>
      <w:r w:rsidR="00A30B45" w:rsidRPr="0008684C">
        <w:t>.</w:t>
      </w:r>
    </w:p>
    <w:p w:rsidR="000D4111" w:rsidRPr="0008684C" w:rsidRDefault="000D4111" w:rsidP="005A55AC">
      <w:pPr>
        <w:pStyle w:val="Heading3"/>
      </w:pPr>
      <w:r w:rsidRPr="0008684C">
        <w:t>The complaints procedure must be in accordance with relevant NHS and Police complaints procedures and associated deadlines.</w:t>
      </w:r>
    </w:p>
    <w:p w:rsidR="000D4111" w:rsidRPr="0008684C" w:rsidRDefault="000D4111" w:rsidP="005A55AC">
      <w:pPr>
        <w:pStyle w:val="Heading3"/>
      </w:pPr>
      <w:r w:rsidRPr="0008684C">
        <w:t xml:space="preserve">As a minimum, the </w:t>
      </w:r>
      <w:r w:rsidR="00F932F7">
        <w:t>Provider</w:t>
      </w:r>
      <w:r w:rsidRPr="0008684C">
        <w:t xml:space="preserve"> shall deal with any complaints received from whatever source in a prompt, courteous and efficient manner within 48 hours.</w:t>
      </w:r>
      <w:r w:rsidR="0033020C" w:rsidRPr="0008684C">
        <w:t xml:space="preserve"> The </w:t>
      </w:r>
      <w:r w:rsidR="00F932F7">
        <w:t>Provider</w:t>
      </w:r>
      <w:r w:rsidR="0033020C" w:rsidRPr="0008684C">
        <w:t xml:space="preserve"> shall keep a written record of all complaints received and of the action taken in relation to such complaints. </w:t>
      </w:r>
    </w:p>
    <w:p w:rsidR="000D4111" w:rsidRPr="0008684C" w:rsidRDefault="00E476CF" w:rsidP="005A55AC">
      <w:pPr>
        <w:pStyle w:val="Heading3"/>
      </w:pPr>
      <w:r w:rsidRPr="0008684C">
        <w:t>T</w:t>
      </w:r>
      <w:r w:rsidR="000D4111" w:rsidRPr="0008684C">
        <w:t xml:space="preserve">he </w:t>
      </w:r>
      <w:r w:rsidR="00F932F7">
        <w:t>Provider</w:t>
      </w:r>
      <w:r w:rsidR="000D4111" w:rsidRPr="0008684C">
        <w:t xml:space="preserve"> must display a copy of these procedures at each </w:t>
      </w:r>
      <w:r w:rsidR="0033020C" w:rsidRPr="0008684C">
        <w:t>l</w:t>
      </w:r>
      <w:r w:rsidR="000D4111" w:rsidRPr="0008684C">
        <w:t>ocation</w:t>
      </w:r>
      <w:r w:rsidR="0033020C" w:rsidRPr="0008684C">
        <w:t xml:space="preserve"> from which it provides the Service</w:t>
      </w:r>
      <w:r w:rsidR="000D4111" w:rsidRPr="0008684C">
        <w:t>.</w:t>
      </w:r>
    </w:p>
    <w:p w:rsidR="000D4111" w:rsidRPr="0008684C" w:rsidRDefault="000D4111" w:rsidP="005A55AC">
      <w:pPr>
        <w:pStyle w:val="Heading3"/>
      </w:pPr>
      <w:r w:rsidRPr="0008684C">
        <w:t xml:space="preserve">The </w:t>
      </w:r>
      <w:r w:rsidR="00F932F7">
        <w:t>Provider</w:t>
      </w:r>
      <w:r w:rsidRPr="0008684C">
        <w:t xml:space="preserve"> must provide quarterly information on all complaints reported, including analysis </w:t>
      </w:r>
      <w:r w:rsidR="009E149A" w:rsidRPr="0008684C">
        <w:t>of trends</w:t>
      </w:r>
      <w:r w:rsidR="00A30B45" w:rsidRPr="0008684C">
        <w:t>, details of the outcome of investigations,</w:t>
      </w:r>
      <w:r w:rsidRPr="0008684C">
        <w:t xml:space="preserve"> a summary of remedial actions undertaken</w:t>
      </w:r>
      <w:r w:rsidR="0033020C" w:rsidRPr="0008684C">
        <w:t xml:space="preserve"> as set out in Paragraph 9.1.3.</w:t>
      </w:r>
      <w:r w:rsidR="00A30B45" w:rsidRPr="0008684C">
        <w:t xml:space="preserve"> This must include an exception report on any complaints not resolved within the timescales within the Complaints Policy.</w:t>
      </w:r>
    </w:p>
    <w:p w:rsidR="00166D87" w:rsidRPr="0008684C" w:rsidRDefault="00166D87" w:rsidP="005A55AC">
      <w:pPr>
        <w:pStyle w:val="Heading1"/>
      </w:pPr>
      <w:bookmarkStart w:id="45" w:name="_Toc471909207"/>
      <w:r w:rsidRPr="0008684C">
        <w:t>Contract Arrangements</w:t>
      </w:r>
      <w:bookmarkStart w:id="46" w:name="_Toc413761122"/>
      <w:bookmarkStart w:id="47" w:name="_Toc413826970"/>
      <w:bookmarkEnd w:id="45"/>
    </w:p>
    <w:p w:rsidR="002F133A" w:rsidRPr="0008684C" w:rsidRDefault="002F133A" w:rsidP="00401CB4">
      <w:pPr>
        <w:pStyle w:val="Heading2"/>
      </w:pPr>
      <w:bookmarkStart w:id="48" w:name="_Toc471909208"/>
      <w:r w:rsidRPr="0008684C">
        <w:t>Service Mobilisation</w:t>
      </w:r>
      <w:bookmarkEnd w:id="48"/>
    </w:p>
    <w:p w:rsidR="00A30B45" w:rsidRPr="0008684C" w:rsidRDefault="002F133A" w:rsidP="005A55AC">
      <w:pPr>
        <w:pStyle w:val="Heading3"/>
      </w:pPr>
      <w:r w:rsidRPr="0008684C">
        <w:t xml:space="preserve">The </w:t>
      </w:r>
      <w:r w:rsidR="00F932F7">
        <w:t>Provider</w:t>
      </w:r>
      <w:r w:rsidRPr="0008684C">
        <w:t xml:space="preserve"> will make adequate arrangements for mobilisation of the service by the Contract Start Date, including appointment, training, vetting of staff, development of procedures</w:t>
      </w:r>
      <w:r w:rsidR="00A30B45" w:rsidRPr="0008684C">
        <w:t xml:space="preserve">, transition of staff and Service Users from the outgoing </w:t>
      </w:r>
      <w:r w:rsidR="00A30B45" w:rsidRPr="00942D90">
        <w:t xml:space="preserve">providers of </w:t>
      </w:r>
      <w:r w:rsidR="00472DA8" w:rsidRPr="00942D90">
        <w:t xml:space="preserve">Crisis </w:t>
      </w:r>
      <w:r w:rsidR="00A30B45" w:rsidRPr="00942D90">
        <w:t>services</w:t>
      </w:r>
      <w:r w:rsidRPr="00942D90">
        <w:t xml:space="preserve"> </w:t>
      </w:r>
      <w:r w:rsidRPr="0008684C">
        <w:t xml:space="preserve">and </w:t>
      </w:r>
      <w:r w:rsidR="007D747D" w:rsidRPr="0008684C">
        <w:t xml:space="preserve">development </w:t>
      </w:r>
      <w:r w:rsidRPr="0008684C">
        <w:t xml:space="preserve">and testing of referral processes. </w:t>
      </w:r>
      <w:r w:rsidR="00A30B45" w:rsidRPr="0008684C">
        <w:t>It must supply a Mobilisation Plan which include</w:t>
      </w:r>
      <w:r w:rsidR="007D747D" w:rsidRPr="0008684C">
        <w:t>s</w:t>
      </w:r>
      <w:r w:rsidR="00A30B45" w:rsidRPr="0008684C">
        <w:t xml:space="preserve"> but </w:t>
      </w:r>
      <w:r w:rsidR="007D747D" w:rsidRPr="0008684C">
        <w:t xml:space="preserve">is </w:t>
      </w:r>
      <w:r w:rsidR="00A30B45" w:rsidRPr="0008684C">
        <w:t>not be limited to:</w:t>
      </w:r>
    </w:p>
    <w:p w:rsidR="00A30B45" w:rsidRPr="0008684C" w:rsidRDefault="00A30B45" w:rsidP="00401CB4">
      <w:pPr>
        <w:pStyle w:val="Bullets"/>
      </w:pPr>
      <w:r w:rsidRPr="0008684C">
        <w:t>Governance arrangements;</w:t>
      </w:r>
    </w:p>
    <w:p w:rsidR="00A30B45" w:rsidRPr="0008684C" w:rsidRDefault="00A30B45" w:rsidP="00401CB4">
      <w:pPr>
        <w:pStyle w:val="Bullets"/>
      </w:pPr>
      <w:r w:rsidRPr="0008684C">
        <w:t>Project management during the transition;</w:t>
      </w:r>
    </w:p>
    <w:p w:rsidR="00A30B45" w:rsidRPr="0008684C" w:rsidRDefault="00A30B45" w:rsidP="00401CB4">
      <w:pPr>
        <w:pStyle w:val="Bullets"/>
      </w:pPr>
      <w:r w:rsidRPr="0008684C">
        <w:t>Key milestones;</w:t>
      </w:r>
    </w:p>
    <w:p w:rsidR="00A30B45" w:rsidRPr="0008684C" w:rsidRDefault="00A30B45" w:rsidP="00401CB4">
      <w:pPr>
        <w:pStyle w:val="Bullets"/>
      </w:pPr>
      <w:r w:rsidRPr="0008684C">
        <w:t>Arrangements with the outgoing providers;</w:t>
      </w:r>
    </w:p>
    <w:p w:rsidR="00A30B45" w:rsidRPr="0008684C" w:rsidRDefault="00A30B45" w:rsidP="00401CB4">
      <w:pPr>
        <w:pStyle w:val="Bullets"/>
      </w:pPr>
      <w:r w:rsidRPr="0008684C">
        <w:t>Workforce plan including recruitment schedules; pre-employment checks; TUPE transfer if relevant including staff consultation; staff induction; training and competency assessment;</w:t>
      </w:r>
    </w:p>
    <w:p w:rsidR="00A30B45" w:rsidRPr="0008684C" w:rsidRDefault="00A30B45" w:rsidP="00401CB4">
      <w:pPr>
        <w:pStyle w:val="Bullets"/>
      </w:pPr>
      <w:r w:rsidRPr="0008684C">
        <w:t>Public and partner communications and awareness raising</w:t>
      </w:r>
      <w:r w:rsidR="00393D93" w:rsidRPr="0008684C">
        <w:t>.</w:t>
      </w:r>
    </w:p>
    <w:p w:rsidR="00393D93" w:rsidRPr="0008684C" w:rsidRDefault="00393D93" w:rsidP="005A55AC">
      <w:pPr>
        <w:pStyle w:val="Heading3"/>
      </w:pPr>
      <w:r w:rsidRPr="0008684C">
        <w:t xml:space="preserve">During the mobilisation period, the </w:t>
      </w:r>
      <w:r w:rsidR="00F932F7">
        <w:t>Provider</w:t>
      </w:r>
      <w:r w:rsidRPr="0008684C">
        <w:t xml:space="preserve"> shall report progress against each element of the Mobilisation Plan on a monthly basis. The Commissioner</w:t>
      </w:r>
      <w:r w:rsidR="00F932F7">
        <w:t xml:space="preserve"> and SARC Management</w:t>
      </w:r>
      <w:r w:rsidRPr="0008684C">
        <w:t xml:space="preserve"> may require a meeting with the </w:t>
      </w:r>
      <w:r w:rsidR="00F932F7">
        <w:t>Provider</w:t>
      </w:r>
      <w:r w:rsidRPr="0008684C">
        <w:t xml:space="preserve"> to discuss any issue arising from the monthly progress reports, and to address appropriate methods for resolving any issue that is delaying implementation of the Mobilisation Plan, including, without limitation, appropriate changes to the </w:t>
      </w:r>
      <w:r w:rsidR="00F932F7">
        <w:t>Provider</w:t>
      </w:r>
      <w:r w:rsidRPr="0008684C">
        <w:t xml:space="preserve">'s procedures, remedial action and/or a rectification plan. </w:t>
      </w:r>
    </w:p>
    <w:p w:rsidR="00A32A04" w:rsidRPr="0008684C" w:rsidRDefault="002F133A" w:rsidP="005A55AC">
      <w:pPr>
        <w:pStyle w:val="Heading3"/>
      </w:pPr>
      <w:r w:rsidRPr="0008684C">
        <w:t xml:space="preserve">The </w:t>
      </w:r>
      <w:r w:rsidR="004B2C81" w:rsidRPr="0008684C">
        <w:t>Commissioner</w:t>
      </w:r>
      <w:r w:rsidRPr="0008684C">
        <w:t xml:space="preserve"> aims to have a collaborative relationship with the</w:t>
      </w:r>
      <w:r w:rsidR="005C4524" w:rsidRPr="0008684C">
        <w:t xml:space="preserve"> </w:t>
      </w:r>
      <w:r w:rsidR="00F932F7">
        <w:t>Provider</w:t>
      </w:r>
      <w:r w:rsidRPr="0008684C">
        <w:t xml:space="preserve"> </w:t>
      </w:r>
      <w:r w:rsidR="005C4524" w:rsidRPr="0008684C">
        <w:t>and</w:t>
      </w:r>
      <w:r w:rsidR="00393D93" w:rsidRPr="0008684C">
        <w:t xml:space="preserve"> will be available to</w:t>
      </w:r>
      <w:r w:rsidR="005C4524" w:rsidRPr="0008684C">
        <w:t xml:space="preserve"> support liaison with other services in the Integrated Sexual Assault Referral Service</w:t>
      </w:r>
      <w:r w:rsidR="00393D93" w:rsidRPr="0008684C">
        <w:t xml:space="preserve"> and beyond to enable the development of effective referral pathways and services</w:t>
      </w:r>
      <w:r w:rsidR="005C4524" w:rsidRPr="0008684C">
        <w:t xml:space="preserve">. </w:t>
      </w:r>
      <w:r w:rsidR="00393D93" w:rsidRPr="0008684C">
        <w:t xml:space="preserve">This will include co-ordination of training and awareness raising work with professionals </w:t>
      </w:r>
      <w:r w:rsidR="009E149A" w:rsidRPr="0008684C">
        <w:t>across local</w:t>
      </w:r>
      <w:r w:rsidR="00393D93" w:rsidRPr="0008684C">
        <w:t xml:space="preserve"> agencies and public communications.</w:t>
      </w:r>
    </w:p>
    <w:p w:rsidR="00A32A04" w:rsidRPr="0008684C" w:rsidRDefault="00A32A04" w:rsidP="00401CB4">
      <w:pPr>
        <w:pStyle w:val="Heading2"/>
      </w:pPr>
      <w:bookmarkStart w:id="49" w:name="_Toc471909209"/>
      <w:r w:rsidRPr="0008684C">
        <w:t>Exit Arrangements</w:t>
      </w:r>
      <w:bookmarkEnd w:id="49"/>
    </w:p>
    <w:p w:rsidR="00A32A04" w:rsidRPr="0008684C" w:rsidRDefault="00A32A04" w:rsidP="005A55AC">
      <w:pPr>
        <w:pStyle w:val="Heading3"/>
      </w:pPr>
      <w:r w:rsidRPr="0008684C">
        <w:t xml:space="preserve">The </w:t>
      </w:r>
      <w:r w:rsidR="00F932F7">
        <w:t>Provider</w:t>
      </w:r>
      <w:r w:rsidRPr="0008684C">
        <w:t xml:space="preserve"> shall maintain throughout the Contract Term an Exit Plan approved by the Commissioner </w:t>
      </w:r>
      <w:r w:rsidR="00F932F7">
        <w:t xml:space="preserve">and SARC Management </w:t>
      </w:r>
      <w:r w:rsidRPr="0008684C">
        <w:t xml:space="preserve">which shall consist of a list of processes to manage the exit of the </w:t>
      </w:r>
      <w:r w:rsidR="00F932F7">
        <w:t>Provider</w:t>
      </w:r>
      <w:r w:rsidRPr="0008684C">
        <w:t xml:space="preserve"> from performing the Services. </w:t>
      </w:r>
    </w:p>
    <w:p w:rsidR="005B7C66" w:rsidRPr="0008684C" w:rsidRDefault="00A32A04" w:rsidP="005A55AC">
      <w:pPr>
        <w:pStyle w:val="Heading3"/>
      </w:pPr>
      <w:r w:rsidRPr="0008684C">
        <w:t>The Exit Plan shall be updated during the Contract Term by agreement between the Parties and include any changes to th</w:t>
      </w:r>
      <w:r w:rsidR="005B7C66" w:rsidRPr="0008684C">
        <w:t>e</w:t>
      </w:r>
      <w:r w:rsidRPr="0008684C">
        <w:t xml:space="preserve"> Contract</w:t>
      </w:r>
      <w:r w:rsidR="005B7C66" w:rsidRPr="0008684C">
        <w:t xml:space="preserve">. </w:t>
      </w:r>
      <w:r w:rsidRPr="0008684C">
        <w:t xml:space="preserve"> The Exit Plan will become effective as soon as notice of termination is issued by one Party to the other or </w:t>
      </w:r>
      <w:r w:rsidR="00942D90" w:rsidRPr="00942D90">
        <w:t>six months prior</w:t>
      </w:r>
      <w:r w:rsidRPr="0008684C">
        <w:t xml:space="preserve"> to the expiry of this Contract, whichever occurs first. </w:t>
      </w:r>
    </w:p>
    <w:p w:rsidR="007D11E1" w:rsidRPr="0008684C" w:rsidRDefault="007D11E1" w:rsidP="005A55AC">
      <w:pPr>
        <w:pStyle w:val="Heading1"/>
      </w:pPr>
      <w:bookmarkStart w:id="50" w:name="_Toc471909210"/>
      <w:r w:rsidRPr="0008684C">
        <w:t>Contract Management</w:t>
      </w:r>
      <w:bookmarkEnd w:id="46"/>
      <w:bookmarkEnd w:id="47"/>
      <w:bookmarkEnd w:id="50"/>
      <w:r w:rsidRPr="0008684C">
        <w:t xml:space="preserve"> </w:t>
      </w:r>
    </w:p>
    <w:p w:rsidR="004A5F30" w:rsidRPr="0008684C" w:rsidRDefault="00DE51D6" w:rsidP="005A55AC">
      <w:pPr>
        <w:pStyle w:val="Heading3"/>
      </w:pPr>
      <w:r w:rsidRPr="0008684C">
        <w:t xml:space="preserve">The </w:t>
      </w:r>
      <w:r w:rsidR="00F932F7">
        <w:t>Provider</w:t>
      </w:r>
      <w:r w:rsidRPr="0008684C">
        <w:t xml:space="preserve"> will be required to submit regular service, organisational and financial information as requested by the </w:t>
      </w:r>
      <w:r w:rsidR="007D747D" w:rsidRPr="0008684C">
        <w:t>C</w:t>
      </w:r>
      <w:r w:rsidRPr="0008684C">
        <w:t>ommissioner.</w:t>
      </w:r>
      <w:r w:rsidR="004E0465" w:rsidRPr="0008684C">
        <w:t xml:space="preserve"> </w:t>
      </w:r>
      <w:r w:rsidR="004E0465" w:rsidRPr="0008684C">
        <w:rPr>
          <w:rFonts w:eastAsia="SymbolMT"/>
        </w:rPr>
        <w:t xml:space="preserve">The </w:t>
      </w:r>
      <w:r w:rsidR="004B2C81" w:rsidRPr="0008684C">
        <w:rPr>
          <w:rFonts w:eastAsia="SymbolMT"/>
        </w:rPr>
        <w:t>Commissioner</w:t>
      </w:r>
      <w:r w:rsidR="00F932F7">
        <w:rPr>
          <w:rFonts w:eastAsia="SymbolMT"/>
        </w:rPr>
        <w:t>/SARC Management</w:t>
      </w:r>
      <w:r w:rsidR="004E0465" w:rsidRPr="0008684C">
        <w:rPr>
          <w:rFonts w:eastAsia="SymbolMT"/>
        </w:rPr>
        <w:t xml:space="preserve"> </w:t>
      </w:r>
      <w:r w:rsidR="004E0465" w:rsidRPr="0008684C">
        <w:t>will monitor the service through quarterly contract monitoring meetings.</w:t>
      </w:r>
      <w:r w:rsidR="004A5F30" w:rsidRPr="0008684C">
        <w:t xml:space="preserve"> The </w:t>
      </w:r>
      <w:r w:rsidR="00F932F7">
        <w:t>Provider</w:t>
      </w:r>
      <w:r w:rsidR="004A5F30" w:rsidRPr="0008684C">
        <w:t xml:space="preserve"> will be required to submit regular service, organisational and financial information as requested by the Authority. The </w:t>
      </w:r>
      <w:r w:rsidR="00F932F7">
        <w:t>Provider</w:t>
      </w:r>
      <w:r w:rsidR="004A5F30" w:rsidRPr="0008684C">
        <w:t xml:space="preserve"> will be expected to have systems and processes in place to capture and report the Management Information specified in Appendix 1</w:t>
      </w:r>
      <w:r w:rsidR="007D747D" w:rsidRPr="0008684C">
        <w:t xml:space="preserve"> and the Performance Indicators in Appendix 2</w:t>
      </w:r>
      <w:r w:rsidR="004A5F30" w:rsidRPr="0008684C">
        <w:t xml:space="preserve"> at the frequency stipulated and by the 15</w:t>
      </w:r>
      <w:r w:rsidR="004A5F30" w:rsidRPr="0008684C">
        <w:rPr>
          <w:vertAlign w:val="superscript"/>
        </w:rPr>
        <w:t>th</w:t>
      </w:r>
      <w:r w:rsidR="004A5F30" w:rsidRPr="0008684C">
        <w:t xml:space="preserve"> of the month following the end of the month or quarter, as appropriate. Where data is supplied quarterly, the </w:t>
      </w:r>
      <w:r w:rsidR="00F932F7">
        <w:t>Provider</w:t>
      </w:r>
      <w:r w:rsidR="004A5F30" w:rsidRPr="0008684C">
        <w:t xml:space="preserve"> shall provide quarterly information that is broken down month by month to the Commissioner. The Commissioner expects that the Provider will submit all data sets using electronic transfer. </w:t>
      </w:r>
      <w:r w:rsidR="004A5F30" w:rsidRPr="0008684C">
        <w:rPr>
          <w:rFonts w:cs="Arial"/>
        </w:rPr>
        <w:t xml:space="preserve">The monitoring information and activity data may be revised to meet future developments and requirements and to inform commissioning intentions. </w:t>
      </w:r>
    </w:p>
    <w:p w:rsidR="00DE51D6" w:rsidRPr="0008684C" w:rsidRDefault="00DE51D6" w:rsidP="005A55AC">
      <w:pPr>
        <w:pStyle w:val="Heading3"/>
      </w:pPr>
      <w:r w:rsidRPr="0008684C">
        <w:t xml:space="preserve">The </w:t>
      </w:r>
      <w:r w:rsidR="00F932F7">
        <w:t>Provider</w:t>
      </w:r>
      <w:r w:rsidRPr="0008684C">
        <w:t xml:space="preserve"> will provide the following on a quarterly basis:</w:t>
      </w:r>
    </w:p>
    <w:p w:rsidR="00DE51D6" w:rsidRPr="0008684C" w:rsidRDefault="00DE51D6" w:rsidP="00A21F2D">
      <w:pPr>
        <w:pStyle w:val="Bullets"/>
      </w:pPr>
      <w:r w:rsidRPr="0008684C">
        <w:t>A full staff list and any staff changes occurring or planned each quarter.</w:t>
      </w:r>
    </w:p>
    <w:p w:rsidR="00DE51D6" w:rsidRPr="0008684C" w:rsidRDefault="00DE51D6" w:rsidP="00A21F2D">
      <w:pPr>
        <w:pStyle w:val="Bullets"/>
      </w:pPr>
      <w:r w:rsidRPr="0008684C">
        <w:t>Training and supervision completed.</w:t>
      </w:r>
    </w:p>
    <w:p w:rsidR="00DE51D6" w:rsidRPr="0008684C" w:rsidRDefault="00DE51D6" w:rsidP="00A21F2D">
      <w:pPr>
        <w:pStyle w:val="Bullets"/>
      </w:pPr>
      <w:r w:rsidRPr="0008684C">
        <w:t>A financial report, giving total income (including grants, fees and donations) and expenditure details.</w:t>
      </w:r>
    </w:p>
    <w:p w:rsidR="00DE51D6" w:rsidRPr="0008684C" w:rsidRDefault="00DE51D6" w:rsidP="00A21F2D">
      <w:pPr>
        <w:pStyle w:val="Bullets"/>
      </w:pPr>
      <w:r w:rsidRPr="0008684C">
        <w:t>Notification of any formal and informal complaints received, responses and subsequent corrective action taken if necessary.</w:t>
      </w:r>
    </w:p>
    <w:p w:rsidR="00DE51D6" w:rsidRPr="0008684C" w:rsidRDefault="00DE51D6" w:rsidP="00A21F2D">
      <w:pPr>
        <w:pStyle w:val="Bullets"/>
      </w:pPr>
      <w:r w:rsidRPr="0008684C">
        <w:t xml:space="preserve">Positive and </w:t>
      </w:r>
      <w:r w:rsidRPr="004D54E4">
        <w:t xml:space="preserve">negative feedback from </w:t>
      </w:r>
      <w:r w:rsidR="004D54E4">
        <w:t>s</w:t>
      </w:r>
      <w:r w:rsidR="00472DA8" w:rsidRPr="004D54E4">
        <w:t>ervice users.</w:t>
      </w:r>
    </w:p>
    <w:p w:rsidR="00DE51D6" w:rsidRPr="0008684C" w:rsidRDefault="008B6A18" w:rsidP="00A21F2D">
      <w:pPr>
        <w:pStyle w:val="Bullets"/>
      </w:pPr>
      <w:r w:rsidRPr="0008684C">
        <w:t>3 a</w:t>
      </w:r>
      <w:r w:rsidR="00DE51D6" w:rsidRPr="0008684C">
        <w:t>ppropriate anonymi</w:t>
      </w:r>
      <w:r w:rsidR="004A5F30" w:rsidRPr="0008684C">
        <w:t>s</w:t>
      </w:r>
      <w:r w:rsidR="00DE51D6" w:rsidRPr="0008684C">
        <w:t>ed case studies to demonstrate work of the service</w:t>
      </w:r>
      <w:r w:rsidRPr="0008684C">
        <w:t>, including one which is a complex case or a self-referral case</w:t>
      </w:r>
      <w:r w:rsidR="004A5F30" w:rsidRPr="0008684C">
        <w:t>.</w:t>
      </w:r>
    </w:p>
    <w:p w:rsidR="00DE51D6" w:rsidRPr="0008684C" w:rsidRDefault="00B03F7E" w:rsidP="005A55AC">
      <w:pPr>
        <w:pStyle w:val="Heading3"/>
      </w:pPr>
      <w:r w:rsidRPr="0008684C">
        <w:t xml:space="preserve">The Commissioner may nominate a representative to conduct a dip sample or audit of cases to confirm the information provided by the </w:t>
      </w:r>
      <w:r w:rsidR="00F932F7">
        <w:t>Provider</w:t>
      </w:r>
      <w:r w:rsidRPr="0008684C">
        <w:t xml:space="preserve"> and see the impact </w:t>
      </w:r>
      <w:r w:rsidR="00F932F7">
        <w:t xml:space="preserve">of the Service. The Provider will be expected to participate fully in any external review of the impact of the service. </w:t>
      </w:r>
      <w:r w:rsidRPr="0008684C">
        <w:t>The Commissioner intends that, wherever possible, any regular reporting of data will be incorporated into the Management Information in Appendix 1.</w:t>
      </w:r>
    </w:p>
    <w:p w:rsidR="004A5F30" w:rsidRPr="0008684C" w:rsidRDefault="004A5F30" w:rsidP="005A55AC">
      <w:pPr>
        <w:pStyle w:val="Heading3"/>
      </w:pPr>
      <w:r w:rsidRPr="0008684C">
        <w:t xml:space="preserve">The Authority will nominate a contract manager to whom this information should be provided. This contract manager will monitor the service </w:t>
      </w:r>
      <w:r w:rsidR="0046656D" w:rsidRPr="0008684C">
        <w:t>through the information supplied</w:t>
      </w:r>
      <w:r w:rsidRPr="0008684C">
        <w:t xml:space="preserve"> and through contract monitoring meetings, which may also be attended by other commissioning partners invited by the Authority. </w:t>
      </w:r>
      <w:r w:rsidR="0046656D" w:rsidRPr="0008684C">
        <w:t xml:space="preserve">These contract management meetings will be held monthly during mobilisation. Thereafter, they will be held quarterly. </w:t>
      </w:r>
      <w:r w:rsidRPr="0008684C">
        <w:t xml:space="preserve">At the contract management meeting the </w:t>
      </w:r>
      <w:r w:rsidR="00F932F7">
        <w:t>Provider</w:t>
      </w:r>
      <w:r w:rsidRPr="0008684C">
        <w:t xml:space="preserve"> will be asked to provide the following information, in addition to the Management Information already submitted:</w:t>
      </w:r>
    </w:p>
    <w:p w:rsidR="004A5F30" w:rsidRPr="0008684C" w:rsidRDefault="004A5F30" w:rsidP="004A5F30">
      <w:pPr>
        <w:pStyle w:val="Bullets"/>
        <w:ind w:left="714" w:hanging="357"/>
      </w:pPr>
      <w:r w:rsidRPr="0008684C">
        <w:t>General observations regarding needs, trends and gaps in service.</w:t>
      </w:r>
    </w:p>
    <w:p w:rsidR="004A5F30" w:rsidRPr="0008684C" w:rsidRDefault="004A5F30" w:rsidP="004A5F30">
      <w:pPr>
        <w:pStyle w:val="Bullets"/>
        <w:ind w:left="714" w:hanging="357"/>
      </w:pPr>
      <w:r w:rsidRPr="0008684C">
        <w:t>Barriers to progress and solutions.</w:t>
      </w:r>
    </w:p>
    <w:p w:rsidR="004A5F30" w:rsidRPr="0008684C" w:rsidRDefault="004A5F30" w:rsidP="004A5F30">
      <w:pPr>
        <w:pStyle w:val="Bullets"/>
        <w:ind w:left="714" w:hanging="357"/>
      </w:pPr>
      <w:r w:rsidRPr="0008684C">
        <w:t>Reasons for increases and decreases in service activity.</w:t>
      </w:r>
    </w:p>
    <w:p w:rsidR="004A5F30" w:rsidRPr="0008684C" w:rsidRDefault="004A5F30" w:rsidP="004A5F30">
      <w:pPr>
        <w:pStyle w:val="Bullets"/>
        <w:ind w:left="714" w:hanging="357"/>
      </w:pPr>
      <w:r w:rsidRPr="0008684C">
        <w:t>Options to improve and develop the service.</w:t>
      </w:r>
    </w:p>
    <w:p w:rsidR="004A5F30" w:rsidRPr="003F2953" w:rsidRDefault="004D54E4" w:rsidP="005A55AC">
      <w:pPr>
        <w:pStyle w:val="Heading3"/>
        <w:rPr>
          <w:strike/>
          <w:lang w:eastAsia="en-US"/>
        </w:rPr>
      </w:pPr>
      <w:r w:rsidRPr="004D54E4">
        <w:rPr>
          <w:rFonts w:eastAsia="SymbolMT"/>
        </w:rPr>
        <w:t xml:space="preserve">A management board </w:t>
      </w:r>
      <w:r w:rsidR="004A5F30" w:rsidRPr="004D54E4">
        <w:rPr>
          <w:rFonts w:eastAsia="SymbolMT"/>
        </w:rPr>
        <w:t xml:space="preserve">will oversee the overall performance of services within the </w:t>
      </w:r>
      <w:r w:rsidR="003F2953" w:rsidRPr="004D54E4">
        <w:t>SARC</w:t>
      </w:r>
      <w:r w:rsidR="004A5F30" w:rsidRPr="004D54E4">
        <w:t xml:space="preserve">. This Board </w:t>
      </w:r>
      <w:r w:rsidR="004A5F30" w:rsidRPr="0008684C">
        <w:t xml:space="preserve">will </w:t>
      </w:r>
      <w:r w:rsidR="004A5F30" w:rsidRPr="0008684C">
        <w:rPr>
          <w:rFonts w:eastAsia="SymbolMT"/>
        </w:rPr>
        <w:t xml:space="preserve">set annual priorities for focus in the contract management of the Service. In the first </w:t>
      </w:r>
      <w:r w:rsidR="0046656D" w:rsidRPr="0008684C">
        <w:rPr>
          <w:rFonts w:eastAsia="SymbolMT"/>
        </w:rPr>
        <w:t>c</w:t>
      </w:r>
      <w:r w:rsidR="004A5F30" w:rsidRPr="0008684C">
        <w:rPr>
          <w:rFonts w:eastAsia="SymbolMT"/>
        </w:rPr>
        <w:t xml:space="preserve">ontract year, it is expected that this will include contract mobilisation and development of whole system relationships, including case tracking </w:t>
      </w:r>
      <w:r w:rsidR="004A5F30" w:rsidRPr="004D54E4">
        <w:rPr>
          <w:rFonts w:eastAsia="SymbolMT"/>
        </w:rPr>
        <w:t xml:space="preserve">across services. </w:t>
      </w:r>
      <w:r w:rsidR="004A5F30" w:rsidRPr="004D54E4">
        <w:rPr>
          <w:lang w:eastAsia="en-US"/>
        </w:rPr>
        <w:t xml:space="preserve">The </w:t>
      </w:r>
      <w:r w:rsidR="00F932F7">
        <w:rPr>
          <w:lang w:eastAsia="en-US"/>
        </w:rPr>
        <w:t>Provider</w:t>
      </w:r>
      <w:r w:rsidR="004A5F30" w:rsidRPr="004D54E4">
        <w:rPr>
          <w:lang w:eastAsia="en-US"/>
        </w:rPr>
        <w:t xml:space="preserve"> may be required to attend this and other governance boards </w:t>
      </w:r>
      <w:r w:rsidRPr="004D54E4">
        <w:rPr>
          <w:lang w:eastAsia="en-US"/>
        </w:rPr>
        <w:t>as appropriate.</w:t>
      </w:r>
    </w:p>
    <w:p w:rsidR="00B76492" w:rsidRPr="0008684C" w:rsidRDefault="00B76492">
      <w:pPr>
        <w:rPr>
          <w:rFonts w:asciiTheme="minorHAnsi" w:hAnsiTheme="minorHAnsi"/>
          <w:b/>
          <w:color w:val="auto"/>
          <w:sz w:val="24"/>
          <w:szCs w:val="24"/>
        </w:rPr>
      </w:pPr>
      <w:r w:rsidRPr="0008684C">
        <w:br w:type="page"/>
      </w:r>
    </w:p>
    <w:p w:rsidR="007D11E1" w:rsidRPr="0008684C" w:rsidRDefault="007D11E1" w:rsidP="00401CB4">
      <w:pPr>
        <w:rPr>
          <w:rFonts w:eastAsiaTheme="majorEastAsia" w:cstheme="majorBidi"/>
          <w:bCs/>
        </w:rPr>
      </w:pPr>
      <w:bookmarkStart w:id="51" w:name="_Toc413761123"/>
      <w:bookmarkStart w:id="52" w:name="_Toc413826971"/>
      <w:r w:rsidRPr="0008684C">
        <w:rPr>
          <w:rFonts w:asciiTheme="minorHAnsi" w:eastAsiaTheme="majorEastAsia" w:hAnsiTheme="minorHAnsi" w:cstheme="majorBidi"/>
          <w:b/>
          <w:bCs/>
          <w:color w:val="auto"/>
          <w:sz w:val="24"/>
          <w:szCs w:val="24"/>
        </w:rPr>
        <w:t>Appendices</w:t>
      </w:r>
      <w:bookmarkEnd w:id="51"/>
      <w:bookmarkEnd w:id="52"/>
    </w:p>
    <w:p w:rsidR="00BA2E30" w:rsidRPr="0008684C" w:rsidRDefault="00BA2E30" w:rsidP="00BA2E30">
      <w:pPr>
        <w:pStyle w:val="Heading2"/>
        <w:numPr>
          <w:ilvl w:val="0"/>
          <w:numId w:val="0"/>
        </w:numPr>
        <w:ind w:left="576"/>
      </w:pPr>
      <w:bookmarkStart w:id="53" w:name="_Toc471909211"/>
      <w:r w:rsidRPr="0008684C">
        <w:t>Appendix 1- Management Information</w:t>
      </w:r>
      <w:bookmarkEnd w:id="53"/>
    </w:p>
    <w:p w:rsidR="00096A9F" w:rsidRPr="00096A9F" w:rsidRDefault="00664365" w:rsidP="00096A9F">
      <w:pPr>
        <w:autoSpaceDE w:val="0"/>
        <w:autoSpaceDN w:val="0"/>
        <w:adjustRightInd w:val="0"/>
        <w:spacing w:before="0" w:beforeAutospacing="0" w:after="0" w:line="240" w:lineRule="auto"/>
      </w:pPr>
      <w:r w:rsidRPr="00096A9F">
        <w:rPr>
          <w:rFonts w:cs="Calibri"/>
        </w:rPr>
        <w:t xml:space="preserve">The management information will be finalised and confirmed with the Preferred Bidder during contract clarification. </w:t>
      </w:r>
      <w:r w:rsidR="00DA01F5" w:rsidRPr="00096A9F">
        <w:rPr>
          <w:rFonts w:cs="Calibri"/>
        </w:rPr>
        <w:t>Information requirements may be subject to change throughout the duration of the contract.</w:t>
      </w:r>
      <w:r w:rsidR="00096A9F" w:rsidRPr="00096A9F">
        <w:rPr>
          <w:rFonts w:cs="Calibri"/>
        </w:rPr>
        <w:t xml:space="preserve"> </w:t>
      </w:r>
    </w:p>
    <w:p w:rsidR="00BA2E30" w:rsidRPr="003F2953" w:rsidRDefault="00BA2E30" w:rsidP="004D54E4">
      <w:pPr>
        <w:pStyle w:val="Heading3"/>
        <w:numPr>
          <w:ilvl w:val="0"/>
          <w:numId w:val="0"/>
        </w:numPr>
        <w:ind w:left="720"/>
        <w:rPr>
          <w:strike/>
        </w:rPr>
      </w:pPr>
    </w:p>
    <w:tbl>
      <w:tblPr>
        <w:tblStyle w:val="TableGrid"/>
        <w:tblW w:w="9039" w:type="dxa"/>
        <w:tblLook w:val="04A0" w:firstRow="1" w:lastRow="0" w:firstColumn="1" w:lastColumn="0" w:noHBand="0" w:noVBand="1"/>
      </w:tblPr>
      <w:tblGrid>
        <w:gridCol w:w="1633"/>
        <w:gridCol w:w="5442"/>
        <w:gridCol w:w="1964"/>
      </w:tblGrid>
      <w:tr w:rsidR="00BA2E30" w:rsidRPr="0008684C" w:rsidTr="008C1611">
        <w:trPr>
          <w:tblHeader/>
        </w:trPr>
        <w:tc>
          <w:tcPr>
            <w:tcW w:w="1633" w:type="dxa"/>
            <w:shd w:val="pct25" w:color="auto" w:fill="auto"/>
            <w:vAlign w:val="center"/>
          </w:tcPr>
          <w:p w:rsidR="00BA2E30" w:rsidRPr="0008684C" w:rsidRDefault="00BA2E30" w:rsidP="00F416B6">
            <w:pPr>
              <w:rPr>
                <w:rFonts w:asciiTheme="minorHAnsi" w:hAnsiTheme="minorHAnsi"/>
                <w:b/>
                <w:bCs/>
                <w:sz w:val="24"/>
                <w:szCs w:val="24"/>
              </w:rPr>
            </w:pPr>
            <w:r w:rsidRPr="0008684C">
              <w:rPr>
                <w:rFonts w:asciiTheme="minorHAnsi" w:hAnsiTheme="minorHAnsi"/>
                <w:b/>
                <w:bCs/>
                <w:sz w:val="24"/>
                <w:szCs w:val="24"/>
              </w:rPr>
              <w:t>Area</w:t>
            </w:r>
          </w:p>
        </w:tc>
        <w:tc>
          <w:tcPr>
            <w:tcW w:w="5442" w:type="dxa"/>
            <w:shd w:val="pct25" w:color="auto" w:fill="auto"/>
            <w:vAlign w:val="center"/>
          </w:tcPr>
          <w:p w:rsidR="00BA2E30" w:rsidRPr="0008684C" w:rsidRDefault="00BA2E30" w:rsidP="00F416B6">
            <w:pPr>
              <w:rPr>
                <w:rFonts w:asciiTheme="minorHAnsi" w:hAnsiTheme="minorHAnsi"/>
                <w:b/>
                <w:bCs/>
                <w:sz w:val="24"/>
                <w:szCs w:val="24"/>
              </w:rPr>
            </w:pPr>
            <w:r w:rsidRPr="0008684C">
              <w:rPr>
                <w:rFonts w:asciiTheme="minorHAnsi" w:hAnsiTheme="minorHAnsi"/>
                <w:b/>
                <w:bCs/>
                <w:sz w:val="24"/>
                <w:szCs w:val="24"/>
              </w:rPr>
              <w:t>Information Requirement (As a minimum)</w:t>
            </w:r>
          </w:p>
        </w:tc>
        <w:tc>
          <w:tcPr>
            <w:tcW w:w="1964" w:type="dxa"/>
            <w:shd w:val="pct25" w:color="auto" w:fill="auto"/>
            <w:vAlign w:val="center"/>
          </w:tcPr>
          <w:p w:rsidR="00BA2E30" w:rsidRPr="0008684C" w:rsidRDefault="00BA2E30" w:rsidP="00F416B6">
            <w:pPr>
              <w:rPr>
                <w:rFonts w:asciiTheme="minorHAnsi" w:hAnsiTheme="minorHAnsi"/>
                <w:b/>
                <w:bCs/>
                <w:sz w:val="24"/>
                <w:szCs w:val="24"/>
              </w:rPr>
            </w:pPr>
            <w:r w:rsidRPr="0008684C">
              <w:rPr>
                <w:rFonts w:asciiTheme="minorHAnsi" w:hAnsiTheme="minorHAnsi"/>
                <w:b/>
                <w:bCs/>
                <w:sz w:val="24"/>
                <w:szCs w:val="24"/>
              </w:rPr>
              <w:t>REPORTING FREQUENCY</w:t>
            </w:r>
          </w:p>
        </w:tc>
      </w:tr>
      <w:tr w:rsidR="005A5E87" w:rsidRPr="0008684C" w:rsidTr="008C1611">
        <w:tc>
          <w:tcPr>
            <w:tcW w:w="1633" w:type="dxa"/>
            <w:vMerge w:val="restart"/>
            <w:vAlign w:val="center"/>
          </w:tcPr>
          <w:p w:rsidR="005A5E87" w:rsidRPr="0008684C" w:rsidRDefault="005A5E87" w:rsidP="00F416B6">
            <w:pPr>
              <w:rPr>
                <w:rFonts w:asciiTheme="minorHAnsi" w:hAnsiTheme="minorHAnsi"/>
                <w:sz w:val="24"/>
                <w:szCs w:val="24"/>
              </w:rPr>
            </w:pPr>
            <w:r>
              <w:rPr>
                <w:rFonts w:asciiTheme="minorHAnsi" w:hAnsiTheme="minorHAnsi"/>
                <w:sz w:val="24"/>
                <w:szCs w:val="24"/>
              </w:rPr>
              <w:t>Caseload</w:t>
            </w:r>
            <w:r w:rsidR="00BA71AF">
              <w:rPr>
                <w:rFonts w:asciiTheme="minorHAnsi" w:hAnsiTheme="minorHAnsi"/>
                <w:sz w:val="24"/>
                <w:szCs w:val="24"/>
              </w:rPr>
              <w:t xml:space="preserve"> &amp; Source of Referral </w:t>
            </w:r>
          </w:p>
          <w:p w:rsidR="005A5E87" w:rsidRPr="0008684C" w:rsidRDefault="005A5E87" w:rsidP="00F416B6">
            <w:pPr>
              <w:rPr>
                <w:rFonts w:asciiTheme="minorHAnsi" w:hAnsiTheme="minorHAnsi"/>
                <w:sz w:val="24"/>
                <w:szCs w:val="24"/>
              </w:rPr>
            </w:pPr>
          </w:p>
        </w:tc>
        <w:tc>
          <w:tcPr>
            <w:tcW w:w="5442" w:type="dxa"/>
            <w:vAlign w:val="center"/>
          </w:tcPr>
          <w:p w:rsidR="005A5E87" w:rsidRPr="0008684C" w:rsidRDefault="005A5E87" w:rsidP="003F2953">
            <w:pPr>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 xml:space="preserve">presentations for forensic medical examination </w:t>
            </w:r>
          </w:p>
        </w:tc>
        <w:tc>
          <w:tcPr>
            <w:tcW w:w="1964" w:type="dxa"/>
          </w:tcPr>
          <w:p w:rsidR="005A5E87" w:rsidRPr="0008684C" w:rsidRDefault="005A5E87" w:rsidP="00F416B6">
            <w:pPr>
              <w:rPr>
                <w:rFonts w:asciiTheme="minorHAnsi" w:hAnsiTheme="minorHAnsi"/>
                <w:sz w:val="24"/>
                <w:szCs w:val="24"/>
              </w:rPr>
            </w:pPr>
            <w:r w:rsidRPr="0008684C">
              <w:rPr>
                <w:rFonts w:asciiTheme="minorHAnsi" w:hAnsiTheme="minorHAnsi"/>
                <w:sz w:val="24"/>
                <w:szCs w:val="24"/>
              </w:rPr>
              <w:t>Monthly</w:t>
            </w:r>
          </w:p>
        </w:tc>
      </w:tr>
      <w:tr w:rsidR="005A5E87" w:rsidRPr="0008684C" w:rsidTr="008C1611">
        <w:tc>
          <w:tcPr>
            <w:tcW w:w="1633" w:type="dxa"/>
            <w:vMerge/>
            <w:vAlign w:val="center"/>
          </w:tcPr>
          <w:p w:rsidR="005A5E87" w:rsidRPr="0008684C" w:rsidRDefault="005A5E87" w:rsidP="00F416B6">
            <w:pPr>
              <w:rPr>
                <w:rFonts w:asciiTheme="minorHAnsi" w:hAnsiTheme="minorHAnsi"/>
                <w:sz w:val="24"/>
                <w:szCs w:val="24"/>
              </w:rPr>
            </w:pPr>
          </w:p>
        </w:tc>
        <w:tc>
          <w:tcPr>
            <w:tcW w:w="5442" w:type="dxa"/>
            <w:vAlign w:val="center"/>
          </w:tcPr>
          <w:p w:rsidR="005A5E87" w:rsidRPr="0008684C" w:rsidRDefault="005A5E87" w:rsidP="003F2953">
            <w:pPr>
              <w:spacing w:before="100"/>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those cases that were police referred</w:t>
            </w:r>
          </w:p>
        </w:tc>
        <w:tc>
          <w:tcPr>
            <w:tcW w:w="1964" w:type="dxa"/>
          </w:tcPr>
          <w:p w:rsidR="005A5E87" w:rsidRPr="0008684C" w:rsidRDefault="005A5E87" w:rsidP="00F416B6">
            <w:pPr>
              <w:rPr>
                <w:rFonts w:asciiTheme="minorHAnsi" w:hAnsiTheme="minorHAnsi"/>
                <w:sz w:val="24"/>
                <w:szCs w:val="24"/>
              </w:rPr>
            </w:pPr>
            <w:r w:rsidRPr="0008684C">
              <w:rPr>
                <w:rFonts w:asciiTheme="minorHAnsi" w:hAnsiTheme="minorHAnsi"/>
                <w:sz w:val="24"/>
                <w:szCs w:val="24"/>
              </w:rPr>
              <w:t>Monthly</w:t>
            </w:r>
          </w:p>
        </w:tc>
      </w:tr>
      <w:tr w:rsidR="005A5E87" w:rsidRPr="0008684C" w:rsidTr="008C1611">
        <w:tc>
          <w:tcPr>
            <w:tcW w:w="1633" w:type="dxa"/>
            <w:vMerge/>
            <w:vAlign w:val="center"/>
          </w:tcPr>
          <w:p w:rsidR="005A5E87" w:rsidRPr="003F2953" w:rsidRDefault="005A5E87" w:rsidP="00F416B6">
            <w:pPr>
              <w:rPr>
                <w:rFonts w:asciiTheme="minorHAnsi" w:hAnsiTheme="minorHAnsi"/>
                <w:strike/>
                <w:sz w:val="24"/>
                <w:szCs w:val="24"/>
              </w:rPr>
            </w:pPr>
          </w:p>
        </w:tc>
        <w:tc>
          <w:tcPr>
            <w:tcW w:w="5442" w:type="dxa"/>
            <w:vAlign w:val="center"/>
          </w:tcPr>
          <w:p w:rsidR="005A5E87" w:rsidRPr="0008684C" w:rsidRDefault="005A5E87" w:rsidP="003F2953">
            <w:pPr>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those cases that were self-referred</w:t>
            </w:r>
            <w:r w:rsidRPr="0008684C">
              <w:rPr>
                <w:rFonts w:asciiTheme="minorHAnsi" w:hAnsiTheme="minorHAnsi"/>
                <w:sz w:val="24"/>
                <w:szCs w:val="24"/>
              </w:rPr>
              <w:t xml:space="preserve"> </w:t>
            </w:r>
          </w:p>
        </w:tc>
        <w:tc>
          <w:tcPr>
            <w:tcW w:w="1964" w:type="dxa"/>
          </w:tcPr>
          <w:p w:rsidR="005A5E87" w:rsidRPr="0008684C" w:rsidRDefault="00E97908" w:rsidP="00F416B6">
            <w:pPr>
              <w:rPr>
                <w:rFonts w:asciiTheme="minorHAnsi" w:hAnsiTheme="minorHAnsi"/>
                <w:sz w:val="24"/>
                <w:szCs w:val="24"/>
              </w:rPr>
            </w:pPr>
            <w:r>
              <w:rPr>
                <w:rFonts w:asciiTheme="minorHAnsi" w:hAnsiTheme="minorHAnsi"/>
                <w:sz w:val="24"/>
                <w:szCs w:val="24"/>
              </w:rPr>
              <w:t>Monthly</w:t>
            </w:r>
          </w:p>
        </w:tc>
      </w:tr>
      <w:tr w:rsidR="005A5E87" w:rsidRPr="0008684C" w:rsidTr="008C1611">
        <w:tc>
          <w:tcPr>
            <w:tcW w:w="1633" w:type="dxa"/>
            <w:vMerge/>
            <w:vAlign w:val="center"/>
          </w:tcPr>
          <w:p w:rsidR="005A5E87" w:rsidRPr="0008684C" w:rsidRDefault="005A5E87" w:rsidP="00F416B6">
            <w:pPr>
              <w:rPr>
                <w:rFonts w:asciiTheme="minorHAnsi" w:hAnsiTheme="minorHAnsi"/>
                <w:sz w:val="24"/>
                <w:szCs w:val="24"/>
              </w:rPr>
            </w:pPr>
          </w:p>
        </w:tc>
        <w:tc>
          <w:tcPr>
            <w:tcW w:w="5442" w:type="dxa"/>
            <w:vAlign w:val="center"/>
          </w:tcPr>
          <w:p w:rsidR="005A5E87" w:rsidRPr="0008684C" w:rsidRDefault="00BA71AF" w:rsidP="00F416B6">
            <w:pPr>
              <w:rPr>
                <w:rFonts w:asciiTheme="minorHAnsi" w:hAnsiTheme="minorHAnsi"/>
                <w:sz w:val="24"/>
                <w:szCs w:val="24"/>
              </w:rPr>
            </w:pPr>
            <w:r>
              <w:rPr>
                <w:rFonts w:asciiTheme="minorHAnsi" w:hAnsiTheme="minorHAnsi"/>
                <w:sz w:val="24"/>
                <w:szCs w:val="24"/>
              </w:rPr>
              <w:t>T</w:t>
            </w:r>
            <w:r w:rsidR="005A5E87">
              <w:rPr>
                <w:rFonts w:asciiTheme="minorHAnsi" w:hAnsiTheme="minorHAnsi"/>
                <w:sz w:val="24"/>
                <w:szCs w:val="24"/>
              </w:rPr>
              <w:t>otal number that were referred by GUM</w:t>
            </w:r>
            <w:r>
              <w:rPr>
                <w:rFonts w:asciiTheme="minorHAnsi" w:hAnsiTheme="minorHAnsi"/>
                <w:sz w:val="24"/>
                <w:szCs w:val="24"/>
              </w:rPr>
              <w:t>/CASH</w:t>
            </w:r>
            <w:r w:rsidR="005A5E87">
              <w:rPr>
                <w:rFonts w:asciiTheme="minorHAnsi" w:hAnsiTheme="minorHAnsi"/>
                <w:sz w:val="24"/>
                <w:szCs w:val="24"/>
              </w:rPr>
              <w:t xml:space="preserve"> clinics</w:t>
            </w:r>
            <w:r w:rsidR="005A5E87" w:rsidRPr="0008684C">
              <w:rPr>
                <w:rFonts w:asciiTheme="minorHAnsi" w:hAnsiTheme="minorHAnsi"/>
                <w:sz w:val="24"/>
                <w:szCs w:val="24"/>
              </w:rPr>
              <w:t xml:space="preserve"> </w:t>
            </w:r>
          </w:p>
        </w:tc>
        <w:tc>
          <w:tcPr>
            <w:tcW w:w="1964" w:type="dxa"/>
          </w:tcPr>
          <w:p w:rsidR="005A5E87" w:rsidRPr="0008684C" w:rsidRDefault="00E97908" w:rsidP="00E97908">
            <w:pPr>
              <w:rPr>
                <w:rFonts w:asciiTheme="minorHAnsi" w:hAnsiTheme="minorHAnsi"/>
                <w:sz w:val="24"/>
                <w:szCs w:val="24"/>
              </w:rPr>
            </w:pPr>
            <w:r>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BA71AF" w:rsidP="003F2953">
            <w:pPr>
              <w:rPr>
                <w:rFonts w:asciiTheme="minorHAnsi" w:hAnsiTheme="minorHAnsi"/>
                <w:sz w:val="24"/>
                <w:szCs w:val="24"/>
              </w:rPr>
            </w:pPr>
            <w:r>
              <w:rPr>
                <w:rFonts w:asciiTheme="minorHAnsi" w:hAnsiTheme="minorHAnsi"/>
                <w:sz w:val="24"/>
                <w:szCs w:val="24"/>
              </w:rPr>
              <w:t>T</w:t>
            </w:r>
            <w:r w:rsidR="00E97908">
              <w:rPr>
                <w:rFonts w:asciiTheme="minorHAnsi" w:hAnsiTheme="minorHAnsi"/>
                <w:sz w:val="24"/>
                <w:szCs w:val="24"/>
              </w:rPr>
              <w:t>otal number that were referred by GPs</w:t>
            </w:r>
          </w:p>
        </w:tc>
        <w:tc>
          <w:tcPr>
            <w:tcW w:w="1964" w:type="dxa"/>
          </w:tcPr>
          <w:p w:rsidR="00E97908" w:rsidRDefault="00E97908">
            <w:r w:rsidRPr="00FE19E1">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BA71AF" w:rsidP="003F2953">
            <w:pPr>
              <w:rPr>
                <w:rFonts w:asciiTheme="minorHAnsi" w:hAnsiTheme="minorHAnsi"/>
                <w:sz w:val="24"/>
                <w:szCs w:val="24"/>
              </w:rPr>
            </w:pPr>
            <w:r>
              <w:rPr>
                <w:rFonts w:asciiTheme="minorHAnsi" w:hAnsiTheme="minorHAnsi"/>
                <w:sz w:val="24"/>
                <w:szCs w:val="24"/>
              </w:rPr>
              <w:t>T</w:t>
            </w:r>
            <w:r w:rsidR="00E97908">
              <w:rPr>
                <w:rFonts w:asciiTheme="minorHAnsi" w:hAnsiTheme="minorHAnsi"/>
                <w:sz w:val="24"/>
                <w:szCs w:val="24"/>
              </w:rPr>
              <w:t>otal number that were referred by A&amp;E Depts</w:t>
            </w:r>
          </w:p>
        </w:tc>
        <w:tc>
          <w:tcPr>
            <w:tcW w:w="1964" w:type="dxa"/>
          </w:tcPr>
          <w:p w:rsidR="00E97908" w:rsidRDefault="00E97908">
            <w:r w:rsidRPr="00FE19E1">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3F2953">
            <w:pPr>
              <w:rPr>
                <w:rFonts w:asciiTheme="minorHAnsi" w:hAnsiTheme="minorHAnsi"/>
                <w:sz w:val="24"/>
                <w:szCs w:val="24"/>
              </w:rPr>
            </w:pPr>
            <w:r>
              <w:rPr>
                <w:rFonts w:asciiTheme="minorHAnsi" w:hAnsiTheme="minorHAnsi"/>
                <w:sz w:val="24"/>
                <w:szCs w:val="24"/>
              </w:rPr>
              <w:t>total number that were referred by voluntary sector agencies</w:t>
            </w:r>
          </w:p>
        </w:tc>
        <w:tc>
          <w:tcPr>
            <w:tcW w:w="1964" w:type="dxa"/>
          </w:tcPr>
          <w:p w:rsidR="00E97908" w:rsidRDefault="00E97908">
            <w:r w:rsidRPr="00FE19E1">
              <w:rPr>
                <w:rFonts w:asciiTheme="minorHAnsi" w:hAnsiTheme="minorHAnsi"/>
                <w:sz w:val="24"/>
                <w:szCs w:val="24"/>
              </w:rPr>
              <w:t xml:space="preserve">Monthly </w:t>
            </w:r>
          </w:p>
        </w:tc>
      </w:tr>
      <w:tr w:rsidR="00BA71AF" w:rsidRPr="0008684C" w:rsidTr="008C1611">
        <w:tc>
          <w:tcPr>
            <w:tcW w:w="1633" w:type="dxa"/>
            <w:vMerge/>
            <w:vAlign w:val="center"/>
          </w:tcPr>
          <w:p w:rsidR="00BA71AF" w:rsidRPr="0008684C" w:rsidRDefault="00BA71AF" w:rsidP="00F416B6">
            <w:pPr>
              <w:rPr>
                <w:rFonts w:asciiTheme="minorHAnsi" w:hAnsiTheme="minorHAnsi"/>
                <w:sz w:val="24"/>
                <w:szCs w:val="24"/>
              </w:rPr>
            </w:pPr>
          </w:p>
        </w:tc>
        <w:tc>
          <w:tcPr>
            <w:tcW w:w="5442" w:type="dxa"/>
            <w:vAlign w:val="center"/>
          </w:tcPr>
          <w:p w:rsidR="00BA71AF" w:rsidRDefault="00BA71AF" w:rsidP="00BA71AF">
            <w:pPr>
              <w:rPr>
                <w:rFonts w:asciiTheme="minorHAnsi" w:hAnsiTheme="minorHAnsi"/>
                <w:sz w:val="24"/>
                <w:szCs w:val="24"/>
              </w:rPr>
            </w:pPr>
            <w:r>
              <w:rPr>
                <w:rFonts w:asciiTheme="minorHAnsi" w:hAnsiTheme="minorHAnsi"/>
                <w:sz w:val="24"/>
                <w:szCs w:val="24"/>
              </w:rPr>
              <w:t>total number that were referred by education</w:t>
            </w:r>
          </w:p>
        </w:tc>
        <w:tc>
          <w:tcPr>
            <w:tcW w:w="1964" w:type="dxa"/>
          </w:tcPr>
          <w:p w:rsidR="00BA71AF" w:rsidRPr="00FE19E1" w:rsidRDefault="00BA71AF">
            <w:pPr>
              <w:rPr>
                <w:rFonts w:asciiTheme="minorHAnsi" w:hAnsiTheme="minorHAnsi"/>
                <w:sz w:val="24"/>
                <w:szCs w:val="24"/>
              </w:rPr>
            </w:pPr>
            <w:r w:rsidRPr="00FE19E1">
              <w:rPr>
                <w:rFonts w:asciiTheme="minorHAnsi" w:hAnsiTheme="minorHAnsi"/>
                <w:sz w:val="24"/>
                <w:szCs w:val="24"/>
              </w:rPr>
              <w:t>Monthly</w:t>
            </w:r>
          </w:p>
        </w:tc>
      </w:tr>
      <w:tr w:rsidR="00BA71AF" w:rsidRPr="0008684C" w:rsidTr="008C1611">
        <w:tc>
          <w:tcPr>
            <w:tcW w:w="1633" w:type="dxa"/>
            <w:vMerge/>
            <w:vAlign w:val="center"/>
          </w:tcPr>
          <w:p w:rsidR="00BA71AF" w:rsidRPr="0008684C" w:rsidRDefault="00BA71AF" w:rsidP="00F416B6">
            <w:pPr>
              <w:rPr>
                <w:rFonts w:asciiTheme="minorHAnsi" w:hAnsiTheme="minorHAnsi"/>
                <w:sz w:val="24"/>
                <w:szCs w:val="24"/>
              </w:rPr>
            </w:pPr>
          </w:p>
        </w:tc>
        <w:tc>
          <w:tcPr>
            <w:tcW w:w="5442" w:type="dxa"/>
            <w:vAlign w:val="center"/>
          </w:tcPr>
          <w:p w:rsidR="00BA71AF" w:rsidRDefault="00BA71AF" w:rsidP="00BA71AF">
            <w:pPr>
              <w:rPr>
                <w:rFonts w:asciiTheme="minorHAnsi" w:hAnsiTheme="minorHAnsi"/>
                <w:sz w:val="24"/>
                <w:szCs w:val="24"/>
              </w:rPr>
            </w:pPr>
            <w:r>
              <w:rPr>
                <w:rFonts w:asciiTheme="minorHAnsi" w:hAnsiTheme="minorHAnsi"/>
                <w:sz w:val="24"/>
                <w:szCs w:val="24"/>
              </w:rPr>
              <w:t>Total number that were referred by family/friends</w:t>
            </w:r>
          </w:p>
        </w:tc>
        <w:tc>
          <w:tcPr>
            <w:tcW w:w="1964" w:type="dxa"/>
          </w:tcPr>
          <w:p w:rsidR="00BA71AF" w:rsidRPr="00FE19E1" w:rsidRDefault="00BA71AF">
            <w:pPr>
              <w:rPr>
                <w:rFonts w:asciiTheme="minorHAnsi" w:hAnsiTheme="minorHAnsi"/>
                <w:sz w:val="24"/>
                <w:szCs w:val="24"/>
              </w:rPr>
            </w:pPr>
            <w:r w:rsidRPr="00FE19E1">
              <w:rPr>
                <w:rFonts w:asciiTheme="minorHAnsi" w:hAnsiTheme="minorHAnsi"/>
                <w:sz w:val="24"/>
                <w:szCs w:val="24"/>
              </w:rPr>
              <w:t>Monthly</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3F2953">
            <w:pPr>
              <w:rPr>
                <w:rFonts w:asciiTheme="minorHAnsi" w:hAnsiTheme="minorHAnsi"/>
                <w:sz w:val="24"/>
                <w:szCs w:val="24"/>
              </w:rPr>
            </w:pPr>
            <w:r>
              <w:rPr>
                <w:rFonts w:asciiTheme="minorHAnsi" w:hAnsiTheme="minorHAnsi"/>
                <w:sz w:val="24"/>
                <w:szCs w:val="24"/>
              </w:rPr>
              <w:t>total number that were referred by other agencies</w:t>
            </w:r>
            <w:r w:rsidR="00BA71AF">
              <w:rPr>
                <w:rFonts w:asciiTheme="minorHAnsi" w:hAnsiTheme="minorHAnsi"/>
                <w:sz w:val="24"/>
                <w:szCs w:val="24"/>
              </w:rPr>
              <w:t xml:space="preserve"> (broken down by type of agency) </w:t>
            </w:r>
          </w:p>
        </w:tc>
        <w:tc>
          <w:tcPr>
            <w:tcW w:w="1964" w:type="dxa"/>
          </w:tcPr>
          <w:p w:rsidR="00E97908" w:rsidRDefault="00E97908">
            <w:r w:rsidRPr="00FE19E1">
              <w:rPr>
                <w:rFonts w:asciiTheme="minorHAnsi" w:hAnsiTheme="minorHAnsi"/>
                <w:sz w:val="24"/>
                <w:szCs w:val="24"/>
              </w:rPr>
              <w:t xml:space="preserve">Monthly </w:t>
            </w:r>
          </w:p>
        </w:tc>
      </w:tr>
      <w:tr w:rsidR="00E97908" w:rsidRPr="0008684C" w:rsidTr="008C1611">
        <w:tc>
          <w:tcPr>
            <w:tcW w:w="1633" w:type="dxa"/>
            <w:vMerge/>
            <w:vAlign w:val="center"/>
          </w:tcPr>
          <w:p w:rsidR="00E97908" w:rsidRPr="003F2953" w:rsidRDefault="00E97908" w:rsidP="00F416B6">
            <w:pPr>
              <w:rPr>
                <w:rFonts w:asciiTheme="minorHAnsi" w:hAnsiTheme="minorHAnsi"/>
                <w:strike/>
                <w:sz w:val="24"/>
                <w:szCs w:val="24"/>
              </w:rPr>
            </w:pPr>
          </w:p>
        </w:tc>
        <w:tc>
          <w:tcPr>
            <w:tcW w:w="5442" w:type="dxa"/>
            <w:vAlign w:val="center"/>
          </w:tcPr>
          <w:p w:rsidR="00E97908" w:rsidRPr="0008684C" w:rsidRDefault="00E97908" w:rsidP="003F2953">
            <w:pPr>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clients who live within Newcastle</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3F2953">
            <w:pPr>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clients who live within Gateshead</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clients who live within North Tyneside</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clients who live within Sunderland</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clients who live within South Tyneside</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clients who live within Northumberland</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clients who live within NOT KNOWN</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Pr>
                <w:rFonts w:asciiTheme="minorHAnsi" w:hAnsiTheme="minorHAnsi"/>
                <w:sz w:val="24"/>
                <w:szCs w:val="24"/>
              </w:rPr>
              <w:t>Total number of clients who were Female</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3F2953">
            <w:pPr>
              <w:rPr>
                <w:rFonts w:asciiTheme="minorHAnsi" w:hAnsiTheme="minorHAnsi"/>
                <w:sz w:val="24"/>
                <w:szCs w:val="24"/>
              </w:rPr>
            </w:pPr>
            <w:r>
              <w:rPr>
                <w:rFonts w:asciiTheme="minorHAnsi" w:hAnsiTheme="minorHAnsi"/>
                <w:sz w:val="24"/>
                <w:szCs w:val="24"/>
              </w:rPr>
              <w:t>Total number of clients who were Male</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 xml:space="preserve">Total number of </w:t>
            </w:r>
            <w:r>
              <w:rPr>
                <w:rFonts w:asciiTheme="minorHAnsi" w:hAnsiTheme="minorHAnsi"/>
                <w:sz w:val="24"/>
                <w:szCs w:val="24"/>
              </w:rPr>
              <w:t>telephone calls for help and advice received</w:t>
            </w:r>
          </w:p>
        </w:tc>
        <w:tc>
          <w:tcPr>
            <w:tcW w:w="1964" w:type="dxa"/>
          </w:tcPr>
          <w:p w:rsidR="00E97908" w:rsidRDefault="00E97908">
            <w:r w:rsidRPr="00C63F82">
              <w:rPr>
                <w:rFonts w:asciiTheme="minorHAnsi" w:hAnsiTheme="minorHAnsi"/>
                <w:sz w:val="24"/>
                <w:szCs w:val="24"/>
              </w:rPr>
              <w:t xml:space="preserve">Monthly </w:t>
            </w:r>
          </w:p>
        </w:tc>
      </w:tr>
      <w:tr w:rsidR="00FE3363" w:rsidRPr="0008684C" w:rsidTr="008C1611">
        <w:tc>
          <w:tcPr>
            <w:tcW w:w="1633" w:type="dxa"/>
            <w:vMerge w:val="restart"/>
            <w:vAlign w:val="center"/>
          </w:tcPr>
          <w:p w:rsidR="00FE3363" w:rsidRPr="00FE3363" w:rsidRDefault="00FE3363" w:rsidP="00F416B6">
            <w:pPr>
              <w:rPr>
                <w:rFonts w:asciiTheme="minorHAnsi" w:hAnsiTheme="minorHAnsi" w:cstheme="minorHAnsi"/>
                <w:sz w:val="24"/>
                <w:szCs w:val="24"/>
              </w:rPr>
            </w:pPr>
            <w:r w:rsidRPr="00FE3363">
              <w:rPr>
                <w:rFonts w:asciiTheme="minorHAnsi" w:hAnsiTheme="minorHAnsi" w:cstheme="minorHAnsi"/>
                <w:sz w:val="24"/>
                <w:szCs w:val="24"/>
              </w:rPr>
              <w:t>History disclosed by survivor</w:t>
            </w:r>
          </w:p>
        </w:tc>
        <w:tc>
          <w:tcPr>
            <w:tcW w:w="5442" w:type="dxa"/>
            <w:vAlign w:val="center"/>
          </w:tcPr>
          <w:p w:rsidR="00FE3363" w:rsidRPr="00FE3363" w:rsidRDefault="00FE3363" w:rsidP="00FE3363">
            <w:pPr>
              <w:autoSpaceDE w:val="0"/>
              <w:autoSpaceDN w:val="0"/>
              <w:adjustRightInd w:val="0"/>
              <w:spacing w:beforeAutospacing="0"/>
              <w:rPr>
                <w:rFonts w:asciiTheme="minorHAnsi" w:hAnsiTheme="minorHAnsi" w:cstheme="minorHAnsi"/>
                <w:sz w:val="24"/>
                <w:szCs w:val="24"/>
              </w:rPr>
            </w:pPr>
            <w:r w:rsidRPr="00FE3363">
              <w:rPr>
                <w:rFonts w:asciiTheme="minorHAnsi" w:hAnsiTheme="minorHAnsi" w:cstheme="minorHAnsi"/>
                <w:sz w:val="24"/>
                <w:szCs w:val="24"/>
              </w:rPr>
              <w:t>Discloses that substances were involved in the assault</w:t>
            </w:r>
          </w:p>
          <w:p w:rsidR="00FE3363" w:rsidRPr="00FE3363" w:rsidRDefault="00FE3363" w:rsidP="00FE3363">
            <w:pPr>
              <w:autoSpaceDE w:val="0"/>
              <w:autoSpaceDN w:val="0"/>
              <w:adjustRightInd w:val="0"/>
              <w:spacing w:beforeAutospacing="0"/>
              <w:rPr>
                <w:rFonts w:asciiTheme="minorHAnsi" w:hAnsiTheme="minorHAnsi" w:cstheme="minorHAnsi"/>
                <w:sz w:val="24"/>
                <w:szCs w:val="24"/>
              </w:rPr>
            </w:pPr>
            <w:r w:rsidRPr="00FE3363">
              <w:rPr>
                <w:rFonts w:asciiTheme="minorHAnsi" w:hAnsiTheme="minorHAnsi" w:cstheme="minorHAnsi"/>
                <w:sz w:val="24"/>
                <w:szCs w:val="24"/>
              </w:rPr>
              <w:t>without the consent of the survivor</w:t>
            </w:r>
          </w:p>
        </w:tc>
        <w:tc>
          <w:tcPr>
            <w:tcW w:w="1964" w:type="dxa"/>
          </w:tcPr>
          <w:p w:rsidR="00FE3363" w:rsidRPr="00FE3363" w:rsidRDefault="00FE3363">
            <w:pPr>
              <w:rPr>
                <w:rFonts w:asciiTheme="minorHAnsi" w:hAnsiTheme="minorHAnsi" w:cstheme="minorHAnsi"/>
                <w:sz w:val="24"/>
                <w:szCs w:val="24"/>
              </w:rPr>
            </w:pPr>
            <w:r w:rsidRPr="00FE3363">
              <w:rPr>
                <w:rFonts w:asciiTheme="minorHAnsi" w:hAnsiTheme="minorHAnsi" w:cstheme="minorHAnsi"/>
                <w:sz w:val="24"/>
                <w:szCs w:val="24"/>
              </w:rPr>
              <w:t xml:space="preserve">Monthly </w:t>
            </w:r>
          </w:p>
        </w:tc>
      </w:tr>
      <w:tr w:rsidR="00FE3363" w:rsidRPr="0008684C" w:rsidTr="008C1611">
        <w:tc>
          <w:tcPr>
            <w:tcW w:w="1633" w:type="dxa"/>
            <w:vMerge/>
            <w:vAlign w:val="center"/>
          </w:tcPr>
          <w:p w:rsidR="00FE3363" w:rsidRPr="00FE3363" w:rsidRDefault="00FE3363" w:rsidP="00F416B6">
            <w:pPr>
              <w:rPr>
                <w:rFonts w:asciiTheme="minorHAnsi" w:hAnsiTheme="minorHAnsi" w:cstheme="minorHAnsi"/>
                <w:sz w:val="24"/>
                <w:szCs w:val="24"/>
              </w:rPr>
            </w:pPr>
          </w:p>
        </w:tc>
        <w:tc>
          <w:tcPr>
            <w:tcW w:w="5442" w:type="dxa"/>
            <w:vAlign w:val="center"/>
          </w:tcPr>
          <w:p w:rsidR="00FE3363" w:rsidRPr="00FE3363" w:rsidRDefault="00FE3363" w:rsidP="00FE3363">
            <w:pPr>
              <w:autoSpaceDE w:val="0"/>
              <w:autoSpaceDN w:val="0"/>
              <w:adjustRightInd w:val="0"/>
              <w:spacing w:beforeAutospacing="0"/>
              <w:rPr>
                <w:rFonts w:asciiTheme="minorHAnsi" w:hAnsiTheme="minorHAnsi" w:cstheme="minorHAnsi"/>
                <w:sz w:val="24"/>
                <w:szCs w:val="24"/>
              </w:rPr>
            </w:pPr>
            <w:r w:rsidRPr="00FE3363">
              <w:rPr>
                <w:rFonts w:asciiTheme="minorHAnsi" w:hAnsiTheme="minorHAnsi" w:cstheme="minorHAnsi"/>
                <w:sz w:val="24"/>
                <w:szCs w:val="24"/>
              </w:rPr>
              <w:t>Discloses that Domestic Violence was a factor in the</w:t>
            </w:r>
          </w:p>
          <w:p w:rsidR="00FE3363" w:rsidRPr="00FE3363" w:rsidRDefault="00FE3363" w:rsidP="00FE3363">
            <w:pPr>
              <w:autoSpaceDE w:val="0"/>
              <w:autoSpaceDN w:val="0"/>
              <w:adjustRightInd w:val="0"/>
              <w:spacing w:beforeAutospacing="0"/>
              <w:rPr>
                <w:rFonts w:asciiTheme="minorHAnsi" w:hAnsiTheme="minorHAnsi" w:cstheme="minorHAnsi"/>
                <w:sz w:val="24"/>
                <w:szCs w:val="24"/>
              </w:rPr>
            </w:pPr>
            <w:r w:rsidRPr="00FE3363">
              <w:rPr>
                <w:rFonts w:asciiTheme="minorHAnsi" w:hAnsiTheme="minorHAnsi" w:cstheme="minorHAnsi"/>
                <w:sz w:val="24"/>
                <w:szCs w:val="24"/>
              </w:rPr>
              <w:t>assault</w:t>
            </w:r>
          </w:p>
        </w:tc>
        <w:tc>
          <w:tcPr>
            <w:tcW w:w="1964" w:type="dxa"/>
          </w:tcPr>
          <w:p w:rsidR="00FE3363" w:rsidRPr="00FE3363" w:rsidRDefault="00FE3363">
            <w:pPr>
              <w:rPr>
                <w:rFonts w:asciiTheme="minorHAnsi" w:hAnsiTheme="minorHAnsi" w:cstheme="minorHAnsi"/>
                <w:sz w:val="24"/>
                <w:szCs w:val="24"/>
              </w:rPr>
            </w:pPr>
            <w:r w:rsidRPr="00FE3363">
              <w:rPr>
                <w:rFonts w:asciiTheme="minorHAnsi" w:hAnsiTheme="minorHAnsi" w:cstheme="minorHAnsi"/>
                <w:sz w:val="24"/>
                <w:szCs w:val="24"/>
              </w:rPr>
              <w:t>Monthly</w:t>
            </w:r>
          </w:p>
        </w:tc>
      </w:tr>
      <w:tr w:rsidR="00FE3363" w:rsidRPr="0008684C" w:rsidTr="00FE3363">
        <w:trPr>
          <w:trHeight w:val="451"/>
        </w:trPr>
        <w:tc>
          <w:tcPr>
            <w:tcW w:w="1633" w:type="dxa"/>
            <w:vMerge/>
            <w:vAlign w:val="center"/>
          </w:tcPr>
          <w:p w:rsidR="00FE3363" w:rsidRPr="00FE3363" w:rsidRDefault="00FE3363" w:rsidP="00F416B6">
            <w:pPr>
              <w:rPr>
                <w:rFonts w:asciiTheme="minorHAnsi" w:hAnsiTheme="minorHAnsi" w:cstheme="minorHAnsi"/>
                <w:sz w:val="24"/>
                <w:szCs w:val="24"/>
              </w:rPr>
            </w:pPr>
          </w:p>
        </w:tc>
        <w:tc>
          <w:tcPr>
            <w:tcW w:w="5442" w:type="dxa"/>
            <w:vAlign w:val="center"/>
          </w:tcPr>
          <w:p w:rsidR="00FE3363" w:rsidRPr="00FE3363" w:rsidRDefault="00FE3363" w:rsidP="00FE3363">
            <w:pPr>
              <w:autoSpaceDE w:val="0"/>
              <w:autoSpaceDN w:val="0"/>
              <w:adjustRightInd w:val="0"/>
              <w:spacing w:beforeAutospacing="0"/>
              <w:rPr>
                <w:rFonts w:asciiTheme="minorHAnsi" w:hAnsiTheme="minorHAnsi" w:cstheme="minorHAnsi"/>
                <w:sz w:val="24"/>
                <w:szCs w:val="24"/>
              </w:rPr>
            </w:pPr>
            <w:r w:rsidRPr="00FE3363">
              <w:rPr>
                <w:rFonts w:asciiTheme="minorHAnsi" w:hAnsiTheme="minorHAnsi" w:cstheme="minorHAnsi"/>
                <w:sz w:val="24"/>
                <w:szCs w:val="24"/>
              </w:rPr>
              <w:t>Discloses they are a Sex Worker</w:t>
            </w:r>
          </w:p>
        </w:tc>
        <w:tc>
          <w:tcPr>
            <w:tcW w:w="1964" w:type="dxa"/>
          </w:tcPr>
          <w:p w:rsidR="00FE3363" w:rsidRPr="00FE3363" w:rsidRDefault="00FE3363">
            <w:pPr>
              <w:rPr>
                <w:rFonts w:asciiTheme="minorHAnsi" w:hAnsiTheme="minorHAnsi" w:cstheme="minorHAnsi"/>
                <w:sz w:val="24"/>
                <w:szCs w:val="24"/>
              </w:rPr>
            </w:pPr>
            <w:r w:rsidRPr="00FE3363">
              <w:rPr>
                <w:rFonts w:asciiTheme="minorHAnsi" w:hAnsiTheme="minorHAnsi" w:cstheme="minorHAnsi"/>
                <w:sz w:val="24"/>
                <w:szCs w:val="24"/>
              </w:rPr>
              <w:t>Monthly</w:t>
            </w:r>
          </w:p>
        </w:tc>
      </w:tr>
      <w:tr w:rsidR="00FE3363" w:rsidRPr="0008684C" w:rsidTr="008C1611">
        <w:tc>
          <w:tcPr>
            <w:tcW w:w="1633" w:type="dxa"/>
            <w:vMerge/>
            <w:vAlign w:val="center"/>
          </w:tcPr>
          <w:p w:rsidR="00FE3363" w:rsidRPr="00FE3363" w:rsidRDefault="00FE3363" w:rsidP="00F416B6">
            <w:pPr>
              <w:rPr>
                <w:rFonts w:asciiTheme="minorHAnsi" w:hAnsiTheme="minorHAnsi" w:cstheme="minorHAnsi"/>
                <w:sz w:val="24"/>
                <w:szCs w:val="24"/>
              </w:rPr>
            </w:pPr>
          </w:p>
        </w:tc>
        <w:tc>
          <w:tcPr>
            <w:tcW w:w="5442" w:type="dxa"/>
            <w:vAlign w:val="center"/>
          </w:tcPr>
          <w:p w:rsidR="00FE3363" w:rsidRPr="00FE3363" w:rsidRDefault="00FE3363" w:rsidP="00FE3363">
            <w:pPr>
              <w:autoSpaceDE w:val="0"/>
              <w:autoSpaceDN w:val="0"/>
              <w:adjustRightInd w:val="0"/>
              <w:spacing w:beforeAutospacing="0"/>
              <w:rPr>
                <w:rFonts w:asciiTheme="minorHAnsi" w:hAnsiTheme="minorHAnsi" w:cstheme="minorHAnsi"/>
                <w:sz w:val="24"/>
                <w:szCs w:val="24"/>
              </w:rPr>
            </w:pPr>
            <w:r w:rsidRPr="00FE3363">
              <w:rPr>
                <w:rFonts w:asciiTheme="minorHAnsi" w:hAnsiTheme="minorHAnsi" w:cstheme="minorHAnsi"/>
                <w:sz w:val="24"/>
                <w:szCs w:val="24"/>
              </w:rPr>
              <w:t>Discloses a Mental Health Issue(s)</w:t>
            </w:r>
          </w:p>
        </w:tc>
        <w:tc>
          <w:tcPr>
            <w:tcW w:w="1964" w:type="dxa"/>
          </w:tcPr>
          <w:p w:rsidR="00FE3363" w:rsidRPr="00FE3363" w:rsidRDefault="00FE3363">
            <w:pPr>
              <w:rPr>
                <w:rFonts w:asciiTheme="minorHAnsi" w:hAnsiTheme="minorHAnsi" w:cstheme="minorHAnsi"/>
                <w:sz w:val="24"/>
                <w:szCs w:val="24"/>
              </w:rPr>
            </w:pPr>
            <w:r w:rsidRPr="00FE3363">
              <w:rPr>
                <w:rFonts w:asciiTheme="minorHAnsi" w:hAnsiTheme="minorHAnsi" w:cstheme="minorHAnsi"/>
                <w:sz w:val="24"/>
                <w:szCs w:val="24"/>
              </w:rPr>
              <w:t>Monthly</w:t>
            </w:r>
          </w:p>
        </w:tc>
      </w:tr>
      <w:tr w:rsidR="00FE3363" w:rsidRPr="0008684C" w:rsidTr="008C1611">
        <w:tc>
          <w:tcPr>
            <w:tcW w:w="1633" w:type="dxa"/>
            <w:vMerge/>
            <w:vAlign w:val="center"/>
          </w:tcPr>
          <w:p w:rsidR="00FE3363" w:rsidRPr="00FE3363" w:rsidRDefault="00FE3363" w:rsidP="00F416B6">
            <w:pPr>
              <w:rPr>
                <w:rFonts w:asciiTheme="minorHAnsi" w:hAnsiTheme="minorHAnsi" w:cstheme="minorHAnsi"/>
                <w:sz w:val="24"/>
                <w:szCs w:val="24"/>
              </w:rPr>
            </w:pPr>
          </w:p>
        </w:tc>
        <w:tc>
          <w:tcPr>
            <w:tcW w:w="5442" w:type="dxa"/>
            <w:vAlign w:val="center"/>
          </w:tcPr>
          <w:p w:rsidR="00FE3363" w:rsidRPr="00FE3363" w:rsidRDefault="00FE3363" w:rsidP="00FE3363">
            <w:pPr>
              <w:autoSpaceDE w:val="0"/>
              <w:autoSpaceDN w:val="0"/>
              <w:adjustRightInd w:val="0"/>
              <w:spacing w:beforeAutospacing="0"/>
              <w:rPr>
                <w:rFonts w:asciiTheme="minorHAnsi" w:hAnsiTheme="minorHAnsi" w:cstheme="minorHAnsi"/>
                <w:sz w:val="24"/>
                <w:szCs w:val="24"/>
              </w:rPr>
            </w:pPr>
            <w:r w:rsidRPr="00FE3363">
              <w:rPr>
                <w:rFonts w:asciiTheme="minorHAnsi" w:hAnsiTheme="minorHAnsi" w:cstheme="minorHAnsi"/>
                <w:sz w:val="24"/>
                <w:szCs w:val="24"/>
              </w:rPr>
              <w:t>Discloses a Learning Disability</w:t>
            </w:r>
          </w:p>
          <w:p w:rsidR="00FE3363" w:rsidRPr="00FE3363" w:rsidRDefault="00FE3363" w:rsidP="00FE3363">
            <w:pPr>
              <w:autoSpaceDE w:val="0"/>
              <w:autoSpaceDN w:val="0"/>
              <w:adjustRightInd w:val="0"/>
              <w:spacing w:beforeAutospacing="0"/>
              <w:rPr>
                <w:rFonts w:asciiTheme="minorHAnsi" w:hAnsiTheme="minorHAnsi" w:cstheme="minorHAnsi"/>
                <w:sz w:val="24"/>
                <w:szCs w:val="24"/>
              </w:rPr>
            </w:pPr>
          </w:p>
        </w:tc>
        <w:tc>
          <w:tcPr>
            <w:tcW w:w="1964" w:type="dxa"/>
          </w:tcPr>
          <w:p w:rsidR="00FE3363" w:rsidRPr="00FE3363" w:rsidRDefault="00FE3363">
            <w:pPr>
              <w:rPr>
                <w:rFonts w:asciiTheme="minorHAnsi" w:hAnsiTheme="minorHAnsi" w:cstheme="minorHAnsi"/>
                <w:sz w:val="24"/>
                <w:szCs w:val="24"/>
              </w:rPr>
            </w:pPr>
            <w:r w:rsidRPr="00FE3363">
              <w:rPr>
                <w:rFonts w:asciiTheme="minorHAnsi" w:hAnsiTheme="minorHAnsi" w:cstheme="minorHAnsi"/>
                <w:sz w:val="24"/>
                <w:szCs w:val="24"/>
              </w:rPr>
              <w:t>Monthly</w:t>
            </w:r>
          </w:p>
        </w:tc>
      </w:tr>
      <w:tr w:rsidR="00FE3363" w:rsidRPr="0008684C" w:rsidTr="008C1611">
        <w:tc>
          <w:tcPr>
            <w:tcW w:w="1633" w:type="dxa"/>
            <w:vMerge/>
            <w:vAlign w:val="center"/>
          </w:tcPr>
          <w:p w:rsidR="00FE3363" w:rsidRPr="00FE3363" w:rsidRDefault="00FE3363" w:rsidP="00F416B6">
            <w:pPr>
              <w:rPr>
                <w:rFonts w:asciiTheme="minorHAnsi" w:hAnsiTheme="minorHAnsi" w:cstheme="minorHAnsi"/>
                <w:sz w:val="24"/>
                <w:szCs w:val="24"/>
              </w:rPr>
            </w:pPr>
          </w:p>
        </w:tc>
        <w:tc>
          <w:tcPr>
            <w:tcW w:w="5442" w:type="dxa"/>
            <w:vAlign w:val="center"/>
          </w:tcPr>
          <w:p w:rsidR="00FE3363" w:rsidRPr="00FE3363" w:rsidRDefault="00FE3363" w:rsidP="00FE3363">
            <w:pPr>
              <w:autoSpaceDE w:val="0"/>
              <w:autoSpaceDN w:val="0"/>
              <w:adjustRightInd w:val="0"/>
              <w:spacing w:beforeAutospacing="0"/>
              <w:rPr>
                <w:rFonts w:asciiTheme="minorHAnsi" w:hAnsiTheme="minorHAnsi" w:cstheme="minorHAnsi"/>
                <w:sz w:val="24"/>
                <w:szCs w:val="24"/>
              </w:rPr>
            </w:pPr>
            <w:r w:rsidRPr="00FE3363">
              <w:rPr>
                <w:rFonts w:asciiTheme="minorHAnsi" w:hAnsiTheme="minorHAnsi" w:cstheme="minorHAnsi"/>
                <w:sz w:val="24"/>
                <w:szCs w:val="24"/>
              </w:rPr>
              <w:t>Discloses a history of Self Harm</w:t>
            </w:r>
          </w:p>
        </w:tc>
        <w:tc>
          <w:tcPr>
            <w:tcW w:w="1964" w:type="dxa"/>
          </w:tcPr>
          <w:p w:rsidR="00FE3363" w:rsidRPr="00FE3363" w:rsidRDefault="00FE3363">
            <w:pPr>
              <w:rPr>
                <w:rFonts w:asciiTheme="minorHAnsi" w:hAnsiTheme="minorHAnsi" w:cstheme="minorHAnsi"/>
                <w:sz w:val="24"/>
                <w:szCs w:val="24"/>
              </w:rPr>
            </w:pPr>
            <w:r w:rsidRPr="00FE3363">
              <w:rPr>
                <w:rFonts w:asciiTheme="minorHAnsi" w:hAnsiTheme="minorHAnsi" w:cstheme="minorHAnsi"/>
                <w:sz w:val="24"/>
                <w:szCs w:val="24"/>
              </w:rPr>
              <w:t>Monthly</w:t>
            </w:r>
          </w:p>
        </w:tc>
      </w:tr>
      <w:tr w:rsidR="00E97908" w:rsidRPr="0008684C" w:rsidTr="008C1611">
        <w:tc>
          <w:tcPr>
            <w:tcW w:w="1633" w:type="dxa"/>
            <w:vMerge w:val="restart"/>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Disability</w:t>
            </w:r>
          </w:p>
        </w:tc>
        <w:tc>
          <w:tcPr>
            <w:tcW w:w="5442" w:type="dxa"/>
            <w:vAlign w:val="center"/>
          </w:tcPr>
          <w:p w:rsidR="00E97908" w:rsidRPr="0008684C" w:rsidRDefault="00E97908" w:rsidP="003F2953">
            <w:pPr>
              <w:rPr>
                <w:rFonts w:asciiTheme="minorHAnsi" w:hAnsiTheme="minorHAnsi"/>
                <w:sz w:val="24"/>
                <w:szCs w:val="24"/>
              </w:rPr>
            </w:pPr>
            <w:r w:rsidRPr="0008684C">
              <w:rPr>
                <w:rFonts w:asciiTheme="minorHAnsi" w:hAnsiTheme="minorHAnsi"/>
                <w:sz w:val="24"/>
                <w:szCs w:val="24"/>
              </w:rPr>
              <w:t>Total number of cases where the Service User has declared a physical disability</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where the Service User has a learning difficulty</w:t>
            </w:r>
          </w:p>
        </w:tc>
        <w:tc>
          <w:tcPr>
            <w:tcW w:w="1964" w:type="dxa"/>
          </w:tcPr>
          <w:p w:rsidR="00E97908" w:rsidRDefault="00E97908">
            <w:r w:rsidRPr="00C63F82">
              <w:rPr>
                <w:rFonts w:asciiTheme="minorHAnsi" w:hAnsiTheme="minorHAnsi"/>
                <w:sz w:val="24"/>
                <w:szCs w:val="24"/>
              </w:rPr>
              <w:t xml:space="preserve">Monthly </w:t>
            </w:r>
          </w:p>
        </w:tc>
      </w:tr>
      <w:tr w:rsidR="00FE3363" w:rsidRPr="0008684C" w:rsidTr="008C1611">
        <w:tc>
          <w:tcPr>
            <w:tcW w:w="1633" w:type="dxa"/>
            <w:vMerge w:val="restart"/>
            <w:vAlign w:val="center"/>
          </w:tcPr>
          <w:p w:rsidR="00FE3363" w:rsidRPr="0008684C" w:rsidRDefault="00FE3363" w:rsidP="00F416B6">
            <w:pPr>
              <w:rPr>
                <w:rFonts w:asciiTheme="minorHAnsi" w:hAnsiTheme="minorHAnsi"/>
                <w:sz w:val="24"/>
                <w:szCs w:val="24"/>
              </w:rPr>
            </w:pPr>
            <w:r w:rsidRPr="0008684C">
              <w:rPr>
                <w:rFonts w:asciiTheme="minorHAnsi" w:hAnsiTheme="minorHAnsi"/>
                <w:sz w:val="24"/>
                <w:szCs w:val="24"/>
              </w:rPr>
              <w:t>Gender</w:t>
            </w:r>
          </w:p>
        </w:tc>
        <w:tc>
          <w:tcPr>
            <w:tcW w:w="5442" w:type="dxa"/>
            <w:vAlign w:val="center"/>
          </w:tcPr>
          <w:p w:rsidR="00FE3363" w:rsidRPr="0008684C" w:rsidRDefault="00FE3363" w:rsidP="00F416B6">
            <w:pPr>
              <w:rPr>
                <w:rFonts w:asciiTheme="minorHAnsi" w:hAnsiTheme="minorHAnsi"/>
                <w:sz w:val="24"/>
                <w:szCs w:val="24"/>
              </w:rPr>
            </w:pPr>
            <w:r>
              <w:rPr>
                <w:rFonts w:asciiTheme="minorHAnsi" w:hAnsiTheme="minorHAnsi"/>
                <w:sz w:val="24"/>
                <w:szCs w:val="24"/>
              </w:rPr>
              <w:t xml:space="preserve">Male </w:t>
            </w:r>
          </w:p>
        </w:tc>
        <w:tc>
          <w:tcPr>
            <w:tcW w:w="1964" w:type="dxa"/>
          </w:tcPr>
          <w:p w:rsidR="00FE3363" w:rsidRDefault="00FE3363">
            <w:r w:rsidRPr="00C63F82">
              <w:rPr>
                <w:rFonts w:asciiTheme="minorHAnsi" w:hAnsiTheme="minorHAnsi"/>
                <w:sz w:val="24"/>
                <w:szCs w:val="24"/>
              </w:rPr>
              <w:t xml:space="preserve">Monthly </w:t>
            </w:r>
          </w:p>
        </w:tc>
      </w:tr>
      <w:tr w:rsidR="00FE3363" w:rsidRPr="0008684C" w:rsidTr="008C1611">
        <w:tc>
          <w:tcPr>
            <w:tcW w:w="1633" w:type="dxa"/>
            <w:vMerge/>
            <w:vAlign w:val="center"/>
          </w:tcPr>
          <w:p w:rsidR="00FE3363" w:rsidRPr="0008684C" w:rsidRDefault="00FE3363" w:rsidP="00F416B6">
            <w:pPr>
              <w:rPr>
                <w:rFonts w:asciiTheme="minorHAnsi" w:hAnsiTheme="minorHAnsi"/>
                <w:sz w:val="24"/>
                <w:szCs w:val="24"/>
              </w:rPr>
            </w:pPr>
          </w:p>
        </w:tc>
        <w:tc>
          <w:tcPr>
            <w:tcW w:w="5442" w:type="dxa"/>
            <w:vAlign w:val="center"/>
          </w:tcPr>
          <w:p w:rsidR="00FE3363" w:rsidRPr="0008684C" w:rsidRDefault="00FE3363" w:rsidP="00F416B6">
            <w:pPr>
              <w:rPr>
                <w:rFonts w:asciiTheme="minorHAnsi" w:hAnsiTheme="minorHAnsi"/>
                <w:sz w:val="24"/>
                <w:szCs w:val="24"/>
              </w:rPr>
            </w:pPr>
            <w:r>
              <w:rPr>
                <w:rFonts w:asciiTheme="minorHAnsi" w:hAnsiTheme="minorHAnsi"/>
                <w:sz w:val="24"/>
                <w:szCs w:val="24"/>
              </w:rPr>
              <w:t>Female</w:t>
            </w:r>
          </w:p>
        </w:tc>
        <w:tc>
          <w:tcPr>
            <w:tcW w:w="1964" w:type="dxa"/>
          </w:tcPr>
          <w:p w:rsidR="00FE3363" w:rsidRDefault="00FE3363">
            <w:r w:rsidRPr="00C63F82">
              <w:rPr>
                <w:rFonts w:asciiTheme="minorHAnsi" w:hAnsiTheme="minorHAnsi"/>
                <w:sz w:val="24"/>
                <w:szCs w:val="24"/>
              </w:rPr>
              <w:t xml:space="preserve">Monthly </w:t>
            </w:r>
          </w:p>
        </w:tc>
      </w:tr>
      <w:tr w:rsidR="00FE3363" w:rsidRPr="0008684C" w:rsidTr="008C1611">
        <w:tc>
          <w:tcPr>
            <w:tcW w:w="1633" w:type="dxa"/>
            <w:vMerge/>
            <w:vAlign w:val="center"/>
          </w:tcPr>
          <w:p w:rsidR="00FE3363" w:rsidRPr="0008684C" w:rsidRDefault="00FE3363" w:rsidP="00F416B6">
            <w:pPr>
              <w:rPr>
                <w:rFonts w:asciiTheme="minorHAnsi" w:hAnsiTheme="minorHAnsi"/>
                <w:sz w:val="24"/>
                <w:szCs w:val="24"/>
              </w:rPr>
            </w:pPr>
          </w:p>
        </w:tc>
        <w:tc>
          <w:tcPr>
            <w:tcW w:w="5442" w:type="dxa"/>
            <w:vAlign w:val="center"/>
          </w:tcPr>
          <w:p w:rsidR="00FE3363" w:rsidRDefault="00FE3363" w:rsidP="00F416B6">
            <w:pPr>
              <w:rPr>
                <w:rFonts w:asciiTheme="minorHAnsi" w:hAnsiTheme="minorHAnsi"/>
                <w:sz w:val="24"/>
                <w:szCs w:val="24"/>
              </w:rPr>
            </w:pPr>
            <w:r>
              <w:rPr>
                <w:rFonts w:asciiTheme="minorHAnsi" w:hAnsiTheme="minorHAnsi"/>
                <w:sz w:val="24"/>
                <w:szCs w:val="24"/>
              </w:rPr>
              <w:t>Transgender</w:t>
            </w:r>
          </w:p>
        </w:tc>
        <w:tc>
          <w:tcPr>
            <w:tcW w:w="1964" w:type="dxa"/>
          </w:tcPr>
          <w:p w:rsidR="00FE3363" w:rsidRPr="00C63F82" w:rsidRDefault="00FE3363">
            <w:pPr>
              <w:rPr>
                <w:rFonts w:asciiTheme="minorHAnsi" w:hAnsiTheme="minorHAnsi"/>
                <w:sz w:val="24"/>
                <w:szCs w:val="24"/>
              </w:rPr>
            </w:pPr>
            <w:r w:rsidRPr="00C63F82">
              <w:rPr>
                <w:rFonts w:asciiTheme="minorHAnsi" w:hAnsiTheme="minorHAnsi"/>
                <w:sz w:val="24"/>
                <w:szCs w:val="24"/>
              </w:rPr>
              <w:t>Monthly</w:t>
            </w:r>
          </w:p>
        </w:tc>
      </w:tr>
      <w:tr w:rsidR="00FE3363" w:rsidRPr="0008684C" w:rsidTr="008C1611">
        <w:tc>
          <w:tcPr>
            <w:tcW w:w="1633" w:type="dxa"/>
            <w:vMerge/>
            <w:vAlign w:val="center"/>
          </w:tcPr>
          <w:p w:rsidR="00FE3363" w:rsidRPr="0008684C" w:rsidRDefault="00FE3363" w:rsidP="00F416B6">
            <w:pPr>
              <w:rPr>
                <w:rFonts w:asciiTheme="minorHAnsi" w:hAnsiTheme="minorHAnsi"/>
                <w:sz w:val="24"/>
                <w:szCs w:val="24"/>
              </w:rPr>
            </w:pPr>
          </w:p>
        </w:tc>
        <w:tc>
          <w:tcPr>
            <w:tcW w:w="5442" w:type="dxa"/>
            <w:vAlign w:val="center"/>
          </w:tcPr>
          <w:p w:rsidR="00FE3363" w:rsidRDefault="00FE3363" w:rsidP="00F416B6">
            <w:pPr>
              <w:rPr>
                <w:rFonts w:asciiTheme="minorHAnsi" w:hAnsiTheme="minorHAnsi"/>
                <w:sz w:val="24"/>
                <w:szCs w:val="24"/>
              </w:rPr>
            </w:pPr>
            <w:r>
              <w:rPr>
                <w:rFonts w:asciiTheme="minorHAnsi" w:hAnsiTheme="minorHAnsi"/>
                <w:sz w:val="24"/>
                <w:szCs w:val="24"/>
              </w:rPr>
              <w:t>Not disclosed</w:t>
            </w:r>
          </w:p>
        </w:tc>
        <w:tc>
          <w:tcPr>
            <w:tcW w:w="1964" w:type="dxa"/>
          </w:tcPr>
          <w:p w:rsidR="00FE3363" w:rsidRPr="00C63F82" w:rsidRDefault="00FE3363">
            <w:pPr>
              <w:rPr>
                <w:rFonts w:asciiTheme="minorHAnsi" w:hAnsiTheme="minorHAnsi"/>
                <w:sz w:val="24"/>
                <w:szCs w:val="24"/>
              </w:rPr>
            </w:pPr>
            <w:r w:rsidRPr="00C63F82">
              <w:rPr>
                <w:rFonts w:asciiTheme="minorHAnsi" w:hAnsiTheme="minorHAnsi"/>
                <w:sz w:val="24"/>
                <w:szCs w:val="24"/>
              </w:rPr>
              <w:t>Monthly</w:t>
            </w:r>
          </w:p>
        </w:tc>
      </w:tr>
      <w:tr w:rsidR="00E97908" w:rsidRPr="0008684C" w:rsidTr="008C1611">
        <w:tc>
          <w:tcPr>
            <w:tcW w:w="1633" w:type="dxa"/>
            <w:vMerge w:val="restart"/>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 xml:space="preserve">Age </w:t>
            </w:r>
          </w:p>
        </w:tc>
        <w:tc>
          <w:tcPr>
            <w:tcW w:w="5442" w:type="dxa"/>
            <w:vAlign w:val="center"/>
          </w:tcPr>
          <w:p w:rsidR="00E97908" w:rsidRPr="0008684C" w:rsidRDefault="00E97908" w:rsidP="008C1611">
            <w:pPr>
              <w:rPr>
                <w:rFonts w:asciiTheme="minorHAnsi" w:hAnsiTheme="minorHAnsi"/>
                <w:sz w:val="24"/>
                <w:szCs w:val="24"/>
              </w:rPr>
            </w:pPr>
          </w:p>
        </w:tc>
        <w:tc>
          <w:tcPr>
            <w:tcW w:w="1964" w:type="dxa"/>
          </w:tcPr>
          <w:p w:rsidR="00E97908" w:rsidRDefault="00E97908"/>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where the  Service User is aged 16-17</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where the  Service User is aged 18-24</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where the  Service User is aged 25-34</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where the  Service User is aged 35-44</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where the  Service User is aged 45-54</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where the  Service User is aged 55-64</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where the  Service User is aged 65+</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restart"/>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Ethnicity</w:t>
            </w: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White-British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White-Irish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White-Other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White &amp; Black Caribbean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White &amp; Black African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White &amp; Asian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Indian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Pakistani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Bangladeshi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Asian-Other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Black-Caribbean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Black-African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Black British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Black-Other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Chinese Victims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Not Known</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344725">
            <w:pPr>
              <w:spacing w:beforeAutospacing="0"/>
              <w:rPr>
                <w:rFonts w:asciiTheme="minorHAnsi" w:hAnsiTheme="minorHAnsi"/>
                <w:sz w:val="24"/>
                <w:szCs w:val="24"/>
              </w:rPr>
            </w:pPr>
            <w:r w:rsidRPr="0008684C">
              <w:rPr>
                <w:rFonts w:asciiTheme="minorHAnsi" w:hAnsiTheme="minorHAnsi"/>
                <w:sz w:val="24"/>
                <w:szCs w:val="24"/>
              </w:rPr>
              <w:t>Number Not Given</w:t>
            </w:r>
          </w:p>
        </w:tc>
        <w:tc>
          <w:tcPr>
            <w:tcW w:w="1964" w:type="dxa"/>
          </w:tcPr>
          <w:p w:rsidR="00E97908" w:rsidRDefault="00E97908" w:rsidP="00344725">
            <w:pPr>
              <w:spacing w:beforeAutospacing="0"/>
            </w:pPr>
            <w:r w:rsidRPr="00C63F82">
              <w:rPr>
                <w:rFonts w:asciiTheme="minorHAnsi" w:hAnsiTheme="minorHAnsi"/>
                <w:sz w:val="24"/>
                <w:szCs w:val="24"/>
              </w:rPr>
              <w:t xml:space="preserve">Monthly </w:t>
            </w:r>
          </w:p>
        </w:tc>
      </w:tr>
      <w:tr w:rsidR="00FE3363" w:rsidRPr="0008684C" w:rsidTr="00FE3363">
        <w:trPr>
          <w:trHeight w:val="381"/>
        </w:trPr>
        <w:tc>
          <w:tcPr>
            <w:tcW w:w="1633" w:type="dxa"/>
            <w:vMerge w:val="restart"/>
            <w:vAlign w:val="center"/>
          </w:tcPr>
          <w:p w:rsidR="00FE3363" w:rsidRPr="00344725" w:rsidRDefault="00FE3363" w:rsidP="00FE3363">
            <w:pPr>
              <w:autoSpaceDE w:val="0"/>
              <w:autoSpaceDN w:val="0"/>
              <w:adjustRightInd w:val="0"/>
              <w:spacing w:beforeAutospacing="0"/>
              <w:rPr>
                <w:rFonts w:asciiTheme="minorHAnsi" w:hAnsiTheme="minorHAnsi" w:cstheme="minorHAnsi"/>
                <w:color w:val="auto"/>
                <w:sz w:val="24"/>
                <w:szCs w:val="24"/>
              </w:rPr>
            </w:pPr>
            <w:r w:rsidRPr="00344725">
              <w:rPr>
                <w:rFonts w:asciiTheme="minorHAnsi" w:hAnsiTheme="minorHAnsi" w:cstheme="minorHAnsi"/>
                <w:color w:val="auto"/>
                <w:sz w:val="24"/>
                <w:szCs w:val="24"/>
              </w:rPr>
              <w:t>Number of survivors who attended in/</w:t>
            </w:r>
          </w:p>
          <w:p w:rsidR="00FE3363" w:rsidRPr="00344725" w:rsidRDefault="00FE3363" w:rsidP="00FE3363">
            <w:pPr>
              <w:rPr>
                <w:rFonts w:asciiTheme="minorHAnsi" w:hAnsiTheme="minorHAnsi" w:cstheme="minorHAnsi"/>
                <w:color w:val="auto"/>
                <w:sz w:val="24"/>
                <w:szCs w:val="24"/>
                <w:highlight w:val="yellow"/>
              </w:rPr>
            </w:pPr>
            <w:r w:rsidRPr="00344725">
              <w:rPr>
                <w:rFonts w:asciiTheme="minorHAnsi" w:hAnsiTheme="minorHAnsi" w:cstheme="minorHAnsi"/>
                <w:color w:val="auto"/>
                <w:sz w:val="24"/>
                <w:szCs w:val="24"/>
              </w:rPr>
              <w:t>out of hours</w:t>
            </w:r>
          </w:p>
        </w:tc>
        <w:tc>
          <w:tcPr>
            <w:tcW w:w="5442" w:type="dxa"/>
          </w:tcPr>
          <w:p w:rsidR="00FE3363" w:rsidRPr="00344725" w:rsidRDefault="00FE3363" w:rsidP="00344725">
            <w:pPr>
              <w:autoSpaceDE w:val="0"/>
              <w:autoSpaceDN w:val="0"/>
              <w:adjustRightInd w:val="0"/>
              <w:spacing w:beforeAutospacing="0"/>
              <w:rPr>
                <w:rFonts w:asciiTheme="minorHAnsi" w:hAnsiTheme="minorHAnsi" w:cstheme="minorHAnsi"/>
                <w:iCs/>
                <w:color w:val="auto"/>
                <w:sz w:val="24"/>
                <w:szCs w:val="24"/>
              </w:rPr>
            </w:pPr>
            <w:r w:rsidRPr="00344725">
              <w:rPr>
                <w:rFonts w:asciiTheme="minorHAnsi" w:hAnsiTheme="minorHAnsi" w:cstheme="minorHAnsi"/>
                <w:iCs/>
                <w:color w:val="auto"/>
                <w:sz w:val="24"/>
                <w:szCs w:val="24"/>
              </w:rPr>
              <w:t>Number of contacts within core operating hours</w:t>
            </w:r>
          </w:p>
        </w:tc>
        <w:tc>
          <w:tcPr>
            <w:tcW w:w="1964" w:type="dxa"/>
          </w:tcPr>
          <w:p w:rsidR="00FE3363" w:rsidRPr="00C63F82" w:rsidRDefault="00344725" w:rsidP="00344725">
            <w:pPr>
              <w:spacing w:beforeAutospacing="0"/>
              <w:rPr>
                <w:rFonts w:asciiTheme="minorHAnsi" w:hAnsiTheme="minorHAnsi"/>
                <w:sz w:val="24"/>
                <w:szCs w:val="24"/>
              </w:rPr>
            </w:pPr>
            <w:r w:rsidRPr="00C63F82">
              <w:rPr>
                <w:rFonts w:asciiTheme="minorHAnsi" w:hAnsiTheme="minorHAnsi"/>
                <w:sz w:val="24"/>
                <w:szCs w:val="24"/>
              </w:rPr>
              <w:t>Monthly</w:t>
            </w:r>
          </w:p>
        </w:tc>
      </w:tr>
      <w:tr w:rsidR="00FE3363" w:rsidRPr="0008684C" w:rsidTr="008C1611">
        <w:tc>
          <w:tcPr>
            <w:tcW w:w="1633" w:type="dxa"/>
            <w:vMerge/>
            <w:vAlign w:val="center"/>
          </w:tcPr>
          <w:p w:rsidR="00FE3363" w:rsidRPr="00344725" w:rsidRDefault="00FE3363" w:rsidP="00401CB4">
            <w:pPr>
              <w:rPr>
                <w:rFonts w:asciiTheme="minorHAnsi" w:hAnsiTheme="minorHAnsi" w:cstheme="minorHAnsi"/>
                <w:color w:val="auto"/>
                <w:sz w:val="24"/>
                <w:szCs w:val="24"/>
                <w:highlight w:val="yellow"/>
              </w:rPr>
            </w:pPr>
          </w:p>
        </w:tc>
        <w:tc>
          <w:tcPr>
            <w:tcW w:w="5442" w:type="dxa"/>
          </w:tcPr>
          <w:p w:rsidR="00FE3363" w:rsidRPr="00344725" w:rsidRDefault="00FE3363" w:rsidP="00344725">
            <w:pPr>
              <w:spacing w:beforeAutospacing="0"/>
              <w:rPr>
                <w:rFonts w:asciiTheme="minorHAnsi" w:hAnsiTheme="minorHAnsi" w:cstheme="minorHAnsi"/>
                <w:color w:val="auto"/>
                <w:sz w:val="24"/>
                <w:szCs w:val="24"/>
              </w:rPr>
            </w:pPr>
            <w:r w:rsidRPr="00344725">
              <w:rPr>
                <w:rFonts w:asciiTheme="minorHAnsi" w:hAnsiTheme="minorHAnsi" w:cstheme="minorHAnsi"/>
                <w:iCs/>
                <w:color w:val="auto"/>
                <w:sz w:val="24"/>
                <w:szCs w:val="24"/>
              </w:rPr>
              <w:t xml:space="preserve">Number of contacts </w:t>
            </w:r>
            <w:r w:rsidR="00344725" w:rsidRPr="00344725">
              <w:rPr>
                <w:rFonts w:asciiTheme="minorHAnsi" w:hAnsiTheme="minorHAnsi" w:cstheme="minorHAnsi"/>
                <w:iCs/>
                <w:color w:val="auto"/>
                <w:sz w:val="24"/>
                <w:szCs w:val="24"/>
              </w:rPr>
              <w:t xml:space="preserve">out of </w:t>
            </w:r>
            <w:r w:rsidRPr="00344725">
              <w:rPr>
                <w:rFonts w:asciiTheme="minorHAnsi" w:hAnsiTheme="minorHAnsi" w:cstheme="minorHAnsi"/>
                <w:iCs/>
                <w:color w:val="auto"/>
                <w:sz w:val="24"/>
                <w:szCs w:val="24"/>
              </w:rPr>
              <w:t>core operating hours</w:t>
            </w:r>
          </w:p>
        </w:tc>
        <w:tc>
          <w:tcPr>
            <w:tcW w:w="1964" w:type="dxa"/>
          </w:tcPr>
          <w:p w:rsidR="00FE3363" w:rsidRPr="00C63F82" w:rsidRDefault="00344725" w:rsidP="00344725">
            <w:pPr>
              <w:spacing w:beforeAutospacing="0"/>
              <w:rPr>
                <w:rFonts w:asciiTheme="minorHAnsi" w:hAnsiTheme="minorHAnsi"/>
                <w:sz w:val="24"/>
                <w:szCs w:val="24"/>
              </w:rPr>
            </w:pPr>
            <w:r w:rsidRPr="00C63F82">
              <w:rPr>
                <w:rFonts w:asciiTheme="minorHAnsi" w:hAnsiTheme="minorHAnsi"/>
                <w:sz w:val="24"/>
                <w:szCs w:val="24"/>
              </w:rPr>
              <w:t>Monthly</w:t>
            </w:r>
          </w:p>
        </w:tc>
      </w:tr>
      <w:tr w:rsidR="00E97908" w:rsidRPr="0008684C" w:rsidTr="008C1611">
        <w:tc>
          <w:tcPr>
            <w:tcW w:w="1633" w:type="dxa"/>
            <w:vMerge w:val="restart"/>
            <w:vAlign w:val="center"/>
          </w:tcPr>
          <w:p w:rsidR="00E97908" w:rsidRPr="0008684C" w:rsidRDefault="00E97908" w:rsidP="00401CB4">
            <w:pPr>
              <w:spacing w:before="100"/>
              <w:rPr>
                <w:rFonts w:asciiTheme="minorHAnsi" w:hAnsiTheme="minorHAnsi"/>
                <w:sz w:val="24"/>
                <w:szCs w:val="24"/>
              </w:rPr>
            </w:pPr>
            <w:r w:rsidRPr="00BA71AF">
              <w:rPr>
                <w:rFonts w:asciiTheme="minorHAnsi" w:hAnsiTheme="minorHAnsi"/>
                <w:sz w:val="24"/>
                <w:szCs w:val="24"/>
              </w:rPr>
              <w:t>Response Time and Service Levels</w:t>
            </w:r>
          </w:p>
        </w:tc>
        <w:tc>
          <w:tcPr>
            <w:tcW w:w="5442" w:type="dxa"/>
          </w:tcPr>
          <w:p w:rsidR="00E97908" w:rsidRPr="0008684C" w:rsidRDefault="00BA71AF" w:rsidP="00F416B6">
            <w:pPr>
              <w:rPr>
                <w:rFonts w:asciiTheme="minorHAnsi" w:hAnsiTheme="minorHAnsi"/>
                <w:sz w:val="24"/>
                <w:szCs w:val="24"/>
              </w:rPr>
            </w:pPr>
            <w:r>
              <w:rPr>
                <w:rFonts w:asciiTheme="minorHAnsi" w:hAnsiTheme="minorHAnsi"/>
                <w:sz w:val="24"/>
                <w:szCs w:val="24"/>
              </w:rPr>
              <w:t xml:space="preserve">Total number of attendances at the SARC within 60 minutes </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tcPr>
          <w:p w:rsidR="00E97908" w:rsidRPr="0008684C" w:rsidRDefault="00BA71AF" w:rsidP="003B4CFF">
            <w:pPr>
              <w:rPr>
                <w:rFonts w:asciiTheme="minorHAnsi" w:hAnsiTheme="minorHAnsi"/>
                <w:sz w:val="24"/>
                <w:szCs w:val="24"/>
              </w:rPr>
            </w:pPr>
            <w:r>
              <w:rPr>
                <w:rFonts w:asciiTheme="minorHAnsi" w:hAnsiTheme="minorHAnsi"/>
                <w:sz w:val="24"/>
                <w:szCs w:val="24"/>
              </w:rPr>
              <w:t>Total number of attendances at the SARC outside of 60 minute requirement</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restart"/>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 xml:space="preserve">Vulnerability Factors identified at most recent needs assessment </w:t>
            </w:r>
          </w:p>
        </w:tc>
        <w:tc>
          <w:tcPr>
            <w:tcW w:w="5442" w:type="dxa"/>
            <w:vAlign w:val="center"/>
          </w:tcPr>
          <w:p w:rsidR="00E97908" w:rsidRPr="0008684C" w:rsidRDefault="00E97908" w:rsidP="00F416B6">
            <w:pPr>
              <w:rPr>
                <w:rFonts w:asciiTheme="minorHAnsi" w:hAnsiTheme="minorHAnsi"/>
                <w:sz w:val="24"/>
                <w:szCs w:val="24"/>
              </w:rPr>
            </w:pP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identified with suicide risk identified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identified with self-harm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identified with substance misuse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identified with alcohol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identified with lack of social/ family support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identified with domestic abuse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identified with sex work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identified with Female Genital Mutilation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identified at risk of pregnancy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AC61AB">
            <w:pPr>
              <w:rPr>
                <w:rFonts w:asciiTheme="minorHAnsi" w:hAnsiTheme="minorHAnsi"/>
                <w:sz w:val="24"/>
                <w:szCs w:val="24"/>
              </w:rPr>
            </w:pPr>
            <w:r w:rsidRPr="0008684C">
              <w:rPr>
                <w:rFonts w:asciiTheme="minorHAnsi" w:hAnsiTheme="minorHAnsi"/>
                <w:sz w:val="24"/>
                <w:szCs w:val="24"/>
              </w:rPr>
              <w:t>Total number of active cases identified with sexual exploitation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8C1611">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identified with homelessness as a vulnerability factor</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restart"/>
            <w:vAlign w:val="center"/>
          </w:tcPr>
          <w:p w:rsidR="00E97908" w:rsidRPr="0008684C" w:rsidRDefault="00E97908" w:rsidP="00BA2E30">
            <w:pPr>
              <w:rPr>
                <w:rFonts w:asciiTheme="minorHAnsi" w:hAnsiTheme="minorHAnsi"/>
                <w:sz w:val="24"/>
                <w:szCs w:val="24"/>
              </w:rPr>
            </w:pPr>
            <w:r w:rsidRPr="0008684C">
              <w:rPr>
                <w:rFonts w:asciiTheme="minorHAnsi" w:hAnsiTheme="minorHAnsi"/>
                <w:sz w:val="24"/>
                <w:szCs w:val="24"/>
              </w:rPr>
              <w:t xml:space="preserve">Type of Referrals made </w:t>
            </w: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referrals made to sexual health services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C363D2">
            <w:pPr>
              <w:rPr>
                <w:rFonts w:asciiTheme="minorHAnsi" w:hAnsiTheme="minorHAnsi"/>
                <w:sz w:val="24"/>
                <w:szCs w:val="24"/>
              </w:rPr>
            </w:pPr>
            <w:r w:rsidRPr="0008684C">
              <w:rPr>
                <w:rFonts w:asciiTheme="minorHAnsi" w:hAnsiTheme="minorHAnsi"/>
                <w:sz w:val="24"/>
                <w:szCs w:val="24"/>
              </w:rPr>
              <w:t>Total number of referrals made counselling services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referrals made to domestic violence services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referrals made to mental health services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referrals made to Children’s Services and/ or the Multi-agency Safeguarding Hub</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referrals made to Adult Social Care</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declining further action/onward referral</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active cases where no further action is required</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referrals to drug and alcohol services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referrals made to housing services</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referrals made to other services</w:t>
            </w:r>
            <w:r w:rsidR="00BA71AF">
              <w:rPr>
                <w:rFonts w:asciiTheme="minorHAnsi" w:hAnsiTheme="minorHAnsi"/>
                <w:sz w:val="24"/>
                <w:szCs w:val="24"/>
              </w:rPr>
              <w:t xml:space="preserve"> broken down by type</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restart"/>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Other services provided</w:t>
            </w:r>
          </w:p>
        </w:tc>
        <w:tc>
          <w:tcPr>
            <w:tcW w:w="5442" w:type="dxa"/>
            <w:vAlign w:val="center"/>
          </w:tcPr>
          <w:p w:rsidR="00E97908" w:rsidRPr="0008684C" w:rsidRDefault="00E97908" w:rsidP="00F416B6">
            <w:pPr>
              <w:rPr>
                <w:rFonts w:asciiTheme="minorHAnsi" w:hAnsiTheme="minorHAnsi"/>
                <w:sz w:val="24"/>
                <w:szCs w:val="24"/>
              </w:rPr>
            </w:pPr>
            <w:r>
              <w:rPr>
                <w:rFonts w:asciiTheme="minorHAnsi" w:hAnsiTheme="minorHAnsi"/>
                <w:sz w:val="24"/>
                <w:szCs w:val="24"/>
              </w:rPr>
              <w:t>Total number of service users who are Lesbian</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Pr>
                <w:rFonts w:asciiTheme="minorHAnsi" w:hAnsiTheme="minorHAnsi"/>
                <w:sz w:val="24"/>
                <w:szCs w:val="24"/>
              </w:rPr>
              <w:t>Total number of service users who are Gay</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ign w:val="center"/>
          </w:tcPr>
          <w:p w:rsidR="00E97908" w:rsidRPr="0008684C" w:rsidRDefault="00E97908" w:rsidP="00F416B6">
            <w:pPr>
              <w:rPr>
                <w:rFonts w:asciiTheme="minorHAnsi" w:hAnsiTheme="minorHAnsi"/>
                <w:sz w:val="24"/>
                <w:szCs w:val="24"/>
              </w:rPr>
            </w:pPr>
          </w:p>
        </w:tc>
        <w:tc>
          <w:tcPr>
            <w:tcW w:w="5442" w:type="dxa"/>
            <w:vAlign w:val="center"/>
          </w:tcPr>
          <w:p w:rsidR="00E97908" w:rsidRPr="0008684C" w:rsidRDefault="00E97908" w:rsidP="00F416B6">
            <w:pPr>
              <w:rPr>
                <w:rFonts w:asciiTheme="minorHAnsi" w:hAnsiTheme="minorHAnsi"/>
                <w:sz w:val="24"/>
                <w:szCs w:val="24"/>
              </w:rPr>
            </w:pPr>
            <w:r>
              <w:rPr>
                <w:rFonts w:asciiTheme="minorHAnsi" w:hAnsiTheme="minorHAnsi"/>
                <w:sz w:val="24"/>
                <w:szCs w:val="24"/>
              </w:rPr>
              <w:t>Total number of service users who are Bisexual</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Merge w:val="restart"/>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Criminal Justice Outcomes</w:t>
            </w:r>
          </w:p>
        </w:tc>
        <w:tc>
          <w:tcPr>
            <w:tcW w:w="5442" w:type="dxa"/>
            <w:vAlign w:val="center"/>
          </w:tcPr>
          <w:p w:rsidR="00E97908" w:rsidRPr="0008684C" w:rsidRDefault="00E97908" w:rsidP="004F4F1F">
            <w:pPr>
              <w:rPr>
                <w:rFonts w:asciiTheme="minorHAnsi" w:hAnsiTheme="minorHAnsi"/>
                <w:sz w:val="24"/>
                <w:szCs w:val="24"/>
              </w:rPr>
            </w:pPr>
            <w:r w:rsidRPr="0008684C">
              <w:rPr>
                <w:rFonts w:asciiTheme="minorHAnsi" w:hAnsiTheme="minorHAnsi"/>
                <w:sz w:val="24"/>
                <w:szCs w:val="24"/>
              </w:rPr>
              <w:t xml:space="preserve">Total number of active cases who had not reported to the police at point of referral </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5013A5">
        <w:tc>
          <w:tcPr>
            <w:tcW w:w="1633" w:type="dxa"/>
            <w:vMerge/>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3B4CFF">
            <w:pPr>
              <w:rPr>
                <w:rFonts w:asciiTheme="minorHAnsi" w:hAnsiTheme="minorHAnsi"/>
                <w:sz w:val="24"/>
                <w:szCs w:val="24"/>
              </w:rPr>
            </w:pP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5013A5">
        <w:tc>
          <w:tcPr>
            <w:tcW w:w="1633" w:type="dxa"/>
            <w:vMerge/>
          </w:tcPr>
          <w:p w:rsidR="00E97908" w:rsidRPr="0008684C" w:rsidRDefault="00E97908" w:rsidP="00F416B6">
            <w:pPr>
              <w:rPr>
                <w:rFonts w:asciiTheme="minorHAnsi" w:hAnsiTheme="minorHAnsi"/>
                <w:sz w:val="24"/>
                <w:szCs w:val="24"/>
              </w:rPr>
            </w:pPr>
          </w:p>
        </w:tc>
        <w:tc>
          <w:tcPr>
            <w:tcW w:w="5442" w:type="dxa"/>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Number of self-referrals who have gone on to report to the police within that time period</w:t>
            </w:r>
          </w:p>
        </w:tc>
        <w:tc>
          <w:tcPr>
            <w:tcW w:w="1964" w:type="dxa"/>
          </w:tcPr>
          <w:p w:rsidR="00E97908" w:rsidRDefault="00E97908">
            <w:r w:rsidRPr="00C63F82">
              <w:rPr>
                <w:rFonts w:asciiTheme="minorHAnsi" w:hAnsiTheme="minorHAnsi"/>
                <w:sz w:val="24"/>
                <w:szCs w:val="24"/>
              </w:rPr>
              <w:t xml:space="preserve">Monthly </w:t>
            </w:r>
          </w:p>
        </w:tc>
      </w:tr>
      <w:tr w:rsidR="00E97908" w:rsidRPr="0008684C" w:rsidTr="002E4284">
        <w:tc>
          <w:tcPr>
            <w:tcW w:w="1633"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Staffing</w:t>
            </w:r>
          </w:p>
        </w:tc>
        <w:tc>
          <w:tcPr>
            <w:tcW w:w="5442" w:type="dxa"/>
            <w:vAlign w:val="center"/>
          </w:tcPr>
          <w:p w:rsidR="00E97908" w:rsidRPr="0008684C" w:rsidRDefault="00E97908" w:rsidP="00F416B6">
            <w:pPr>
              <w:rPr>
                <w:rFonts w:asciiTheme="minorHAnsi" w:hAnsiTheme="minorHAnsi"/>
                <w:sz w:val="24"/>
                <w:szCs w:val="24"/>
              </w:rPr>
            </w:pPr>
            <w:r w:rsidRPr="0008684C">
              <w:rPr>
                <w:rFonts w:asciiTheme="minorHAnsi" w:hAnsiTheme="minorHAnsi"/>
                <w:sz w:val="24"/>
                <w:szCs w:val="24"/>
              </w:rPr>
              <w:t>Total number of days lost to sickness absence</w:t>
            </w:r>
          </w:p>
        </w:tc>
        <w:tc>
          <w:tcPr>
            <w:tcW w:w="1964" w:type="dxa"/>
          </w:tcPr>
          <w:p w:rsidR="00E97908" w:rsidRDefault="00E97908">
            <w:r w:rsidRPr="00C63F82">
              <w:rPr>
                <w:rFonts w:asciiTheme="minorHAnsi" w:hAnsiTheme="minorHAnsi"/>
                <w:sz w:val="24"/>
                <w:szCs w:val="24"/>
              </w:rPr>
              <w:t xml:space="preserve">Monthly </w:t>
            </w:r>
          </w:p>
        </w:tc>
      </w:tr>
      <w:tr w:rsidR="000462EF" w:rsidRPr="0008684C" w:rsidTr="002E4284">
        <w:tc>
          <w:tcPr>
            <w:tcW w:w="1633" w:type="dxa"/>
            <w:vMerge w:val="restart"/>
            <w:vAlign w:val="center"/>
          </w:tcPr>
          <w:p w:rsidR="000462EF" w:rsidRPr="000462EF" w:rsidRDefault="000462EF" w:rsidP="00F416B6">
            <w:pPr>
              <w:rPr>
                <w:rFonts w:asciiTheme="minorHAnsi" w:hAnsiTheme="minorHAnsi" w:cstheme="minorHAnsi"/>
                <w:sz w:val="24"/>
                <w:szCs w:val="24"/>
              </w:rPr>
            </w:pPr>
            <w:r w:rsidRPr="000462EF">
              <w:rPr>
                <w:rFonts w:asciiTheme="minorHAnsi" w:hAnsiTheme="minorHAnsi" w:cstheme="minorHAnsi"/>
                <w:sz w:val="24"/>
                <w:szCs w:val="24"/>
              </w:rPr>
              <w:t>Complaints</w:t>
            </w:r>
          </w:p>
        </w:tc>
        <w:tc>
          <w:tcPr>
            <w:tcW w:w="5442" w:type="dxa"/>
            <w:vAlign w:val="center"/>
          </w:tcPr>
          <w:p w:rsidR="000462EF" w:rsidRPr="000462EF" w:rsidRDefault="000462EF" w:rsidP="00F416B6">
            <w:pPr>
              <w:rPr>
                <w:rFonts w:asciiTheme="minorHAnsi" w:hAnsiTheme="minorHAnsi" w:cstheme="minorHAnsi"/>
                <w:sz w:val="24"/>
                <w:szCs w:val="24"/>
              </w:rPr>
            </w:pPr>
            <w:r w:rsidRPr="000462EF">
              <w:rPr>
                <w:rFonts w:asciiTheme="minorHAnsi" w:hAnsiTheme="minorHAnsi" w:cstheme="minorHAnsi"/>
                <w:sz w:val="24"/>
                <w:szCs w:val="24"/>
              </w:rPr>
              <w:t>Total number of complaints received</w:t>
            </w:r>
          </w:p>
        </w:tc>
        <w:tc>
          <w:tcPr>
            <w:tcW w:w="1964" w:type="dxa"/>
          </w:tcPr>
          <w:p w:rsidR="000462EF" w:rsidRPr="000462EF" w:rsidRDefault="000462EF">
            <w:pPr>
              <w:rPr>
                <w:rFonts w:asciiTheme="minorHAnsi" w:hAnsiTheme="minorHAnsi" w:cstheme="minorHAnsi"/>
                <w:sz w:val="24"/>
                <w:szCs w:val="24"/>
              </w:rPr>
            </w:pPr>
            <w:r w:rsidRPr="000462EF">
              <w:rPr>
                <w:rFonts w:asciiTheme="minorHAnsi" w:hAnsiTheme="minorHAnsi" w:cstheme="minorHAnsi"/>
                <w:sz w:val="24"/>
                <w:szCs w:val="24"/>
              </w:rPr>
              <w:t xml:space="preserve">Monthly </w:t>
            </w:r>
          </w:p>
        </w:tc>
      </w:tr>
      <w:tr w:rsidR="000462EF" w:rsidRPr="0008684C" w:rsidTr="002E4284">
        <w:tc>
          <w:tcPr>
            <w:tcW w:w="1633" w:type="dxa"/>
            <w:vMerge/>
            <w:vAlign w:val="center"/>
          </w:tcPr>
          <w:p w:rsidR="000462EF" w:rsidRPr="000462EF" w:rsidRDefault="000462EF" w:rsidP="00F416B6">
            <w:pPr>
              <w:rPr>
                <w:rFonts w:asciiTheme="minorHAnsi" w:hAnsiTheme="minorHAnsi" w:cstheme="minorHAnsi"/>
                <w:sz w:val="24"/>
                <w:szCs w:val="24"/>
              </w:rPr>
            </w:pPr>
          </w:p>
        </w:tc>
        <w:tc>
          <w:tcPr>
            <w:tcW w:w="5442" w:type="dxa"/>
            <w:vAlign w:val="center"/>
          </w:tcPr>
          <w:p w:rsidR="000462EF" w:rsidRPr="000462EF" w:rsidRDefault="000462EF" w:rsidP="000462EF">
            <w:pPr>
              <w:autoSpaceDE w:val="0"/>
              <w:autoSpaceDN w:val="0"/>
              <w:adjustRightInd w:val="0"/>
              <w:spacing w:beforeAutospacing="0"/>
              <w:rPr>
                <w:rFonts w:asciiTheme="minorHAnsi" w:hAnsiTheme="minorHAnsi" w:cstheme="minorHAnsi"/>
                <w:sz w:val="24"/>
                <w:szCs w:val="24"/>
              </w:rPr>
            </w:pPr>
            <w:r w:rsidRPr="000462EF">
              <w:rPr>
                <w:rFonts w:asciiTheme="minorHAnsi" w:hAnsiTheme="minorHAnsi" w:cstheme="minorHAnsi"/>
                <w:sz w:val="24"/>
                <w:szCs w:val="24"/>
              </w:rPr>
              <w:t>Number of complaints that received a detailed response within the NHS and Police standard timescales for complaint resolution.</w:t>
            </w:r>
          </w:p>
        </w:tc>
        <w:tc>
          <w:tcPr>
            <w:tcW w:w="1964" w:type="dxa"/>
          </w:tcPr>
          <w:p w:rsidR="000462EF" w:rsidRPr="000462EF" w:rsidRDefault="000462EF">
            <w:pPr>
              <w:rPr>
                <w:rFonts w:asciiTheme="minorHAnsi" w:hAnsiTheme="minorHAnsi" w:cstheme="minorHAnsi"/>
                <w:sz w:val="24"/>
                <w:szCs w:val="24"/>
              </w:rPr>
            </w:pPr>
            <w:r w:rsidRPr="000462EF">
              <w:rPr>
                <w:rFonts w:asciiTheme="minorHAnsi" w:hAnsiTheme="minorHAnsi" w:cstheme="minorHAnsi"/>
                <w:sz w:val="24"/>
                <w:szCs w:val="24"/>
              </w:rPr>
              <w:t>Monthly</w:t>
            </w:r>
          </w:p>
        </w:tc>
      </w:tr>
    </w:tbl>
    <w:p w:rsidR="00096A9F" w:rsidRPr="00096A9F" w:rsidRDefault="00096A9F" w:rsidP="00096A9F">
      <w:pPr>
        <w:autoSpaceDE w:val="0"/>
        <w:autoSpaceDN w:val="0"/>
        <w:adjustRightInd w:val="0"/>
        <w:spacing w:before="0" w:beforeAutospacing="0" w:after="0" w:line="240" w:lineRule="auto"/>
        <w:rPr>
          <w:rFonts w:cs="Calibri"/>
          <w:color w:val="auto"/>
        </w:rPr>
      </w:pPr>
    </w:p>
    <w:p w:rsidR="00096A9F" w:rsidRPr="00096A9F" w:rsidRDefault="00096A9F" w:rsidP="00096A9F">
      <w:pPr>
        <w:autoSpaceDE w:val="0"/>
        <w:autoSpaceDN w:val="0"/>
        <w:adjustRightInd w:val="0"/>
        <w:spacing w:before="0" w:beforeAutospacing="0" w:after="0" w:line="240" w:lineRule="auto"/>
        <w:rPr>
          <w:rFonts w:cs="Calibri"/>
          <w:bCs/>
          <w:color w:val="auto"/>
        </w:rPr>
      </w:pPr>
      <w:r w:rsidRPr="00096A9F">
        <w:rPr>
          <w:rFonts w:cs="Calibri"/>
          <w:color w:val="auto"/>
        </w:rPr>
        <w:t xml:space="preserve">The provider will also be expected to collect any relevant data as required by the NHS England </w:t>
      </w:r>
      <w:r w:rsidRPr="00096A9F">
        <w:rPr>
          <w:rFonts w:cs="Calibri"/>
          <w:bCs/>
          <w:color w:val="auto"/>
        </w:rPr>
        <w:t>Sexual Assault Referral Centres: Indicators of Performance (SARCIPs) embedded below:</w:t>
      </w:r>
    </w:p>
    <w:p w:rsidR="00096A9F" w:rsidRPr="00096A9F" w:rsidRDefault="00096A9F" w:rsidP="00096A9F">
      <w:pPr>
        <w:pStyle w:val="Heading2"/>
        <w:numPr>
          <w:ilvl w:val="0"/>
          <w:numId w:val="0"/>
        </w:numPr>
        <w:ind w:left="578" w:hanging="578"/>
      </w:pPr>
    </w:p>
    <w:p w:rsidR="00BA2E30" w:rsidRPr="0008684C" w:rsidRDefault="00096A9F" w:rsidP="00BA2E30">
      <w:pPr>
        <w:rPr>
          <w:color w:val="auto"/>
        </w:rPr>
      </w:pPr>
      <w:r>
        <w:rPr>
          <w:color w:val="auto"/>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0.25pt" o:ole="">
            <v:imagedata r:id="rId9" o:title=""/>
          </v:shape>
          <o:OLEObject Type="Embed" ProgID="AcroExch.Document.11" ShapeID="_x0000_i1025" DrawAspect="Icon" ObjectID="_1546859976" r:id="rId10"/>
        </w:object>
      </w:r>
    </w:p>
    <w:p w:rsidR="00BA2E30" w:rsidRPr="0008684C" w:rsidRDefault="00BA2E30" w:rsidP="00BA2E30">
      <w:pPr>
        <w:rPr>
          <w:rFonts w:asciiTheme="minorHAnsi" w:eastAsiaTheme="majorEastAsia" w:hAnsiTheme="minorHAnsi" w:cstheme="majorBidi"/>
          <w:b/>
          <w:bCs/>
          <w:color w:val="auto"/>
          <w:sz w:val="24"/>
          <w:szCs w:val="24"/>
        </w:rPr>
      </w:pPr>
      <w:r w:rsidRPr="0008684C">
        <w:br w:type="page"/>
      </w:r>
    </w:p>
    <w:p w:rsidR="00BA2E30" w:rsidRPr="0008684C" w:rsidRDefault="00BA2E30" w:rsidP="00BA2E30">
      <w:pPr>
        <w:pStyle w:val="Heading2"/>
        <w:numPr>
          <w:ilvl w:val="0"/>
          <w:numId w:val="0"/>
        </w:numPr>
        <w:ind w:left="576"/>
      </w:pPr>
      <w:bookmarkStart w:id="54" w:name="_Toc471909212"/>
      <w:r w:rsidRPr="0008684C">
        <w:t>Appendix 2- Performance Indicators</w:t>
      </w:r>
      <w:bookmarkEnd w:id="54"/>
      <w:r w:rsidRPr="0008684C">
        <w:t xml:space="preserve"> </w:t>
      </w:r>
    </w:p>
    <w:p w:rsidR="00BA2E30" w:rsidRPr="0008684C" w:rsidRDefault="00BA2E30" w:rsidP="005A55AC">
      <w:pPr>
        <w:pStyle w:val="Heading3"/>
      </w:pPr>
      <w:r w:rsidRPr="0008684C">
        <w:t>The Performance Indicators will be finalised and confirmed with the Preferred Bidder during contract clarification.</w:t>
      </w:r>
    </w:p>
    <w:tbl>
      <w:tblPr>
        <w:tblStyle w:val="TableGrid"/>
        <w:tblW w:w="0" w:type="auto"/>
        <w:tblLook w:val="04A0" w:firstRow="1" w:lastRow="0" w:firstColumn="1" w:lastColumn="0" w:noHBand="0" w:noVBand="1"/>
      </w:tblPr>
      <w:tblGrid>
        <w:gridCol w:w="3080"/>
        <w:gridCol w:w="3081"/>
        <w:gridCol w:w="3081"/>
      </w:tblGrid>
      <w:tr w:rsidR="00BA2E30" w:rsidRPr="0008684C" w:rsidTr="00F416B6">
        <w:tc>
          <w:tcPr>
            <w:tcW w:w="3080" w:type="dxa"/>
          </w:tcPr>
          <w:p w:rsidR="00BA2E30" w:rsidRPr="0008684C" w:rsidRDefault="00BA2E30" w:rsidP="00F416B6">
            <w:pPr>
              <w:rPr>
                <w:rFonts w:asciiTheme="minorHAnsi" w:hAnsiTheme="minorHAnsi"/>
                <w:b/>
                <w:sz w:val="24"/>
                <w:szCs w:val="24"/>
              </w:rPr>
            </w:pPr>
            <w:r w:rsidRPr="0008684C">
              <w:rPr>
                <w:rFonts w:asciiTheme="minorHAnsi" w:hAnsiTheme="minorHAnsi"/>
                <w:b/>
                <w:sz w:val="24"/>
                <w:szCs w:val="24"/>
              </w:rPr>
              <w:t>Performance Indicator</w:t>
            </w:r>
          </w:p>
        </w:tc>
        <w:tc>
          <w:tcPr>
            <w:tcW w:w="3081" w:type="dxa"/>
          </w:tcPr>
          <w:p w:rsidR="00BA2E30" w:rsidRPr="0008684C" w:rsidRDefault="00BA2E30" w:rsidP="00F416B6">
            <w:pPr>
              <w:rPr>
                <w:rFonts w:asciiTheme="minorHAnsi" w:hAnsiTheme="minorHAnsi"/>
                <w:b/>
                <w:sz w:val="24"/>
                <w:szCs w:val="24"/>
              </w:rPr>
            </w:pPr>
            <w:r w:rsidRPr="0008684C">
              <w:rPr>
                <w:rFonts w:asciiTheme="minorHAnsi" w:hAnsiTheme="minorHAnsi"/>
                <w:b/>
                <w:sz w:val="24"/>
                <w:szCs w:val="24"/>
              </w:rPr>
              <w:t>Target</w:t>
            </w:r>
          </w:p>
        </w:tc>
        <w:tc>
          <w:tcPr>
            <w:tcW w:w="3081" w:type="dxa"/>
          </w:tcPr>
          <w:p w:rsidR="00BA2E30" w:rsidRPr="0008684C" w:rsidRDefault="00BA2E30" w:rsidP="00F416B6">
            <w:pPr>
              <w:rPr>
                <w:rFonts w:asciiTheme="minorHAnsi" w:hAnsiTheme="minorHAnsi"/>
                <w:b/>
                <w:sz w:val="24"/>
                <w:szCs w:val="24"/>
              </w:rPr>
            </w:pPr>
            <w:r w:rsidRPr="0008684C">
              <w:rPr>
                <w:rFonts w:asciiTheme="minorHAnsi" w:hAnsiTheme="minorHAnsi"/>
                <w:b/>
                <w:sz w:val="24"/>
                <w:szCs w:val="24"/>
              </w:rPr>
              <w:t>Reporting Frequency</w:t>
            </w:r>
          </w:p>
        </w:tc>
      </w:tr>
      <w:tr w:rsidR="00BA2E30" w:rsidRPr="0008684C" w:rsidTr="00F416B6">
        <w:tc>
          <w:tcPr>
            <w:tcW w:w="3080" w:type="dxa"/>
          </w:tcPr>
          <w:p w:rsidR="00BA2E30" w:rsidRPr="0008684C" w:rsidRDefault="00096A9F" w:rsidP="00F416B6">
            <w:pPr>
              <w:rPr>
                <w:rFonts w:asciiTheme="minorHAnsi" w:hAnsiTheme="minorHAnsi"/>
                <w:sz w:val="24"/>
                <w:szCs w:val="24"/>
              </w:rPr>
            </w:pPr>
            <w:r>
              <w:rPr>
                <w:rFonts w:ascii="Helvetica" w:hAnsi="Helvetica" w:cs="Helvetica"/>
                <w:sz w:val="20"/>
                <w:szCs w:val="20"/>
              </w:rPr>
              <w:t>Survivor feedback</w:t>
            </w:r>
          </w:p>
        </w:tc>
        <w:tc>
          <w:tcPr>
            <w:tcW w:w="3081" w:type="dxa"/>
          </w:tcPr>
          <w:p w:rsidR="00096A9F" w:rsidRDefault="00096A9F" w:rsidP="00096A9F">
            <w:pPr>
              <w:autoSpaceDE w:val="0"/>
              <w:autoSpaceDN w:val="0"/>
              <w:adjustRightInd w:val="0"/>
              <w:spacing w:beforeAutospacing="0"/>
              <w:rPr>
                <w:rFonts w:ascii="Helvetica" w:hAnsi="Helvetica" w:cs="Helvetica"/>
                <w:sz w:val="20"/>
                <w:szCs w:val="20"/>
              </w:rPr>
            </w:pPr>
            <w:r>
              <w:rPr>
                <w:rFonts w:ascii="Helvetica" w:hAnsi="Helvetica" w:cs="Helvetica"/>
                <w:sz w:val="20"/>
                <w:szCs w:val="20"/>
              </w:rPr>
              <w:t>Provider demonstrates that all comments and feedback from</w:t>
            </w:r>
          </w:p>
          <w:p w:rsidR="00BA2E30" w:rsidRPr="00096A9F" w:rsidRDefault="00096A9F" w:rsidP="00096A9F">
            <w:pPr>
              <w:autoSpaceDE w:val="0"/>
              <w:autoSpaceDN w:val="0"/>
              <w:adjustRightInd w:val="0"/>
              <w:spacing w:beforeAutospacing="0"/>
              <w:rPr>
                <w:rFonts w:ascii="Helvetica" w:hAnsi="Helvetica" w:cs="Helvetica"/>
                <w:sz w:val="20"/>
                <w:szCs w:val="20"/>
              </w:rPr>
            </w:pPr>
            <w:r>
              <w:rPr>
                <w:rFonts w:ascii="Helvetica" w:hAnsi="Helvetica" w:cs="Helvetica"/>
                <w:sz w:val="20"/>
                <w:szCs w:val="20"/>
              </w:rPr>
              <w:t>survivors is analysed and themes are included in action planning</w:t>
            </w:r>
          </w:p>
        </w:tc>
        <w:tc>
          <w:tcPr>
            <w:tcW w:w="3081" w:type="dxa"/>
          </w:tcPr>
          <w:p w:rsidR="00BA2E30" w:rsidRPr="0008684C" w:rsidRDefault="00096A9F" w:rsidP="00F416B6">
            <w:pPr>
              <w:rPr>
                <w:rFonts w:asciiTheme="minorHAnsi" w:hAnsiTheme="minorHAnsi"/>
                <w:sz w:val="24"/>
                <w:szCs w:val="24"/>
              </w:rPr>
            </w:pPr>
            <w:r>
              <w:rPr>
                <w:rFonts w:asciiTheme="minorHAnsi" w:hAnsiTheme="minorHAnsi"/>
                <w:sz w:val="24"/>
                <w:szCs w:val="24"/>
              </w:rPr>
              <w:t>Quarterly</w:t>
            </w:r>
          </w:p>
        </w:tc>
      </w:tr>
      <w:tr w:rsidR="005B7C66" w:rsidRPr="0008684C" w:rsidTr="00F416B6">
        <w:tc>
          <w:tcPr>
            <w:tcW w:w="3080" w:type="dxa"/>
          </w:tcPr>
          <w:p w:rsidR="005B7C66" w:rsidRPr="0008684C" w:rsidRDefault="005B7C66" w:rsidP="003B4CFF">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r>
      <w:tr w:rsidR="005B7C66" w:rsidRPr="0008684C" w:rsidTr="00F416B6">
        <w:tc>
          <w:tcPr>
            <w:tcW w:w="3080" w:type="dxa"/>
          </w:tcPr>
          <w:p w:rsidR="005B7C66" w:rsidRPr="0008684C" w:rsidRDefault="005B7C66" w:rsidP="003B4CFF">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r>
      <w:tr w:rsidR="005B7C66" w:rsidRPr="0008684C" w:rsidTr="00F416B6">
        <w:tc>
          <w:tcPr>
            <w:tcW w:w="3080" w:type="dxa"/>
          </w:tcPr>
          <w:p w:rsidR="005B7C66" w:rsidRPr="0008684C" w:rsidRDefault="005B7C66" w:rsidP="00F416B6">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r>
      <w:tr w:rsidR="005B7C66" w:rsidRPr="0008684C" w:rsidTr="00F416B6">
        <w:tc>
          <w:tcPr>
            <w:tcW w:w="3080" w:type="dxa"/>
          </w:tcPr>
          <w:p w:rsidR="005B7C66" w:rsidRPr="0008684C" w:rsidRDefault="005B7C66" w:rsidP="00401CB4">
            <w:pPr>
              <w:spacing w:beforeAutospacing="0" w:after="240"/>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r>
      <w:tr w:rsidR="005B7C66" w:rsidRPr="0008684C" w:rsidTr="00F416B6">
        <w:tc>
          <w:tcPr>
            <w:tcW w:w="3080" w:type="dxa"/>
          </w:tcPr>
          <w:p w:rsidR="005B7C66" w:rsidRPr="0008684C" w:rsidRDefault="005B7C66" w:rsidP="00401CB4">
            <w:pPr>
              <w:spacing w:beforeAutospacing="0" w:after="240"/>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r>
      <w:tr w:rsidR="005B7C66" w:rsidRPr="0008684C" w:rsidTr="00F416B6">
        <w:tc>
          <w:tcPr>
            <w:tcW w:w="3080" w:type="dxa"/>
          </w:tcPr>
          <w:p w:rsidR="005B7C66" w:rsidRPr="0008684C" w:rsidRDefault="005B7C66" w:rsidP="008B6A18">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r>
      <w:tr w:rsidR="005B7C66" w:rsidRPr="0008684C" w:rsidTr="00F416B6">
        <w:tc>
          <w:tcPr>
            <w:tcW w:w="3080" w:type="dxa"/>
          </w:tcPr>
          <w:p w:rsidR="005B7C66" w:rsidRPr="0008684C" w:rsidRDefault="005B7C66" w:rsidP="00401CB4">
            <w:pPr>
              <w:spacing w:before="100" w:after="240"/>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c>
          <w:tcPr>
            <w:tcW w:w="3081" w:type="dxa"/>
          </w:tcPr>
          <w:p w:rsidR="005B7C66" w:rsidRPr="0008684C" w:rsidRDefault="005B7C66" w:rsidP="00F416B6">
            <w:pPr>
              <w:rPr>
                <w:rFonts w:asciiTheme="minorHAnsi" w:hAnsiTheme="minorHAnsi"/>
                <w:sz w:val="24"/>
                <w:szCs w:val="24"/>
              </w:rPr>
            </w:pPr>
          </w:p>
        </w:tc>
      </w:tr>
    </w:tbl>
    <w:p w:rsidR="00BA2E30" w:rsidRPr="0008684C" w:rsidRDefault="00BA2E30" w:rsidP="003B4CFF">
      <w:pPr>
        <w:rPr>
          <w:rFonts w:asciiTheme="minorHAnsi" w:eastAsiaTheme="majorEastAsia" w:hAnsiTheme="minorHAnsi" w:cstheme="majorBidi"/>
          <w:b/>
          <w:bCs/>
          <w:color w:val="auto"/>
          <w:sz w:val="24"/>
          <w:szCs w:val="24"/>
        </w:rPr>
      </w:pPr>
    </w:p>
    <w:sectPr w:rsidR="00BA2E30" w:rsidRPr="0008684C" w:rsidSect="004009A6">
      <w:footerReference w:type="default" r:id="rId11"/>
      <w:pgSz w:w="11906" w:h="16838" w:code="9"/>
      <w:pgMar w:top="1418" w:right="1440" w:bottom="1418"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B21" w:rsidRDefault="00516B21" w:rsidP="007D11E1">
      <w:pPr>
        <w:spacing w:before="0" w:after="0" w:line="240" w:lineRule="auto"/>
      </w:pPr>
      <w:r>
        <w:separator/>
      </w:r>
    </w:p>
  </w:endnote>
  <w:endnote w:type="continuationSeparator" w:id="0">
    <w:p w:rsidR="00516B21" w:rsidRDefault="00516B21" w:rsidP="007D11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ymbolMT">
    <w:altName w:val="Arial Unicode MS"/>
    <w:panose1 w:val="00000000000000000000"/>
    <w:charset w:val="88"/>
    <w:family w:val="auto"/>
    <w:notTrueType/>
    <w:pitch w:val="default"/>
    <w:sig w:usb0="00000003" w:usb1="08080000" w:usb2="00000010" w:usb3="00000000" w:csb0="001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17160"/>
      <w:docPartObj>
        <w:docPartGallery w:val="Page Numbers (Bottom of Page)"/>
        <w:docPartUnique/>
      </w:docPartObj>
    </w:sdtPr>
    <w:sdtEndPr/>
    <w:sdtContent>
      <w:p w:rsidR="00E77E8A" w:rsidRDefault="00E77E8A">
        <w:pPr>
          <w:pStyle w:val="Footer"/>
          <w:jc w:val="center"/>
        </w:pPr>
        <w:r>
          <w:fldChar w:fldCharType="begin"/>
        </w:r>
        <w:r>
          <w:instrText xml:space="preserve"> PAGE   \* MERGEFORMAT </w:instrText>
        </w:r>
        <w:r>
          <w:fldChar w:fldCharType="separate"/>
        </w:r>
        <w:r w:rsidR="007F0255">
          <w:rPr>
            <w:noProof/>
          </w:rPr>
          <w:t>15</w:t>
        </w:r>
        <w:r>
          <w:rPr>
            <w:noProof/>
          </w:rPr>
          <w:fldChar w:fldCharType="end"/>
        </w:r>
      </w:p>
    </w:sdtContent>
  </w:sdt>
  <w:p w:rsidR="00E77E8A" w:rsidRDefault="00E77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B21" w:rsidRDefault="00516B21" w:rsidP="007D11E1">
      <w:pPr>
        <w:spacing w:before="0" w:after="0" w:line="240" w:lineRule="auto"/>
      </w:pPr>
      <w:r>
        <w:separator/>
      </w:r>
    </w:p>
  </w:footnote>
  <w:footnote w:type="continuationSeparator" w:id="0">
    <w:p w:rsidR="00516B21" w:rsidRDefault="00516B21" w:rsidP="007D11E1">
      <w:pPr>
        <w:spacing w:before="0" w:after="0" w:line="240" w:lineRule="auto"/>
      </w:pPr>
      <w:r>
        <w:continuationSeparator/>
      </w:r>
    </w:p>
  </w:footnote>
  <w:footnote w:id="1">
    <w:p w:rsidR="00E77E8A" w:rsidRPr="00846B84" w:rsidRDefault="00E77E8A" w:rsidP="00B93661">
      <w:pPr>
        <w:pStyle w:val="FootnoteText"/>
        <w:rPr>
          <w:rFonts w:ascii="Arial" w:hAnsi="Arial" w:cs="Arial"/>
          <w:sz w:val="16"/>
          <w:szCs w:val="16"/>
        </w:rPr>
      </w:pPr>
      <w:r>
        <w:rPr>
          <w:rStyle w:val="FootnoteReference"/>
        </w:rPr>
        <w:footnoteRef/>
      </w:r>
      <w:r>
        <w:t xml:space="preserve"> </w:t>
      </w:r>
      <w:r>
        <w:rPr>
          <w:rFonts w:ascii="Arial" w:hAnsi="Arial" w:cs="Arial"/>
          <w:sz w:val="16"/>
          <w:szCs w:val="16"/>
        </w:rPr>
        <w:t xml:space="preserve">The British Crime Survey 2010/11.  </w:t>
      </w:r>
      <w:r w:rsidRPr="00846B84">
        <w:rPr>
          <w:rFonts w:ascii="Arial" w:hAnsi="Arial" w:cs="Arial"/>
          <w:sz w:val="16"/>
          <w:szCs w:val="16"/>
        </w:rPr>
        <w:t>http://www.homeoffice.gov.uk/publications/science-research-statistics/research-statistics/crime-research/hosb1011/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0705F"/>
    <w:multiLevelType w:val="hybridMultilevel"/>
    <w:tmpl w:val="66CE77B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88417BD"/>
    <w:multiLevelType w:val="hybridMultilevel"/>
    <w:tmpl w:val="AB8A70B2"/>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9594B3A"/>
    <w:multiLevelType w:val="hybridMultilevel"/>
    <w:tmpl w:val="98B87010"/>
    <w:lvl w:ilvl="0" w:tplc="75CEE958">
      <w:start w:val="1"/>
      <w:numFmt w:val="bullet"/>
      <w:pStyle w:val="Bullets"/>
      <w:lvlText w:val=""/>
      <w:lvlJc w:val="left"/>
      <w:pPr>
        <w:tabs>
          <w:tab w:val="num" w:pos="720"/>
        </w:tabs>
        <w:ind w:left="720" w:hanging="360"/>
      </w:pPr>
      <w:rPr>
        <w:rFonts w:ascii="Symbol" w:hAnsi="Symbol" w:hint="default"/>
        <w:strike w:val="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26B1F6B"/>
    <w:multiLevelType w:val="hybridMultilevel"/>
    <w:tmpl w:val="0860C0F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FDA7ED2"/>
    <w:multiLevelType w:val="hybridMultilevel"/>
    <w:tmpl w:val="0AA473F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D01751B"/>
    <w:multiLevelType w:val="multilevel"/>
    <w:tmpl w:val="09AECBC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87" w:hanging="720"/>
      </w:pPr>
      <w:rPr>
        <w:rFonts w:asciiTheme="minorHAnsi" w:hAnsiTheme="minorHAnsi" w:hint="default"/>
        <w:strike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6"/>
  </w:num>
  <w:num w:numId="2">
    <w:abstractNumId w:val="2"/>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E1"/>
    <w:rsid w:val="00006C89"/>
    <w:rsid w:val="00012776"/>
    <w:rsid w:val="00032884"/>
    <w:rsid w:val="0003786C"/>
    <w:rsid w:val="0004011C"/>
    <w:rsid w:val="000426F7"/>
    <w:rsid w:val="00043B0B"/>
    <w:rsid w:val="000462EF"/>
    <w:rsid w:val="00050A0C"/>
    <w:rsid w:val="0006420D"/>
    <w:rsid w:val="0007049B"/>
    <w:rsid w:val="00085997"/>
    <w:rsid w:val="0008624F"/>
    <w:rsid w:val="0008629A"/>
    <w:rsid w:val="0008684C"/>
    <w:rsid w:val="00086A9B"/>
    <w:rsid w:val="00087033"/>
    <w:rsid w:val="00095CEF"/>
    <w:rsid w:val="00096A9F"/>
    <w:rsid w:val="000A3939"/>
    <w:rsid w:val="000B5F49"/>
    <w:rsid w:val="000C384B"/>
    <w:rsid w:val="000D3E0B"/>
    <w:rsid w:val="000D4111"/>
    <w:rsid w:val="000D4B8A"/>
    <w:rsid w:val="000E2ACE"/>
    <w:rsid w:val="000F22F6"/>
    <w:rsid w:val="00116E65"/>
    <w:rsid w:val="00125891"/>
    <w:rsid w:val="00135001"/>
    <w:rsid w:val="00155BFD"/>
    <w:rsid w:val="001562B1"/>
    <w:rsid w:val="00166D87"/>
    <w:rsid w:val="00177E66"/>
    <w:rsid w:val="00187ADC"/>
    <w:rsid w:val="00193D03"/>
    <w:rsid w:val="001A61CF"/>
    <w:rsid w:val="001B3950"/>
    <w:rsid w:val="001C143F"/>
    <w:rsid w:val="001C2457"/>
    <w:rsid w:val="001C55F4"/>
    <w:rsid w:val="001C7B1F"/>
    <w:rsid w:val="001D295B"/>
    <w:rsid w:val="001E1583"/>
    <w:rsid w:val="001E1A0A"/>
    <w:rsid w:val="001E1E7A"/>
    <w:rsid w:val="001E416D"/>
    <w:rsid w:val="001F0634"/>
    <w:rsid w:val="001F0DF7"/>
    <w:rsid w:val="00200342"/>
    <w:rsid w:val="00206CC4"/>
    <w:rsid w:val="00210392"/>
    <w:rsid w:val="002215AE"/>
    <w:rsid w:val="00236C44"/>
    <w:rsid w:val="002615E5"/>
    <w:rsid w:val="00265535"/>
    <w:rsid w:val="00271D28"/>
    <w:rsid w:val="00272704"/>
    <w:rsid w:val="00274326"/>
    <w:rsid w:val="00276DF0"/>
    <w:rsid w:val="00281BED"/>
    <w:rsid w:val="00281E3F"/>
    <w:rsid w:val="00286A5B"/>
    <w:rsid w:val="00293393"/>
    <w:rsid w:val="002973FF"/>
    <w:rsid w:val="002A50BD"/>
    <w:rsid w:val="002A7C51"/>
    <w:rsid w:val="002B555A"/>
    <w:rsid w:val="002D3CA5"/>
    <w:rsid w:val="002D42F8"/>
    <w:rsid w:val="002D4E1E"/>
    <w:rsid w:val="002E4284"/>
    <w:rsid w:val="002E4FDC"/>
    <w:rsid w:val="002E65AE"/>
    <w:rsid w:val="002F133A"/>
    <w:rsid w:val="002F16BA"/>
    <w:rsid w:val="002F227D"/>
    <w:rsid w:val="002F25D1"/>
    <w:rsid w:val="0030009E"/>
    <w:rsid w:val="00304C94"/>
    <w:rsid w:val="00314B71"/>
    <w:rsid w:val="00327466"/>
    <w:rsid w:val="0033020C"/>
    <w:rsid w:val="00330B3C"/>
    <w:rsid w:val="00332A07"/>
    <w:rsid w:val="00334994"/>
    <w:rsid w:val="00337013"/>
    <w:rsid w:val="0034183D"/>
    <w:rsid w:val="003428AB"/>
    <w:rsid w:val="0034311F"/>
    <w:rsid w:val="00344725"/>
    <w:rsid w:val="00350B31"/>
    <w:rsid w:val="003673AD"/>
    <w:rsid w:val="003710AC"/>
    <w:rsid w:val="00374B1C"/>
    <w:rsid w:val="00374BB0"/>
    <w:rsid w:val="00374E06"/>
    <w:rsid w:val="00375261"/>
    <w:rsid w:val="0038292B"/>
    <w:rsid w:val="0038415F"/>
    <w:rsid w:val="00393D93"/>
    <w:rsid w:val="00395201"/>
    <w:rsid w:val="00396D36"/>
    <w:rsid w:val="003A030B"/>
    <w:rsid w:val="003A2747"/>
    <w:rsid w:val="003B0C0D"/>
    <w:rsid w:val="003B41A9"/>
    <w:rsid w:val="003B480A"/>
    <w:rsid w:val="003B4CFF"/>
    <w:rsid w:val="003C051C"/>
    <w:rsid w:val="003D56BF"/>
    <w:rsid w:val="003D609A"/>
    <w:rsid w:val="003E34A9"/>
    <w:rsid w:val="003F2953"/>
    <w:rsid w:val="003F5221"/>
    <w:rsid w:val="003F6062"/>
    <w:rsid w:val="004009A6"/>
    <w:rsid w:val="00401CB4"/>
    <w:rsid w:val="00404AC8"/>
    <w:rsid w:val="00416085"/>
    <w:rsid w:val="00431327"/>
    <w:rsid w:val="00431F73"/>
    <w:rsid w:val="004448A7"/>
    <w:rsid w:val="004479B6"/>
    <w:rsid w:val="00454F1C"/>
    <w:rsid w:val="004565CD"/>
    <w:rsid w:val="0046656D"/>
    <w:rsid w:val="00471054"/>
    <w:rsid w:val="00472DA8"/>
    <w:rsid w:val="00497441"/>
    <w:rsid w:val="00497BDA"/>
    <w:rsid w:val="004A0B95"/>
    <w:rsid w:val="004A2AEE"/>
    <w:rsid w:val="004A5F30"/>
    <w:rsid w:val="004A6973"/>
    <w:rsid w:val="004B2C81"/>
    <w:rsid w:val="004C0D8C"/>
    <w:rsid w:val="004C3FFC"/>
    <w:rsid w:val="004C59BF"/>
    <w:rsid w:val="004D04C4"/>
    <w:rsid w:val="004D11AA"/>
    <w:rsid w:val="004D3A2B"/>
    <w:rsid w:val="004D54E4"/>
    <w:rsid w:val="004D55FF"/>
    <w:rsid w:val="004E0465"/>
    <w:rsid w:val="004F4F1F"/>
    <w:rsid w:val="004F5FE9"/>
    <w:rsid w:val="004F63EC"/>
    <w:rsid w:val="004F6C63"/>
    <w:rsid w:val="005013A5"/>
    <w:rsid w:val="00507910"/>
    <w:rsid w:val="0051233F"/>
    <w:rsid w:val="00512C59"/>
    <w:rsid w:val="00513736"/>
    <w:rsid w:val="00515195"/>
    <w:rsid w:val="00516751"/>
    <w:rsid w:val="00516B21"/>
    <w:rsid w:val="0053029A"/>
    <w:rsid w:val="0053552A"/>
    <w:rsid w:val="0054461A"/>
    <w:rsid w:val="005519F7"/>
    <w:rsid w:val="00571D01"/>
    <w:rsid w:val="00574884"/>
    <w:rsid w:val="00581FD0"/>
    <w:rsid w:val="00595ABE"/>
    <w:rsid w:val="005A55AC"/>
    <w:rsid w:val="005A5E87"/>
    <w:rsid w:val="005B1CA4"/>
    <w:rsid w:val="005B27AF"/>
    <w:rsid w:val="005B7C66"/>
    <w:rsid w:val="005C28ED"/>
    <w:rsid w:val="005C4524"/>
    <w:rsid w:val="005D2F74"/>
    <w:rsid w:val="005D322F"/>
    <w:rsid w:val="005E5BF4"/>
    <w:rsid w:val="005E7A31"/>
    <w:rsid w:val="005F3F73"/>
    <w:rsid w:val="006040AA"/>
    <w:rsid w:val="00607F3F"/>
    <w:rsid w:val="00616D76"/>
    <w:rsid w:val="00621A0B"/>
    <w:rsid w:val="006229BC"/>
    <w:rsid w:val="00626FEA"/>
    <w:rsid w:val="00630B3F"/>
    <w:rsid w:val="006363AB"/>
    <w:rsid w:val="006369A5"/>
    <w:rsid w:val="0063737C"/>
    <w:rsid w:val="00641E0A"/>
    <w:rsid w:val="00651F07"/>
    <w:rsid w:val="00654601"/>
    <w:rsid w:val="00664365"/>
    <w:rsid w:val="00677406"/>
    <w:rsid w:val="00684BB6"/>
    <w:rsid w:val="00692F22"/>
    <w:rsid w:val="00696C60"/>
    <w:rsid w:val="006A75A2"/>
    <w:rsid w:val="006C0FFD"/>
    <w:rsid w:val="006E29AD"/>
    <w:rsid w:val="006E2E49"/>
    <w:rsid w:val="006F5053"/>
    <w:rsid w:val="006F620F"/>
    <w:rsid w:val="0071717D"/>
    <w:rsid w:val="007227B5"/>
    <w:rsid w:val="00731C81"/>
    <w:rsid w:val="00744C0A"/>
    <w:rsid w:val="00745FC3"/>
    <w:rsid w:val="00750B5B"/>
    <w:rsid w:val="007571C5"/>
    <w:rsid w:val="00757355"/>
    <w:rsid w:val="007608BD"/>
    <w:rsid w:val="00760CBA"/>
    <w:rsid w:val="00761774"/>
    <w:rsid w:val="0077004D"/>
    <w:rsid w:val="007748BE"/>
    <w:rsid w:val="00774D3F"/>
    <w:rsid w:val="00793197"/>
    <w:rsid w:val="00795664"/>
    <w:rsid w:val="007B1C38"/>
    <w:rsid w:val="007B3C0E"/>
    <w:rsid w:val="007B6E6D"/>
    <w:rsid w:val="007B6FDE"/>
    <w:rsid w:val="007C2513"/>
    <w:rsid w:val="007C305F"/>
    <w:rsid w:val="007D11E1"/>
    <w:rsid w:val="007D4A8A"/>
    <w:rsid w:val="007D747D"/>
    <w:rsid w:val="007E2F91"/>
    <w:rsid w:val="007E5128"/>
    <w:rsid w:val="007F0255"/>
    <w:rsid w:val="007F2C38"/>
    <w:rsid w:val="007F4F56"/>
    <w:rsid w:val="007F6EEC"/>
    <w:rsid w:val="007F7414"/>
    <w:rsid w:val="00800D4E"/>
    <w:rsid w:val="00806DC4"/>
    <w:rsid w:val="008165BD"/>
    <w:rsid w:val="00821128"/>
    <w:rsid w:val="00826D75"/>
    <w:rsid w:val="00831FD9"/>
    <w:rsid w:val="008330B1"/>
    <w:rsid w:val="00847B67"/>
    <w:rsid w:val="00855DCB"/>
    <w:rsid w:val="00862003"/>
    <w:rsid w:val="00882B47"/>
    <w:rsid w:val="00882C9E"/>
    <w:rsid w:val="00890FEE"/>
    <w:rsid w:val="00893321"/>
    <w:rsid w:val="00896DE7"/>
    <w:rsid w:val="008A329A"/>
    <w:rsid w:val="008A5E29"/>
    <w:rsid w:val="008B0734"/>
    <w:rsid w:val="008B6A18"/>
    <w:rsid w:val="008C05F5"/>
    <w:rsid w:val="008C09AF"/>
    <w:rsid w:val="008C1611"/>
    <w:rsid w:val="008C20D4"/>
    <w:rsid w:val="008C2B23"/>
    <w:rsid w:val="008D704A"/>
    <w:rsid w:val="008E0B4C"/>
    <w:rsid w:val="008E1EF0"/>
    <w:rsid w:val="008E6C51"/>
    <w:rsid w:val="008F3611"/>
    <w:rsid w:val="008F3C0E"/>
    <w:rsid w:val="00927576"/>
    <w:rsid w:val="00940B8F"/>
    <w:rsid w:val="00942A7F"/>
    <w:rsid w:val="00942D90"/>
    <w:rsid w:val="00945765"/>
    <w:rsid w:val="00967A15"/>
    <w:rsid w:val="00967C2F"/>
    <w:rsid w:val="0097735A"/>
    <w:rsid w:val="009778ED"/>
    <w:rsid w:val="0098512A"/>
    <w:rsid w:val="009958EF"/>
    <w:rsid w:val="00996B7E"/>
    <w:rsid w:val="00997BC2"/>
    <w:rsid w:val="009A29A7"/>
    <w:rsid w:val="009D7F4E"/>
    <w:rsid w:val="009E149A"/>
    <w:rsid w:val="009E2833"/>
    <w:rsid w:val="009E3082"/>
    <w:rsid w:val="009E689B"/>
    <w:rsid w:val="009F197B"/>
    <w:rsid w:val="009F3726"/>
    <w:rsid w:val="009F5F54"/>
    <w:rsid w:val="00A132B5"/>
    <w:rsid w:val="00A21F2D"/>
    <w:rsid w:val="00A24CFF"/>
    <w:rsid w:val="00A25E87"/>
    <w:rsid w:val="00A30B45"/>
    <w:rsid w:val="00A32934"/>
    <w:rsid w:val="00A32A04"/>
    <w:rsid w:val="00A35C8C"/>
    <w:rsid w:val="00A36AA4"/>
    <w:rsid w:val="00A457F3"/>
    <w:rsid w:val="00A52CE1"/>
    <w:rsid w:val="00A5319E"/>
    <w:rsid w:val="00A538D2"/>
    <w:rsid w:val="00A62E73"/>
    <w:rsid w:val="00A64F31"/>
    <w:rsid w:val="00A7338E"/>
    <w:rsid w:val="00A764AD"/>
    <w:rsid w:val="00A920CB"/>
    <w:rsid w:val="00AA1DC7"/>
    <w:rsid w:val="00AB2130"/>
    <w:rsid w:val="00AB285F"/>
    <w:rsid w:val="00AC61AB"/>
    <w:rsid w:val="00AE0BE9"/>
    <w:rsid w:val="00AE37B4"/>
    <w:rsid w:val="00AF3AC0"/>
    <w:rsid w:val="00AF523B"/>
    <w:rsid w:val="00B028B2"/>
    <w:rsid w:val="00B03F7E"/>
    <w:rsid w:val="00B05605"/>
    <w:rsid w:val="00B1080F"/>
    <w:rsid w:val="00B17DA4"/>
    <w:rsid w:val="00B20959"/>
    <w:rsid w:val="00B264B9"/>
    <w:rsid w:val="00B53219"/>
    <w:rsid w:val="00B537D8"/>
    <w:rsid w:val="00B57D3A"/>
    <w:rsid w:val="00B62218"/>
    <w:rsid w:val="00B65E12"/>
    <w:rsid w:val="00B736FD"/>
    <w:rsid w:val="00B763E4"/>
    <w:rsid w:val="00B76492"/>
    <w:rsid w:val="00B83511"/>
    <w:rsid w:val="00B83E6A"/>
    <w:rsid w:val="00B85F12"/>
    <w:rsid w:val="00B9091C"/>
    <w:rsid w:val="00B93661"/>
    <w:rsid w:val="00BA0553"/>
    <w:rsid w:val="00BA2E30"/>
    <w:rsid w:val="00BA71AF"/>
    <w:rsid w:val="00BB27CE"/>
    <w:rsid w:val="00BB2EB0"/>
    <w:rsid w:val="00BB3E49"/>
    <w:rsid w:val="00BB65D6"/>
    <w:rsid w:val="00BC42BF"/>
    <w:rsid w:val="00BD48BD"/>
    <w:rsid w:val="00BD4C8E"/>
    <w:rsid w:val="00BE196A"/>
    <w:rsid w:val="00BE24BC"/>
    <w:rsid w:val="00BE504A"/>
    <w:rsid w:val="00BF452B"/>
    <w:rsid w:val="00BF7C30"/>
    <w:rsid w:val="00C069EC"/>
    <w:rsid w:val="00C12A94"/>
    <w:rsid w:val="00C13796"/>
    <w:rsid w:val="00C22685"/>
    <w:rsid w:val="00C23CA5"/>
    <w:rsid w:val="00C318FA"/>
    <w:rsid w:val="00C35424"/>
    <w:rsid w:val="00C363D2"/>
    <w:rsid w:val="00C4178C"/>
    <w:rsid w:val="00C41D7F"/>
    <w:rsid w:val="00C41DC4"/>
    <w:rsid w:val="00C51E7B"/>
    <w:rsid w:val="00C5258A"/>
    <w:rsid w:val="00C67E96"/>
    <w:rsid w:val="00C7137B"/>
    <w:rsid w:val="00C84168"/>
    <w:rsid w:val="00C87F54"/>
    <w:rsid w:val="00C93268"/>
    <w:rsid w:val="00CA228E"/>
    <w:rsid w:val="00CC7DE9"/>
    <w:rsid w:val="00CE5738"/>
    <w:rsid w:val="00CF7A23"/>
    <w:rsid w:val="00D02284"/>
    <w:rsid w:val="00D07D8F"/>
    <w:rsid w:val="00D10A2D"/>
    <w:rsid w:val="00D15DC5"/>
    <w:rsid w:val="00D201E8"/>
    <w:rsid w:val="00D2035E"/>
    <w:rsid w:val="00D2345C"/>
    <w:rsid w:val="00D24B0A"/>
    <w:rsid w:val="00D26DB7"/>
    <w:rsid w:val="00D26F41"/>
    <w:rsid w:val="00D3302C"/>
    <w:rsid w:val="00D34F8F"/>
    <w:rsid w:val="00D35125"/>
    <w:rsid w:val="00D4324A"/>
    <w:rsid w:val="00D47979"/>
    <w:rsid w:val="00D5460E"/>
    <w:rsid w:val="00D60306"/>
    <w:rsid w:val="00D60BDB"/>
    <w:rsid w:val="00D60BF6"/>
    <w:rsid w:val="00D623B1"/>
    <w:rsid w:val="00D7150E"/>
    <w:rsid w:val="00D85CE5"/>
    <w:rsid w:val="00D86BF4"/>
    <w:rsid w:val="00DA01F5"/>
    <w:rsid w:val="00DA2324"/>
    <w:rsid w:val="00DA539D"/>
    <w:rsid w:val="00DD336A"/>
    <w:rsid w:val="00DD373C"/>
    <w:rsid w:val="00DE2451"/>
    <w:rsid w:val="00DE4E25"/>
    <w:rsid w:val="00DE4ED0"/>
    <w:rsid w:val="00DE51D6"/>
    <w:rsid w:val="00DE6CF8"/>
    <w:rsid w:val="00DE7B00"/>
    <w:rsid w:val="00DF18B0"/>
    <w:rsid w:val="00DF2EA8"/>
    <w:rsid w:val="00DF4B95"/>
    <w:rsid w:val="00E05716"/>
    <w:rsid w:val="00E05BCF"/>
    <w:rsid w:val="00E20CF0"/>
    <w:rsid w:val="00E20F6E"/>
    <w:rsid w:val="00E24DF7"/>
    <w:rsid w:val="00E476CF"/>
    <w:rsid w:val="00E5454F"/>
    <w:rsid w:val="00E55DFA"/>
    <w:rsid w:val="00E61835"/>
    <w:rsid w:val="00E634F2"/>
    <w:rsid w:val="00E663D4"/>
    <w:rsid w:val="00E711B4"/>
    <w:rsid w:val="00E717E1"/>
    <w:rsid w:val="00E75DC4"/>
    <w:rsid w:val="00E75E54"/>
    <w:rsid w:val="00E77E8A"/>
    <w:rsid w:val="00E85F88"/>
    <w:rsid w:val="00E97908"/>
    <w:rsid w:val="00EB2CF6"/>
    <w:rsid w:val="00EB2EAC"/>
    <w:rsid w:val="00EB4895"/>
    <w:rsid w:val="00EC0CF7"/>
    <w:rsid w:val="00EC71C5"/>
    <w:rsid w:val="00EC7CA0"/>
    <w:rsid w:val="00ED412E"/>
    <w:rsid w:val="00EE1546"/>
    <w:rsid w:val="00EE2CE2"/>
    <w:rsid w:val="00EE476D"/>
    <w:rsid w:val="00F0200A"/>
    <w:rsid w:val="00F04DA4"/>
    <w:rsid w:val="00F13A6A"/>
    <w:rsid w:val="00F159DD"/>
    <w:rsid w:val="00F31CEA"/>
    <w:rsid w:val="00F34CA1"/>
    <w:rsid w:val="00F416B6"/>
    <w:rsid w:val="00F41E21"/>
    <w:rsid w:val="00F43E3F"/>
    <w:rsid w:val="00F46C21"/>
    <w:rsid w:val="00F51A66"/>
    <w:rsid w:val="00F54B46"/>
    <w:rsid w:val="00F55EFE"/>
    <w:rsid w:val="00F56C4B"/>
    <w:rsid w:val="00F66462"/>
    <w:rsid w:val="00F8537A"/>
    <w:rsid w:val="00F86366"/>
    <w:rsid w:val="00F86882"/>
    <w:rsid w:val="00F932F7"/>
    <w:rsid w:val="00F971ED"/>
    <w:rsid w:val="00FC26A2"/>
    <w:rsid w:val="00FD0A35"/>
    <w:rsid w:val="00FE07F6"/>
    <w:rsid w:val="00FE1561"/>
    <w:rsid w:val="00FE3363"/>
    <w:rsid w:val="00FE57A5"/>
    <w:rsid w:val="00FE658E"/>
    <w:rsid w:val="00FF0BE6"/>
    <w:rsid w:val="00FF2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color w:val="404040" w:themeColor="text1" w:themeTint="BF"/>
        <w:sz w:val="22"/>
        <w:szCs w:val="22"/>
        <w:lang w:val="en-GB" w:eastAsia="en-GB" w:bidi="ar-SA"/>
      </w:rPr>
    </w:rPrDefault>
    <w:pPrDefault>
      <w:pPr>
        <w:spacing w:before="100" w:beforeAutospacing="1" w:after="240"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eading  2"/>
    <w:next w:val="Heading2"/>
    <w:qFormat/>
    <w:rsid w:val="007D11E1"/>
  </w:style>
  <w:style w:type="paragraph" w:styleId="Heading1">
    <w:name w:val="heading 1"/>
    <w:aliases w:val="MCheading1"/>
    <w:basedOn w:val="Normal"/>
    <w:next w:val="Normal"/>
    <w:link w:val="Heading1Char"/>
    <w:autoRedefine/>
    <w:qFormat/>
    <w:rsid w:val="005A55AC"/>
    <w:pPr>
      <w:keepNext/>
      <w:numPr>
        <w:numId w:val="1"/>
      </w:numPr>
      <w:spacing w:before="0" w:beforeAutospacing="0" w:after="0"/>
      <w:outlineLvl w:val="0"/>
    </w:pPr>
    <w:rPr>
      <w:rFonts w:asciiTheme="minorHAnsi" w:hAnsiTheme="minorHAnsi"/>
      <w:b/>
      <w:color w:val="auto"/>
      <w:sz w:val="24"/>
      <w:szCs w:val="24"/>
    </w:rPr>
  </w:style>
  <w:style w:type="paragraph" w:styleId="Heading2">
    <w:name w:val="heading 2"/>
    <w:aliases w:val="MCheading2"/>
    <w:basedOn w:val="Normal"/>
    <w:next w:val="Normal"/>
    <w:link w:val="Heading2Char"/>
    <w:unhideWhenUsed/>
    <w:qFormat/>
    <w:rsid w:val="00EE2CE2"/>
    <w:pPr>
      <w:numPr>
        <w:ilvl w:val="1"/>
        <w:numId w:val="1"/>
      </w:numPr>
      <w:spacing w:before="0" w:beforeAutospacing="0" w:after="0"/>
      <w:ind w:left="578" w:hanging="578"/>
      <w:outlineLvl w:val="1"/>
    </w:pPr>
    <w:rPr>
      <w:rFonts w:asciiTheme="minorHAnsi" w:eastAsiaTheme="majorEastAsia" w:hAnsiTheme="minorHAnsi" w:cstheme="majorBidi"/>
      <w:b/>
      <w:bCs/>
      <w:color w:val="auto"/>
      <w:sz w:val="24"/>
      <w:szCs w:val="24"/>
    </w:rPr>
  </w:style>
  <w:style w:type="paragraph" w:styleId="Heading3">
    <w:name w:val="heading 3"/>
    <w:aliases w:val="MCheading3"/>
    <w:basedOn w:val="Heading2"/>
    <w:next w:val="Normal"/>
    <w:link w:val="Heading3Char"/>
    <w:qFormat/>
    <w:rsid w:val="005A55AC"/>
    <w:pPr>
      <w:numPr>
        <w:ilvl w:val="2"/>
      </w:numPr>
      <w:spacing w:after="240" w:line="240" w:lineRule="auto"/>
      <w:ind w:left="720"/>
      <w:outlineLvl w:val="2"/>
    </w:pPr>
    <w:rPr>
      <w:b w:val="0"/>
    </w:rPr>
  </w:style>
  <w:style w:type="paragraph" w:styleId="Heading4">
    <w:name w:val="heading 4"/>
    <w:aliases w:val="Level 2 - a,MCheadin4"/>
    <w:basedOn w:val="Normal"/>
    <w:next w:val="Normal"/>
    <w:link w:val="Heading4Char"/>
    <w:qFormat/>
    <w:rsid w:val="00332A07"/>
    <w:pPr>
      <w:keepNext/>
      <w:numPr>
        <w:ilvl w:val="3"/>
        <w:numId w:val="1"/>
      </w:numPr>
      <w:spacing w:before="240" w:beforeAutospacing="0" w:after="60"/>
      <w:outlineLvl w:val="3"/>
    </w:pPr>
    <w:rPr>
      <w:rFonts w:ascii="Times New Roman" w:hAnsi="Times New Roman" w:cs="Times New Roman"/>
      <w:color w:val="auto"/>
      <w:kern w:val="28"/>
      <w:sz w:val="24"/>
      <w:szCs w:val="24"/>
    </w:rPr>
  </w:style>
  <w:style w:type="paragraph" w:styleId="Heading5">
    <w:name w:val="heading 5"/>
    <w:basedOn w:val="Normal"/>
    <w:next w:val="Normal"/>
    <w:link w:val="Heading5Char"/>
    <w:qFormat/>
    <w:rsid w:val="00332A07"/>
    <w:pPr>
      <w:numPr>
        <w:ilvl w:val="4"/>
        <w:numId w:val="1"/>
      </w:numPr>
      <w:spacing w:before="240" w:beforeAutospacing="0" w:after="60"/>
      <w:outlineLvl w:val="4"/>
    </w:pPr>
    <w:rPr>
      <w:rFonts w:ascii="Times New Roman" w:hAnsi="Times New Roman" w:cs="Times New Roman"/>
      <w:color w:val="auto"/>
      <w:kern w:val="28"/>
      <w:sz w:val="24"/>
      <w:szCs w:val="24"/>
    </w:rPr>
  </w:style>
  <w:style w:type="paragraph" w:styleId="Heading6">
    <w:name w:val="heading 6"/>
    <w:basedOn w:val="Normal"/>
    <w:next w:val="Normal"/>
    <w:link w:val="Heading6Char"/>
    <w:qFormat/>
    <w:rsid w:val="00332A07"/>
    <w:pPr>
      <w:numPr>
        <w:ilvl w:val="5"/>
        <w:numId w:val="1"/>
      </w:numPr>
      <w:tabs>
        <w:tab w:val="left" w:pos="1077"/>
      </w:tabs>
      <w:spacing w:before="240" w:beforeAutospacing="0" w:after="60"/>
      <w:outlineLvl w:val="5"/>
    </w:pPr>
    <w:rPr>
      <w:rFonts w:ascii="Times New Roman" w:hAnsi="Times New Roman" w:cs="Times New Roman"/>
      <w:color w:val="auto"/>
      <w:kern w:val="28"/>
      <w:sz w:val="24"/>
      <w:szCs w:val="24"/>
    </w:rPr>
  </w:style>
  <w:style w:type="paragraph" w:styleId="Heading7">
    <w:name w:val="heading 7"/>
    <w:basedOn w:val="Normal"/>
    <w:next w:val="Normal"/>
    <w:link w:val="Heading7Char"/>
    <w:semiHidden/>
    <w:unhideWhenUsed/>
    <w:qFormat/>
    <w:rsid w:val="00D34F8F"/>
    <w:pPr>
      <w:keepNext/>
      <w:keepLines/>
      <w:numPr>
        <w:ilvl w:val="6"/>
        <w:numId w:val="1"/>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D34F8F"/>
    <w:pPr>
      <w:keepNext/>
      <w:keepLines/>
      <w:numPr>
        <w:ilvl w:val="7"/>
        <w:numId w:val="1"/>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D34F8F"/>
    <w:pPr>
      <w:keepNext/>
      <w:keepLines/>
      <w:numPr>
        <w:ilvl w:val="8"/>
        <w:numId w:val="1"/>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Cheading2 Char"/>
    <w:basedOn w:val="DefaultParagraphFont"/>
    <w:link w:val="Heading2"/>
    <w:rsid w:val="00EE2CE2"/>
    <w:rPr>
      <w:rFonts w:asciiTheme="minorHAnsi" w:eastAsiaTheme="majorEastAsia" w:hAnsiTheme="minorHAnsi" w:cstheme="majorBidi"/>
      <w:b/>
      <w:bCs/>
      <w:color w:val="auto"/>
      <w:sz w:val="24"/>
      <w:szCs w:val="24"/>
    </w:rPr>
  </w:style>
  <w:style w:type="character" w:customStyle="1" w:styleId="Heading3Char">
    <w:name w:val="Heading 3 Char"/>
    <w:aliases w:val="MCheading3 Char"/>
    <w:basedOn w:val="DefaultParagraphFont"/>
    <w:link w:val="Heading3"/>
    <w:rsid w:val="005A55AC"/>
    <w:rPr>
      <w:rFonts w:asciiTheme="minorHAnsi" w:eastAsiaTheme="majorEastAsia" w:hAnsiTheme="minorHAnsi" w:cstheme="majorBidi"/>
      <w:bCs/>
      <w:color w:val="auto"/>
      <w:sz w:val="24"/>
      <w:szCs w:val="24"/>
    </w:rPr>
  </w:style>
  <w:style w:type="character" w:customStyle="1" w:styleId="Heading4Char">
    <w:name w:val="Heading 4 Char"/>
    <w:aliases w:val="Level 2 - a Char,MCheadin4 Char"/>
    <w:basedOn w:val="DefaultParagraphFont"/>
    <w:link w:val="Heading4"/>
    <w:rsid w:val="00332A07"/>
    <w:rPr>
      <w:rFonts w:ascii="Times New Roman" w:hAnsi="Times New Roman" w:cs="Times New Roman"/>
      <w:color w:val="auto"/>
      <w:kern w:val="28"/>
      <w:sz w:val="24"/>
      <w:szCs w:val="24"/>
    </w:rPr>
  </w:style>
  <w:style w:type="character" w:customStyle="1" w:styleId="Heading5Char">
    <w:name w:val="Heading 5 Char"/>
    <w:basedOn w:val="DefaultParagraphFont"/>
    <w:link w:val="Heading5"/>
    <w:rsid w:val="00332A07"/>
    <w:rPr>
      <w:rFonts w:ascii="Times New Roman" w:hAnsi="Times New Roman" w:cs="Times New Roman"/>
      <w:color w:val="auto"/>
      <w:kern w:val="28"/>
      <w:sz w:val="24"/>
      <w:szCs w:val="24"/>
    </w:rPr>
  </w:style>
  <w:style w:type="character" w:customStyle="1" w:styleId="Heading6Char">
    <w:name w:val="Heading 6 Char"/>
    <w:basedOn w:val="DefaultParagraphFont"/>
    <w:link w:val="Heading6"/>
    <w:rsid w:val="00332A07"/>
    <w:rPr>
      <w:rFonts w:ascii="Times New Roman" w:hAnsi="Times New Roman" w:cs="Times New Roman"/>
      <w:color w:val="auto"/>
      <w:kern w:val="28"/>
      <w:sz w:val="24"/>
      <w:szCs w:val="24"/>
    </w:rPr>
  </w:style>
  <w:style w:type="character" w:customStyle="1" w:styleId="Heading7Char">
    <w:name w:val="Heading 7 Char"/>
    <w:basedOn w:val="DefaultParagraphFont"/>
    <w:link w:val="Heading7"/>
    <w:semiHidden/>
    <w:rsid w:val="00D34F8F"/>
    <w:rPr>
      <w:rFonts w:asciiTheme="majorHAnsi" w:eastAsiaTheme="majorEastAsia" w:hAnsiTheme="majorHAnsi" w:cstheme="majorBidi"/>
      <w:i/>
      <w:iCs/>
    </w:rPr>
  </w:style>
  <w:style w:type="character" w:customStyle="1" w:styleId="Heading8Char">
    <w:name w:val="Heading 8 Char"/>
    <w:basedOn w:val="DefaultParagraphFont"/>
    <w:link w:val="Heading8"/>
    <w:semiHidden/>
    <w:rsid w:val="00D34F8F"/>
    <w:rPr>
      <w:rFonts w:asciiTheme="majorHAnsi" w:eastAsiaTheme="majorEastAsia" w:hAnsiTheme="majorHAnsi" w:cstheme="majorBidi"/>
      <w:sz w:val="20"/>
      <w:szCs w:val="20"/>
    </w:rPr>
  </w:style>
  <w:style w:type="character" w:customStyle="1" w:styleId="Heading9Char">
    <w:name w:val="Heading 9 Char"/>
    <w:basedOn w:val="DefaultParagraphFont"/>
    <w:link w:val="Heading9"/>
    <w:semiHidden/>
    <w:rsid w:val="00D34F8F"/>
    <w:rPr>
      <w:rFonts w:asciiTheme="majorHAnsi" w:eastAsiaTheme="majorEastAsia" w:hAnsiTheme="majorHAnsi" w:cstheme="majorBidi"/>
      <w:i/>
      <w:iCs/>
      <w:sz w:val="20"/>
      <w:szCs w:val="20"/>
    </w:rPr>
  </w:style>
  <w:style w:type="character" w:styleId="Emphasis">
    <w:name w:val="Emphasis"/>
    <w:basedOn w:val="DefaultParagraphFont"/>
    <w:qFormat/>
    <w:rsid w:val="007D11E1"/>
    <w:rPr>
      <w:i/>
      <w:iCs/>
    </w:rPr>
  </w:style>
  <w:style w:type="paragraph" w:styleId="TOCHeading">
    <w:name w:val="TOC Heading"/>
    <w:basedOn w:val="Heading1"/>
    <w:next w:val="Normal"/>
    <w:uiPriority w:val="39"/>
    <w:unhideWhenUsed/>
    <w:qFormat/>
    <w:rsid w:val="007D11E1"/>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qFormat/>
    <w:rsid w:val="007D11E1"/>
    <w:pPr>
      <w:spacing w:after="100"/>
    </w:pPr>
  </w:style>
  <w:style w:type="paragraph" w:styleId="TOC2">
    <w:name w:val="toc 2"/>
    <w:basedOn w:val="Normal"/>
    <w:next w:val="Normal"/>
    <w:autoRedefine/>
    <w:uiPriority w:val="39"/>
    <w:qFormat/>
    <w:rsid w:val="00EC0CF7"/>
    <w:pPr>
      <w:tabs>
        <w:tab w:val="left" w:pos="880"/>
        <w:tab w:val="right" w:leader="dot" w:pos="9016"/>
      </w:tabs>
      <w:spacing w:after="100"/>
      <w:ind w:left="220"/>
    </w:pPr>
  </w:style>
  <w:style w:type="character" w:styleId="Hyperlink">
    <w:name w:val="Hyperlink"/>
    <w:basedOn w:val="DefaultParagraphFont"/>
    <w:uiPriority w:val="99"/>
    <w:unhideWhenUsed/>
    <w:rsid w:val="007D11E1"/>
    <w:rPr>
      <w:color w:val="0000FF" w:themeColor="hyperlink"/>
      <w:u w:val="single"/>
    </w:rPr>
  </w:style>
  <w:style w:type="paragraph" w:styleId="BalloonText">
    <w:name w:val="Balloon Text"/>
    <w:basedOn w:val="Normal"/>
    <w:link w:val="BalloonTextChar"/>
    <w:rsid w:val="007D11E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7D11E1"/>
    <w:rPr>
      <w:rFonts w:ascii="Tahoma" w:hAnsi="Tahoma" w:cs="Tahoma"/>
      <w:sz w:val="16"/>
      <w:szCs w:val="16"/>
    </w:rPr>
  </w:style>
  <w:style w:type="paragraph" w:styleId="Header">
    <w:name w:val="header"/>
    <w:basedOn w:val="Normal"/>
    <w:link w:val="HeaderChar"/>
    <w:rsid w:val="007D11E1"/>
    <w:pPr>
      <w:tabs>
        <w:tab w:val="center" w:pos="4513"/>
        <w:tab w:val="right" w:pos="9026"/>
      </w:tabs>
      <w:spacing w:before="0" w:after="0" w:line="240" w:lineRule="auto"/>
    </w:pPr>
  </w:style>
  <w:style w:type="character" w:customStyle="1" w:styleId="HeaderChar">
    <w:name w:val="Header Char"/>
    <w:basedOn w:val="DefaultParagraphFont"/>
    <w:link w:val="Header"/>
    <w:rsid w:val="007D11E1"/>
  </w:style>
  <w:style w:type="paragraph" w:styleId="Footer">
    <w:name w:val="footer"/>
    <w:basedOn w:val="Normal"/>
    <w:link w:val="FooterChar"/>
    <w:uiPriority w:val="99"/>
    <w:rsid w:val="007D11E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D11E1"/>
  </w:style>
  <w:style w:type="paragraph" w:styleId="ListParagraph">
    <w:name w:val="List Paragraph"/>
    <w:basedOn w:val="Normal"/>
    <w:uiPriority w:val="99"/>
    <w:qFormat/>
    <w:rsid w:val="007D11E1"/>
    <w:pPr>
      <w:ind w:left="720"/>
      <w:contextualSpacing/>
    </w:pPr>
  </w:style>
  <w:style w:type="paragraph" w:styleId="NormalWeb">
    <w:name w:val="Normal (Web)"/>
    <w:basedOn w:val="Normal"/>
    <w:uiPriority w:val="99"/>
    <w:unhideWhenUsed/>
    <w:rsid w:val="00A35C8C"/>
    <w:pPr>
      <w:spacing w:after="100" w:afterAutospacing="1" w:line="240" w:lineRule="auto"/>
    </w:pPr>
    <w:rPr>
      <w:rFonts w:ascii="Times New Roman" w:hAnsi="Times New Roman" w:cs="Times New Roman"/>
      <w:color w:val="auto"/>
      <w:sz w:val="24"/>
      <w:szCs w:val="24"/>
    </w:rPr>
  </w:style>
  <w:style w:type="character" w:styleId="Strong">
    <w:name w:val="Strong"/>
    <w:basedOn w:val="DefaultParagraphFont"/>
    <w:uiPriority w:val="22"/>
    <w:qFormat/>
    <w:rsid w:val="00A35C8C"/>
    <w:rPr>
      <w:b/>
      <w:bCs/>
    </w:rPr>
  </w:style>
  <w:style w:type="character" w:styleId="CommentReference">
    <w:name w:val="annotation reference"/>
    <w:basedOn w:val="DefaultParagraphFont"/>
    <w:rsid w:val="00050A0C"/>
    <w:rPr>
      <w:sz w:val="16"/>
      <w:szCs w:val="16"/>
    </w:rPr>
  </w:style>
  <w:style w:type="paragraph" w:styleId="CommentText">
    <w:name w:val="annotation text"/>
    <w:basedOn w:val="Normal"/>
    <w:link w:val="CommentTextChar"/>
    <w:rsid w:val="00050A0C"/>
    <w:pPr>
      <w:spacing w:line="240" w:lineRule="auto"/>
    </w:pPr>
    <w:rPr>
      <w:sz w:val="20"/>
      <w:szCs w:val="20"/>
    </w:rPr>
  </w:style>
  <w:style w:type="character" w:customStyle="1" w:styleId="CommentTextChar">
    <w:name w:val="Comment Text Char"/>
    <w:basedOn w:val="DefaultParagraphFont"/>
    <w:link w:val="CommentText"/>
    <w:rsid w:val="00050A0C"/>
    <w:rPr>
      <w:sz w:val="20"/>
      <w:szCs w:val="20"/>
    </w:rPr>
  </w:style>
  <w:style w:type="paragraph" w:styleId="CommentSubject">
    <w:name w:val="annotation subject"/>
    <w:basedOn w:val="CommentText"/>
    <w:next w:val="CommentText"/>
    <w:link w:val="CommentSubjectChar"/>
    <w:rsid w:val="00050A0C"/>
    <w:rPr>
      <w:b/>
      <w:bCs/>
    </w:rPr>
  </w:style>
  <w:style w:type="character" w:customStyle="1" w:styleId="CommentSubjectChar">
    <w:name w:val="Comment Subject Char"/>
    <w:basedOn w:val="CommentTextChar"/>
    <w:link w:val="CommentSubject"/>
    <w:rsid w:val="00050A0C"/>
    <w:rPr>
      <w:b/>
      <w:bCs/>
      <w:sz w:val="20"/>
      <w:szCs w:val="20"/>
    </w:rPr>
  </w:style>
  <w:style w:type="paragraph" w:styleId="Title">
    <w:name w:val="Title"/>
    <w:basedOn w:val="Normal"/>
    <w:next w:val="Normal"/>
    <w:link w:val="TitleChar"/>
    <w:qFormat/>
    <w:rsid w:val="00D34F8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34F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D34F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34F8F"/>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qFormat/>
    <w:rsid w:val="00D34F8F"/>
    <w:pPr>
      <w:spacing w:after="100"/>
      <w:ind w:left="440"/>
    </w:pPr>
  </w:style>
  <w:style w:type="paragraph" w:customStyle="1" w:styleId="Char1">
    <w:name w:val="Char1"/>
    <w:basedOn w:val="Normal"/>
    <w:semiHidden/>
    <w:rsid w:val="00EC0CF7"/>
    <w:pPr>
      <w:spacing w:before="0" w:beforeAutospacing="0" w:after="120" w:line="240" w:lineRule="exact"/>
    </w:pPr>
    <w:rPr>
      <w:rFonts w:ascii="Verdana" w:eastAsia="Calibri" w:hAnsi="Verdana" w:cs="Verdana"/>
      <w:color w:val="auto"/>
      <w:sz w:val="20"/>
      <w:szCs w:val="20"/>
      <w:lang w:val="en-US" w:eastAsia="en-US"/>
    </w:rPr>
  </w:style>
  <w:style w:type="paragraph" w:styleId="PlainText">
    <w:name w:val="Plain Text"/>
    <w:basedOn w:val="Normal"/>
    <w:link w:val="PlainTextChar"/>
    <w:rsid w:val="00EC0CF7"/>
    <w:pPr>
      <w:spacing w:before="0" w:beforeAutospacing="0" w:after="0" w:line="240" w:lineRule="auto"/>
    </w:pPr>
    <w:rPr>
      <w:rFonts w:ascii="Consolas" w:eastAsia="Calibri" w:hAnsi="Consolas" w:cs="Times New Roman"/>
      <w:color w:val="auto"/>
      <w:sz w:val="21"/>
      <w:szCs w:val="21"/>
      <w:lang w:eastAsia="en-US"/>
    </w:rPr>
  </w:style>
  <w:style w:type="character" w:customStyle="1" w:styleId="PlainTextChar">
    <w:name w:val="Plain Text Char"/>
    <w:basedOn w:val="DefaultParagraphFont"/>
    <w:link w:val="PlainText"/>
    <w:rsid w:val="00EC0CF7"/>
    <w:rPr>
      <w:rFonts w:ascii="Consolas" w:eastAsia="Calibri" w:hAnsi="Consolas" w:cs="Times New Roman"/>
      <w:color w:val="auto"/>
      <w:sz w:val="21"/>
      <w:szCs w:val="21"/>
      <w:lang w:eastAsia="en-US"/>
    </w:rPr>
  </w:style>
  <w:style w:type="paragraph" w:styleId="FootnoteText">
    <w:name w:val="footnote text"/>
    <w:basedOn w:val="Normal"/>
    <w:link w:val="FootnoteTextChar"/>
    <w:uiPriority w:val="99"/>
    <w:rsid w:val="00EC0CF7"/>
    <w:pPr>
      <w:spacing w:before="0" w:beforeAutospacing="0" w:after="0" w:line="240" w:lineRule="auto"/>
    </w:pPr>
    <w:rPr>
      <w:rFonts w:ascii="Times New Roman" w:eastAsia="Calibri" w:hAnsi="Times New Roman" w:cs="Times New Roman"/>
      <w:color w:val="auto"/>
      <w:sz w:val="20"/>
      <w:szCs w:val="20"/>
    </w:rPr>
  </w:style>
  <w:style w:type="character" w:customStyle="1" w:styleId="FootnoteTextChar">
    <w:name w:val="Footnote Text Char"/>
    <w:basedOn w:val="DefaultParagraphFont"/>
    <w:link w:val="FootnoteText"/>
    <w:uiPriority w:val="99"/>
    <w:rsid w:val="00EC0CF7"/>
    <w:rPr>
      <w:rFonts w:ascii="Times New Roman" w:eastAsia="Calibri" w:hAnsi="Times New Roman" w:cs="Times New Roman"/>
      <w:color w:val="auto"/>
      <w:sz w:val="20"/>
      <w:szCs w:val="20"/>
    </w:rPr>
  </w:style>
  <w:style w:type="character" w:styleId="FootnoteReference">
    <w:name w:val="footnote reference"/>
    <w:uiPriority w:val="99"/>
    <w:rsid w:val="00EC0CF7"/>
    <w:rPr>
      <w:rFonts w:cs="Times New Roman"/>
      <w:vertAlign w:val="superscript"/>
    </w:rPr>
  </w:style>
  <w:style w:type="paragraph" w:styleId="DocumentMap">
    <w:name w:val="Document Map"/>
    <w:basedOn w:val="Normal"/>
    <w:link w:val="DocumentMapChar"/>
    <w:rsid w:val="00C12A94"/>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rsid w:val="00C12A94"/>
    <w:rPr>
      <w:rFonts w:ascii="Tahoma" w:hAnsi="Tahoma" w:cs="Tahoma"/>
      <w:sz w:val="16"/>
      <w:szCs w:val="16"/>
    </w:rPr>
  </w:style>
  <w:style w:type="paragraph" w:customStyle="1" w:styleId="Bullets">
    <w:name w:val="Bullets"/>
    <w:basedOn w:val="Normal"/>
    <w:link w:val="BulletsChar"/>
    <w:qFormat/>
    <w:rsid w:val="00EE2CE2"/>
    <w:pPr>
      <w:widowControl w:val="0"/>
      <w:numPr>
        <w:numId w:val="2"/>
      </w:numPr>
      <w:spacing w:before="0" w:beforeAutospacing="0" w:after="120" w:line="240" w:lineRule="auto"/>
      <w:jc w:val="both"/>
    </w:pPr>
    <w:rPr>
      <w:rFonts w:asciiTheme="minorHAnsi" w:hAnsiTheme="minorHAnsi"/>
      <w:color w:val="auto"/>
      <w:sz w:val="24"/>
      <w:szCs w:val="24"/>
    </w:rPr>
  </w:style>
  <w:style w:type="character" w:customStyle="1" w:styleId="BulletsChar">
    <w:name w:val="Bullets Char"/>
    <w:basedOn w:val="DefaultParagraphFont"/>
    <w:link w:val="Bullets"/>
    <w:rsid w:val="00EE2CE2"/>
    <w:rPr>
      <w:rFonts w:asciiTheme="minorHAnsi" w:hAnsiTheme="minorHAnsi"/>
      <w:color w:val="auto"/>
      <w:sz w:val="24"/>
      <w:szCs w:val="24"/>
    </w:rPr>
  </w:style>
  <w:style w:type="paragraph" w:styleId="BodyText">
    <w:name w:val="Body Text"/>
    <w:basedOn w:val="Normal"/>
    <w:link w:val="BodyTextChar"/>
    <w:rsid w:val="00086A9B"/>
    <w:pPr>
      <w:spacing w:after="120"/>
    </w:pPr>
  </w:style>
  <w:style w:type="character" w:customStyle="1" w:styleId="BodyTextChar">
    <w:name w:val="Body Text Char"/>
    <w:basedOn w:val="DefaultParagraphFont"/>
    <w:link w:val="BodyText"/>
    <w:rsid w:val="00086A9B"/>
  </w:style>
  <w:style w:type="paragraph" w:customStyle="1" w:styleId="DefaultText">
    <w:name w:val="Default Text"/>
    <w:basedOn w:val="Normal"/>
    <w:rsid w:val="00B028B2"/>
    <w:pPr>
      <w:spacing w:before="0" w:beforeAutospacing="0" w:after="0" w:line="240" w:lineRule="auto"/>
    </w:pPr>
    <w:rPr>
      <w:rFonts w:ascii="Times New Roman" w:hAnsi="Times New Roman" w:cs="Times New Roman"/>
      <w:color w:val="auto"/>
      <w:sz w:val="24"/>
      <w:szCs w:val="20"/>
      <w:lang w:val="en-US" w:eastAsia="en-US"/>
    </w:rPr>
  </w:style>
  <w:style w:type="paragraph" w:customStyle="1" w:styleId="ColorfulList-Accent11">
    <w:name w:val="Colorful List - Accent 11"/>
    <w:basedOn w:val="Normal"/>
    <w:rsid w:val="00BF7C30"/>
    <w:pPr>
      <w:spacing w:before="0" w:beforeAutospacing="0" w:after="0" w:line="240" w:lineRule="auto"/>
      <w:ind w:left="720"/>
    </w:pPr>
    <w:rPr>
      <w:rFonts w:ascii="Arial" w:eastAsia="Calibri" w:hAnsi="Arial"/>
      <w:color w:val="auto"/>
      <w:lang w:eastAsia="en-US"/>
    </w:rPr>
  </w:style>
  <w:style w:type="paragraph" w:customStyle="1" w:styleId="Default">
    <w:name w:val="Default"/>
    <w:rsid w:val="009F197B"/>
    <w:pPr>
      <w:autoSpaceDE w:val="0"/>
      <w:autoSpaceDN w:val="0"/>
      <w:adjustRightInd w:val="0"/>
      <w:spacing w:before="0" w:beforeAutospacing="0" w:after="0" w:line="240" w:lineRule="auto"/>
    </w:pPr>
    <w:rPr>
      <w:rFonts w:ascii="Arial" w:hAnsi="Arial"/>
      <w:color w:val="000000"/>
      <w:sz w:val="24"/>
      <w:szCs w:val="24"/>
    </w:rPr>
  </w:style>
  <w:style w:type="table" w:styleId="TableGrid">
    <w:name w:val="Table Grid"/>
    <w:basedOn w:val="TableNormal"/>
    <w:rsid w:val="001C245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rties">
    <w:name w:val="(1) Parties"/>
    <w:basedOn w:val="Normal"/>
    <w:rsid w:val="000D4111"/>
    <w:pPr>
      <w:numPr>
        <w:numId w:val="3"/>
      </w:numPr>
      <w:spacing w:before="120" w:beforeAutospacing="0" w:after="120" w:line="240" w:lineRule="auto"/>
      <w:jc w:val="both"/>
    </w:pPr>
    <w:rPr>
      <w:rFonts w:ascii="Arial" w:hAnsi="Arial" w:cs="Times New Roman"/>
      <w:color w:val="auto"/>
      <w:sz w:val="20"/>
      <w:szCs w:val="20"/>
    </w:rPr>
  </w:style>
  <w:style w:type="paragraph" w:customStyle="1" w:styleId="Scha">
    <w:name w:val="Sch a)"/>
    <w:basedOn w:val="Normal"/>
    <w:rsid w:val="000D4111"/>
    <w:pPr>
      <w:numPr>
        <w:ilvl w:val="1"/>
        <w:numId w:val="3"/>
      </w:numPr>
      <w:spacing w:before="0" w:beforeAutospacing="0" w:after="0" w:line="240" w:lineRule="auto"/>
      <w:jc w:val="both"/>
    </w:pPr>
    <w:rPr>
      <w:rFonts w:ascii="Arial" w:hAnsi="Arial" w:cs="Times New Roman"/>
      <w:color w:val="auto"/>
      <w:sz w:val="20"/>
      <w:szCs w:val="20"/>
    </w:rPr>
  </w:style>
  <w:style w:type="paragraph" w:styleId="TOC4">
    <w:name w:val="toc 4"/>
    <w:basedOn w:val="Normal"/>
    <w:next w:val="Normal"/>
    <w:autoRedefine/>
    <w:uiPriority w:val="39"/>
    <w:unhideWhenUsed/>
    <w:rsid w:val="00DE4ED0"/>
    <w:pPr>
      <w:spacing w:before="0" w:beforeAutospacing="0" w:after="100" w:line="276" w:lineRule="auto"/>
      <w:ind w:left="66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DE4ED0"/>
    <w:pPr>
      <w:spacing w:before="0" w:beforeAutospacing="0" w:after="100" w:line="276" w:lineRule="auto"/>
      <w:ind w:left="88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DE4ED0"/>
    <w:pPr>
      <w:spacing w:before="0" w:beforeAutospacing="0" w:after="100" w:line="276" w:lineRule="auto"/>
      <w:ind w:left="11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DE4ED0"/>
    <w:pPr>
      <w:spacing w:before="0" w:beforeAutospacing="0" w:after="100" w:line="276" w:lineRule="auto"/>
      <w:ind w:left="132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DE4ED0"/>
    <w:pPr>
      <w:spacing w:before="0" w:beforeAutospacing="0" w:after="100" w:line="276" w:lineRule="auto"/>
      <w:ind w:left="154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DE4ED0"/>
    <w:pPr>
      <w:spacing w:before="0" w:beforeAutospacing="0" w:after="100" w:line="276" w:lineRule="auto"/>
      <w:ind w:left="1760"/>
    </w:pPr>
    <w:rPr>
      <w:rFonts w:asciiTheme="minorHAnsi" w:eastAsiaTheme="minorEastAsia" w:hAnsiTheme="minorHAnsi" w:cstheme="minorBidi"/>
      <w:color w:val="auto"/>
    </w:rPr>
  </w:style>
  <w:style w:type="character" w:customStyle="1" w:styleId="Heading1Char">
    <w:name w:val="Heading 1 Char"/>
    <w:aliases w:val="MCheading1 Char"/>
    <w:basedOn w:val="DefaultParagraphFont"/>
    <w:link w:val="Heading1"/>
    <w:rsid w:val="005A55AC"/>
    <w:rPr>
      <w:rFonts w:asciiTheme="minorHAnsi" w:hAnsiTheme="minorHAnsi"/>
      <w:b/>
      <w:color w:val="auto"/>
      <w:sz w:val="24"/>
      <w:szCs w:val="24"/>
    </w:rPr>
  </w:style>
  <w:style w:type="paragraph" w:customStyle="1" w:styleId="ITTnormal">
    <w:name w:val="ITT normal"/>
    <w:basedOn w:val="Normal"/>
    <w:rsid w:val="005A55AC"/>
    <w:pPr>
      <w:autoSpaceDE w:val="0"/>
      <w:autoSpaceDN w:val="0"/>
      <w:adjustRightInd w:val="0"/>
      <w:spacing w:before="60" w:beforeAutospacing="0" w:after="60" w:line="240" w:lineRule="auto"/>
      <w:ind w:left="720"/>
      <w:jc w:val="both"/>
    </w:pPr>
    <w:rPr>
      <w:rFonts w:ascii="Arial" w:eastAsia="Arial" w:hAnsi="Arial"/>
      <w:color w:val="auto"/>
    </w:rPr>
  </w:style>
  <w:style w:type="paragraph" w:customStyle="1" w:styleId="numbered-paragraph">
    <w:name w:val="numbered-paragraph"/>
    <w:basedOn w:val="Normal"/>
    <w:rsid w:val="005A55AC"/>
    <w:pPr>
      <w:spacing w:before="0" w:beforeAutospacing="0" w:after="180" w:line="240" w:lineRule="auto"/>
    </w:pPr>
    <w:rPr>
      <w:rFonts w:ascii="Times New Roman" w:hAnsi="Times New Roman" w:cs="Times New Roman"/>
      <w:color w:val="auto"/>
      <w:sz w:val="24"/>
      <w:szCs w:val="24"/>
    </w:rPr>
  </w:style>
  <w:style w:type="character" w:customStyle="1" w:styleId="paragraph-number">
    <w:name w:val="paragraph-number"/>
    <w:basedOn w:val="DefaultParagraphFont"/>
    <w:rsid w:val="005A55AC"/>
  </w:style>
  <w:style w:type="character" w:customStyle="1" w:styleId="A0">
    <w:name w:val="A0"/>
    <w:uiPriority w:val="99"/>
    <w:rsid w:val="005A55AC"/>
    <w:rPr>
      <w:rFonts w:cs="Times New Roman"/>
      <w:color w:val="221E1F"/>
      <w:sz w:val="22"/>
      <w:szCs w:val="22"/>
    </w:rPr>
  </w:style>
  <w:style w:type="paragraph" w:customStyle="1" w:styleId="CharCharCharCharCharCharChar">
    <w:name w:val="Char Char Char Char Char Char Char"/>
    <w:basedOn w:val="Normal"/>
    <w:rsid w:val="0034311F"/>
    <w:pPr>
      <w:spacing w:before="0" w:beforeAutospacing="0" w:after="160" w:line="240" w:lineRule="exact"/>
    </w:pPr>
    <w:rPr>
      <w:rFonts w:ascii="Verdana" w:hAnsi="Verdana" w:cs="Times New Roman"/>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color w:val="404040" w:themeColor="text1" w:themeTint="BF"/>
        <w:sz w:val="22"/>
        <w:szCs w:val="22"/>
        <w:lang w:val="en-GB" w:eastAsia="en-GB" w:bidi="ar-SA"/>
      </w:rPr>
    </w:rPrDefault>
    <w:pPrDefault>
      <w:pPr>
        <w:spacing w:before="100" w:beforeAutospacing="1" w:after="240"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eading  2"/>
    <w:next w:val="Heading2"/>
    <w:qFormat/>
    <w:rsid w:val="007D11E1"/>
  </w:style>
  <w:style w:type="paragraph" w:styleId="Heading1">
    <w:name w:val="heading 1"/>
    <w:aliases w:val="MCheading1"/>
    <w:basedOn w:val="Normal"/>
    <w:next w:val="Normal"/>
    <w:link w:val="Heading1Char"/>
    <w:autoRedefine/>
    <w:qFormat/>
    <w:rsid w:val="005A55AC"/>
    <w:pPr>
      <w:keepNext/>
      <w:numPr>
        <w:numId w:val="1"/>
      </w:numPr>
      <w:spacing w:before="0" w:beforeAutospacing="0" w:after="0"/>
      <w:outlineLvl w:val="0"/>
    </w:pPr>
    <w:rPr>
      <w:rFonts w:asciiTheme="minorHAnsi" w:hAnsiTheme="minorHAnsi"/>
      <w:b/>
      <w:color w:val="auto"/>
      <w:sz w:val="24"/>
      <w:szCs w:val="24"/>
    </w:rPr>
  </w:style>
  <w:style w:type="paragraph" w:styleId="Heading2">
    <w:name w:val="heading 2"/>
    <w:aliases w:val="MCheading2"/>
    <w:basedOn w:val="Normal"/>
    <w:next w:val="Normal"/>
    <w:link w:val="Heading2Char"/>
    <w:unhideWhenUsed/>
    <w:qFormat/>
    <w:rsid w:val="00EE2CE2"/>
    <w:pPr>
      <w:numPr>
        <w:ilvl w:val="1"/>
        <w:numId w:val="1"/>
      </w:numPr>
      <w:spacing w:before="0" w:beforeAutospacing="0" w:after="0"/>
      <w:ind w:left="578" w:hanging="578"/>
      <w:outlineLvl w:val="1"/>
    </w:pPr>
    <w:rPr>
      <w:rFonts w:asciiTheme="minorHAnsi" w:eastAsiaTheme="majorEastAsia" w:hAnsiTheme="minorHAnsi" w:cstheme="majorBidi"/>
      <w:b/>
      <w:bCs/>
      <w:color w:val="auto"/>
      <w:sz w:val="24"/>
      <w:szCs w:val="24"/>
    </w:rPr>
  </w:style>
  <w:style w:type="paragraph" w:styleId="Heading3">
    <w:name w:val="heading 3"/>
    <w:aliases w:val="MCheading3"/>
    <w:basedOn w:val="Heading2"/>
    <w:next w:val="Normal"/>
    <w:link w:val="Heading3Char"/>
    <w:qFormat/>
    <w:rsid w:val="005A55AC"/>
    <w:pPr>
      <w:numPr>
        <w:ilvl w:val="2"/>
      </w:numPr>
      <w:spacing w:after="240" w:line="240" w:lineRule="auto"/>
      <w:ind w:left="720"/>
      <w:outlineLvl w:val="2"/>
    </w:pPr>
    <w:rPr>
      <w:b w:val="0"/>
    </w:rPr>
  </w:style>
  <w:style w:type="paragraph" w:styleId="Heading4">
    <w:name w:val="heading 4"/>
    <w:aliases w:val="Level 2 - a,MCheadin4"/>
    <w:basedOn w:val="Normal"/>
    <w:next w:val="Normal"/>
    <w:link w:val="Heading4Char"/>
    <w:qFormat/>
    <w:rsid w:val="00332A07"/>
    <w:pPr>
      <w:keepNext/>
      <w:numPr>
        <w:ilvl w:val="3"/>
        <w:numId w:val="1"/>
      </w:numPr>
      <w:spacing w:before="240" w:beforeAutospacing="0" w:after="60"/>
      <w:outlineLvl w:val="3"/>
    </w:pPr>
    <w:rPr>
      <w:rFonts w:ascii="Times New Roman" w:hAnsi="Times New Roman" w:cs="Times New Roman"/>
      <w:color w:val="auto"/>
      <w:kern w:val="28"/>
      <w:sz w:val="24"/>
      <w:szCs w:val="24"/>
    </w:rPr>
  </w:style>
  <w:style w:type="paragraph" w:styleId="Heading5">
    <w:name w:val="heading 5"/>
    <w:basedOn w:val="Normal"/>
    <w:next w:val="Normal"/>
    <w:link w:val="Heading5Char"/>
    <w:qFormat/>
    <w:rsid w:val="00332A07"/>
    <w:pPr>
      <w:numPr>
        <w:ilvl w:val="4"/>
        <w:numId w:val="1"/>
      </w:numPr>
      <w:spacing w:before="240" w:beforeAutospacing="0" w:after="60"/>
      <w:outlineLvl w:val="4"/>
    </w:pPr>
    <w:rPr>
      <w:rFonts w:ascii="Times New Roman" w:hAnsi="Times New Roman" w:cs="Times New Roman"/>
      <w:color w:val="auto"/>
      <w:kern w:val="28"/>
      <w:sz w:val="24"/>
      <w:szCs w:val="24"/>
    </w:rPr>
  </w:style>
  <w:style w:type="paragraph" w:styleId="Heading6">
    <w:name w:val="heading 6"/>
    <w:basedOn w:val="Normal"/>
    <w:next w:val="Normal"/>
    <w:link w:val="Heading6Char"/>
    <w:qFormat/>
    <w:rsid w:val="00332A07"/>
    <w:pPr>
      <w:numPr>
        <w:ilvl w:val="5"/>
        <w:numId w:val="1"/>
      </w:numPr>
      <w:tabs>
        <w:tab w:val="left" w:pos="1077"/>
      </w:tabs>
      <w:spacing w:before="240" w:beforeAutospacing="0" w:after="60"/>
      <w:outlineLvl w:val="5"/>
    </w:pPr>
    <w:rPr>
      <w:rFonts w:ascii="Times New Roman" w:hAnsi="Times New Roman" w:cs="Times New Roman"/>
      <w:color w:val="auto"/>
      <w:kern w:val="28"/>
      <w:sz w:val="24"/>
      <w:szCs w:val="24"/>
    </w:rPr>
  </w:style>
  <w:style w:type="paragraph" w:styleId="Heading7">
    <w:name w:val="heading 7"/>
    <w:basedOn w:val="Normal"/>
    <w:next w:val="Normal"/>
    <w:link w:val="Heading7Char"/>
    <w:semiHidden/>
    <w:unhideWhenUsed/>
    <w:qFormat/>
    <w:rsid w:val="00D34F8F"/>
    <w:pPr>
      <w:keepNext/>
      <w:keepLines/>
      <w:numPr>
        <w:ilvl w:val="6"/>
        <w:numId w:val="1"/>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D34F8F"/>
    <w:pPr>
      <w:keepNext/>
      <w:keepLines/>
      <w:numPr>
        <w:ilvl w:val="7"/>
        <w:numId w:val="1"/>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D34F8F"/>
    <w:pPr>
      <w:keepNext/>
      <w:keepLines/>
      <w:numPr>
        <w:ilvl w:val="8"/>
        <w:numId w:val="1"/>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Cheading2 Char"/>
    <w:basedOn w:val="DefaultParagraphFont"/>
    <w:link w:val="Heading2"/>
    <w:rsid w:val="00EE2CE2"/>
    <w:rPr>
      <w:rFonts w:asciiTheme="minorHAnsi" w:eastAsiaTheme="majorEastAsia" w:hAnsiTheme="minorHAnsi" w:cstheme="majorBidi"/>
      <w:b/>
      <w:bCs/>
      <w:color w:val="auto"/>
      <w:sz w:val="24"/>
      <w:szCs w:val="24"/>
    </w:rPr>
  </w:style>
  <w:style w:type="character" w:customStyle="1" w:styleId="Heading3Char">
    <w:name w:val="Heading 3 Char"/>
    <w:aliases w:val="MCheading3 Char"/>
    <w:basedOn w:val="DefaultParagraphFont"/>
    <w:link w:val="Heading3"/>
    <w:rsid w:val="005A55AC"/>
    <w:rPr>
      <w:rFonts w:asciiTheme="minorHAnsi" w:eastAsiaTheme="majorEastAsia" w:hAnsiTheme="minorHAnsi" w:cstheme="majorBidi"/>
      <w:bCs/>
      <w:color w:val="auto"/>
      <w:sz w:val="24"/>
      <w:szCs w:val="24"/>
    </w:rPr>
  </w:style>
  <w:style w:type="character" w:customStyle="1" w:styleId="Heading4Char">
    <w:name w:val="Heading 4 Char"/>
    <w:aliases w:val="Level 2 - a Char,MCheadin4 Char"/>
    <w:basedOn w:val="DefaultParagraphFont"/>
    <w:link w:val="Heading4"/>
    <w:rsid w:val="00332A07"/>
    <w:rPr>
      <w:rFonts w:ascii="Times New Roman" w:hAnsi="Times New Roman" w:cs="Times New Roman"/>
      <w:color w:val="auto"/>
      <w:kern w:val="28"/>
      <w:sz w:val="24"/>
      <w:szCs w:val="24"/>
    </w:rPr>
  </w:style>
  <w:style w:type="character" w:customStyle="1" w:styleId="Heading5Char">
    <w:name w:val="Heading 5 Char"/>
    <w:basedOn w:val="DefaultParagraphFont"/>
    <w:link w:val="Heading5"/>
    <w:rsid w:val="00332A07"/>
    <w:rPr>
      <w:rFonts w:ascii="Times New Roman" w:hAnsi="Times New Roman" w:cs="Times New Roman"/>
      <w:color w:val="auto"/>
      <w:kern w:val="28"/>
      <w:sz w:val="24"/>
      <w:szCs w:val="24"/>
    </w:rPr>
  </w:style>
  <w:style w:type="character" w:customStyle="1" w:styleId="Heading6Char">
    <w:name w:val="Heading 6 Char"/>
    <w:basedOn w:val="DefaultParagraphFont"/>
    <w:link w:val="Heading6"/>
    <w:rsid w:val="00332A07"/>
    <w:rPr>
      <w:rFonts w:ascii="Times New Roman" w:hAnsi="Times New Roman" w:cs="Times New Roman"/>
      <w:color w:val="auto"/>
      <w:kern w:val="28"/>
      <w:sz w:val="24"/>
      <w:szCs w:val="24"/>
    </w:rPr>
  </w:style>
  <w:style w:type="character" w:customStyle="1" w:styleId="Heading7Char">
    <w:name w:val="Heading 7 Char"/>
    <w:basedOn w:val="DefaultParagraphFont"/>
    <w:link w:val="Heading7"/>
    <w:semiHidden/>
    <w:rsid w:val="00D34F8F"/>
    <w:rPr>
      <w:rFonts w:asciiTheme="majorHAnsi" w:eastAsiaTheme="majorEastAsia" w:hAnsiTheme="majorHAnsi" w:cstheme="majorBidi"/>
      <w:i/>
      <w:iCs/>
    </w:rPr>
  </w:style>
  <w:style w:type="character" w:customStyle="1" w:styleId="Heading8Char">
    <w:name w:val="Heading 8 Char"/>
    <w:basedOn w:val="DefaultParagraphFont"/>
    <w:link w:val="Heading8"/>
    <w:semiHidden/>
    <w:rsid w:val="00D34F8F"/>
    <w:rPr>
      <w:rFonts w:asciiTheme="majorHAnsi" w:eastAsiaTheme="majorEastAsia" w:hAnsiTheme="majorHAnsi" w:cstheme="majorBidi"/>
      <w:sz w:val="20"/>
      <w:szCs w:val="20"/>
    </w:rPr>
  </w:style>
  <w:style w:type="character" w:customStyle="1" w:styleId="Heading9Char">
    <w:name w:val="Heading 9 Char"/>
    <w:basedOn w:val="DefaultParagraphFont"/>
    <w:link w:val="Heading9"/>
    <w:semiHidden/>
    <w:rsid w:val="00D34F8F"/>
    <w:rPr>
      <w:rFonts w:asciiTheme="majorHAnsi" w:eastAsiaTheme="majorEastAsia" w:hAnsiTheme="majorHAnsi" w:cstheme="majorBidi"/>
      <w:i/>
      <w:iCs/>
      <w:sz w:val="20"/>
      <w:szCs w:val="20"/>
    </w:rPr>
  </w:style>
  <w:style w:type="character" w:styleId="Emphasis">
    <w:name w:val="Emphasis"/>
    <w:basedOn w:val="DefaultParagraphFont"/>
    <w:qFormat/>
    <w:rsid w:val="007D11E1"/>
    <w:rPr>
      <w:i/>
      <w:iCs/>
    </w:rPr>
  </w:style>
  <w:style w:type="paragraph" w:styleId="TOCHeading">
    <w:name w:val="TOC Heading"/>
    <w:basedOn w:val="Heading1"/>
    <w:next w:val="Normal"/>
    <w:uiPriority w:val="39"/>
    <w:unhideWhenUsed/>
    <w:qFormat/>
    <w:rsid w:val="007D11E1"/>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qFormat/>
    <w:rsid w:val="007D11E1"/>
    <w:pPr>
      <w:spacing w:after="100"/>
    </w:pPr>
  </w:style>
  <w:style w:type="paragraph" w:styleId="TOC2">
    <w:name w:val="toc 2"/>
    <w:basedOn w:val="Normal"/>
    <w:next w:val="Normal"/>
    <w:autoRedefine/>
    <w:uiPriority w:val="39"/>
    <w:qFormat/>
    <w:rsid w:val="00EC0CF7"/>
    <w:pPr>
      <w:tabs>
        <w:tab w:val="left" w:pos="880"/>
        <w:tab w:val="right" w:leader="dot" w:pos="9016"/>
      </w:tabs>
      <w:spacing w:after="100"/>
      <w:ind w:left="220"/>
    </w:pPr>
  </w:style>
  <w:style w:type="character" w:styleId="Hyperlink">
    <w:name w:val="Hyperlink"/>
    <w:basedOn w:val="DefaultParagraphFont"/>
    <w:uiPriority w:val="99"/>
    <w:unhideWhenUsed/>
    <w:rsid w:val="007D11E1"/>
    <w:rPr>
      <w:color w:val="0000FF" w:themeColor="hyperlink"/>
      <w:u w:val="single"/>
    </w:rPr>
  </w:style>
  <w:style w:type="paragraph" w:styleId="BalloonText">
    <w:name w:val="Balloon Text"/>
    <w:basedOn w:val="Normal"/>
    <w:link w:val="BalloonTextChar"/>
    <w:rsid w:val="007D11E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7D11E1"/>
    <w:rPr>
      <w:rFonts w:ascii="Tahoma" w:hAnsi="Tahoma" w:cs="Tahoma"/>
      <w:sz w:val="16"/>
      <w:szCs w:val="16"/>
    </w:rPr>
  </w:style>
  <w:style w:type="paragraph" w:styleId="Header">
    <w:name w:val="header"/>
    <w:basedOn w:val="Normal"/>
    <w:link w:val="HeaderChar"/>
    <w:rsid w:val="007D11E1"/>
    <w:pPr>
      <w:tabs>
        <w:tab w:val="center" w:pos="4513"/>
        <w:tab w:val="right" w:pos="9026"/>
      </w:tabs>
      <w:spacing w:before="0" w:after="0" w:line="240" w:lineRule="auto"/>
    </w:pPr>
  </w:style>
  <w:style w:type="character" w:customStyle="1" w:styleId="HeaderChar">
    <w:name w:val="Header Char"/>
    <w:basedOn w:val="DefaultParagraphFont"/>
    <w:link w:val="Header"/>
    <w:rsid w:val="007D11E1"/>
  </w:style>
  <w:style w:type="paragraph" w:styleId="Footer">
    <w:name w:val="footer"/>
    <w:basedOn w:val="Normal"/>
    <w:link w:val="FooterChar"/>
    <w:uiPriority w:val="99"/>
    <w:rsid w:val="007D11E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D11E1"/>
  </w:style>
  <w:style w:type="paragraph" w:styleId="ListParagraph">
    <w:name w:val="List Paragraph"/>
    <w:basedOn w:val="Normal"/>
    <w:uiPriority w:val="99"/>
    <w:qFormat/>
    <w:rsid w:val="007D11E1"/>
    <w:pPr>
      <w:ind w:left="720"/>
      <w:contextualSpacing/>
    </w:pPr>
  </w:style>
  <w:style w:type="paragraph" w:styleId="NormalWeb">
    <w:name w:val="Normal (Web)"/>
    <w:basedOn w:val="Normal"/>
    <w:uiPriority w:val="99"/>
    <w:unhideWhenUsed/>
    <w:rsid w:val="00A35C8C"/>
    <w:pPr>
      <w:spacing w:after="100" w:afterAutospacing="1" w:line="240" w:lineRule="auto"/>
    </w:pPr>
    <w:rPr>
      <w:rFonts w:ascii="Times New Roman" w:hAnsi="Times New Roman" w:cs="Times New Roman"/>
      <w:color w:val="auto"/>
      <w:sz w:val="24"/>
      <w:szCs w:val="24"/>
    </w:rPr>
  </w:style>
  <w:style w:type="character" w:styleId="Strong">
    <w:name w:val="Strong"/>
    <w:basedOn w:val="DefaultParagraphFont"/>
    <w:uiPriority w:val="22"/>
    <w:qFormat/>
    <w:rsid w:val="00A35C8C"/>
    <w:rPr>
      <w:b/>
      <w:bCs/>
    </w:rPr>
  </w:style>
  <w:style w:type="character" w:styleId="CommentReference">
    <w:name w:val="annotation reference"/>
    <w:basedOn w:val="DefaultParagraphFont"/>
    <w:rsid w:val="00050A0C"/>
    <w:rPr>
      <w:sz w:val="16"/>
      <w:szCs w:val="16"/>
    </w:rPr>
  </w:style>
  <w:style w:type="paragraph" w:styleId="CommentText">
    <w:name w:val="annotation text"/>
    <w:basedOn w:val="Normal"/>
    <w:link w:val="CommentTextChar"/>
    <w:rsid w:val="00050A0C"/>
    <w:pPr>
      <w:spacing w:line="240" w:lineRule="auto"/>
    </w:pPr>
    <w:rPr>
      <w:sz w:val="20"/>
      <w:szCs w:val="20"/>
    </w:rPr>
  </w:style>
  <w:style w:type="character" w:customStyle="1" w:styleId="CommentTextChar">
    <w:name w:val="Comment Text Char"/>
    <w:basedOn w:val="DefaultParagraphFont"/>
    <w:link w:val="CommentText"/>
    <w:rsid w:val="00050A0C"/>
    <w:rPr>
      <w:sz w:val="20"/>
      <w:szCs w:val="20"/>
    </w:rPr>
  </w:style>
  <w:style w:type="paragraph" w:styleId="CommentSubject">
    <w:name w:val="annotation subject"/>
    <w:basedOn w:val="CommentText"/>
    <w:next w:val="CommentText"/>
    <w:link w:val="CommentSubjectChar"/>
    <w:rsid w:val="00050A0C"/>
    <w:rPr>
      <w:b/>
      <w:bCs/>
    </w:rPr>
  </w:style>
  <w:style w:type="character" w:customStyle="1" w:styleId="CommentSubjectChar">
    <w:name w:val="Comment Subject Char"/>
    <w:basedOn w:val="CommentTextChar"/>
    <w:link w:val="CommentSubject"/>
    <w:rsid w:val="00050A0C"/>
    <w:rPr>
      <w:b/>
      <w:bCs/>
      <w:sz w:val="20"/>
      <w:szCs w:val="20"/>
    </w:rPr>
  </w:style>
  <w:style w:type="paragraph" w:styleId="Title">
    <w:name w:val="Title"/>
    <w:basedOn w:val="Normal"/>
    <w:next w:val="Normal"/>
    <w:link w:val="TitleChar"/>
    <w:qFormat/>
    <w:rsid w:val="00D34F8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34F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D34F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34F8F"/>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qFormat/>
    <w:rsid w:val="00D34F8F"/>
    <w:pPr>
      <w:spacing w:after="100"/>
      <w:ind w:left="440"/>
    </w:pPr>
  </w:style>
  <w:style w:type="paragraph" w:customStyle="1" w:styleId="Char1">
    <w:name w:val="Char1"/>
    <w:basedOn w:val="Normal"/>
    <w:semiHidden/>
    <w:rsid w:val="00EC0CF7"/>
    <w:pPr>
      <w:spacing w:before="0" w:beforeAutospacing="0" w:after="120" w:line="240" w:lineRule="exact"/>
    </w:pPr>
    <w:rPr>
      <w:rFonts w:ascii="Verdana" w:eastAsia="Calibri" w:hAnsi="Verdana" w:cs="Verdana"/>
      <w:color w:val="auto"/>
      <w:sz w:val="20"/>
      <w:szCs w:val="20"/>
      <w:lang w:val="en-US" w:eastAsia="en-US"/>
    </w:rPr>
  </w:style>
  <w:style w:type="paragraph" w:styleId="PlainText">
    <w:name w:val="Plain Text"/>
    <w:basedOn w:val="Normal"/>
    <w:link w:val="PlainTextChar"/>
    <w:rsid w:val="00EC0CF7"/>
    <w:pPr>
      <w:spacing w:before="0" w:beforeAutospacing="0" w:after="0" w:line="240" w:lineRule="auto"/>
    </w:pPr>
    <w:rPr>
      <w:rFonts w:ascii="Consolas" w:eastAsia="Calibri" w:hAnsi="Consolas" w:cs="Times New Roman"/>
      <w:color w:val="auto"/>
      <w:sz w:val="21"/>
      <w:szCs w:val="21"/>
      <w:lang w:eastAsia="en-US"/>
    </w:rPr>
  </w:style>
  <w:style w:type="character" w:customStyle="1" w:styleId="PlainTextChar">
    <w:name w:val="Plain Text Char"/>
    <w:basedOn w:val="DefaultParagraphFont"/>
    <w:link w:val="PlainText"/>
    <w:rsid w:val="00EC0CF7"/>
    <w:rPr>
      <w:rFonts w:ascii="Consolas" w:eastAsia="Calibri" w:hAnsi="Consolas" w:cs="Times New Roman"/>
      <w:color w:val="auto"/>
      <w:sz w:val="21"/>
      <w:szCs w:val="21"/>
      <w:lang w:eastAsia="en-US"/>
    </w:rPr>
  </w:style>
  <w:style w:type="paragraph" w:styleId="FootnoteText">
    <w:name w:val="footnote text"/>
    <w:basedOn w:val="Normal"/>
    <w:link w:val="FootnoteTextChar"/>
    <w:uiPriority w:val="99"/>
    <w:rsid w:val="00EC0CF7"/>
    <w:pPr>
      <w:spacing w:before="0" w:beforeAutospacing="0" w:after="0" w:line="240" w:lineRule="auto"/>
    </w:pPr>
    <w:rPr>
      <w:rFonts w:ascii="Times New Roman" w:eastAsia="Calibri" w:hAnsi="Times New Roman" w:cs="Times New Roman"/>
      <w:color w:val="auto"/>
      <w:sz w:val="20"/>
      <w:szCs w:val="20"/>
    </w:rPr>
  </w:style>
  <w:style w:type="character" w:customStyle="1" w:styleId="FootnoteTextChar">
    <w:name w:val="Footnote Text Char"/>
    <w:basedOn w:val="DefaultParagraphFont"/>
    <w:link w:val="FootnoteText"/>
    <w:uiPriority w:val="99"/>
    <w:rsid w:val="00EC0CF7"/>
    <w:rPr>
      <w:rFonts w:ascii="Times New Roman" w:eastAsia="Calibri" w:hAnsi="Times New Roman" w:cs="Times New Roman"/>
      <w:color w:val="auto"/>
      <w:sz w:val="20"/>
      <w:szCs w:val="20"/>
    </w:rPr>
  </w:style>
  <w:style w:type="character" w:styleId="FootnoteReference">
    <w:name w:val="footnote reference"/>
    <w:uiPriority w:val="99"/>
    <w:rsid w:val="00EC0CF7"/>
    <w:rPr>
      <w:rFonts w:cs="Times New Roman"/>
      <w:vertAlign w:val="superscript"/>
    </w:rPr>
  </w:style>
  <w:style w:type="paragraph" w:styleId="DocumentMap">
    <w:name w:val="Document Map"/>
    <w:basedOn w:val="Normal"/>
    <w:link w:val="DocumentMapChar"/>
    <w:rsid w:val="00C12A94"/>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rsid w:val="00C12A94"/>
    <w:rPr>
      <w:rFonts w:ascii="Tahoma" w:hAnsi="Tahoma" w:cs="Tahoma"/>
      <w:sz w:val="16"/>
      <w:szCs w:val="16"/>
    </w:rPr>
  </w:style>
  <w:style w:type="paragraph" w:customStyle="1" w:styleId="Bullets">
    <w:name w:val="Bullets"/>
    <w:basedOn w:val="Normal"/>
    <w:link w:val="BulletsChar"/>
    <w:qFormat/>
    <w:rsid w:val="00EE2CE2"/>
    <w:pPr>
      <w:widowControl w:val="0"/>
      <w:numPr>
        <w:numId w:val="2"/>
      </w:numPr>
      <w:spacing w:before="0" w:beforeAutospacing="0" w:after="120" w:line="240" w:lineRule="auto"/>
      <w:jc w:val="both"/>
    </w:pPr>
    <w:rPr>
      <w:rFonts w:asciiTheme="minorHAnsi" w:hAnsiTheme="minorHAnsi"/>
      <w:color w:val="auto"/>
      <w:sz w:val="24"/>
      <w:szCs w:val="24"/>
    </w:rPr>
  </w:style>
  <w:style w:type="character" w:customStyle="1" w:styleId="BulletsChar">
    <w:name w:val="Bullets Char"/>
    <w:basedOn w:val="DefaultParagraphFont"/>
    <w:link w:val="Bullets"/>
    <w:rsid w:val="00EE2CE2"/>
    <w:rPr>
      <w:rFonts w:asciiTheme="minorHAnsi" w:hAnsiTheme="minorHAnsi"/>
      <w:color w:val="auto"/>
      <w:sz w:val="24"/>
      <w:szCs w:val="24"/>
    </w:rPr>
  </w:style>
  <w:style w:type="paragraph" w:styleId="BodyText">
    <w:name w:val="Body Text"/>
    <w:basedOn w:val="Normal"/>
    <w:link w:val="BodyTextChar"/>
    <w:rsid w:val="00086A9B"/>
    <w:pPr>
      <w:spacing w:after="120"/>
    </w:pPr>
  </w:style>
  <w:style w:type="character" w:customStyle="1" w:styleId="BodyTextChar">
    <w:name w:val="Body Text Char"/>
    <w:basedOn w:val="DefaultParagraphFont"/>
    <w:link w:val="BodyText"/>
    <w:rsid w:val="00086A9B"/>
  </w:style>
  <w:style w:type="paragraph" w:customStyle="1" w:styleId="DefaultText">
    <w:name w:val="Default Text"/>
    <w:basedOn w:val="Normal"/>
    <w:rsid w:val="00B028B2"/>
    <w:pPr>
      <w:spacing w:before="0" w:beforeAutospacing="0" w:after="0" w:line="240" w:lineRule="auto"/>
    </w:pPr>
    <w:rPr>
      <w:rFonts w:ascii="Times New Roman" w:hAnsi="Times New Roman" w:cs="Times New Roman"/>
      <w:color w:val="auto"/>
      <w:sz w:val="24"/>
      <w:szCs w:val="20"/>
      <w:lang w:val="en-US" w:eastAsia="en-US"/>
    </w:rPr>
  </w:style>
  <w:style w:type="paragraph" w:customStyle="1" w:styleId="ColorfulList-Accent11">
    <w:name w:val="Colorful List - Accent 11"/>
    <w:basedOn w:val="Normal"/>
    <w:rsid w:val="00BF7C30"/>
    <w:pPr>
      <w:spacing w:before="0" w:beforeAutospacing="0" w:after="0" w:line="240" w:lineRule="auto"/>
      <w:ind w:left="720"/>
    </w:pPr>
    <w:rPr>
      <w:rFonts w:ascii="Arial" w:eastAsia="Calibri" w:hAnsi="Arial"/>
      <w:color w:val="auto"/>
      <w:lang w:eastAsia="en-US"/>
    </w:rPr>
  </w:style>
  <w:style w:type="paragraph" w:customStyle="1" w:styleId="Default">
    <w:name w:val="Default"/>
    <w:rsid w:val="009F197B"/>
    <w:pPr>
      <w:autoSpaceDE w:val="0"/>
      <w:autoSpaceDN w:val="0"/>
      <w:adjustRightInd w:val="0"/>
      <w:spacing w:before="0" w:beforeAutospacing="0" w:after="0" w:line="240" w:lineRule="auto"/>
    </w:pPr>
    <w:rPr>
      <w:rFonts w:ascii="Arial" w:hAnsi="Arial"/>
      <w:color w:val="000000"/>
      <w:sz w:val="24"/>
      <w:szCs w:val="24"/>
    </w:rPr>
  </w:style>
  <w:style w:type="table" w:styleId="TableGrid">
    <w:name w:val="Table Grid"/>
    <w:basedOn w:val="TableNormal"/>
    <w:rsid w:val="001C245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rties">
    <w:name w:val="(1) Parties"/>
    <w:basedOn w:val="Normal"/>
    <w:rsid w:val="000D4111"/>
    <w:pPr>
      <w:numPr>
        <w:numId w:val="3"/>
      </w:numPr>
      <w:spacing w:before="120" w:beforeAutospacing="0" w:after="120" w:line="240" w:lineRule="auto"/>
      <w:jc w:val="both"/>
    </w:pPr>
    <w:rPr>
      <w:rFonts w:ascii="Arial" w:hAnsi="Arial" w:cs="Times New Roman"/>
      <w:color w:val="auto"/>
      <w:sz w:val="20"/>
      <w:szCs w:val="20"/>
    </w:rPr>
  </w:style>
  <w:style w:type="paragraph" w:customStyle="1" w:styleId="Scha">
    <w:name w:val="Sch a)"/>
    <w:basedOn w:val="Normal"/>
    <w:rsid w:val="000D4111"/>
    <w:pPr>
      <w:numPr>
        <w:ilvl w:val="1"/>
        <w:numId w:val="3"/>
      </w:numPr>
      <w:spacing w:before="0" w:beforeAutospacing="0" w:after="0" w:line="240" w:lineRule="auto"/>
      <w:jc w:val="both"/>
    </w:pPr>
    <w:rPr>
      <w:rFonts w:ascii="Arial" w:hAnsi="Arial" w:cs="Times New Roman"/>
      <w:color w:val="auto"/>
      <w:sz w:val="20"/>
      <w:szCs w:val="20"/>
    </w:rPr>
  </w:style>
  <w:style w:type="paragraph" w:styleId="TOC4">
    <w:name w:val="toc 4"/>
    <w:basedOn w:val="Normal"/>
    <w:next w:val="Normal"/>
    <w:autoRedefine/>
    <w:uiPriority w:val="39"/>
    <w:unhideWhenUsed/>
    <w:rsid w:val="00DE4ED0"/>
    <w:pPr>
      <w:spacing w:before="0" w:beforeAutospacing="0" w:after="100" w:line="276" w:lineRule="auto"/>
      <w:ind w:left="66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DE4ED0"/>
    <w:pPr>
      <w:spacing w:before="0" w:beforeAutospacing="0" w:after="100" w:line="276" w:lineRule="auto"/>
      <w:ind w:left="88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DE4ED0"/>
    <w:pPr>
      <w:spacing w:before="0" w:beforeAutospacing="0" w:after="100" w:line="276" w:lineRule="auto"/>
      <w:ind w:left="11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DE4ED0"/>
    <w:pPr>
      <w:spacing w:before="0" w:beforeAutospacing="0" w:after="100" w:line="276" w:lineRule="auto"/>
      <w:ind w:left="132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DE4ED0"/>
    <w:pPr>
      <w:spacing w:before="0" w:beforeAutospacing="0" w:after="100" w:line="276" w:lineRule="auto"/>
      <w:ind w:left="154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DE4ED0"/>
    <w:pPr>
      <w:spacing w:before="0" w:beforeAutospacing="0" w:after="100" w:line="276" w:lineRule="auto"/>
      <w:ind w:left="1760"/>
    </w:pPr>
    <w:rPr>
      <w:rFonts w:asciiTheme="minorHAnsi" w:eastAsiaTheme="minorEastAsia" w:hAnsiTheme="minorHAnsi" w:cstheme="minorBidi"/>
      <w:color w:val="auto"/>
    </w:rPr>
  </w:style>
  <w:style w:type="character" w:customStyle="1" w:styleId="Heading1Char">
    <w:name w:val="Heading 1 Char"/>
    <w:aliases w:val="MCheading1 Char"/>
    <w:basedOn w:val="DefaultParagraphFont"/>
    <w:link w:val="Heading1"/>
    <w:rsid w:val="005A55AC"/>
    <w:rPr>
      <w:rFonts w:asciiTheme="minorHAnsi" w:hAnsiTheme="minorHAnsi"/>
      <w:b/>
      <w:color w:val="auto"/>
      <w:sz w:val="24"/>
      <w:szCs w:val="24"/>
    </w:rPr>
  </w:style>
  <w:style w:type="paragraph" w:customStyle="1" w:styleId="ITTnormal">
    <w:name w:val="ITT normal"/>
    <w:basedOn w:val="Normal"/>
    <w:rsid w:val="005A55AC"/>
    <w:pPr>
      <w:autoSpaceDE w:val="0"/>
      <w:autoSpaceDN w:val="0"/>
      <w:adjustRightInd w:val="0"/>
      <w:spacing w:before="60" w:beforeAutospacing="0" w:after="60" w:line="240" w:lineRule="auto"/>
      <w:ind w:left="720"/>
      <w:jc w:val="both"/>
    </w:pPr>
    <w:rPr>
      <w:rFonts w:ascii="Arial" w:eastAsia="Arial" w:hAnsi="Arial"/>
      <w:color w:val="auto"/>
    </w:rPr>
  </w:style>
  <w:style w:type="paragraph" w:customStyle="1" w:styleId="numbered-paragraph">
    <w:name w:val="numbered-paragraph"/>
    <w:basedOn w:val="Normal"/>
    <w:rsid w:val="005A55AC"/>
    <w:pPr>
      <w:spacing w:before="0" w:beforeAutospacing="0" w:after="180" w:line="240" w:lineRule="auto"/>
    </w:pPr>
    <w:rPr>
      <w:rFonts w:ascii="Times New Roman" w:hAnsi="Times New Roman" w:cs="Times New Roman"/>
      <w:color w:val="auto"/>
      <w:sz w:val="24"/>
      <w:szCs w:val="24"/>
    </w:rPr>
  </w:style>
  <w:style w:type="character" w:customStyle="1" w:styleId="paragraph-number">
    <w:name w:val="paragraph-number"/>
    <w:basedOn w:val="DefaultParagraphFont"/>
    <w:rsid w:val="005A55AC"/>
  </w:style>
  <w:style w:type="character" w:customStyle="1" w:styleId="A0">
    <w:name w:val="A0"/>
    <w:uiPriority w:val="99"/>
    <w:rsid w:val="005A55AC"/>
    <w:rPr>
      <w:rFonts w:cs="Times New Roman"/>
      <w:color w:val="221E1F"/>
      <w:sz w:val="22"/>
      <w:szCs w:val="22"/>
    </w:rPr>
  </w:style>
  <w:style w:type="paragraph" w:customStyle="1" w:styleId="CharCharCharCharCharCharChar">
    <w:name w:val="Char Char Char Char Char Char Char"/>
    <w:basedOn w:val="Normal"/>
    <w:rsid w:val="0034311F"/>
    <w:pPr>
      <w:spacing w:before="0" w:beforeAutospacing="0" w:after="160" w:line="240" w:lineRule="exact"/>
    </w:pPr>
    <w:rPr>
      <w:rFonts w:ascii="Verdana" w:hAnsi="Verdana"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6510">
      <w:bodyDiv w:val="1"/>
      <w:marLeft w:val="0"/>
      <w:marRight w:val="0"/>
      <w:marTop w:val="0"/>
      <w:marBottom w:val="0"/>
      <w:divBdr>
        <w:top w:val="none" w:sz="0" w:space="0" w:color="auto"/>
        <w:left w:val="none" w:sz="0" w:space="0" w:color="auto"/>
        <w:bottom w:val="none" w:sz="0" w:space="0" w:color="auto"/>
        <w:right w:val="none" w:sz="0" w:space="0" w:color="auto"/>
      </w:divBdr>
    </w:div>
    <w:div w:id="119764105">
      <w:bodyDiv w:val="1"/>
      <w:marLeft w:val="0"/>
      <w:marRight w:val="0"/>
      <w:marTop w:val="0"/>
      <w:marBottom w:val="0"/>
      <w:divBdr>
        <w:top w:val="none" w:sz="0" w:space="0" w:color="auto"/>
        <w:left w:val="none" w:sz="0" w:space="0" w:color="auto"/>
        <w:bottom w:val="none" w:sz="0" w:space="0" w:color="auto"/>
        <w:right w:val="none" w:sz="0" w:space="0" w:color="auto"/>
      </w:divBdr>
    </w:div>
    <w:div w:id="731393539">
      <w:bodyDiv w:val="1"/>
      <w:marLeft w:val="0"/>
      <w:marRight w:val="0"/>
      <w:marTop w:val="0"/>
      <w:marBottom w:val="0"/>
      <w:divBdr>
        <w:top w:val="none" w:sz="0" w:space="0" w:color="auto"/>
        <w:left w:val="none" w:sz="0" w:space="0" w:color="auto"/>
        <w:bottom w:val="none" w:sz="0" w:space="0" w:color="auto"/>
        <w:right w:val="none" w:sz="0" w:space="0" w:color="auto"/>
      </w:divBdr>
      <w:divsChild>
        <w:div w:id="240531204">
          <w:marLeft w:val="0"/>
          <w:marRight w:val="0"/>
          <w:marTop w:val="0"/>
          <w:marBottom w:val="0"/>
          <w:divBdr>
            <w:top w:val="none" w:sz="0" w:space="0" w:color="auto"/>
            <w:left w:val="none" w:sz="0" w:space="0" w:color="auto"/>
            <w:bottom w:val="none" w:sz="0" w:space="0" w:color="auto"/>
            <w:right w:val="none" w:sz="0" w:space="0" w:color="auto"/>
          </w:divBdr>
          <w:divsChild>
            <w:div w:id="692150212">
              <w:marLeft w:val="0"/>
              <w:marRight w:val="0"/>
              <w:marTop w:val="0"/>
              <w:marBottom w:val="0"/>
              <w:divBdr>
                <w:top w:val="none" w:sz="0" w:space="0" w:color="auto"/>
                <w:left w:val="none" w:sz="0" w:space="0" w:color="auto"/>
                <w:bottom w:val="none" w:sz="0" w:space="0" w:color="auto"/>
                <w:right w:val="none" w:sz="0" w:space="0" w:color="auto"/>
              </w:divBdr>
              <w:divsChild>
                <w:div w:id="527530611">
                  <w:marLeft w:val="0"/>
                  <w:marRight w:val="0"/>
                  <w:marTop w:val="0"/>
                  <w:marBottom w:val="0"/>
                  <w:divBdr>
                    <w:top w:val="none" w:sz="0" w:space="0" w:color="auto"/>
                    <w:left w:val="none" w:sz="0" w:space="0" w:color="auto"/>
                    <w:bottom w:val="none" w:sz="0" w:space="0" w:color="auto"/>
                    <w:right w:val="none" w:sz="0" w:space="0" w:color="auto"/>
                  </w:divBdr>
                  <w:divsChild>
                    <w:div w:id="1228877644">
                      <w:marLeft w:val="0"/>
                      <w:marRight w:val="0"/>
                      <w:marTop w:val="0"/>
                      <w:marBottom w:val="0"/>
                      <w:divBdr>
                        <w:top w:val="none" w:sz="0" w:space="0" w:color="auto"/>
                        <w:left w:val="none" w:sz="0" w:space="0" w:color="auto"/>
                        <w:bottom w:val="none" w:sz="0" w:space="0" w:color="auto"/>
                        <w:right w:val="none" w:sz="0" w:space="0" w:color="auto"/>
                      </w:divBdr>
                      <w:divsChild>
                        <w:div w:id="1845125515">
                          <w:marLeft w:val="0"/>
                          <w:marRight w:val="-30"/>
                          <w:marTop w:val="0"/>
                          <w:marBottom w:val="0"/>
                          <w:divBdr>
                            <w:top w:val="single" w:sz="6" w:space="0" w:color="D9E1E5"/>
                            <w:left w:val="single" w:sz="6" w:space="0" w:color="D9E1E5"/>
                            <w:bottom w:val="single" w:sz="6" w:space="0" w:color="D9E1E5"/>
                            <w:right w:val="single" w:sz="6" w:space="0" w:color="D9E1E5"/>
                          </w:divBdr>
                          <w:divsChild>
                            <w:div w:id="851262324">
                              <w:marLeft w:val="0"/>
                              <w:marRight w:val="0"/>
                              <w:marTop w:val="0"/>
                              <w:marBottom w:val="0"/>
                              <w:divBdr>
                                <w:top w:val="none" w:sz="0" w:space="0" w:color="auto"/>
                                <w:left w:val="none" w:sz="0" w:space="0" w:color="auto"/>
                                <w:bottom w:val="none" w:sz="0" w:space="0" w:color="auto"/>
                                <w:right w:val="none" w:sz="0" w:space="0" w:color="auto"/>
                              </w:divBdr>
                              <w:divsChild>
                                <w:div w:id="1916891182">
                                  <w:marLeft w:val="0"/>
                                  <w:marRight w:val="0"/>
                                  <w:marTop w:val="0"/>
                                  <w:marBottom w:val="0"/>
                                  <w:divBdr>
                                    <w:top w:val="none" w:sz="0" w:space="0" w:color="auto"/>
                                    <w:left w:val="none" w:sz="0" w:space="0" w:color="auto"/>
                                    <w:bottom w:val="none" w:sz="0" w:space="0" w:color="auto"/>
                                    <w:right w:val="none" w:sz="0" w:space="0" w:color="auto"/>
                                  </w:divBdr>
                                  <w:divsChild>
                                    <w:div w:id="693770715">
                                      <w:marLeft w:val="0"/>
                                      <w:marRight w:val="0"/>
                                      <w:marTop w:val="0"/>
                                      <w:marBottom w:val="0"/>
                                      <w:divBdr>
                                        <w:top w:val="none" w:sz="0" w:space="0" w:color="auto"/>
                                        <w:left w:val="single" w:sz="6" w:space="0" w:color="D9E1E5"/>
                                        <w:bottom w:val="none" w:sz="0" w:space="0" w:color="auto"/>
                                        <w:right w:val="none" w:sz="0" w:space="0" w:color="auto"/>
                                      </w:divBdr>
                                      <w:divsChild>
                                        <w:div w:id="1552959511">
                                          <w:marLeft w:val="0"/>
                                          <w:marRight w:val="0"/>
                                          <w:marTop w:val="0"/>
                                          <w:marBottom w:val="0"/>
                                          <w:divBdr>
                                            <w:top w:val="none" w:sz="0" w:space="0" w:color="auto"/>
                                            <w:left w:val="none" w:sz="0" w:space="0" w:color="auto"/>
                                            <w:bottom w:val="none" w:sz="0" w:space="0" w:color="auto"/>
                                            <w:right w:val="none" w:sz="0" w:space="0" w:color="auto"/>
                                          </w:divBdr>
                                          <w:divsChild>
                                            <w:div w:id="1522889308">
                                              <w:marLeft w:val="0"/>
                                              <w:marRight w:val="0"/>
                                              <w:marTop w:val="0"/>
                                              <w:marBottom w:val="0"/>
                                              <w:divBdr>
                                                <w:top w:val="none" w:sz="0" w:space="0" w:color="auto"/>
                                                <w:left w:val="none" w:sz="0" w:space="0" w:color="auto"/>
                                                <w:bottom w:val="none" w:sz="0" w:space="0" w:color="auto"/>
                                                <w:right w:val="none" w:sz="0" w:space="0" w:color="auto"/>
                                              </w:divBdr>
                                              <w:divsChild>
                                                <w:div w:id="7736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803045">
      <w:bodyDiv w:val="1"/>
      <w:marLeft w:val="0"/>
      <w:marRight w:val="0"/>
      <w:marTop w:val="0"/>
      <w:marBottom w:val="0"/>
      <w:divBdr>
        <w:top w:val="none" w:sz="0" w:space="0" w:color="auto"/>
        <w:left w:val="none" w:sz="0" w:space="0" w:color="auto"/>
        <w:bottom w:val="none" w:sz="0" w:space="0" w:color="auto"/>
        <w:right w:val="none" w:sz="0" w:space="0" w:color="auto"/>
      </w:divBdr>
    </w:div>
    <w:div w:id="911502213">
      <w:bodyDiv w:val="1"/>
      <w:marLeft w:val="0"/>
      <w:marRight w:val="0"/>
      <w:marTop w:val="0"/>
      <w:marBottom w:val="0"/>
      <w:divBdr>
        <w:top w:val="none" w:sz="0" w:space="0" w:color="auto"/>
        <w:left w:val="none" w:sz="0" w:space="0" w:color="auto"/>
        <w:bottom w:val="none" w:sz="0" w:space="0" w:color="auto"/>
        <w:right w:val="none" w:sz="0" w:space="0" w:color="auto"/>
      </w:divBdr>
    </w:div>
    <w:div w:id="1781876019">
      <w:bodyDiv w:val="1"/>
      <w:marLeft w:val="0"/>
      <w:marRight w:val="0"/>
      <w:marTop w:val="0"/>
      <w:marBottom w:val="0"/>
      <w:divBdr>
        <w:top w:val="none" w:sz="0" w:space="0" w:color="auto"/>
        <w:left w:val="none" w:sz="0" w:space="0" w:color="auto"/>
        <w:bottom w:val="none" w:sz="0" w:space="0" w:color="auto"/>
        <w:right w:val="none" w:sz="0" w:space="0" w:color="auto"/>
      </w:divBdr>
    </w:div>
    <w:div w:id="18750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96DAB-C0E8-4665-9C71-73E34DD7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7806</Words>
  <Characters>44498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Cumbria Constabulary</Company>
  <LinksUpToDate>false</LinksUpToDate>
  <CharactersWithSpaces>52200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Hodgson, Lisa</dc:creator>
  <cp:lastModifiedBy>Michelle Jessiman</cp:lastModifiedBy>
  <cp:revision>1</cp:revision>
  <cp:lastPrinted>2017-01-11T08:56:00Z</cp:lastPrinted>
  <dcterms:created xsi:type="dcterms:W3CDTF">2017-01-25T14:33:00Z</dcterms:created>
  <dcterms:modified xsi:type="dcterms:W3CDTF">2017-01-25T14:33:00Z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