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2DB206" w14:textId="77777777" w:rsidR="00FE18AC" w:rsidRDefault="00FE18AC" w:rsidP="006501FA">
      <w:pPr>
        <w:pStyle w:val="bodystrongcentred"/>
      </w:pPr>
      <w:r>
        <w:t>CONTENTS</w:t>
      </w:r>
    </w:p>
    <w:p w14:paraId="0A135139" w14:textId="77777777" w:rsidR="00FE18AC" w:rsidRDefault="00FE18AC" w:rsidP="00FE18AC"/>
    <w:p w14:paraId="64078305" w14:textId="77777777" w:rsidR="00A11522"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476157663" w:history="1">
        <w:r w:rsidR="00A11522" w:rsidRPr="00BD3610">
          <w:rPr>
            <w:rStyle w:val="Hyperlink"/>
            <w:noProof/>
          </w:rPr>
          <w:t>1.</w:t>
        </w:r>
        <w:r w:rsidR="00A11522">
          <w:rPr>
            <w:rFonts w:asciiTheme="minorHAnsi" w:eastAsiaTheme="minorEastAsia" w:hAnsiTheme="minorHAnsi" w:cstheme="minorBidi"/>
            <w:caps w:val="0"/>
            <w:noProof/>
            <w:szCs w:val="22"/>
            <w:lang w:eastAsia="en-GB"/>
          </w:rPr>
          <w:tab/>
        </w:r>
        <w:r w:rsidR="00A11522" w:rsidRPr="00BD3610">
          <w:rPr>
            <w:rStyle w:val="Hyperlink"/>
            <w:noProof/>
          </w:rPr>
          <w:t>PURPOSE</w:t>
        </w:r>
        <w:r w:rsidR="00A11522">
          <w:rPr>
            <w:noProof/>
            <w:webHidden/>
          </w:rPr>
          <w:tab/>
        </w:r>
        <w:r w:rsidR="00A11522">
          <w:rPr>
            <w:noProof/>
            <w:webHidden/>
          </w:rPr>
          <w:fldChar w:fldCharType="begin"/>
        </w:r>
        <w:r w:rsidR="00A11522">
          <w:rPr>
            <w:noProof/>
            <w:webHidden/>
          </w:rPr>
          <w:instrText xml:space="preserve"> PAGEREF _Toc476157663 \h </w:instrText>
        </w:r>
        <w:r w:rsidR="00A11522">
          <w:rPr>
            <w:noProof/>
            <w:webHidden/>
          </w:rPr>
        </w:r>
        <w:r w:rsidR="00A11522">
          <w:rPr>
            <w:noProof/>
            <w:webHidden/>
          </w:rPr>
          <w:fldChar w:fldCharType="separate"/>
        </w:r>
        <w:r w:rsidR="00A11522">
          <w:rPr>
            <w:noProof/>
            <w:webHidden/>
          </w:rPr>
          <w:t>2</w:t>
        </w:r>
        <w:r w:rsidR="00A11522">
          <w:rPr>
            <w:noProof/>
            <w:webHidden/>
          </w:rPr>
          <w:fldChar w:fldCharType="end"/>
        </w:r>
      </w:hyperlink>
    </w:p>
    <w:p w14:paraId="0F3A47BD" w14:textId="77777777" w:rsidR="00A11522" w:rsidRDefault="005F6C81">
      <w:pPr>
        <w:pStyle w:val="TOC1"/>
        <w:rPr>
          <w:rFonts w:asciiTheme="minorHAnsi" w:eastAsiaTheme="minorEastAsia" w:hAnsiTheme="minorHAnsi" w:cstheme="minorBidi"/>
          <w:caps w:val="0"/>
          <w:noProof/>
          <w:szCs w:val="22"/>
          <w:lang w:eastAsia="en-GB"/>
        </w:rPr>
      </w:pPr>
      <w:hyperlink w:anchor="_Toc476157664" w:history="1">
        <w:r w:rsidR="00A11522" w:rsidRPr="00BD3610">
          <w:rPr>
            <w:rStyle w:val="Hyperlink"/>
            <w:noProof/>
          </w:rPr>
          <w:t>2.</w:t>
        </w:r>
        <w:r w:rsidR="00A11522">
          <w:rPr>
            <w:rFonts w:asciiTheme="minorHAnsi" w:eastAsiaTheme="minorEastAsia" w:hAnsiTheme="minorHAnsi" w:cstheme="minorBidi"/>
            <w:caps w:val="0"/>
            <w:noProof/>
            <w:szCs w:val="22"/>
            <w:lang w:eastAsia="en-GB"/>
          </w:rPr>
          <w:tab/>
        </w:r>
        <w:r w:rsidR="00A11522" w:rsidRPr="00BD3610">
          <w:rPr>
            <w:rStyle w:val="Hyperlink"/>
            <w:noProof/>
          </w:rPr>
          <w:t>BACKGROUND TO THE CONTRACTING aUTHORITY</w:t>
        </w:r>
        <w:r w:rsidR="00A11522">
          <w:rPr>
            <w:noProof/>
            <w:webHidden/>
          </w:rPr>
          <w:tab/>
        </w:r>
        <w:r w:rsidR="00A11522">
          <w:rPr>
            <w:noProof/>
            <w:webHidden/>
          </w:rPr>
          <w:fldChar w:fldCharType="begin"/>
        </w:r>
        <w:r w:rsidR="00A11522">
          <w:rPr>
            <w:noProof/>
            <w:webHidden/>
          </w:rPr>
          <w:instrText xml:space="preserve"> PAGEREF _Toc476157664 \h </w:instrText>
        </w:r>
        <w:r w:rsidR="00A11522">
          <w:rPr>
            <w:noProof/>
            <w:webHidden/>
          </w:rPr>
        </w:r>
        <w:r w:rsidR="00A11522">
          <w:rPr>
            <w:noProof/>
            <w:webHidden/>
          </w:rPr>
          <w:fldChar w:fldCharType="separate"/>
        </w:r>
        <w:r w:rsidR="00A11522">
          <w:rPr>
            <w:noProof/>
            <w:webHidden/>
          </w:rPr>
          <w:t>2</w:t>
        </w:r>
        <w:r w:rsidR="00A11522">
          <w:rPr>
            <w:noProof/>
            <w:webHidden/>
          </w:rPr>
          <w:fldChar w:fldCharType="end"/>
        </w:r>
      </w:hyperlink>
    </w:p>
    <w:p w14:paraId="49DEC6DF" w14:textId="77777777" w:rsidR="00A11522" w:rsidRDefault="005F6C81">
      <w:pPr>
        <w:pStyle w:val="TOC1"/>
        <w:rPr>
          <w:rFonts w:asciiTheme="minorHAnsi" w:eastAsiaTheme="minorEastAsia" w:hAnsiTheme="minorHAnsi" w:cstheme="minorBidi"/>
          <w:caps w:val="0"/>
          <w:noProof/>
          <w:szCs w:val="22"/>
          <w:lang w:eastAsia="en-GB"/>
        </w:rPr>
      </w:pPr>
      <w:hyperlink w:anchor="_Toc476157665" w:history="1">
        <w:r w:rsidR="00A11522" w:rsidRPr="00BD3610">
          <w:rPr>
            <w:rStyle w:val="Hyperlink"/>
            <w:noProof/>
          </w:rPr>
          <w:t>3.</w:t>
        </w:r>
        <w:r w:rsidR="00A11522">
          <w:rPr>
            <w:rFonts w:asciiTheme="minorHAnsi" w:eastAsiaTheme="minorEastAsia" w:hAnsiTheme="minorHAnsi" w:cstheme="minorBidi"/>
            <w:caps w:val="0"/>
            <w:noProof/>
            <w:szCs w:val="22"/>
            <w:lang w:eastAsia="en-GB"/>
          </w:rPr>
          <w:tab/>
        </w:r>
        <w:r w:rsidR="00A11522" w:rsidRPr="00BD3610">
          <w:rPr>
            <w:rStyle w:val="Hyperlink"/>
            <w:noProof/>
          </w:rPr>
          <w:t>Background to requirement/OVERVIEW of requirement</w:t>
        </w:r>
        <w:r w:rsidR="00A11522">
          <w:rPr>
            <w:noProof/>
            <w:webHidden/>
          </w:rPr>
          <w:tab/>
        </w:r>
        <w:r w:rsidR="00A11522">
          <w:rPr>
            <w:noProof/>
            <w:webHidden/>
          </w:rPr>
          <w:fldChar w:fldCharType="begin"/>
        </w:r>
        <w:r w:rsidR="00A11522">
          <w:rPr>
            <w:noProof/>
            <w:webHidden/>
          </w:rPr>
          <w:instrText xml:space="preserve"> PAGEREF _Toc476157665 \h </w:instrText>
        </w:r>
        <w:r w:rsidR="00A11522">
          <w:rPr>
            <w:noProof/>
            <w:webHidden/>
          </w:rPr>
        </w:r>
        <w:r w:rsidR="00A11522">
          <w:rPr>
            <w:noProof/>
            <w:webHidden/>
          </w:rPr>
          <w:fldChar w:fldCharType="separate"/>
        </w:r>
        <w:r w:rsidR="00A11522">
          <w:rPr>
            <w:noProof/>
            <w:webHidden/>
          </w:rPr>
          <w:t>3</w:t>
        </w:r>
        <w:r w:rsidR="00A11522">
          <w:rPr>
            <w:noProof/>
            <w:webHidden/>
          </w:rPr>
          <w:fldChar w:fldCharType="end"/>
        </w:r>
      </w:hyperlink>
    </w:p>
    <w:p w14:paraId="02802F1C" w14:textId="77777777" w:rsidR="00A11522" w:rsidRDefault="005F6C81">
      <w:pPr>
        <w:pStyle w:val="TOC1"/>
        <w:rPr>
          <w:rFonts w:asciiTheme="minorHAnsi" w:eastAsiaTheme="minorEastAsia" w:hAnsiTheme="minorHAnsi" w:cstheme="minorBidi"/>
          <w:caps w:val="0"/>
          <w:noProof/>
          <w:szCs w:val="22"/>
          <w:lang w:eastAsia="en-GB"/>
        </w:rPr>
      </w:pPr>
      <w:hyperlink w:anchor="_Toc476157666" w:history="1">
        <w:r w:rsidR="00A11522" w:rsidRPr="00BD3610">
          <w:rPr>
            <w:rStyle w:val="Hyperlink"/>
            <w:noProof/>
          </w:rPr>
          <w:t>4.</w:t>
        </w:r>
        <w:r w:rsidR="00A11522">
          <w:rPr>
            <w:rFonts w:asciiTheme="minorHAnsi" w:eastAsiaTheme="minorEastAsia" w:hAnsiTheme="minorHAnsi" w:cstheme="minorBidi"/>
            <w:caps w:val="0"/>
            <w:noProof/>
            <w:szCs w:val="22"/>
            <w:lang w:eastAsia="en-GB"/>
          </w:rPr>
          <w:tab/>
        </w:r>
        <w:r w:rsidR="00A11522" w:rsidRPr="00BD3610">
          <w:rPr>
            <w:rStyle w:val="Hyperlink"/>
            <w:noProof/>
          </w:rPr>
          <w:t>definitions</w:t>
        </w:r>
        <w:r w:rsidR="00A11522">
          <w:rPr>
            <w:noProof/>
            <w:webHidden/>
          </w:rPr>
          <w:tab/>
        </w:r>
        <w:r w:rsidR="00A11522">
          <w:rPr>
            <w:noProof/>
            <w:webHidden/>
          </w:rPr>
          <w:fldChar w:fldCharType="begin"/>
        </w:r>
        <w:r w:rsidR="00A11522">
          <w:rPr>
            <w:noProof/>
            <w:webHidden/>
          </w:rPr>
          <w:instrText xml:space="preserve"> PAGEREF _Toc476157666 \h </w:instrText>
        </w:r>
        <w:r w:rsidR="00A11522">
          <w:rPr>
            <w:noProof/>
            <w:webHidden/>
          </w:rPr>
        </w:r>
        <w:r w:rsidR="00A11522">
          <w:rPr>
            <w:noProof/>
            <w:webHidden/>
          </w:rPr>
          <w:fldChar w:fldCharType="separate"/>
        </w:r>
        <w:r w:rsidR="00A11522">
          <w:rPr>
            <w:noProof/>
            <w:webHidden/>
          </w:rPr>
          <w:t>3</w:t>
        </w:r>
        <w:r w:rsidR="00A11522">
          <w:rPr>
            <w:noProof/>
            <w:webHidden/>
          </w:rPr>
          <w:fldChar w:fldCharType="end"/>
        </w:r>
      </w:hyperlink>
    </w:p>
    <w:p w14:paraId="0A9BED56" w14:textId="77777777" w:rsidR="00A11522" w:rsidRDefault="005F6C81">
      <w:pPr>
        <w:pStyle w:val="TOC1"/>
        <w:rPr>
          <w:rFonts w:asciiTheme="minorHAnsi" w:eastAsiaTheme="minorEastAsia" w:hAnsiTheme="minorHAnsi" w:cstheme="minorBidi"/>
          <w:caps w:val="0"/>
          <w:noProof/>
          <w:szCs w:val="22"/>
          <w:lang w:eastAsia="en-GB"/>
        </w:rPr>
      </w:pPr>
      <w:hyperlink w:anchor="_Toc476157667" w:history="1">
        <w:r w:rsidR="00A11522" w:rsidRPr="00BD3610">
          <w:rPr>
            <w:rStyle w:val="Hyperlink"/>
            <w:noProof/>
          </w:rPr>
          <w:t>5.</w:t>
        </w:r>
        <w:r w:rsidR="00A11522">
          <w:rPr>
            <w:rFonts w:asciiTheme="minorHAnsi" w:eastAsiaTheme="minorEastAsia" w:hAnsiTheme="minorHAnsi" w:cstheme="minorBidi"/>
            <w:caps w:val="0"/>
            <w:noProof/>
            <w:szCs w:val="22"/>
            <w:lang w:eastAsia="en-GB"/>
          </w:rPr>
          <w:tab/>
        </w:r>
        <w:r w:rsidR="00A11522" w:rsidRPr="00BD3610">
          <w:rPr>
            <w:rStyle w:val="Hyperlink"/>
            <w:noProof/>
          </w:rPr>
          <w:t>scope of requirement</w:t>
        </w:r>
        <w:r w:rsidR="00A11522">
          <w:rPr>
            <w:noProof/>
            <w:webHidden/>
          </w:rPr>
          <w:tab/>
        </w:r>
        <w:r w:rsidR="00A11522">
          <w:rPr>
            <w:noProof/>
            <w:webHidden/>
          </w:rPr>
          <w:fldChar w:fldCharType="begin"/>
        </w:r>
        <w:r w:rsidR="00A11522">
          <w:rPr>
            <w:noProof/>
            <w:webHidden/>
          </w:rPr>
          <w:instrText xml:space="preserve"> PAGEREF _Toc476157667 \h </w:instrText>
        </w:r>
        <w:r w:rsidR="00A11522">
          <w:rPr>
            <w:noProof/>
            <w:webHidden/>
          </w:rPr>
        </w:r>
        <w:r w:rsidR="00A11522">
          <w:rPr>
            <w:noProof/>
            <w:webHidden/>
          </w:rPr>
          <w:fldChar w:fldCharType="separate"/>
        </w:r>
        <w:r w:rsidR="00A11522">
          <w:rPr>
            <w:noProof/>
            <w:webHidden/>
          </w:rPr>
          <w:t>4</w:t>
        </w:r>
        <w:r w:rsidR="00A11522">
          <w:rPr>
            <w:noProof/>
            <w:webHidden/>
          </w:rPr>
          <w:fldChar w:fldCharType="end"/>
        </w:r>
      </w:hyperlink>
    </w:p>
    <w:p w14:paraId="1AECBD82" w14:textId="77777777" w:rsidR="00A11522" w:rsidRDefault="005F6C81">
      <w:pPr>
        <w:pStyle w:val="TOC1"/>
        <w:rPr>
          <w:rFonts w:asciiTheme="minorHAnsi" w:eastAsiaTheme="minorEastAsia" w:hAnsiTheme="minorHAnsi" w:cstheme="minorBidi"/>
          <w:caps w:val="0"/>
          <w:noProof/>
          <w:szCs w:val="22"/>
          <w:lang w:eastAsia="en-GB"/>
        </w:rPr>
      </w:pPr>
      <w:hyperlink w:anchor="_Toc476157668" w:history="1">
        <w:r w:rsidR="00A11522" w:rsidRPr="00BD3610">
          <w:rPr>
            <w:rStyle w:val="Hyperlink"/>
            <w:noProof/>
          </w:rPr>
          <w:t>6.</w:t>
        </w:r>
        <w:r w:rsidR="00A11522">
          <w:rPr>
            <w:rFonts w:asciiTheme="minorHAnsi" w:eastAsiaTheme="minorEastAsia" w:hAnsiTheme="minorHAnsi" w:cstheme="minorBidi"/>
            <w:caps w:val="0"/>
            <w:noProof/>
            <w:szCs w:val="22"/>
            <w:lang w:eastAsia="en-GB"/>
          </w:rPr>
          <w:tab/>
        </w:r>
        <w:r w:rsidR="00A11522" w:rsidRPr="00BD3610">
          <w:rPr>
            <w:rStyle w:val="Hyperlink"/>
            <w:noProof/>
          </w:rPr>
          <w:t>The requirement</w:t>
        </w:r>
        <w:r w:rsidR="00A11522">
          <w:rPr>
            <w:noProof/>
            <w:webHidden/>
          </w:rPr>
          <w:tab/>
        </w:r>
        <w:r w:rsidR="00A11522">
          <w:rPr>
            <w:noProof/>
            <w:webHidden/>
          </w:rPr>
          <w:fldChar w:fldCharType="begin"/>
        </w:r>
        <w:r w:rsidR="00A11522">
          <w:rPr>
            <w:noProof/>
            <w:webHidden/>
          </w:rPr>
          <w:instrText xml:space="preserve"> PAGEREF _Toc476157668 \h </w:instrText>
        </w:r>
        <w:r w:rsidR="00A11522">
          <w:rPr>
            <w:noProof/>
            <w:webHidden/>
          </w:rPr>
        </w:r>
        <w:r w:rsidR="00A11522">
          <w:rPr>
            <w:noProof/>
            <w:webHidden/>
          </w:rPr>
          <w:fldChar w:fldCharType="separate"/>
        </w:r>
        <w:r w:rsidR="00A11522">
          <w:rPr>
            <w:noProof/>
            <w:webHidden/>
          </w:rPr>
          <w:t>6</w:t>
        </w:r>
        <w:r w:rsidR="00A11522">
          <w:rPr>
            <w:noProof/>
            <w:webHidden/>
          </w:rPr>
          <w:fldChar w:fldCharType="end"/>
        </w:r>
      </w:hyperlink>
    </w:p>
    <w:p w14:paraId="072EF6B8" w14:textId="77777777" w:rsidR="00A11522" w:rsidRDefault="005F6C81">
      <w:pPr>
        <w:pStyle w:val="TOC1"/>
        <w:rPr>
          <w:rFonts w:asciiTheme="minorHAnsi" w:eastAsiaTheme="minorEastAsia" w:hAnsiTheme="minorHAnsi" w:cstheme="minorBidi"/>
          <w:caps w:val="0"/>
          <w:noProof/>
          <w:szCs w:val="22"/>
          <w:lang w:eastAsia="en-GB"/>
        </w:rPr>
      </w:pPr>
      <w:hyperlink w:anchor="_Toc476157669" w:history="1">
        <w:r w:rsidR="00A11522" w:rsidRPr="00BD3610">
          <w:rPr>
            <w:rStyle w:val="Hyperlink"/>
            <w:noProof/>
          </w:rPr>
          <w:t>7.</w:t>
        </w:r>
        <w:r w:rsidR="00A11522">
          <w:rPr>
            <w:rFonts w:asciiTheme="minorHAnsi" w:eastAsiaTheme="minorEastAsia" w:hAnsiTheme="minorHAnsi" w:cstheme="minorBidi"/>
            <w:caps w:val="0"/>
            <w:noProof/>
            <w:szCs w:val="22"/>
            <w:lang w:eastAsia="en-GB"/>
          </w:rPr>
          <w:tab/>
        </w:r>
        <w:r w:rsidR="00A11522" w:rsidRPr="00BD3610">
          <w:rPr>
            <w:rStyle w:val="Hyperlink"/>
            <w:noProof/>
          </w:rPr>
          <w:t>key milestones</w:t>
        </w:r>
        <w:r w:rsidR="00A11522">
          <w:rPr>
            <w:noProof/>
            <w:webHidden/>
          </w:rPr>
          <w:tab/>
        </w:r>
        <w:r w:rsidR="00A11522">
          <w:rPr>
            <w:noProof/>
            <w:webHidden/>
          </w:rPr>
          <w:fldChar w:fldCharType="begin"/>
        </w:r>
        <w:r w:rsidR="00A11522">
          <w:rPr>
            <w:noProof/>
            <w:webHidden/>
          </w:rPr>
          <w:instrText xml:space="preserve"> PAGEREF _Toc476157669 \h </w:instrText>
        </w:r>
        <w:r w:rsidR="00A11522">
          <w:rPr>
            <w:noProof/>
            <w:webHidden/>
          </w:rPr>
        </w:r>
        <w:r w:rsidR="00A11522">
          <w:rPr>
            <w:noProof/>
            <w:webHidden/>
          </w:rPr>
          <w:fldChar w:fldCharType="separate"/>
        </w:r>
        <w:r w:rsidR="00A11522">
          <w:rPr>
            <w:noProof/>
            <w:webHidden/>
          </w:rPr>
          <w:t>7</w:t>
        </w:r>
        <w:r w:rsidR="00A11522">
          <w:rPr>
            <w:noProof/>
            <w:webHidden/>
          </w:rPr>
          <w:fldChar w:fldCharType="end"/>
        </w:r>
      </w:hyperlink>
    </w:p>
    <w:p w14:paraId="2FBB948C" w14:textId="77777777" w:rsidR="00A11522" w:rsidRDefault="005F6C81">
      <w:pPr>
        <w:pStyle w:val="TOC1"/>
        <w:rPr>
          <w:rFonts w:asciiTheme="minorHAnsi" w:eastAsiaTheme="minorEastAsia" w:hAnsiTheme="minorHAnsi" w:cstheme="minorBidi"/>
          <w:caps w:val="0"/>
          <w:noProof/>
          <w:szCs w:val="22"/>
          <w:lang w:eastAsia="en-GB"/>
        </w:rPr>
      </w:pPr>
      <w:hyperlink w:anchor="_Toc476157670" w:history="1">
        <w:r w:rsidR="00A11522" w:rsidRPr="00BD3610">
          <w:rPr>
            <w:rStyle w:val="Hyperlink"/>
            <w:rFonts w:cs="Arial"/>
            <w:noProof/>
          </w:rPr>
          <w:t>8.</w:t>
        </w:r>
        <w:r w:rsidR="00A11522">
          <w:rPr>
            <w:rFonts w:asciiTheme="minorHAnsi" w:eastAsiaTheme="minorEastAsia" w:hAnsiTheme="minorHAnsi" w:cstheme="minorBidi"/>
            <w:caps w:val="0"/>
            <w:noProof/>
            <w:szCs w:val="22"/>
            <w:lang w:eastAsia="en-GB"/>
          </w:rPr>
          <w:tab/>
        </w:r>
        <w:r w:rsidR="00A11522" w:rsidRPr="00BD3610">
          <w:rPr>
            <w:rStyle w:val="Hyperlink"/>
            <w:rFonts w:cs="Arial"/>
            <w:noProof/>
          </w:rPr>
          <w:t>authority’s responsibilities</w:t>
        </w:r>
        <w:r w:rsidR="00A11522">
          <w:rPr>
            <w:noProof/>
            <w:webHidden/>
          </w:rPr>
          <w:tab/>
        </w:r>
        <w:r w:rsidR="00A11522">
          <w:rPr>
            <w:noProof/>
            <w:webHidden/>
          </w:rPr>
          <w:fldChar w:fldCharType="begin"/>
        </w:r>
        <w:r w:rsidR="00A11522">
          <w:rPr>
            <w:noProof/>
            <w:webHidden/>
          </w:rPr>
          <w:instrText xml:space="preserve"> PAGEREF _Toc476157670 \h </w:instrText>
        </w:r>
        <w:r w:rsidR="00A11522">
          <w:rPr>
            <w:noProof/>
            <w:webHidden/>
          </w:rPr>
        </w:r>
        <w:r w:rsidR="00A11522">
          <w:rPr>
            <w:noProof/>
            <w:webHidden/>
          </w:rPr>
          <w:fldChar w:fldCharType="separate"/>
        </w:r>
        <w:r w:rsidR="00A11522">
          <w:rPr>
            <w:noProof/>
            <w:webHidden/>
          </w:rPr>
          <w:t>8</w:t>
        </w:r>
        <w:r w:rsidR="00A11522">
          <w:rPr>
            <w:noProof/>
            <w:webHidden/>
          </w:rPr>
          <w:fldChar w:fldCharType="end"/>
        </w:r>
      </w:hyperlink>
    </w:p>
    <w:p w14:paraId="4A3E9AAF" w14:textId="77777777" w:rsidR="00A11522" w:rsidRDefault="005F6C81">
      <w:pPr>
        <w:pStyle w:val="TOC1"/>
        <w:rPr>
          <w:rFonts w:asciiTheme="minorHAnsi" w:eastAsiaTheme="minorEastAsia" w:hAnsiTheme="minorHAnsi" w:cstheme="minorBidi"/>
          <w:caps w:val="0"/>
          <w:noProof/>
          <w:szCs w:val="22"/>
          <w:lang w:eastAsia="en-GB"/>
        </w:rPr>
      </w:pPr>
      <w:hyperlink w:anchor="_Toc476157671" w:history="1">
        <w:r w:rsidR="00A11522" w:rsidRPr="00BD3610">
          <w:rPr>
            <w:rStyle w:val="Hyperlink"/>
            <w:rFonts w:cs="Arial"/>
            <w:noProof/>
          </w:rPr>
          <w:t>9.</w:t>
        </w:r>
        <w:r w:rsidR="00A11522">
          <w:rPr>
            <w:rFonts w:asciiTheme="minorHAnsi" w:eastAsiaTheme="minorEastAsia" w:hAnsiTheme="minorHAnsi" w:cstheme="minorBidi"/>
            <w:caps w:val="0"/>
            <w:noProof/>
            <w:szCs w:val="22"/>
            <w:lang w:eastAsia="en-GB"/>
          </w:rPr>
          <w:tab/>
        </w:r>
        <w:r w:rsidR="00A11522" w:rsidRPr="00BD3610">
          <w:rPr>
            <w:rStyle w:val="Hyperlink"/>
            <w:rFonts w:cs="Arial"/>
            <w:noProof/>
          </w:rPr>
          <w:t>reporting</w:t>
        </w:r>
        <w:r w:rsidR="00A11522">
          <w:rPr>
            <w:noProof/>
            <w:webHidden/>
          </w:rPr>
          <w:tab/>
        </w:r>
        <w:r w:rsidR="00A11522">
          <w:rPr>
            <w:noProof/>
            <w:webHidden/>
          </w:rPr>
          <w:fldChar w:fldCharType="begin"/>
        </w:r>
        <w:r w:rsidR="00A11522">
          <w:rPr>
            <w:noProof/>
            <w:webHidden/>
          </w:rPr>
          <w:instrText xml:space="preserve"> PAGEREF _Toc476157671 \h </w:instrText>
        </w:r>
        <w:r w:rsidR="00A11522">
          <w:rPr>
            <w:noProof/>
            <w:webHidden/>
          </w:rPr>
        </w:r>
        <w:r w:rsidR="00A11522">
          <w:rPr>
            <w:noProof/>
            <w:webHidden/>
          </w:rPr>
          <w:fldChar w:fldCharType="separate"/>
        </w:r>
        <w:r w:rsidR="00A11522">
          <w:rPr>
            <w:noProof/>
            <w:webHidden/>
          </w:rPr>
          <w:t>8</w:t>
        </w:r>
        <w:r w:rsidR="00A11522">
          <w:rPr>
            <w:noProof/>
            <w:webHidden/>
          </w:rPr>
          <w:fldChar w:fldCharType="end"/>
        </w:r>
      </w:hyperlink>
    </w:p>
    <w:p w14:paraId="5EC10945" w14:textId="77777777" w:rsidR="00A11522" w:rsidRDefault="005F6C81">
      <w:pPr>
        <w:pStyle w:val="TOC1"/>
        <w:rPr>
          <w:rFonts w:asciiTheme="minorHAnsi" w:eastAsiaTheme="minorEastAsia" w:hAnsiTheme="minorHAnsi" w:cstheme="minorBidi"/>
          <w:caps w:val="0"/>
          <w:noProof/>
          <w:szCs w:val="22"/>
          <w:lang w:eastAsia="en-GB"/>
        </w:rPr>
      </w:pPr>
      <w:hyperlink w:anchor="_Toc476157672" w:history="1">
        <w:r w:rsidR="00A11522" w:rsidRPr="00BD3610">
          <w:rPr>
            <w:rStyle w:val="Hyperlink"/>
            <w:rFonts w:cs="Arial"/>
            <w:noProof/>
          </w:rPr>
          <w:t>10.</w:t>
        </w:r>
        <w:r w:rsidR="00A11522">
          <w:rPr>
            <w:rFonts w:asciiTheme="minorHAnsi" w:eastAsiaTheme="minorEastAsia" w:hAnsiTheme="minorHAnsi" w:cstheme="minorBidi"/>
            <w:caps w:val="0"/>
            <w:noProof/>
            <w:szCs w:val="22"/>
            <w:lang w:eastAsia="en-GB"/>
          </w:rPr>
          <w:tab/>
        </w:r>
        <w:r w:rsidR="00A11522" w:rsidRPr="00BD3610">
          <w:rPr>
            <w:rStyle w:val="Hyperlink"/>
            <w:rFonts w:cs="Arial"/>
            <w:noProof/>
          </w:rPr>
          <w:t>volumes</w:t>
        </w:r>
        <w:r w:rsidR="00A11522">
          <w:rPr>
            <w:noProof/>
            <w:webHidden/>
          </w:rPr>
          <w:tab/>
        </w:r>
        <w:r w:rsidR="00A11522">
          <w:rPr>
            <w:noProof/>
            <w:webHidden/>
          </w:rPr>
          <w:fldChar w:fldCharType="begin"/>
        </w:r>
        <w:r w:rsidR="00A11522">
          <w:rPr>
            <w:noProof/>
            <w:webHidden/>
          </w:rPr>
          <w:instrText xml:space="preserve"> PAGEREF _Toc476157672 \h </w:instrText>
        </w:r>
        <w:r w:rsidR="00A11522">
          <w:rPr>
            <w:noProof/>
            <w:webHidden/>
          </w:rPr>
        </w:r>
        <w:r w:rsidR="00A11522">
          <w:rPr>
            <w:noProof/>
            <w:webHidden/>
          </w:rPr>
          <w:fldChar w:fldCharType="separate"/>
        </w:r>
        <w:r w:rsidR="00A11522">
          <w:rPr>
            <w:noProof/>
            <w:webHidden/>
          </w:rPr>
          <w:t>8</w:t>
        </w:r>
        <w:r w:rsidR="00A11522">
          <w:rPr>
            <w:noProof/>
            <w:webHidden/>
          </w:rPr>
          <w:fldChar w:fldCharType="end"/>
        </w:r>
      </w:hyperlink>
    </w:p>
    <w:p w14:paraId="2E8D8E8F" w14:textId="77777777" w:rsidR="00A11522" w:rsidRDefault="005F6C81">
      <w:pPr>
        <w:pStyle w:val="TOC1"/>
        <w:rPr>
          <w:rFonts w:asciiTheme="minorHAnsi" w:eastAsiaTheme="minorEastAsia" w:hAnsiTheme="minorHAnsi" w:cstheme="minorBidi"/>
          <w:caps w:val="0"/>
          <w:noProof/>
          <w:szCs w:val="22"/>
          <w:lang w:eastAsia="en-GB"/>
        </w:rPr>
      </w:pPr>
      <w:hyperlink w:anchor="_Toc476157673" w:history="1">
        <w:r w:rsidR="00A11522" w:rsidRPr="00BD3610">
          <w:rPr>
            <w:rStyle w:val="Hyperlink"/>
            <w:rFonts w:cs="Arial"/>
            <w:noProof/>
          </w:rPr>
          <w:t>11.</w:t>
        </w:r>
        <w:r w:rsidR="00A11522">
          <w:rPr>
            <w:rFonts w:asciiTheme="minorHAnsi" w:eastAsiaTheme="minorEastAsia" w:hAnsiTheme="minorHAnsi" w:cstheme="minorBidi"/>
            <w:caps w:val="0"/>
            <w:noProof/>
            <w:szCs w:val="22"/>
            <w:lang w:eastAsia="en-GB"/>
          </w:rPr>
          <w:tab/>
        </w:r>
        <w:r w:rsidR="00A11522" w:rsidRPr="00BD3610">
          <w:rPr>
            <w:rStyle w:val="Hyperlink"/>
            <w:rFonts w:cs="Arial"/>
            <w:noProof/>
          </w:rPr>
          <w:t>continuous improvement</w:t>
        </w:r>
        <w:r w:rsidR="00A11522">
          <w:rPr>
            <w:noProof/>
            <w:webHidden/>
          </w:rPr>
          <w:tab/>
        </w:r>
        <w:r w:rsidR="00A11522">
          <w:rPr>
            <w:noProof/>
            <w:webHidden/>
          </w:rPr>
          <w:fldChar w:fldCharType="begin"/>
        </w:r>
        <w:r w:rsidR="00A11522">
          <w:rPr>
            <w:noProof/>
            <w:webHidden/>
          </w:rPr>
          <w:instrText xml:space="preserve"> PAGEREF _Toc476157673 \h </w:instrText>
        </w:r>
        <w:r w:rsidR="00A11522">
          <w:rPr>
            <w:noProof/>
            <w:webHidden/>
          </w:rPr>
        </w:r>
        <w:r w:rsidR="00A11522">
          <w:rPr>
            <w:noProof/>
            <w:webHidden/>
          </w:rPr>
          <w:fldChar w:fldCharType="separate"/>
        </w:r>
        <w:r w:rsidR="00A11522">
          <w:rPr>
            <w:noProof/>
            <w:webHidden/>
          </w:rPr>
          <w:t>8</w:t>
        </w:r>
        <w:r w:rsidR="00A11522">
          <w:rPr>
            <w:noProof/>
            <w:webHidden/>
          </w:rPr>
          <w:fldChar w:fldCharType="end"/>
        </w:r>
      </w:hyperlink>
    </w:p>
    <w:p w14:paraId="07A2CC69" w14:textId="77777777" w:rsidR="00A11522" w:rsidRDefault="005F6C81">
      <w:pPr>
        <w:pStyle w:val="TOC1"/>
        <w:rPr>
          <w:rFonts w:asciiTheme="minorHAnsi" w:eastAsiaTheme="minorEastAsia" w:hAnsiTheme="minorHAnsi" w:cstheme="minorBidi"/>
          <w:caps w:val="0"/>
          <w:noProof/>
          <w:szCs w:val="22"/>
          <w:lang w:eastAsia="en-GB"/>
        </w:rPr>
      </w:pPr>
      <w:hyperlink w:anchor="_Toc476157674" w:history="1">
        <w:r w:rsidR="00A11522" w:rsidRPr="00BD3610">
          <w:rPr>
            <w:rStyle w:val="Hyperlink"/>
            <w:noProof/>
          </w:rPr>
          <w:t>12.</w:t>
        </w:r>
        <w:r w:rsidR="00A11522">
          <w:rPr>
            <w:rFonts w:asciiTheme="minorHAnsi" w:eastAsiaTheme="minorEastAsia" w:hAnsiTheme="minorHAnsi" w:cstheme="minorBidi"/>
            <w:caps w:val="0"/>
            <w:noProof/>
            <w:szCs w:val="22"/>
            <w:lang w:eastAsia="en-GB"/>
          </w:rPr>
          <w:tab/>
        </w:r>
        <w:r w:rsidR="00A11522" w:rsidRPr="00BD3610">
          <w:rPr>
            <w:rStyle w:val="Hyperlink"/>
            <w:noProof/>
          </w:rPr>
          <w:t>Sustainability</w:t>
        </w:r>
        <w:r w:rsidR="00A11522">
          <w:rPr>
            <w:noProof/>
            <w:webHidden/>
          </w:rPr>
          <w:tab/>
        </w:r>
        <w:r w:rsidR="00A11522">
          <w:rPr>
            <w:noProof/>
            <w:webHidden/>
          </w:rPr>
          <w:fldChar w:fldCharType="begin"/>
        </w:r>
        <w:r w:rsidR="00A11522">
          <w:rPr>
            <w:noProof/>
            <w:webHidden/>
          </w:rPr>
          <w:instrText xml:space="preserve"> PAGEREF _Toc476157674 \h </w:instrText>
        </w:r>
        <w:r w:rsidR="00A11522">
          <w:rPr>
            <w:noProof/>
            <w:webHidden/>
          </w:rPr>
        </w:r>
        <w:r w:rsidR="00A11522">
          <w:rPr>
            <w:noProof/>
            <w:webHidden/>
          </w:rPr>
          <w:fldChar w:fldCharType="separate"/>
        </w:r>
        <w:r w:rsidR="00A11522">
          <w:rPr>
            <w:noProof/>
            <w:webHidden/>
          </w:rPr>
          <w:t>8</w:t>
        </w:r>
        <w:r w:rsidR="00A11522">
          <w:rPr>
            <w:noProof/>
            <w:webHidden/>
          </w:rPr>
          <w:fldChar w:fldCharType="end"/>
        </w:r>
      </w:hyperlink>
    </w:p>
    <w:p w14:paraId="0B887E10" w14:textId="77777777" w:rsidR="00A11522" w:rsidRDefault="005F6C81">
      <w:pPr>
        <w:pStyle w:val="TOC1"/>
        <w:rPr>
          <w:rFonts w:asciiTheme="minorHAnsi" w:eastAsiaTheme="minorEastAsia" w:hAnsiTheme="minorHAnsi" w:cstheme="minorBidi"/>
          <w:caps w:val="0"/>
          <w:noProof/>
          <w:szCs w:val="22"/>
          <w:lang w:eastAsia="en-GB"/>
        </w:rPr>
      </w:pPr>
      <w:hyperlink w:anchor="_Toc476157675" w:history="1">
        <w:r w:rsidR="00A11522" w:rsidRPr="00BD3610">
          <w:rPr>
            <w:rStyle w:val="Hyperlink"/>
            <w:rFonts w:cs="Arial"/>
            <w:noProof/>
          </w:rPr>
          <w:t>13.</w:t>
        </w:r>
        <w:r w:rsidR="00A11522">
          <w:rPr>
            <w:rFonts w:asciiTheme="minorHAnsi" w:eastAsiaTheme="minorEastAsia" w:hAnsiTheme="minorHAnsi" w:cstheme="minorBidi"/>
            <w:caps w:val="0"/>
            <w:noProof/>
            <w:szCs w:val="22"/>
            <w:lang w:eastAsia="en-GB"/>
          </w:rPr>
          <w:tab/>
        </w:r>
        <w:r w:rsidR="00A11522" w:rsidRPr="00BD3610">
          <w:rPr>
            <w:rStyle w:val="Hyperlink"/>
            <w:rFonts w:cs="Arial"/>
            <w:noProof/>
          </w:rPr>
          <w:t>quality</w:t>
        </w:r>
        <w:r w:rsidR="00A11522">
          <w:rPr>
            <w:noProof/>
            <w:webHidden/>
          </w:rPr>
          <w:tab/>
        </w:r>
        <w:r w:rsidR="00A11522">
          <w:rPr>
            <w:noProof/>
            <w:webHidden/>
          </w:rPr>
          <w:fldChar w:fldCharType="begin"/>
        </w:r>
        <w:r w:rsidR="00A11522">
          <w:rPr>
            <w:noProof/>
            <w:webHidden/>
          </w:rPr>
          <w:instrText xml:space="preserve"> PAGEREF _Toc476157675 \h </w:instrText>
        </w:r>
        <w:r w:rsidR="00A11522">
          <w:rPr>
            <w:noProof/>
            <w:webHidden/>
          </w:rPr>
        </w:r>
        <w:r w:rsidR="00A11522">
          <w:rPr>
            <w:noProof/>
            <w:webHidden/>
          </w:rPr>
          <w:fldChar w:fldCharType="separate"/>
        </w:r>
        <w:r w:rsidR="00A11522">
          <w:rPr>
            <w:noProof/>
            <w:webHidden/>
          </w:rPr>
          <w:t>9</w:t>
        </w:r>
        <w:r w:rsidR="00A11522">
          <w:rPr>
            <w:noProof/>
            <w:webHidden/>
          </w:rPr>
          <w:fldChar w:fldCharType="end"/>
        </w:r>
      </w:hyperlink>
    </w:p>
    <w:p w14:paraId="0E58DBD8" w14:textId="77777777" w:rsidR="00A11522" w:rsidRDefault="005F6C81">
      <w:pPr>
        <w:pStyle w:val="TOC1"/>
        <w:rPr>
          <w:rFonts w:asciiTheme="minorHAnsi" w:eastAsiaTheme="minorEastAsia" w:hAnsiTheme="minorHAnsi" w:cstheme="minorBidi"/>
          <w:caps w:val="0"/>
          <w:noProof/>
          <w:szCs w:val="22"/>
          <w:lang w:eastAsia="en-GB"/>
        </w:rPr>
      </w:pPr>
      <w:hyperlink w:anchor="_Toc476157676" w:history="1">
        <w:r w:rsidR="00A11522" w:rsidRPr="00BD3610">
          <w:rPr>
            <w:rStyle w:val="Hyperlink"/>
            <w:rFonts w:cs="Arial"/>
            <w:noProof/>
          </w:rPr>
          <w:t>14.</w:t>
        </w:r>
        <w:r w:rsidR="00A11522">
          <w:rPr>
            <w:rFonts w:asciiTheme="minorHAnsi" w:eastAsiaTheme="minorEastAsia" w:hAnsiTheme="minorHAnsi" w:cstheme="minorBidi"/>
            <w:caps w:val="0"/>
            <w:noProof/>
            <w:szCs w:val="22"/>
            <w:lang w:eastAsia="en-GB"/>
          </w:rPr>
          <w:tab/>
        </w:r>
        <w:r w:rsidR="00A11522" w:rsidRPr="00BD3610">
          <w:rPr>
            <w:rStyle w:val="Hyperlink"/>
            <w:rFonts w:cs="Arial"/>
            <w:noProof/>
          </w:rPr>
          <w:t>PRICE</w:t>
        </w:r>
        <w:r w:rsidR="00A11522">
          <w:rPr>
            <w:noProof/>
            <w:webHidden/>
          </w:rPr>
          <w:tab/>
        </w:r>
        <w:r w:rsidR="00A11522">
          <w:rPr>
            <w:noProof/>
            <w:webHidden/>
          </w:rPr>
          <w:fldChar w:fldCharType="begin"/>
        </w:r>
        <w:r w:rsidR="00A11522">
          <w:rPr>
            <w:noProof/>
            <w:webHidden/>
          </w:rPr>
          <w:instrText xml:space="preserve"> PAGEREF _Toc476157676 \h </w:instrText>
        </w:r>
        <w:r w:rsidR="00A11522">
          <w:rPr>
            <w:noProof/>
            <w:webHidden/>
          </w:rPr>
        </w:r>
        <w:r w:rsidR="00A11522">
          <w:rPr>
            <w:noProof/>
            <w:webHidden/>
          </w:rPr>
          <w:fldChar w:fldCharType="separate"/>
        </w:r>
        <w:r w:rsidR="00A11522">
          <w:rPr>
            <w:noProof/>
            <w:webHidden/>
          </w:rPr>
          <w:t>9</w:t>
        </w:r>
        <w:r w:rsidR="00A11522">
          <w:rPr>
            <w:noProof/>
            <w:webHidden/>
          </w:rPr>
          <w:fldChar w:fldCharType="end"/>
        </w:r>
      </w:hyperlink>
    </w:p>
    <w:p w14:paraId="01F6B182" w14:textId="77777777" w:rsidR="00A11522" w:rsidRDefault="005F6C81">
      <w:pPr>
        <w:pStyle w:val="TOC1"/>
        <w:rPr>
          <w:rFonts w:asciiTheme="minorHAnsi" w:eastAsiaTheme="minorEastAsia" w:hAnsiTheme="minorHAnsi" w:cstheme="minorBidi"/>
          <w:caps w:val="0"/>
          <w:noProof/>
          <w:szCs w:val="22"/>
          <w:lang w:eastAsia="en-GB"/>
        </w:rPr>
      </w:pPr>
      <w:hyperlink w:anchor="_Toc476157677" w:history="1">
        <w:r w:rsidR="00A11522" w:rsidRPr="00BD3610">
          <w:rPr>
            <w:rStyle w:val="Hyperlink"/>
            <w:rFonts w:cs="Arial"/>
            <w:noProof/>
          </w:rPr>
          <w:t>15.</w:t>
        </w:r>
        <w:r w:rsidR="00A11522">
          <w:rPr>
            <w:rFonts w:asciiTheme="minorHAnsi" w:eastAsiaTheme="minorEastAsia" w:hAnsiTheme="minorHAnsi" w:cstheme="minorBidi"/>
            <w:caps w:val="0"/>
            <w:noProof/>
            <w:szCs w:val="22"/>
            <w:lang w:eastAsia="en-GB"/>
          </w:rPr>
          <w:tab/>
        </w:r>
        <w:r w:rsidR="00A11522" w:rsidRPr="00BD3610">
          <w:rPr>
            <w:rStyle w:val="Hyperlink"/>
            <w:rFonts w:cs="Arial"/>
            <w:noProof/>
          </w:rPr>
          <w:t>STAFF AND CUSTOMER SERVICE</w:t>
        </w:r>
        <w:r w:rsidR="00A11522">
          <w:rPr>
            <w:noProof/>
            <w:webHidden/>
          </w:rPr>
          <w:tab/>
        </w:r>
        <w:r w:rsidR="00A11522">
          <w:rPr>
            <w:noProof/>
            <w:webHidden/>
          </w:rPr>
          <w:fldChar w:fldCharType="begin"/>
        </w:r>
        <w:r w:rsidR="00A11522">
          <w:rPr>
            <w:noProof/>
            <w:webHidden/>
          </w:rPr>
          <w:instrText xml:space="preserve"> PAGEREF _Toc476157677 \h </w:instrText>
        </w:r>
        <w:r w:rsidR="00A11522">
          <w:rPr>
            <w:noProof/>
            <w:webHidden/>
          </w:rPr>
        </w:r>
        <w:r w:rsidR="00A11522">
          <w:rPr>
            <w:noProof/>
            <w:webHidden/>
          </w:rPr>
          <w:fldChar w:fldCharType="separate"/>
        </w:r>
        <w:r w:rsidR="00A11522">
          <w:rPr>
            <w:noProof/>
            <w:webHidden/>
          </w:rPr>
          <w:t>9</w:t>
        </w:r>
        <w:r w:rsidR="00A11522">
          <w:rPr>
            <w:noProof/>
            <w:webHidden/>
          </w:rPr>
          <w:fldChar w:fldCharType="end"/>
        </w:r>
      </w:hyperlink>
    </w:p>
    <w:p w14:paraId="70047901" w14:textId="77777777" w:rsidR="00A11522" w:rsidRDefault="005F6C81">
      <w:pPr>
        <w:pStyle w:val="TOC1"/>
        <w:rPr>
          <w:rFonts w:asciiTheme="minorHAnsi" w:eastAsiaTheme="minorEastAsia" w:hAnsiTheme="minorHAnsi" w:cstheme="minorBidi"/>
          <w:caps w:val="0"/>
          <w:noProof/>
          <w:szCs w:val="22"/>
          <w:lang w:eastAsia="en-GB"/>
        </w:rPr>
      </w:pPr>
      <w:hyperlink w:anchor="_Toc476157678" w:history="1">
        <w:r w:rsidR="00A11522" w:rsidRPr="00BD3610">
          <w:rPr>
            <w:rStyle w:val="Hyperlink"/>
            <w:rFonts w:cs="Arial"/>
            <w:noProof/>
          </w:rPr>
          <w:t>16.</w:t>
        </w:r>
        <w:r w:rsidR="00A11522">
          <w:rPr>
            <w:rFonts w:asciiTheme="minorHAnsi" w:eastAsiaTheme="minorEastAsia" w:hAnsiTheme="minorHAnsi" w:cstheme="minorBidi"/>
            <w:caps w:val="0"/>
            <w:noProof/>
            <w:szCs w:val="22"/>
            <w:lang w:eastAsia="en-GB"/>
          </w:rPr>
          <w:tab/>
        </w:r>
        <w:r w:rsidR="00A11522" w:rsidRPr="00BD3610">
          <w:rPr>
            <w:rStyle w:val="Hyperlink"/>
            <w:rFonts w:cs="Arial"/>
            <w:noProof/>
          </w:rPr>
          <w:t>service levels and performance</w:t>
        </w:r>
        <w:r w:rsidR="00A11522">
          <w:rPr>
            <w:noProof/>
            <w:webHidden/>
          </w:rPr>
          <w:tab/>
        </w:r>
        <w:r w:rsidR="00A11522">
          <w:rPr>
            <w:noProof/>
            <w:webHidden/>
          </w:rPr>
          <w:fldChar w:fldCharType="begin"/>
        </w:r>
        <w:r w:rsidR="00A11522">
          <w:rPr>
            <w:noProof/>
            <w:webHidden/>
          </w:rPr>
          <w:instrText xml:space="preserve"> PAGEREF _Toc476157678 \h </w:instrText>
        </w:r>
        <w:r w:rsidR="00A11522">
          <w:rPr>
            <w:noProof/>
            <w:webHidden/>
          </w:rPr>
        </w:r>
        <w:r w:rsidR="00A11522">
          <w:rPr>
            <w:noProof/>
            <w:webHidden/>
          </w:rPr>
          <w:fldChar w:fldCharType="separate"/>
        </w:r>
        <w:r w:rsidR="00A11522">
          <w:rPr>
            <w:noProof/>
            <w:webHidden/>
          </w:rPr>
          <w:t>9</w:t>
        </w:r>
        <w:r w:rsidR="00A11522">
          <w:rPr>
            <w:noProof/>
            <w:webHidden/>
          </w:rPr>
          <w:fldChar w:fldCharType="end"/>
        </w:r>
      </w:hyperlink>
    </w:p>
    <w:p w14:paraId="76A2FEB8" w14:textId="77777777" w:rsidR="00A11522" w:rsidRDefault="005F6C81">
      <w:pPr>
        <w:pStyle w:val="TOC1"/>
        <w:rPr>
          <w:rFonts w:asciiTheme="minorHAnsi" w:eastAsiaTheme="minorEastAsia" w:hAnsiTheme="minorHAnsi" w:cstheme="minorBidi"/>
          <w:caps w:val="0"/>
          <w:noProof/>
          <w:szCs w:val="22"/>
          <w:lang w:eastAsia="en-GB"/>
        </w:rPr>
      </w:pPr>
      <w:hyperlink w:anchor="_Toc476157679" w:history="1">
        <w:r w:rsidR="00A11522" w:rsidRPr="00BD3610">
          <w:rPr>
            <w:rStyle w:val="Hyperlink"/>
            <w:noProof/>
          </w:rPr>
          <w:t>17.</w:t>
        </w:r>
        <w:r w:rsidR="00A11522">
          <w:rPr>
            <w:rFonts w:asciiTheme="minorHAnsi" w:eastAsiaTheme="minorEastAsia" w:hAnsiTheme="minorHAnsi" w:cstheme="minorBidi"/>
            <w:caps w:val="0"/>
            <w:noProof/>
            <w:szCs w:val="22"/>
            <w:lang w:eastAsia="en-GB"/>
          </w:rPr>
          <w:tab/>
        </w:r>
        <w:r w:rsidR="00A11522" w:rsidRPr="00BD3610">
          <w:rPr>
            <w:rStyle w:val="Hyperlink"/>
            <w:noProof/>
          </w:rPr>
          <w:t>Security requirements</w:t>
        </w:r>
        <w:r w:rsidR="00A11522">
          <w:rPr>
            <w:noProof/>
            <w:webHidden/>
          </w:rPr>
          <w:tab/>
        </w:r>
        <w:r w:rsidR="00A11522">
          <w:rPr>
            <w:noProof/>
            <w:webHidden/>
          </w:rPr>
          <w:fldChar w:fldCharType="begin"/>
        </w:r>
        <w:r w:rsidR="00A11522">
          <w:rPr>
            <w:noProof/>
            <w:webHidden/>
          </w:rPr>
          <w:instrText xml:space="preserve"> PAGEREF _Toc476157679 \h </w:instrText>
        </w:r>
        <w:r w:rsidR="00A11522">
          <w:rPr>
            <w:noProof/>
            <w:webHidden/>
          </w:rPr>
        </w:r>
        <w:r w:rsidR="00A11522">
          <w:rPr>
            <w:noProof/>
            <w:webHidden/>
          </w:rPr>
          <w:fldChar w:fldCharType="separate"/>
        </w:r>
        <w:r w:rsidR="00A11522">
          <w:rPr>
            <w:noProof/>
            <w:webHidden/>
          </w:rPr>
          <w:t>13</w:t>
        </w:r>
        <w:r w:rsidR="00A11522">
          <w:rPr>
            <w:noProof/>
            <w:webHidden/>
          </w:rPr>
          <w:fldChar w:fldCharType="end"/>
        </w:r>
      </w:hyperlink>
    </w:p>
    <w:p w14:paraId="6612C437" w14:textId="77777777" w:rsidR="00A11522" w:rsidRDefault="005F6C81">
      <w:pPr>
        <w:pStyle w:val="TOC1"/>
        <w:rPr>
          <w:rFonts w:asciiTheme="minorHAnsi" w:eastAsiaTheme="minorEastAsia" w:hAnsiTheme="minorHAnsi" w:cstheme="minorBidi"/>
          <w:caps w:val="0"/>
          <w:noProof/>
          <w:szCs w:val="22"/>
          <w:lang w:eastAsia="en-GB"/>
        </w:rPr>
      </w:pPr>
      <w:hyperlink w:anchor="_Toc476157680" w:history="1">
        <w:r w:rsidR="00A11522" w:rsidRPr="00BD3610">
          <w:rPr>
            <w:rStyle w:val="Hyperlink"/>
            <w:rFonts w:cs="Arial"/>
            <w:noProof/>
          </w:rPr>
          <w:t>18.</w:t>
        </w:r>
        <w:r w:rsidR="00A11522">
          <w:rPr>
            <w:rFonts w:asciiTheme="minorHAnsi" w:eastAsiaTheme="minorEastAsia" w:hAnsiTheme="minorHAnsi" w:cstheme="minorBidi"/>
            <w:caps w:val="0"/>
            <w:noProof/>
            <w:szCs w:val="22"/>
            <w:lang w:eastAsia="en-GB"/>
          </w:rPr>
          <w:tab/>
        </w:r>
        <w:r w:rsidR="00A11522" w:rsidRPr="00BD3610">
          <w:rPr>
            <w:rStyle w:val="Hyperlink"/>
            <w:rFonts w:cs="Arial"/>
            <w:noProof/>
          </w:rPr>
          <w:t>intellectual property rights (ipr)</w:t>
        </w:r>
        <w:r w:rsidR="00A11522">
          <w:rPr>
            <w:noProof/>
            <w:webHidden/>
          </w:rPr>
          <w:tab/>
        </w:r>
        <w:r w:rsidR="00A11522">
          <w:rPr>
            <w:noProof/>
            <w:webHidden/>
          </w:rPr>
          <w:fldChar w:fldCharType="begin"/>
        </w:r>
        <w:r w:rsidR="00A11522">
          <w:rPr>
            <w:noProof/>
            <w:webHidden/>
          </w:rPr>
          <w:instrText xml:space="preserve"> PAGEREF _Toc476157680 \h </w:instrText>
        </w:r>
        <w:r w:rsidR="00A11522">
          <w:rPr>
            <w:noProof/>
            <w:webHidden/>
          </w:rPr>
        </w:r>
        <w:r w:rsidR="00A11522">
          <w:rPr>
            <w:noProof/>
            <w:webHidden/>
          </w:rPr>
          <w:fldChar w:fldCharType="separate"/>
        </w:r>
        <w:r w:rsidR="00A11522">
          <w:rPr>
            <w:noProof/>
            <w:webHidden/>
          </w:rPr>
          <w:t>13</w:t>
        </w:r>
        <w:r w:rsidR="00A11522">
          <w:rPr>
            <w:noProof/>
            <w:webHidden/>
          </w:rPr>
          <w:fldChar w:fldCharType="end"/>
        </w:r>
      </w:hyperlink>
    </w:p>
    <w:p w14:paraId="78FE570E" w14:textId="77777777" w:rsidR="00A11522" w:rsidRDefault="005F6C81">
      <w:pPr>
        <w:pStyle w:val="TOC1"/>
        <w:rPr>
          <w:rFonts w:asciiTheme="minorHAnsi" w:eastAsiaTheme="minorEastAsia" w:hAnsiTheme="minorHAnsi" w:cstheme="minorBidi"/>
          <w:caps w:val="0"/>
          <w:noProof/>
          <w:szCs w:val="22"/>
          <w:lang w:eastAsia="en-GB"/>
        </w:rPr>
      </w:pPr>
      <w:hyperlink w:anchor="_Toc476157681" w:history="1">
        <w:r w:rsidR="00A11522" w:rsidRPr="00BD3610">
          <w:rPr>
            <w:rStyle w:val="Hyperlink"/>
            <w:rFonts w:cs="Arial"/>
            <w:noProof/>
          </w:rPr>
          <w:t>19.</w:t>
        </w:r>
        <w:r w:rsidR="00A11522">
          <w:rPr>
            <w:rFonts w:asciiTheme="minorHAnsi" w:eastAsiaTheme="minorEastAsia" w:hAnsiTheme="minorHAnsi" w:cstheme="minorBidi"/>
            <w:caps w:val="0"/>
            <w:noProof/>
            <w:szCs w:val="22"/>
            <w:lang w:eastAsia="en-GB"/>
          </w:rPr>
          <w:tab/>
        </w:r>
        <w:r w:rsidR="00A11522" w:rsidRPr="00BD3610">
          <w:rPr>
            <w:rStyle w:val="Hyperlink"/>
            <w:rFonts w:cs="Arial"/>
            <w:noProof/>
          </w:rPr>
          <w:t>payment</w:t>
        </w:r>
        <w:r w:rsidR="00A11522">
          <w:rPr>
            <w:noProof/>
            <w:webHidden/>
          </w:rPr>
          <w:tab/>
        </w:r>
        <w:r w:rsidR="00A11522">
          <w:rPr>
            <w:noProof/>
            <w:webHidden/>
          </w:rPr>
          <w:fldChar w:fldCharType="begin"/>
        </w:r>
        <w:r w:rsidR="00A11522">
          <w:rPr>
            <w:noProof/>
            <w:webHidden/>
          </w:rPr>
          <w:instrText xml:space="preserve"> PAGEREF _Toc476157681 \h </w:instrText>
        </w:r>
        <w:r w:rsidR="00A11522">
          <w:rPr>
            <w:noProof/>
            <w:webHidden/>
          </w:rPr>
        </w:r>
        <w:r w:rsidR="00A11522">
          <w:rPr>
            <w:noProof/>
            <w:webHidden/>
          </w:rPr>
          <w:fldChar w:fldCharType="separate"/>
        </w:r>
        <w:r w:rsidR="00A11522">
          <w:rPr>
            <w:noProof/>
            <w:webHidden/>
          </w:rPr>
          <w:t>13</w:t>
        </w:r>
        <w:r w:rsidR="00A11522">
          <w:rPr>
            <w:noProof/>
            <w:webHidden/>
          </w:rPr>
          <w:fldChar w:fldCharType="end"/>
        </w:r>
      </w:hyperlink>
    </w:p>
    <w:p w14:paraId="505EB590" w14:textId="77777777" w:rsidR="00A11522" w:rsidRDefault="005F6C81">
      <w:pPr>
        <w:pStyle w:val="TOC1"/>
        <w:rPr>
          <w:rFonts w:asciiTheme="minorHAnsi" w:eastAsiaTheme="minorEastAsia" w:hAnsiTheme="minorHAnsi" w:cstheme="minorBidi"/>
          <w:caps w:val="0"/>
          <w:noProof/>
          <w:szCs w:val="22"/>
          <w:lang w:eastAsia="en-GB"/>
        </w:rPr>
      </w:pPr>
      <w:hyperlink w:anchor="_Toc476157682" w:history="1">
        <w:r w:rsidR="00A11522" w:rsidRPr="00BD3610">
          <w:rPr>
            <w:rStyle w:val="Hyperlink"/>
            <w:rFonts w:cs="Arial"/>
            <w:noProof/>
          </w:rPr>
          <w:t>20.</w:t>
        </w:r>
        <w:r w:rsidR="00A11522">
          <w:rPr>
            <w:rFonts w:asciiTheme="minorHAnsi" w:eastAsiaTheme="minorEastAsia" w:hAnsiTheme="minorHAnsi" w:cstheme="minorBidi"/>
            <w:caps w:val="0"/>
            <w:noProof/>
            <w:szCs w:val="22"/>
            <w:lang w:eastAsia="en-GB"/>
          </w:rPr>
          <w:tab/>
        </w:r>
        <w:r w:rsidR="00A11522" w:rsidRPr="00BD3610">
          <w:rPr>
            <w:rStyle w:val="Hyperlink"/>
            <w:rFonts w:cs="Arial"/>
            <w:noProof/>
          </w:rPr>
          <w:t>additional information</w:t>
        </w:r>
        <w:r w:rsidR="00A11522">
          <w:rPr>
            <w:noProof/>
            <w:webHidden/>
          </w:rPr>
          <w:tab/>
        </w:r>
        <w:r w:rsidR="00A11522">
          <w:rPr>
            <w:noProof/>
            <w:webHidden/>
          </w:rPr>
          <w:fldChar w:fldCharType="begin"/>
        </w:r>
        <w:r w:rsidR="00A11522">
          <w:rPr>
            <w:noProof/>
            <w:webHidden/>
          </w:rPr>
          <w:instrText xml:space="preserve"> PAGEREF _Toc476157682 \h </w:instrText>
        </w:r>
        <w:r w:rsidR="00A11522">
          <w:rPr>
            <w:noProof/>
            <w:webHidden/>
          </w:rPr>
        </w:r>
        <w:r w:rsidR="00A11522">
          <w:rPr>
            <w:noProof/>
            <w:webHidden/>
          </w:rPr>
          <w:fldChar w:fldCharType="separate"/>
        </w:r>
        <w:r w:rsidR="00A11522">
          <w:rPr>
            <w:noProof/>
            <w:webHidden/>
          </w:rPr>
          <w:t>14</w:t>
        </w:r>
        <w:r w:rsidR="00A11522">
          <w:rPr>
            <w:noProof/>
            <w:webHidden/>
          </w:rPr>
          <w:fldChar w:fldCharType="end"/>
        </w:r>
      </w:hyperlink>
    </w:p>
    <w:p w14:paraId="5C682A5B" w14:textId="77777777" w:rsidR="00A11522" w:rsidRDefault="005F6C81">
      <w:pPr>
        <w:pStyle w:val="TOC1"/>
        <w:rPr>
          <w:rFonts w:asciiTheme="minorHAnsi" w:eastAsiaTheme="minorEastAsia" w:hAnsiTheme="minorHAnsi" w:cstheme="minorBidi"/>
          <w:caps w:val="0"/>
          <w:noProof/>
          <w:szCs w:val="22"/>
          <w:lang w:eastAsia="en-GB"/>
        </w:rPr>
      </w:pPr>
      <w:hyperlink w:anchor="_Toc476157683" w:history="1">
        <w:r w:rsidR="00A11522" w:rsidRPr="00BD3610">
          <w:rPr>
            <w:rStyle w:val="Hyperlink"/>
            <w:noProof/>
          </w:rPr>
          <w:t>21.</w:t>
        </w:r>
        <w:r w:rsidR="00A11522">
          <w:rPr>
            <w:rFonts w:asciiTheme="minorHAnsi" w:eastAsiaTheme="minorEastAsia" w:hAnsiTheme="minorHAnsi" w:cstheme="minorBidi"/>
            <w:caps w:val="0"/>
            <w:noProof/>
            <w:szCs w:val="22"/>
            <w:lang w:eastAsia="en-GB"/>
          </w:rPr>
          <w:tab/>
        </w:r>
        <w:r w:rsidR="00A11522" w:rsidRPr="00BD3610">
          <w:rPr>
            <w:rStyle w:val="Hyperlink"/>
            <w:noProof/>
          </w:rPr>
          <w:t>Location</w:t>
        </w:r>
        <w:r w:rsidR="00A11522">
          <w:rPr>
            <w:noProof/>
            <w:webHidden/>
          </w:rPr>
          <w:tab/>
        </w:r>
        <w:r w:rsidR="00A11522">
          <w:rPr>
            <w:noProof/>
            <w:webHidden/>
          </w:rPr>
          <w:fldChar w:fldCharType="begin"/>
        </w:r>
        <w:r w:rsidR="00A11522">
          <w:rPr>
            <w:noProof/>
            <w:webHidden/>
          </w:rPr>
          <w:instrText xml:space="preserve"> PAGEREF _Toc476157683 \h </w:instrText>
        </w:r>
        <w:r w:rsidR="00A11522">
          <w:rPr>
            <w:noProof/>
            <w:webHidden/>
          </w:rPr>
        </w:r>
        <w:r w:rsidR="00A11522">
          <w:rPr>
            <w:noProof/>
            <w:webHidden/>
          </w:rPr>
          <w:fldChar w:fldCharType="separate"/>
        </w:r>
        <w:r w:rsidR="00A11522">
          <w:rPr>
            <w:noProof/>
            <w:webHidden/>
          </w:rPr>
          <w:t>14</w:t>
        </w:r>
        <w:r w:rsidR="00A11522">
          <w:rPr>
            <w:noProof/>
            <w:webHidden/>
          </w:rPr>
          <w:fldChar w:fldCharType="end"/>
        </w:r>
      </w:hyperlink>
    </w:p>
    <w:p w14:paraId="410255D2" w14:textId="1DDACFC0" w:rsidR="00FE18AC" w:rsidRPr="00A11522" w:rsidRDefault="00E10E97" w:rsidP="00375441">
      <w:pPr>
        <w:spacing w:after="120"/>
        <w:jc w:val="center"/>
        <w:rPr>
          <w:b/>
          <w:szCs w:val="22"/>
        </w:rPr>
      </w:pPr>
      <w:r w:rsidRPr="00FA5229">
        <w:rPr>
          <w:rFonts w:cs="Arial"/>
          <w:caps/>
        </w:rPr>
        <w:fldChar w:fldCharType="end"/>
      </w:r>
      <w:bookmarkStart w:id="0" w:name="_Toc297554772"/>
      <w:r w:rsidR="00296DCF">
        <w:rPr>
          <w:szCs w:val="22"/>
        </w:rPr>
        <w:t xml:space="preserve">ANNEX </w:t>
      </w:r>
      <w:proofErr w:type="gramStart"/>
      <w:r w:rsidR="00296DCF">
        <w:rPr>
          <w:szCs w:val="22"/>
        </w:rPr>
        <w:t>1  -</w:t>
      </w:r>
      <w:proofErr w:type="gramEnd"/>
      <w:r w:rsidR="00296DCF">
        <w:rPr>
          <w:szCs w:val="22"/>
        </w:rPr>
        <w:t xml:space="preserve"> </w:t>
      </w:r>
      <w:r w:rsidR="00296DCF" w:rsidRPr="00296DCF">
        <w:rPr>
          <w:szCs w:val="22"/>
        </w:rPr>
        <w:t xml:space="preserve">HM TREASURY GROUP – TRAVEL AND EXPENSES POLICY </w:t>
      </w:r>
      <w:r w:rsidR="00296DCF">
        <w:rPr>
          <w:szCs w:val="22"/>
        </w:rPr>
        <w:t>……………..</w:t>
      </w:r>
      <w:r w:rsidR="00A11522" w:rsidRPr="00A11522">
        <w:rPr>
          <w:szCs w:val="22"/>
        </w:rPr>
        <w:t>15</w:t>
      </w:r>
      <w:r w:rsidR="00FE18AC" w:rsidRPr="00A11522">
        <w:rPr>
          <w:szCs w:val="22"/>
        </w:rPr>
        <w:br w:type="page"/>
      </w:r>
    </w:p>
    <w:p w14:paraId="11A33EF8" w14:textId="77777777" w:rsidR="00FE18AC" w:rsidRPr="00CE295C" w:rsidRDefault="00FE18AC" w:rsidP="008F3470">
      <w:pPr>
        <w:pStyle w:val="Heading1"/>
        <w:numPr>
          <w:ilvl w:val="0"/>
          <w:numId w:val="30"/>
        </w:numPr>
        <w:tabs>
          <w:tab w:val="clear" w:pos="720"/>
        </w:tabs>
        <w:overflowPunct w:val="0"/>
        <w:autoSpaceDE w:val="0"/>
        <w:autoSpaceDN w:val="0"/>
        <w:spacing w:after="120"/>
        <w:textAlignment w:val="baseline"/>
        <w:rPr>
          <w:szCs w:val="22"/>
        </w:rPr>
      </w:pPr>
      <w:bookmarkStart w:id="1" w:name="_Toc368573027"/>
      <w:bookmarkStart w:id="2" w:name="_Toc476157663"/>
      <w:r w:rsidRPr="00CE295C">
        <w:rPr>
          <w:caps w:val="0"/>
          <w:szCs w:val="22"/>
        </w:rPr>
        <w:lastRenderedPageBreak/>
        <w:t>PURPOSE</w:t>
      </w:r>
      <w:bookmarkEnd w:id="0"/>
      <w:bookmarkEnd w:id="1"/>
      <w:bookmarkEnd w:id="2"/>
    </w:p>
    <w:p w14:paraId="3EB3763A" w14:textId="38CE2356" w:rsidR="00E73AD7" w:rsidRPr="00E73AD7" w:rsidRDefault="004E5484" w:rsidP="00E73AD7">
      <w:pPr>
        <w:pStyle w:val="Heading2"/>
        <w:rPr>
          <w:szCs w:val="22"/>
        </w:rPr>
      </w:pPr>
      <w:bookmarkStart w:id="3" w:name="_Toc296415791"/>
      <w:bookmarkStart w:id="4" w:name="_Toc368573028"/>
      <w:bookmarkStart w:id="5" w:name="_Toc297554773"/>
      <w:bookmarkStart w:id="6" w:name="_Toc296415805"/>
      <w:bookmarkStart w:id="7" w:name="_Toc296415793"/>
      <w:r>
        <w:rPr>
          <w:szCs w:val="22"/>
        </w:rPr>
        <w:t>To contract with a Supplier for the purposes of capturing</w:t>
      </w:r>
      <w:r w:rsidRPr="00BA361B">
        <w:rPr>
          <w:szCs w:val="22"/>
        </w:rPr>
        <w:t xml:space="preserve"> </w:t>
      </w:r>
      <w:r w:rsidR="00CC605A" w:rsidRPr="00BA361B">
        <w:rPr>
          <w:szCs w:val="22"/>
        </w:rPr>
        <w:t>an evidence based</w:t>
      </w:r>
      <w:r w:rsidR="00896E89" w:rsidRPr="00BA361B">
        <w:rPr>
          <w:szCs w:val="22"/>
        </w:rPr>
        <w:t xml:space="preserve"> and up to date</w:t>
      </w:r>
      <w:r w:rsidR="00CC605A" w:rsidRPr="00BA361B">
        <w:rPr>
          <w:szCs w:val="22"/>
        </w:rPr>
        <w:t xml:space="preserve"> assessment of the costs </w:t>
      </w:r>
      <w:r w:rsidR="001E6058">
        <w:rPr>
          <w:szCs w:val="22"/>
        </w:rPr>
        <w:t>of</w:t>
      </w:r>
      <w:r w:rsidR="00CC605A" w:rsidRPr="00BA361B">
        <w:rPr>
          <w:szCs w:val="22"/>
        </w:rPr>
        <w:t xml:space="preserve"> </w:t>
      </w:r>
      <w:r w:rsidR="00D4205C" w:rsidRPr="00BA361B">
        <w:rPr>
          <w:szCs w:val="22"/>
        </w:rPr>
        <w:t xml:space="preserve">deploying </w:t>
      </w:r>
      <w:r w:rsidR="006001BE">
        <w:rPr>
          <w:szCs w:val="22"/>
        </w:rPr>
        <w:t xml:space="preserve">and maintaining the following digital infrastructure </w:t>
      </w:r>
      <w:r w:rsidR="00E73AD7">
        <w:rPr>
          <w:szCs w:val="22"/>
        </w:rPr>
        <w:t>options</w:t>
      </w:r>
      <w:r w:rsidR="00B2145E">
        <w:rPr>
          <w:szCs w:val="22"/>
        </w:rPr>
        <w:t xml:space="preserve"> as alternatives or in combination</w:t>
      </w:r>
      <w:r w:rsidR="006001BE">
        <w:rPr>
          <w:szCs w:val="22"/>
        </w:rPr>
        <w:t>:</w:t>
      </w:r>
    </w:p>
    <w:p w14:paraId="05CB6983" w14:textId="77777777" w:rsidR="00E73AD7" w:rsidRDefault="00E73AD7" w:rsidP="00E73AD7">
      <w:pPr>
        <w:pStyle w:val="Heading2"/>
        <w:numPr>
          <w:ilvl w:val="0"/>
          <w:numId w:val="38"/>
        </w:numPr>
      </w:pPr>
      <w:r>
        <w:t>Fibre to the home/premise (FTTH/P);</w:t>
      </w:r>
    </w:p>
    <w:p w14:paraId="679B8348" w14:textId="77777777" w:rsidR="00E73AD7" w:rsidRDefault="00E73AD7" w:rsidP="00E73AD7">
      <w:pPr>
        <w:pStyle w:val="Heading2"/>
        <w:numPr>
          <w:ilvl w:val="0"/>
          <w:numId w:val="38"/>
        </w:numPr>
      </w:pPr>
      <w:proofErr w:type="spellStart"/>
      <w:r>
        <w:t>G.fast</w:t>
      </w:r>
      <w:proofErr w:type="spellEnd"/>
      <w:r>
        <w:t xml:space="preserve"> (and </w:t>
      </w:r>
      <w:r w:rsidR="0093413B">
        <w:t>subsequent</w:t>
      </w:r>
      <w:r>
        <w:t xml:space="preserve"> copper based technological advancements);</w:t>
      </w:r>
    </w:p>
    <w:p w14:paraId="54083FF1" w14:textId="77777777" w:rsidR="00E73AD7" w:rsidRDefault="00E73AD7" w:rsidP="00E73AD7">
      <w:pPr>
        <w:pStyle w:val="Heading2"/>
        <w:numPr>
          <w:ilvl w:val="0"/>
          <w:numId w:val="38"/>
        </w:numPr>
      </w:pPr>
      <w:r>
        <w:t xml:space="preserve">DOCSIS 3.1 (and </w:t>
      </w:r>
      <w:r w:rsidR="0093413B">
        <w:t>subsequent</w:t>
      </w:r>
      <w:r>
        <w:t xml:space="preserve"> cable based technological advancements);</w:t>
      </w:r>
    </w:p>
    <w:p w14:paraId="5B89D1C6" w14:textId="77777777" w:rsidR="000577F4" w:rsidRPr="0095645A" w:rsidRDefault="00E73AD7" w:rsidP="00E73AD7">
      <w:pPr>
        <w:pStyle w:val="Heading2"/>
        <w:numPr>
          <w:ilvl w:val="0"/>
          <w:numId w:val="38"/>
        </w:numPr>
      </w:pPr>
      <w:r>
        <w:t>Fixed to the locale wireless.</w:t>
      </w:r>
    </w:p>
    <w:p w14:paraId="51416EDF" w14:textId="77777777" w:rsidR="00671798" w:rsidRPr="004E78BC" w:rsidRDefault="00FE18AC">
      <w:pPr>
        <w:pStyle w:val="Heading1"/>
        <w:tabs>
          <w:tab w:val="clear" w:pos="720"/>
        </w:tabs>
        <w:overflowPunct w:val="0"/>
        <w:autoSpaceDE w:val="0"/>
        <w:autoSpaceDN w:val="0"/>
        <w:spacing w:after="120"/>
        <w:textAlignment w:val="baseline"/>
        <w:rPr>
          <w:szCs w:val="22"/>
        </w:rPr>
      </w:pPr>
      <w:bookmarkStart w:id="8" w:name="_Toc476157664"/>
      <w:bookmarkEnd w:id="3"/>
      <w:r w:rsidRPr="004E78BC">
        <w:rPr>
          <w:szCs w:val="22"/>
        </w:rPr>
        <w:t>BACKGROUND TO THE CONTRACTING aUTHORITY</w:t>
      </w:r>
      <w:bookmarkEnd w:id="4"/>
      <w:bookmarkEnd w:id="8"/>
    </w:p>
    <w:p w14:paraId="564747F6" w14:textId="572E7D5F" w:rsidR="00C96075" w:rsidRDefault="00C96075" w:rsidP="0024295B">
      <w:pPr>
        <w:pStyle w:val="Heading2"/>
        <w:spacing w:after="120"/>
        <w:ind w:left="709" w:hanging="709"/>
      </w:pPr>
      <w:bookmarkStart w:id="9" w:name="_Toc368573029"/>
      <w:r w:rsidRPr="00C96075">
        <w:t xml:space="preserve">The </w:t>
      </w:r>
      <w:r w:rsidR="00274ABF">
        <w:t xml:space="preserve">Authority </w:t>
      </w:r>
      <w:r w:rsidRPr="00C96075">
        <w:t xml:space="preserve">provides the government with impartial, expert advice on major long-term infrastructure challenges. It has been operating in interim form since October 2015 and was established permanently as an Executive Agency of HM </w:t>
      </w:r>
      <w:r>
        <w:t>Treasury on 24 January 2017.</w:t>
      </w:r>
    </w:p>
    <w:p w14:paraId="07A0983D" w14:textId="03C77CCF" w:rsidR="0024295B" w:rsidRPr="00297858" w:rsidRDefault="00C96075" w:rsidP="0024295B">
      <w:pPr>
        <w:pStyle w:val="Heading2"/>
        <w:spacing w:after="120"/>
        <w:ind w:left="709" w:hanging="709"/>
      </w:pPr>
      <w:r>
        <w:t xml:space="preserve">The </w:t>
      </w:r>
      <w:r w:rsidR="00D24D90">
        <w:t>Authority</w:t>
      </w:r>
      <w:r>
        <w:t>’s</w:t>
      </w:r>
      <w:r w:rsidRPr="00C96075">
        <w:t xml:space="preserve"> relationship with government is set out in a published </w:t>
      </w:r>
      <w:hyperlink r:id="rId8" w:history="1">
        <w:r w:rsidRPr="00C96075">
          <w:rPr>
            <w:rStyle w:val="Hyperlink"/>
          </w:rPr>
          <w:t>Charter</w:t>
        </w:r>
      </w:hyperlink>
      <w:r>
        <w:t>.</w:t>
      </w:r>
      <w:r w:rsidRPr="00C96075">
        <w:t xml:space="preserve"> This explains that it must carry out its work in accordance with a remit (and terms of reference for specific studies) set by the government, but in all other respects it has complete discretion to determine independently its work programme, methodologies and recommendations, as well as the content of its reports and public statements. A mutually agreed </w:t>
      </w:r>
      <w:hyperlink r:id="rId9" w:history="1">
        <w:r w:rsidRPr="00E0579A">
          <w:rPr>
            <w:rStyle w:val="Hyperlink"/>
          </w:rPr>
          <w:t>Framework Document</w:t>
        </w:r>
      </w:hyperlink>
      <w:r w:rsidRPr="00C96075">
        <w:t xml:space="preserve"> provides further details of the </w:t>
      </w:r>
      <w:r w:rsidR="00D24D90">
        <w:t>Authority’s</w:t>
      </w:r>
      <w:r w:rsidR="00D24D90" w:rsidRPr="00C96075">
        <w:t xml:space="preserve"> </w:t>
      </w:r>
      <w:r w:rsidRPr="00C96075">
        <w:t>working relationship with government.</w:t>
      </w:r>
      <w:r>
        <w:t xml:space="preserve"> </w:t>
      </w:r>
    </w:p>
    <w:p w14:paraId="36FD16E8" w14:textId="170BC128" w:rsidR="0024295B" w:rsidRPr="00297858" w:rsidRDefault="0024295B" w:rsidP="0024295B">
      <w:pPr>
        <w:pStyle w:val="Heading2"/>
        <w:spacing w:after="120"/>
        <w:ind w:left="709" w:hanging="709"/>
      </w:pPr>
      <w:r w:rsidRPr="00297858">
        <w:t xml:space="preserve">The Government has outlined the high-level objectives of the </w:t>
      </w:r>
      <w:r w:rsidR="00D24D90">
        <w:t>Authority</w:t>
      </w:r>
      <w:r w:rsidR="00D24D90" w:rsidRPr="00297858">
        <w:t xml:space="preserve"> </w:t>
      </w:r>
      <w:r w:rsidRPr="00297858">
        <w:t>as follows:</w:t>
      </w:r>
    </w:p>
    <w:p w14:paraId="26648558" w14:textId="77777777" w:rsidR="006D7F52" w:rsidRDefault="0024295B" w:rsidP="006D7F52">
      <w:pPr>
        <w:pStyle w:val="Heading2"/>
        <w:numPr>
          <w:ilvl w:val="0"/>
          <w:numId w:val="0"/>
        </w:numPr>
        <w:spacing w:after="120"/>
        <w:ind w:left="709"/>
      </w:pPr>
      <w:r>
        <w:t xml:space="preserve">(1) </w:t>
      </w:r>
      <w:r w:rsidR="006D7F52">
        <w:t xml:space="preserve">Support sustainable economic growth across all regions of the UK; </w:t>
      </w:r>
    </w:p>
    <w:p w14:paraId="795C4A3F" w14:textId="77777777" w:rsidR="0024295B" w:rsidRPr="00297858" w:rsidRDefault="0024295B" w:rsidP="006D7F52">
      <w:pPr>
        <w:pStyle w:val="Heading2"/>
        <w:numPr>
          <w:ilvl w:val="0"/>
          <w:numId w:val="0"/>
        </w:numPr>
        <w:spacing w:after="120"/>
        <w:ind w:left="-11" w:firstLine="720"/>
      </w:pPr>
      <w:r>
        <w:t xml:space="preserve">(2) </w:t>
      </w:r>
      <w:r w:rsidRPr="00297858">
        <w:t>Improve competitiveness</w:t>
      </w:r>
      <w:r w:rsidR="006D7F52">
        <w:t>;</w:t>
      </w:r>
    </w:p>
    <w:p w14:paraId="64994573" w14:textId="77777777" w:rsidR="0024295B" w:rsidRDefault="0024295B" w:rsidP="0024295B">
      <w:pPr>
        <w:pStyle w:val="Heading2"/>
        <w:numPr>
          <w:ilvl w:val="0"/>
          <w:numId w:val="0"/>
        </w:numPr>
        <w:spacing w:after="120"/>
        <w:ind w:left="709"/>
      </w:pPr>
      <w:r>
        <w:t xml:space="preserve">(3) </w:t>
      </w:r>
      <w:r w:rsidRPr="00297858">
        <w:t xml:space="preserve">Improve </w:t>
      </w:r>
      <w:r w:rsidR="006D7F52">
        <w:t>quality of life.</w:t>
      </w:r>
    </w:p>
    <w:p w14:paraId="670A42A3" w14:textId="368695A9" w:rsidR="0024295B" w:rsidRDefault="0024295B" w:rsidP="0024295B">
      <w:pPr>
        <w:pStyle w:val="Heading2"/>
      </w:pPr>
      <w:r>
        <w:t xml:space="preserve">Each Parliament, the </w:t>
      </w:r>
      <w:r w:rsidR="00D24D90">
        <w:t xml:space="preserve">Authority </w:t>
      </w:r>
      <w:r>
        <w:t xml:space="preserve">will deliver a </w:t>
      </w:r>
      <w:r w:rsidR="0034602A">
        <w:t xml:space="preserve">National Infrastructure Assessment (NIA). This will examine </w:t>
      </w:r>
      <w:r>
        <w:t xml:space="preserve">the UK’s long-term strategic infrastructure needs and produce recommendations to address </w:t>
      </w:r>
      <w:r w:rsidR="00AB1DE3">
        <w:t>them</w:t>
      </w:r>
      <w:r>
        <w:t xml:space="preserve"> across </w:t>
      </w:r>
      <w:r w:rsidR="00AB1DE3">
        <w:t xml:space="preserve">six different </w:t>
      </w:r>
      <w:r>
        <w:t>infrastructure sectors</w:t>
      </w:r>
      <w:r w:rsidR="00AB1DE3">
        <w:t xml:space="preserve">. These are </w:t>
      </w:r>
      <w:r>
        <w:t xml:space="preserve">transport, energy, </w:t>
      </w:r>
      <w:r w:rsidR="008C4AD4">
        <w:t xml:space="preserve">digital communications, water and wastewater, </w:t>
      </w:r>
      <w:r>
        <w:t>solid waste, flood risk management</w:t>
      </w:r>
      <w:r w:rsidR="00AB1DE3">
        <w:t>. The NIA</w:t>
      </w:r>
      <w:r>
        <w:t xml:space="preserve"> </w:t>
      </w:r>
      <w:r w:rsidR="00AB1DE3">
        <w:t>will also</w:t>
      </w:r>
      <w:r>
        <w:t xml:space="preserve"> consider the interdependencies </w:t>
      </w:r>
      <w:r w:rsidR="00AB1DE3">
        <w:t xml:space="preserve">between different infrastructure systems </w:t>
      </w:r>
      <w:r>
        <w:t>and their interaction with the built environment.</w:t>
      </w:r>
    </w:p>
    <w:p w14:paraId="4AD9FC77" w14:textId="79C676FA" w:rsidR="000327A1" w:rsidRDefault="000327A1" w:rsidP="000327A1">
      <w:pPr>
        <w:pStyle w:val="Heading2"/>
      </w:pPr>
      <w:r>
        <w:t xml:space="preserve">This study is the National Infrastructure Assessment (NIA). The delivery of the NIA will be overseen by the Authority’s Commissioners, and able to commission research and call for evidence from public sector bodies and private sector experts. </w:t>
      </w:r>
    </w:p>
    <w:p w14:paraId="3C103809" w14:textId="6A8F6786" w:rsidR="0024295B" w:rsidRDefault="0024295B" w:rsidP="0024295B">
      <w:pPr>
        <w:pStyle w:val="Heading2"/>
      </w:pPr>
      <w:r>
        <w:t>The NIA will consist of two stages:</w:t>
      </w:r>
      <w:r w:rsidR="0095645A">
        <w:t xml:space="preserve"> </w:t>
      </w:r>
      <w:r>
        <w:t>Vision and Priorities, identifying the vision and long-term infrastructure needs</w:t>
      </w:r>
      <w:r w:rsidR="00206732">
        <w:t>,</w:t>
      </w:r>
      <w:r>
        <w:t xml:space="preserve"> to be published in mid-2017 and the </w:t>
      </w:r>
      <w:r w:rsidR="00C92311">
        <w:t xml:space="preserve">final </w:t>
      </w:r>
      <w:r>
        <w:t>National Infrastructure Assessment</w:t>
      </w:r>
      <w:r w:rsidR="00274ABF">
        <w:t xml:space="preserve"> (NIA)</w:t>
      </w:r>
      <w:r>
        <w:t>, a roadmap of recommendations including both on policy and infrastructure solutions</w:t>
      </w:r>
      <w:r w:rsidR="00206732">
        <w:t>,</w:t>
      </w:r>
      <w:r>
        <w:t xml:space="preserve"> to be published in </w:t>
      </w:r>
      <w:r w:rsidR="006D7F52">
        <w:t xml:space="preserve">early </w:t>
      </w:r>
      <w:r>
        <w:t xml:space="preserve">2018. </w:t>
      </w:r>
    </w:p>
    <w:p w14:paraId="55429885" w14:textId="75682013" w:rsidR="008047E2" w:rsidRDefault="008047E2" w:rsidP="008C4AD4">
      <w:pPr>
        <w:pStyle w:val="Heading2"/>
      </w:pPr>
      <w:r w:rsidRPr="008047E2">
        <w:t xml:space="preserve">In 2016, the </w:t>
      </w:r>
      <w:r w:rsidR="00D24D90">
        <w:t>Authority</w:t>
      </w:r>
      <w:r w:rsidR="00D24D90" w:rsidRPr="008047E2">
        <w:t xml:space="preserve"> </w:t>
      </w:r>
      <w:r w:rsidRPr="008047E2">
        <w:t>launched a consultation in order to develop the process and methodology for the NIA. The responses to the consultation</w:t>
      </w:r>
      <w:r>
        <w:t xml:space="preserve">, as well as HM Treasury’s </w:t>
      </w:r>
      <w:r>
        <w:lastRenderedPageBreak/>
        <w:t xml:space="preserve">response to its consultation on the </w:t>
      </w:r>
      <w:r w:rsidR="00D24D90">
        <w:t>Authority</w:t>
      </w:r>
      <w:r>
        <w:t>,</w:t>
      </w:r>
      <w:r w:rsidRPr="008047E2">
        <w:t xml:space="preserve"> can be found </w:t>
      </w:r>
      <w:hyperlink r:id="rId10" w:history="1">
        <w:r w:rsidRPr="008047E2">
          <w:rPr>
            <w:rStyle w:val="Hyperlink"/>
          </w:rPr>
          <w:t>here</w:t>
        </w:r>
      </w:hyperlink>
      <w:r>
        <w:t xml:space="preserve">. </w:t>
      </w:r>
      <w:r w:rsidR="008C4AD4">
        <w:t xml:space="preserve">There is currently an open </w:t>
      </w:r>
      <w:r w:rsidR="00595CDA">
        <w:t xml:space="preserve">call for evidence for the NIA, the details and questions can be found </w:t>
      </w:r>
      <w:hyperlink r:id="rId11" w:history="1">
        <w:r w:rsidR="00595CDA" w:rsidRPr="00595CDA">
          <w:rPr>
            <w:rStyle w:val="Hyperlink"/>
          </w:rPr>
          <w:t>here</w:t>
        </w:r>
      </w:hyperlink>
      <w:r w:rsidR="00595CDA">
        <w:t xml:space="preserve">. </w:t>
      </w:r>
    </w:p>
    <w:p w14:paraId="76E20BB1" w14:textId="3960524A" w:rsidR="008219C9" w:rsidRDefault="00BA361B" w:rsidP="008047E2">
      <w:pPr>
        <w:pStyle w:val="Heading2"/>
      </w:pPr>
      <w:r>
        <w:t xml:space="preserve">The </w:t>
      </w:r>
      <w:r w:rsidR="000327A1">
        <w:t xml:space="preserve">Authority’s </w:t>
      </w:r>
      <w:r>
        <w:t xml:space="preserve">remit also includes in-depth studies. Since the </w:t>
      </w:r>
      <w:r w:rsidR="000327A1">
        <w:t xml:space="preserve">Authority’s </w:t>
      </w:r>
      <w:r>
        <w:t xml:space="preserve">inception, it has produced a number of reports which include: </w:t>
      </w:r>
      <w:r w:rsidR="00E0579A">
        <w:t>Transport for a World City</w:t>
      </w:r>
      <w:r>
        <w:t xml:space="preserve">, Smart Power, </w:t>
      </w:r>
      <w:r w:rsidR="008047E2">
        <w:t xml:space="preserve">Northern Powerhouse, an interim report on Oxford-Cambridge-Milton Keynes Growth Corridor and, most recently, 5G. The studies can be found on the </w:t>
      </w:r>
      <w:r w:rsidR="00D24D90">
        <w:t xml:space="preserve">Authority’s </w:t>
      </w:r>
      <w:r w:rsidR="008047E2">
        <w:t xml:space="preserve">website </w:t>
      </w:r>
      <w:hyperlink r:id="rId12" w:history="1">
        <w:r w:rsidR="008047E2" w:rsidRPr="008047E2">
          <w:rPr>
            <w:rStyle w:val="Hyperlink"/>
          </w:rPr>
          <w:t>here</w:t>
        </w:r>
      </w:hyperlink>
      <w:r w:rsidR="008047E2">
        <w:t>.</w:t>
      </w:r>
    </w:p>
    <w:p w14:paraId="58E77C49" w14:textId="4757477E" w:rsidR="0024295B" w:rsidRPr="002A237E" w:rsidRDefault="007A54BC" w:rsidP="0024295B">
      <w:pPr>
        <w:pStyle w:val="Heading2"/>
      </w:pPr>
      <w:r>
        <w:t xml:space="preserve">The Potential Provider must </w:t>
      </w:r>
      <w:r w:rsidR="0024295B">
        <w:t xml:space="preserve">read both the </w:t>
      </w:r>
      <w:r w:rsidR="00D24D90">
        <w:t>Authority’s</w:t>
      </w:r>
      <w:r w:rsidR="00D24D90" w:rsidRPr="002A237E">
        <w:t xml:space="preserve"> </w:t>
      </w:r>
      <w:r w:rsidR="0024295B" w:rsidRPr="002A237E">
        <w:t>consultation on the NIA</w:t>
      </w:r>
      <w:r w:rsidR="008047E2">
        <w:t>,</w:t>
      </w:r>
      <w:r w:rsidR="0024295B" w:rsidRPr="002A237E">
        <w:t xml:space="preserve"> as well as </w:t>
      </w:r>
      <w:hyperlink r:id="rId13" w:history="1">
        <w:r w:rsidR="0024295B" w:rsidRPr="002A237E">
          <w:rPr>
            <w:rStyle w:val="Hyperlink"/>
            <w:color w:val="auto"/>
            <w:u w:val="none"/>
          </w:rPr>
          <w:t>HM Treasury’s response</w:t>
        </w:r>
      </w:hyperlink>
      <w:r w:rsidR="0024295B" w:rsidRPr="002A237E">
        <w:t xml:space="preserve"> to its consultation on </w:t>
      </w:r>
      <w:r w:rsidR="00D24D90">
        <w:t>the Authority</w:t>
      </w:r>
      <w:r w:rsidR="0024295B" w:rsidRPr="002A237E">
        <w:t xml:space="preserve">, in order to understand the broader context for this requirement and </w:t>
      </w:r>
      <w:r w:rsidR="0024295B">
        <w:t xml:space="preserve">to </w:t>
      </w:r>
      <w:r w:rsidR="0024295B" w:rsidRPr="002A237E">
        <w:t>inform their response.</w:t>
      </w:r>
      <w:r w:rsidR="008047E2">
        <w:t xml:space="preserve"> </w:t>
      </w:r>
      <w:r>
        <w:t xml:space="preserve">The Potential Provider must </w:t>
      </w:r>
      <w:r w:rsidR="008047E2">
        <w:t xml:space="preserve">also </w:t>
      </w:r>
      <w:r w:rsidR="00411572">
        <w:t xml:space="preserve">read the 5G report and supporting </w:t>
      </w:r>
      <w:r w:rsidR="00982986">
        <w:t>papers</w:t>
      </w:r>
      <w:r w:rsidR="00411572">
        <w:t xml:space="preserve"> which can be found </w:t>
      </w:r>
      <w:hyperlink r:id="rId14" w:history="1">
        <w:r w:rsidR="00411572" w:rsidRPr="00411572">
          <w:rPr>
            <w:rStyle w:val="Hyperlink"/>
          </w:rPr>
          <w:t>here</w:t>
        </w:r>
      </w:hyperlink>
      <w:r w:rsidR="008C4AD4">
        <w:t xml:space="preserve">, as they are particularly relevant to this piece of work. </w:t>
      </w:r>
    </w:p>
    <w:p w14:paraId="4397E771" w14:textId="77777777" w:rsidR="00FE18AC" w:rsidRPr="002C546C" w:rsidRDefault="00FE18AC" w:rsidP="008F3470">
      <w:pPr>
        <w:pStyle w:val="Heading1"/>
        <w:tabs>
          <w:tab w:val="clear" w:pos="720"/>
        </w:tabs>
        <w:overflowPunct w:val="0"/>
        <w:autoSpaceDE w:val="0"/>
        <w:autoSpaceDN w:val="0"/>
        <w:spacing w:after="120"/>
        <w:textAlignment w:val="baseline"/>
        <w:rPr>
          <w:szCs w:val="22"/>
        </w:rPr>
      </w:pPr>
      <w:bookmarkStart w:id="10" w:name="_Toc476157665"/>
      <w:r>
        <w:rPr>
          <w:szCs w:val="22"/>
        </w:rPr>
        <w:t>Background to requirement/</w:t>
      </w:r>
      <w:r w:rsidRPr="002C546C">
        <w:rPr>
          <w:szCs w:val="22"/>
        </w:rPr>
        <w:t>OVERVIEW</w:t>
      </w:r>
      <w:bookmarkEnd w:id="5"/>
      <w:r>
        <w:rPr>
          <w:szCs w:val="22"/>
        </w:rPr>
        <w:t xml:space="preserve"> of requirement</w:t>
      </w:r>
      <w:bookmarkEnd w:id="9"/>
      <w:bookmarkEnd w:id="10"/>
    </w:p>
    <w:p w14:paraId="3596BB9C" w14:textId="3B6B1900" w:rsidR="00C92311" w:rsidRDefault="00C92311" w:rsidP="00276661">
      <w:pPr>
        <w:pStyle w:val="Heading2"/>
      </w:pPr>
      <w:bookmarkStart w:id="11" w:name="_Toc297554774"/>
      <w:bookmarkEnd w:id="6"/>
      <w:r>
        <w:t xml:space="preserve">The </w:t>
      </w:r>
      <w:r w:rsidR="000327A1">
        <w:t>Authority</w:t>
      </w:r>
      <w:r w:rsidR="000327A1" w:rsidRPr="00C92311">
        <w:t xml:space="preserve"> </w:t>
      </w:r>
      <w:r w:rsidR="00AB1DE3">
        <w:t>is looking for</w:t>
      </w:r>
      <w:r w:rsidRPr="00C92311">
        <w:t xml:space="preserve"> accurate</w:t>
      </w:r>
      <w:r w:rsidR="00EA374C">
        <w:t>, independent</w:t>
      </w:r>
      <w:r w:rsidRPr="00C92311">
        <w:t xml:space="preserve"> and up to date information on the relative </w:t>
      </w:r>
      <w:r w:rsidR="00F54B8E">
        <w:t xml:space="preserve">deployment and operating </w:t>
      </w:r>
      <w:r w:rsidRPr="00C92311">
        <w:t xml:space="preserve">costs of realistic, future </w:t>
      </w:r>
      <w:r w:rsidR="00EA6E29">
        <w:t xml:space="preserve">digital </w:t>
      </w:r>
      <w:r w:rsidRPr="00C92311">
        <w:t xml:space="preserve">infrastructure options. </w:t>
      </w:r>
      <w:r w:rsidR="00276661">
        <w:t xml:space="preserve">Due to the 30 year timeframe the Authority has been asked to consider and the need for up to date information in such a fast moving environment, the work is necessary for the Authority’s ability to make </w:t>
      </w:r>
      <w:r w:rsidRPr="00C92311">
        <w:t>objective and evidence based policy recommendations</w:t>
      </w:r>
      <w:r w:rsidR="003577BB">
        <w:t>.</w:t>
      </w:r>
    </w:p>
    <w:p w14:paraId="72A8162D" w14:textId="7B8F0BC9" w:rsidR="00E73AD7" w:rsidRDefault="00BC70ED" w:rsidP="00E73AD7">
      <w:pPr>
        <w:pStyle w:val="Heading2"/>
      </w:pPr>
      <w:r>
        <w:t>The</w:t>
      </w:r>
      <w:r w:rsidR="00AB1DE3">
        <w:t xml:space="preserve"> options to be considered</w:t>
      </w:r>
      <w:r>
        <w:t xml:space="preserve"> include</w:t>
      </w:r>
      <w:r w:rsidR="004E5530">
        <w:t>:</w:t>
      </w:r>
    </w:p>
    <w:p w14:paraId="3567B9A1" w14:textId="77777777" w:rsidR="00E73AD7" w:rsidRDefault="00E73AD7" w:rsidP="00E73AD7">
      <w:pPr>
        <w:pStyle w:val="Heading2"/>
        <w:numPr>
          <w:ilvl w:val="0"/>
          <w:numId w:val="38"/>
        </w:numPr>
      </w:pPr>
      <w:r>
        <w:t>Fibre to the home/premise (FTTH/P);</w:t>
      </w:r>
    </w:p>
    <w:p w14:paraId="674923F0" w14:textId="77777777" w:rsidR="00E73AD7" w:rsidRDefault="00E73AD7" w:rsidP="00E73AD7">
      <w:pPr>
        <w:pStyle w:val="Heading2"/>
        <w:numPr>
          <w:ilvl w:val="0"/>
          <w:numId w:val="38"/>
        </w:numPr>
      </w:pPr>
      <w:proofErr w:type="spellStart"/>
      <w:r>
        <w:t>G.fast</w:t>
      </w:r>
      <w:proofErr w:type="spellEnd"/>
      <w:r>
        <w:t xml:space="preserve"> (and </w:t>
      </w:r>
      <w:r w:rsidR="00E0389B">
        <w:t>subsequent</w:t>
      </w:r>
      <w:r>
        <w:t xml:space="preserve"> copper based technological advancements);</w:t>
      </w:r>
    </w:p>
    <w:p w14:paraId="7BF48ED7" w14:textId="77777777" w:rsidR="00E73AD7" w:rsidRDefault="00E73AD7" w:rsidP="00E73AD7">
      <w:pPr>
        <w:pStyle w:val="Heading2"/>
        <w:numPr>
          <w:ilvl w:val="0"/>
          <w:numId w:val="38"/>
        </w:numPr>
      </w:pPr>
      <w:r>
        <w:t xml:space="preserve">DOCSIS 3.1 (and </w:t>
      </w:r>
      <w:r w:rsidR="00E0389B">
        <w:t xml:space="preserve">subsequent </w:t>
      </w:r>
      <w:r>
        <w:t>cable based technological advancements);</w:t>
      </w:r>
    </w:p>
    <w:p w14:paraId="7018DA72" w14:textId="77777777" w:rsidR="00E73AD7" w:rsidRDefault="00E73AD7" w:rsidP="00E73AD7">
      <w:pPr>
        <w:pStyle w:val="Heading2"/>
        <w:numPr>
          <w:ilvl w:val="0"/>
          <w:numId w:val="38"/>
        </w:numPr>
      </w:pPr>
      <w:r>
        <w:t>Fixed to the locale wireless.</w:t>
      </w:r>
    </w:p>
    <w:p w14:paraId="04812980" w14:textId="77777777" w:rsidR="008C7012" w:rsidRDefault="00BC70ED" w:rsidP="00BC70ED">
      <w:pPr>
        <w:pStyle w:val="Heading2"/>
      </w:pPr>
      <w:r>
        <w:t xml:space="preserve">The aim, therefore, is to deliver a piece of work that is at the forefront of research in this area and </w:t>
      </w:r>
      <w:r w:rsidR="00301A08">
        <w:t xml:space="preserve">informs the debate surrounding the </w:t>
      </w:r>
      <w:r w:rsidR="00F54B8E">
        <w:t xml:space="preserve">deployment and operating </w:t>
      </w:r>
      <w:r w:rsidR="00301A08">
        <w:t>costs</w:t>
      </w:r>
      <w:r>
        <w:t xml:space="preserve"> of future, realistic digital infrastructure options in the UK.</w:t>
      </w:r>
      <w:r w:rsidR="008C7012">
        <w:t xml:space="preserve"> </w:t>
      </w:r>
    </w:p>
    <w:p w14:paraId="6A21BE22" w14:textId="77777777" w:rsidR="00C4233A" w:rsidRDefault="00106F24">
      <w:pPr>
        <w:pStyle w:val="Heading1"/>
        <w:tabs>
          <w:tab w:val="clear" w:pos="720"/>
        </w:tabs>
        <w:overflowPunct w:val="0"/>
        <w:autoSpaceDE w:val="0"/>
        <w:autoSpaceDN w:val="0"/>
        <w:spacing w:after="120"/>
        <w:textAlignment w:val="baseline"/>
        <w:rPr>
          <w:szCs w:val="22"/>
        </w:rPr>
      </w:pPr>
      <w:bookmarkStart w:id="12" w:name="_Toc476157666"/>
      <w:bookmarkStart w:id="13" w:name="_Toc368573030"/>
      <w:r>
        <w:rPr>
          <w:szCs w:val="22"/>
        </w:rPr>
        <w:t>definitions</w:t>
      </w:r>
      <w:bookmarkEnd w:id="12"/>
      <w:r>
        <w:rPr>
          <w:szCs w:val="22"/>
        </w:rPr>
        <w:t xml:space="preserve"> </w:t>
      </w:r>
    </w:p>
    <w:tbl>
      <w:tblPr>
        <w:tblStyle w:val="TableGrid"/>
        <w:tblW w:w="0" w:type="auto"/>
        <w:tblInd w:w="720" w:type="dxa"/>
        <w:tblLook w:val="04A0" w:firstRow="1" w:lastRow="0" w:firstColumn="1" w:lastColumn="0" w:noHBand="0" w:noVBand="1"/>
      </w:tblPr>
      <w:tblGrid>
        <w:gridCol w:w="1969"/>
        <w:gridCol w:w="6330"/>
      </w:tblGrid>
      <w:tr w:rsidR="00106F24" w14:paraId="7F2A768E" w14:textId="77777777" w:rsidTr="00D4205C">
        <w:tc>
          <w:tcPr>
            <w:tcW w:w="1969" w:type="dxa"/>
            <w:shd w:val="clear" w:color="auto" w:fill="C6D9F1" w:themeFill="text2" w:themeFillTint="33"/>
          </w:tcPr>
          <w:p w14:paraId="2B8805C1" w14:textId="77777777" w:rsidR="00106F24" w:rsidRPr="007968E2" w:rsidRDefault="00106F24" w:rsidP="00961BBF">
            <w:pPr>
              <w:pStyle w:val="Heading2"/>
              <w:numPr>
                <w:ilvl w:val="0"/>
                <w:numId w:val="0"/>
              </w:numPr>
              <w:spacing w:after="120"/>
              <w:ind w:left="18" w:hanging="18"/>
              <w:jc w:val="left"/>
              <w:outlineLvl w:val="1"/>
            </w:pPr>
            <w:r w:rsidRPr="007968E2">
              <w:t>Expression</w:t>
            </w:r>
            <w:r w:rsidR="0081061A" w:rsidRPr="007968E2">
              <w:t xml:space="preserve"> or </w:t>
            </w:r>
            <w:r w:rsidRPr="007968E2">
              <w:t>Acronym</w:t>
            </w:r>
          </w:p>
        </w:tc>
        <w:tc>
          <w:tcPr>
            <w:tcW w:w="6330" w:type="dxa"/>
            <w:shd w:val="clear" w:color="auto" w:fill="C6D9F1" w:themeFill="text2" w:themeFillTint="33"/>
          </w:tcPr>
          <w:p w14:paraId="1C518A11" w14:textId="77777777" w:rsidR="00106F24" w:rsidRPr="007968E2" w:rsidRDefault="00106F24" w:rsidP="00961BBF">
            <w:pPr>
              <w:pStyle w:val="Heading2"/>
              <w:numPr>
                <w:ilvl w:val="0"/>
                <w:numId w:val="0"/>
              </w:numPr>
              <w:spacing w:after="120"/>
              <w:ind w:left="720" w:hanging="720"/>
              <w:jc w:val="left"/>
              <w:outlineLvl w:val="1"/>
            </w:pPr>
            <w:r w:rsidRPr="007968E2">
              <w:t>Definition</w:t>
            </w:r>
          </w:p>
        </w:tc>
      </w:tr>
      <w:tr w:rsidR="000327A1" w14:paraId="1621F1D2" w14:textId="77777777" w:rsidTr="00D4205C">
        <w:tc>
          <w:tcPr>
            <w:tcW w:w="1969" w:type="dxa"/>
          </w:tcPr>
          <w:p w14:paraId="464641D2" w14:textId="7329AF14" w:rsidR="000327A1" w:rsidRPr="007968E2" w:rsidRDefault="000327A1" w:rsidP="000327A1">
            <w:pPr>
              <w:pStyle w:val="Heading2"/>
              <w:numPr>
                <w:ilvl w:val="0"/>
                <w:numId w:val="0"/>
              </w:numPr>
              <w:spacing w:after="120"/>
              <w:ind w:left="720" w:hanging="720"/>
              <w:jc w:val="left"/>
              <w:outlineLvl w:val="1"/>
            </w:pPr>
            <w:r>
              <w:t>DOCSIS</w:t>
            </w:r>
          </w:p>
        </w:tc>
        <w:tc>
          <w:tcPr>
            <w:tcW w:w="6330" w:type="dxa"/>
          </w:tcPr>
          <w:p w14:paraId="1057DF65" w14:textId="212E9192" w:rsidR="000327A1" w:rsidRPr="007968E2" w:rsidRDefault="000327A1" w:rsidP="000327A1">
            <w:pPr>
              <w:pStyle w:val="Heading2"/>
              <w:numPr>
                <w:ilvl w:val="0"/>
                <w:numId w:val="0"/>
              </w:numPr>
              <w:spacing w:after="120"/>
              <w:ind w:left="720" w:hanging="720"/>
              <w:jc w:val="left"/>
              <w:outlineLvl w:val="1"/>
            </w:pPr>
            <w:r>
              <w:t xml:space="preserve">Data </w:t>
            </w:r>
            <w:proofErr w:type="gramStart"/>
            <w:r>
              <w:t>Over</w:t>
            </w:r>
            <w:proofErr w:type="gramEnd"/>
            <w:r>
              <w:t xml:space="preserve"> Cable Service Interface Specification. It is a standard for the high speed transmission of data over cable networks.</w:t>
            </w:r>
          </w:p>
        </w:tc>
      </w:tr>
      <w:tr w:rsidR="000327A1" w14:paraId="76042426" w14:textId="77777777" w:rsidTr="00D4205C">
        <w:tc>
          <w:tcPr>
            <w:tcW w:w="1969" w:type="dxa"/>
          </w:tcPr>
          <w:p w14:paraId="2F46CDBF" w14:textId="19BF36B7" w:rsidR="000327A1" w:rsidRPr="007968E2" w:rsidRDefault="000327A1" w:rsidP="000327A1">
            <w:pPr>
              <w:pStyle w:val="Heading2"/>
              <w:numPr>
                <w:ilvl w:val="0"/>
                <w:numId w:val="0"/>
              </w:numPr>
              <w:spacing w:after="120"/>
              <w:ind w:left="720" w:hanging="720"/>
              <w:jc w:val="left"/>
              <w:outlineLvl w:val="1"/>
            </w:pPr>
            <w:r>
              <w:t>FTTH/P</w:t>
            </w:r>
          </w:p>
        </w:tc>
        <w:tc>
          <w:tcPr>
            <w:tcW w:w="6330" w:type="dxa"/>
          </w:tcPr>
          <w:p w14:paraId="4A4FE4AA" w14:textId="57A2C24D" w:rsidR="000327A1" w:rsidRPr="007968E2" w:rsidRDefault="000327A1" w:rsidP="000327A1">
            <w:pPr>
              <w:pStyle w:val="Heading2"/>
              <w:numPr>
                <w:ilvl w:val="0"/>
                <w:numId w:val="0"/>
              </w:numPr>
              <w:spacing w:after="120"/>
              <w:ind w:left="720" w:hanging="720"/>
              <w:jc w:val="left"/>
              <w:outlineLvl w:val="1"/>
            </w:pPr>
            <w:r>
              <w:t>Fibre to the Home / Premises. A form of fibre optic communication delivery in which the optical signal reaches the consumer’s home without relying on a copper access.</w:t>
            </w:r>
          </w:p>
        </w:tc>
      </w:tr>
      <w:tr w:rsidR="000327A1" w14:paraId="193053FC" w14:textId="77777777" w:rsidTr="00D4205C">
        <w:tc>
          <w:tcPr>
            <w:tcW w:w="1969" w:type="dxa"/>
          </w:tcPr>
          <w:p w14:paraId="440E0E00" w14:textId="2D6D9530" w:rsidR="000327A1" w:rsidRPr="007968E2" w:rsidRDefault="000327A1" w:rsidP="000327A1">
            <w:pPr>
              <w:pStyle w:val="Heading2"/>
              <w:numPr>
                <w:ilvl w:val="0"/>
                <w:numId w:val="0"/>
              </w:numPr>
              <w:spacing w:after="120"/>
              <w:ind w:left="720" w:hanging="720"/>
              <w:jc w:val="left"/>
              <w:outlineLvl w:val="1"/>
            </w:pPr>
            <w:r>
              <w:lastRenderedPageBreak/>
              <w:t>Fixed to the locale wireless</w:t>
            </w:r>
          </w:p>
        </w:tc>
        <w:tc>
          <w:tcPr>
            <w:tcW w:w="6330" w:type="dxa"/>
          </w:tcPr>
          <w:p w14:paraId="6A3BF4EF" w14:textId="60012F46" w:rsidR="000327A1" w:rsidRPr="007968E2" w:rsidRDefault="000327A1" w:rsidP="000327A1">
            <w:pPr>
              <w:pStyle w:val="Heading2"/>
              <w:numPr>
                <w:ilvl w:val="0"/>
                <w:numId w:val="0"/>
              </w:numPr>
              <w:spacing w:after="120"/>
              <w:ind w:left="720" w:hanging="720"/>
              <w:jc w:val="left"/>
              <w:outlineLvl w:val="1"/>
            </w:pPr>
            <w:r w:rsidRPr="00E73AD7">
              <w:t>A broadband transmission using radio signals instead of physical cables to connect two fixed locations. Broadband access available in the surrounding area of the locale</w:t>
            </w:r>
            <w:r>
              <w:t xml:space="preserve"> including through walls and inside the premise</w:t>
            </w:r>
            <w:r w:rsidRPr="00E73AD7">
              <w:t>.</w:t>
            </w:r>
          </w:p>
        </w:tc>
      </w:tr>
      <w:tr w:rsidR="000327A1" w14:paraId="77FDF049" w14:textId="77777777" w:rsidTr="00D4205C">
        <w:tc>
          <w:tcPr>
            <w:tcW w:w="1969" w:type="dxa"/>
          </w:tcPr>
          <w:p w14:paraId="5D4F65AD" w14:textId="77777777" w:rsidR="000327A1" w:rsidRDefault="000327A1" w:rsidP="000327A1">
            <w:pPr>
              <w:pStyle w:val="Heading2"/>
              <w:numPr>
                <w:ilvl w:val="0"/>
                <w:numId w:val="0"/>
              </w:numPr>
              <w:spacing w:after="120"/>
              <w:ind w:left="720" w:hanging="720"/>
              <w:jc w:val="left"/>
              <w:outlineLvl w:val="1"/>
            </w:pPr>
            <w:proofErr w:type="spellStart"/>
            <w:r>
              <w:t>G.fast</w:t>
            </w:r>
            <w:proofErr w:type="spellEnd"/>
          </w:p>
        </w:tc>
        <w:tc>
          <w:tcPr>
            <w:tcW w:w="6330" w:type="dxa"/>
          </w:tcPr>
          <w:p w14:paraId="49FC8818" w14:textId="77777777" w:rsidR="000327A1" w:rsidRDefault="000327A1" w:rsidP="000327A1">
            <w:pPr>
              <w:pStyle w:val="Heading2"/>
              <w:numPr>
                <w:ilvl w:val="0"/>
                <w:numId w:val="0"/>
              </w:numPr>
              <w:spacing w:after="120"/>
              <w:ind w:left="720" w:hanging="720"/>
              <w:outlineLvl w:val="1"/>
            </w:pPr>
            <w:r>
              <w:t>A broadband transmission standard that further increases the access speeds possible on copper lines.</w:t>
            </w:r>
          </w:p>
        </w:tc>
      </w:tr>
      <w:tr w:rsidR="00EB1BA2" w14:paraId="15321333" w14:textId="77777777" w:rsidTr="00D4205C">
        <w:tc>
          <w:tcPr>
            <w:tcW w:w="1969" w:type="dxa"/>
          </w:tcPr>
          <w:p w14:paraId="63F80C1D" w14:textId="39C40D5E" w:rsidR="00EB1BA2" w:rsidRDefault="00EB1BA2" w:rsidP="00EB1BA2">
            <w:pPr>
              <w:pStyle w:val="Heading2"/>
              <w:numPr>
                <w:ilvl w:val="0"/>
                <w:numId w:val="0"/>
              </w:numPr>
              <w:spacing w:after="120"/>
              <w:ind w:left="720" w:hanging="720"/>
              <w:jc w:val="left"/>
              <w:outlineLvl w:val="1"/>
            </w:pPr>
            <w:r w:rsidRPr="007968E2">
              <w:t>NIA</w:t>
            </w:r>
          </w:p>
        </w:tc>
        <w:tc>
          <w:tcPr>
            <w:tcW w:w="6330" w:type="dxa"/>
          </w:tcPr>
          <w:p w14:paraId="3DF5AE72" w14:textId="3C39A366" w:rsidR="00EB1BA2" w:rsidRDefault="00EB1BA2" w:rsidP="00EB1BA2">
            <w:pPr>
              <w:pStyle w:val="Heading2"/>
              <w:numPr>
                <w:ilvl w:val="0"/>
                <w:numId w:val="0"/>
              </w:numPr>
              <w:spacing w:after="120"/>
              <w:ind w:left="720" w:hanging="720"/>
              <w:outlineLvl w:val="1"/>
            </w:pPr>
            <w:r w:rsidRPr="007968E2">
              <w:t>Means</w:t>
            </w:r>
            <w:r>
              <w:t xml:space="preserve"> the National Infrastructure Assessment.</w:t>
            </w:r>
          </w:p>
        </w:tc>
      </w:tr>
    </w:tbl>
    <w:p w14:paraId="3E771FD6" w14:textId="77777777" w:rsidR="00671798" w:rsidRDefault="00FE18AC" w:rsidP="00106F24">
      <w:pPr>
        <w:pStyle w:val="Heading1"/>
        <w:tabs>
          <w:tab w:val="clear" w:pos="720"/>
        </w:tabs>
        <w:overflowPunct w:val="0"/>
        <w:autoSpaceDE w:val="0"/>
        <w:autoSpaceDN w:val="0"/>
        <w:spacing w:before="240" w:after="120"/>
        <w:textAlignment w:val="baseline"/>
        <w:rPr>
          <w:szCs w:val="22"/>
        </w:rPr>
      </w:pPr>
      <w:bookmarkStart w:id="14" w:name="_Toc476157667"/>
      <w:r w:rsidRPr="00B9425F">
        <w:rPr>
          <w:szCs w:val="22"/>
        </w:rPr>
        <w:t>scope of requirement</w:t>
      </w:r>
      <w:bookmarkEnd w:id="11"/>
      <w:bookmarkEnd w:id="13"/>
      <w:bookmarkEnd w:id="14"/>
      <w:r w:rsidRPr="00B9425F">
        <w:rPr>
          <w:szCs w:val="22"/>
        </w:rPr>
        <w:t xml:space="preserve"> </w:t>
      </w:r>
    </w:p>
    <w:bookmarkEnd w:id="7"/>
    <w:p w14:paraId="7B0D31BA" w14:textId="77777777" w:rsidR="009C043F" w:rsidRDefault="00971B61" w:rsidP="009C043F">
      <w:pPr>
        <w:pStyle w:val="Heading2"/>
        <w:rPr>
          <w:szCs w:val="22"/>
        </w:rPr>
      </w:pPr>
      <w:r w:rsidRPr="0096785E">
        <w:rPr>
          <w:szCs w:val="22"/>
        </w:rPr>
        <w:t xml:space="preserve">The </w:t>
      </w:r>
      <w:r w:rsidR="004C5641">
        <w:rPr>
          <w:szCs w:val="22"/>
        </w:rPr>
        <w:t>high level scope</w:t>
      </w:r>
      <w:r>
        <w:rPr>
          <w:szCs w:val="22"/>
        </w:rPr>
        <w:t xml:space="preserve"> of </w:t>
      </w:r>
      <w:r w:rsidR="004C5641">
        <w:rPr>
          <w:szCs w:val="22"/>
        </w:rPr>
        <w:t>the</w:t>
      </w:r>
      <w:r>
        <w:rPr>
          <w:szCs w:val="22"/>
        </w:rPr>
        <w:t xml:space="preserve"> requirement is </w:t>
      </w:r>
      <w:r w:rsidR="006001BE">
        <w:rPr>
          <w:szCs w:val="22"/>
        </w:rPr>
        <w:t xml:space="preserve">to outline, compare and contrast the associated costs </w:t>
      </w:r>
      <w:r w:rsidR="009C043F">
        <w:rPr>
          <w:szCs w:val="22"/>
        </w:rPr>
        <w:t xml:space="preserve">of </w:t>
      </w:r>
      <w:r w:rsidR="00EA6E29">
        <w:rPr>
          <w:szCs w:val="22"/>
        </w:rPr>
        <w:t xml:space="preserve">deploying and maintaining </w:t>
      </w:r>
      <w:r w:rsidR="009C043F">
        <w:rPr>
          <w:szCs w:val="22"/>
        </w:rPr>
        <w:t>the following</w:t>
      </w:r>
      <w:r w:rsidR="00EA6E29">
        <w:rPr>
          <w:szCs w:val="22"/>
        </w:rPr>
        <w:t xml:space="preserve"> digital</w:t>
      </w:r>
      <w:r w:rsidR="009C043F">
        <w:rPr>
          <w:szCs w:val="22"/>
        </w:rPr>
        <w:t xml:space="preserve"> infrastructure </w:t>
      </w:r>
      <w:r w:rsidR="00F54B8E">
        <w:rPr>
          <w:szCs w:val="22"/>
        </w:rPr>
        <w:t>options</w:t>
      </w:r>
      <w:r w:rsidR="009C043F">
        <w:rPr>
          <w:szCs w:val="22"/>
        </w:rPr>
        <w:t>, o</w:t>
      </w:r>
      <w:r w:rsidR="00F33ADA">
        <w:rPr>
          <w:szCs w:val="22"/>
        </w:rPr>
        <w:t xml:space="preserve">ver at least a </w:t>
      </w:r>
      <w:r w:rsidR="009C043F">
        <w:rPr>
          <w:szCs w:val="22"/>
        </w:rPr>
        <w:t>30 year basis:</w:t>
      </w:r>
    </w:p>
    <w:p w14:paraId="4439965E" w14:textId="77777777" w:rsidR="00E73AD7" w:rsidRDefault="00E73AD7" w:rsidP="00E73AD7">
      <w:pPr>
        <w:pStyle w:val="Heading2"/>
        <w:numPr>
          <w:ilvl w:val="0"/>
          <w:numId w:val="38"/>
        </w:numPr>
      </w:pPr>
      <w:r>
        <w:t>Fibre to the home/premise (FTTH/P);</w:t>
      </w:r>
    </w:p>
    <w:p w14:paraId="704A8044" w14:textId="77777777" w:rsidR="00E73AD7" w:rsidRDefault="00E73AD7" w:rsidP="00E73AD7">
      <w:pPr>
        <w:pStyle w:val="Heading2"/>
        <w:numPr>
          <w:ilvl w:val="0"/>
          <w:numId w:val="38"/>
        </w:numPr>
      </w:pPr>
      <w:proofErr w:type="spellStart"/>
      <w:r>
        <w:t>G.fast</w:t>
      </w:r>
      <w:proofErr w:type="spellEnd"/>
      <w:r>
        <w:t xml:space="preserve"> (and </w:t>
      </w:r>
      <w:r w:rsidR="00E0389B">
        <w:t xml:space="preserve">subsequent </w:t>
      </w:r>
      <w:r>
        <w:t>copper based technological advancements);</w:t>
      </w:r>
    </w:p>
    <w:p w14:paraId="7527B506" w14:textId="77777777" w:rsidR="00E73AD7" w:rsidRDefault="00E73AD7" w:rsidP="00E73AD7">
      <w:pPr>
        <w:pStyle w:val="Heading2"/>
        <w:numPr>
          <w:ilvl w:val="0"/>
          <w:numId w:val="38"/>
        </w:numPr>
      </w:pPr>
      <w:r>
        <w:t xml:space="preserve">DOCSIS 3.1 (and </w:t>
      </w:r>
      <w:r w:rsidR="00E0389B">
        <w:t xml:space="preserve">subsequent </w:t>
      </w:r>
      <w:r>
        <w:t>cable based technological advancements);</w:t>
      </w:r>
    </w:p>
    <w:p w14:paraId="0F589EFE" w14:textId="77777777" w:rsidR="00E73AD7" w:rsidRDefault="00E73AD7" w:rsidP="00E73AD7">
      <w:pPr>
        <w:pStyle w:val="Heading2"/>
        <w:numPr>
          <w:ilvl w:val="0"/>
          <w:numId w:val="38"/>
        </w:numPr>
      </w:pPr>
      <w:r>
        <w:t>Fixed to the locale wireless.</w:t>
      </w:r>
    </w:p>
    <w:p w14:paraId="55D83AD5" w14:textId="26DE4335" w:rsidR="00AA1224" w:rsidRDefault="00AA1224" w:rsidP="00EB13C5">
      <w:pPr>
        <w:pStyle w:val="Heading2"/>
        <w:rPr>
          <w:szCs w:val="22"/>
        </w:rPr>
      </w:pPr>
      <w:r>
        <w:rPr>
          <w:szCs w:val="22"/>
        </w:rPr>
        <w:t xml:space="preserve">The </w:t>
      </w:r>
      <w:r w:rsidR="00274ABF">
        <w:rPr>
          <w:szCs w:val="22"/>
        </w:rPr>
        <w:t xml:space="preserve">Supplier </w:t>
      </w:r>
      <w:r w:rsidR="007A54BC">
        <w:rPr>
          <w:szCs w:val="22"/>
        </w:rPr>
        <w:t xml:space="preserve">must </w:t>
      </w:r>
      <w:r>
        <w:rPr>
          <w:szCs w:val="22"/>
        </w:rPr>
        <w:t xml:space="preserve">propose and agree upon with the </w:t>
      </w:r>
      <w:r w:rsidR="000327A1">
        <w:rPr>
          <w:szCs w:val="22"/>
        </w:rPr>
        <w:t xml:space="preserve">Authority </w:t>
      </w:r>
      <w:r>
        <w:rPr>
          <w:szCs w:val="22"/>
        </w:rPr>
        <w:t>the appropriate specifications of the aforementioned infrastructure options.</w:t>
      </w:r>
      <w:r w:rsidR="005F7F59">
        <w:rPr>
          <w:szCs w:val="22"/>
        </w:rPr>
        <w:t xml:space="preserve"> This will be tested and confirmed with other third parties of the </w:t>
      </w:r>
      <w:r w:rsidR="000327A1">
        <w:rPr>
          <w:szCs w:val="22"/>
        </w:rPr>
        <w:t xml:space="preserve">Authority’s </w:t>
      </w:r>
      <w:r w:rsidR="005F7F59">
        <w:rPr>
          <w:szCs w:val="22"/>
        </w:rPr>
        <w:t xml:space="preserve">choice. </w:t>
      </w:r>
      <w:r w:rsidR="00E73AD7">
        <w:rPr>
          <w:szCs w:val="22"/>
        </w:rPr>
        <w:t xml:space="preserve">The </w:t>
      </w:r>
      <w:r w:rsidR="000327A1">
        <w:rPr>
          <w:szCs w:val="22"/>
        </w:rPr>
        <w:t xml:space="preserve">Supplier </w:t>
      </w:r>
      <w:r w:rsidR="007A54BC">
        <w:rPr>
          <w:szCs w:val="22"/>
        </w:rPr>
        <w:t xml:space="preserve">must </w:t>
      </w:r>
      <w:r w:rsidR="00E73AD7">
        <w:rPr>
          <w:szCs w:val="22"/>
        </w:rPr>
        <w:t>consider to what extent these options present alternatives and whether they should be costed out in combination form or as alternatives.</w:t>
      </w:r>
      <w:r w:rsidR="00D96E2F">
        <w:rPr>
          <w:szCs w:val="22"/>
        </w:rPr>
        <w:t xml:space="preserve"> </w:t>
      </w:r>
      <w:r w:rsidR="00684EC6">
        <w:rPr>
          <w:szCs w:val="22"/>
        </w:rPr>
        <w:t>The Supplier, and the Supplier of the benefit analysis, will be expected to propose possible combinations to the Authority. The Authority will work collaboratively with the Supplier of this cost analysis, as well as the Supplier of the benefit analysis, and agree upon which, if any, combinations are used</w:t>
      </w:r>
      <w:r w:rsidR="00D96E2F">
        <w:rPr>
          <w:szCs w:val="22"/>
        </w:rPr>
        <w:t>.</w:t>
      </w:r>
      <w:r w:rsidR="00684EC6">
        <w:rPr>
          <w:szCs w:val="22"/>
        </w:rPr>
        <w:t xml:space="preserve"> These combinations must be the same for both pieces of work and will be confirmed and agreed upon by the Authority. </w:t>
      </w:r>
      <w:r w:rsidR="00D96E2F">
        <w:rPr>
          <w:szCs w:val="22"/>
        </w:rPr>
        <w:t xml:space="preserve"> </w:t>
      </w:r>
    </w:p>
    <w:p w14:paraId="6355DEEF" w14:textId="1A7917AC" w:rsidR="00D96E2F" w:rsidRDefault="00D96E2F" w:rsidP="00EB13C5">
      <w:pPr>
        <w:pStyle w:val="Heading2"/>
        <w:rPr>
          <w:szCs w:val="22"/>
        </w:rPr>
      </w:pPr>
      <w:r>
        <w:rPr>
          <w:szCs w:val="22"/>
        </w:rPr>
        <w:t xml:space="preserve">The </w:t>
      </w:r>
      <w:r w:rsidR="00274ABF">
        <w:rPr>
          <w:szCs w:val="22"/>
        </w:rPr>
        <w:t>Supplier</w:t>
      </w:r>
      <w:r w:rsidR="00274ABF" w:rsidDel="00274ABF">
        <w:rPr>
          <w:szCs w:val="22"/>
        </w:rPr>
        <w:t xml:space="preserve"> </w:t>
      </w:r>
      <w:r w:rsidR="007A54BC">
        <w:rPr>
          <w:szCs w:val="22"/>
        </w:rPr>
        <w:t>must</w:t>
      </w:r>
      <w:r>
        <w:rPr>
          <w:szCs w:val="22"/>
        </w:rPr>
        <w:t xml:space="preserve"> distinguish between private </w:t>
      </w:r>
      <w:r w:rsidR="000C1F01">
        <w:rPr>
          <w:szCs w:val="22"/>
        </w:rPr>
        <w:t xml:space="preserve">and social costs. The </w:t>
      </w:r>
      <w:r w:rsidR="00621BB0">
        <w:rPr>
          <w:szCs w:val="22"/>
        </w:rPr>
        <w:t xml:space="preserve">private </w:t>
      </w:r>
      <w:r w:rsidR="003E404D">
        <w:rPr>
          <w:szCs w:val="22"/>
        </w:rPr>
        <w:t xml:space="preserve">costs </w:t>
      </w:r>
      <w:r w:rsidR="007A54BC">
        <w:rPr>
          <w:szCs w:val="22"/>
        </w:rPr>
        <w:t xml:space="preserve">must </w:t>
      </w:r>
      <w:r w:rsidR="003E404D">
        <w:rPr>
          <w:szCs w:val="22"/>
        </w:rPr>
        <w:t xml:space="preserve">be differentiated on an economic as well as commercial basis i.e. excluding taxes, subsidies, transfers and rents. The </w:t>
      </w:r>
      <w:r w:rsidR="00274ABF">
        <w:rPr>
          <w:szCs w:val="22"/>
        </w:rPr>
        <w:t>Supplier</w:t>
      </w:r>
      <w:r w:rsidR="00274ABF" w:rsidDel="00274ABF">
        <w:rPr>
          <w:szCs w:val="22"/>
        </w:rPr>
        <w:t xml:space="preserve"> </w:t>
      </w:r>
      <w:r w:rsidR="007A54BC">
        <w:rPr>
          <w:szCs w:val="22"/>
        </w:rPr>
        <w:t>must</w:t>
      </w:r>
      <w:r w:rsidR="003E404D">
        <w:rPr>
          <w:szCs w:val="22"/>
        </w:rPr>
        <w:t xml:space="preserve"> evaluate a range of different costs of capital for private costs and use </w:t>
      </w:r>
      <w:r w:rsidR="00E0389B">
        <w:rPr>
          <w:szCs w:val="22"/>
        </w:rPr>
        <w:t xml:space="preserve">the Green Book </w:t>
      </w:r>
      <w:r w:rsidR="003E404D">
        <w:rPr>
          <w:szCs w:val="22"/>
        </w:rPr>
        <w:t>discount rate of 3.5%</w:t>
      </w:r>
      <w:r w:rsidR="00E0389B">
        <w:rPr>
          <w:szCs w:val="22"/>
        </w:rPr>
        <w:t xml:space="preserve"> </w:t>
      </w:r>
      <w:r w:rsidR="00684EC6">
        <w:rPr>
          <w:szCs w:val="22"/>
        </w:rPr>
        <w:t xml:space="preserve">real </w:t>
      </w:r>
      <w:r w:rsidR="00E0389B">
        <w:rPr>
          <w:szCs w:val="22"/>
        </w:rPr>
        <w:t>for social cost</w:t>
      </w:r>
      <w:r w:rsidR="008D5A46">
        <w:rPr>
          <w:szCs w:val="22"/>
        </w:rPr>
        <w:t>s</w:t>
      </w:r>
      <w:r w:rsidR="003E404D">
        <w:rPr>
          <w:szCs w:val="22"/>
        </w:rPr>
        <w:t>.</w:t>
      </w:r>
      <w:r w:rsidR="00D51B65">
        <w:rPr>
          <w:szCs w:val="22"/>
        </w:rPr>
        <w:t xml:space="preserve"> </w:t>
      </w:r>
      <w:r w:rsidR="003E404D">
        <w:rPr>
          <w:szCs w:val="22"/>
        </w:rPr>
        <w:t xml:space="preserve"> </w:t>
      </w:r>
    </w:p>
    <w:p w14:paraId="705663B1" w14:textId="18EDB79C" w:rsidR="008D5A46" w:rsidRPr="008D5A46" w:rsidRDefault="008D5A46" w:rsidP="008D5A46">
      <w:pPr>
        <w:pStyle w:val="Heading2"/>
        <w:rPr>
          <w:szCs w:val="22"/>
        </w:rPr>
      </w:pPr>
      <w:r w:rsidRPr="00F8335C">
        <w:rPr>
          <w:szCs w:val="22"/>
        </w:rPr>
        <w:t xml:space="preserve">The </w:t>
      </w:r>
      <w:r w:rsidR="000327A1">
        <w:rPr>
          <w:szCs w:val="22"/>
        </w:rPr>
        <w:t>Supplier</w:t>
      </w:r>
      <w:r w:rsidR="000327A1" w:rsidRPr="00F8335C">
        <w:rPr>
          <w:szCs w:val="22"/>
        </w:rPr>
        <w:t xml:space="preserve"> </w:t>
      </w:r>
      <w:r w:rsidRPr="00F8335C">
        <w:rPr>
          <w:szCs w:val="22"/>
        </w:rPr>
        <w:t xml:space="preserve">is expected to set out relevant capital expenditure costs and to calculate total project cost using an approach to setting the weighted average cost of capital (WACC) agreed with the </w:t>
      </w:r>
      <w:r w:rsidR="000327A1">
        <w:rPr>
          <w:szCs w:val="22"/>
        </w:rPr>
        <w:t>Authority</w:t>
      </w:r>
      <w:r w:rsidRPr="00F8335C">
        <w:rPr>
          <w:szCs w:val="22"/>
        </w:rPr>
        <w:t xml:space="preserve">. The </w:t>
      </w:r>
      <w:r w:rsidR="000327A1">
        <w:rPr>
          <w:szCs w:val="22"/>
        </w:rPr>
        <w:t>Supplier</w:t>
      </w:r>
      <w:r w:rsidR="000327A1" w:rsidRPr="00F8335C">
        <w:rPr>
          <w:szCs w:val="22"/>
        </w:rPr>
        <w:t xml:space="preserve"> </w:t>
      </w:r>
      <w:r w:rsidRPr="00F8335C">
        <w:rPr>
          <w:szCs w:val="22"/>
        </w:rPr>
        <w:t xml:space="preserve">is expected to recommend </w:t>
      </w:r>
      <w:r w:rsidR="00525A5C">
        <w:rPr>
          <w:szCs w:val="22"/>
        </w:rPr>
        <w:t>an</w:t>
      </w:r>
      <w:r w:rsidR="00525A5C" w:rsidRPr="00F8335C">
        <w:rPr>
          <w:szCs w:val="22"/>
        </w:rPr>
        <w:t xml:space="preserve"> </w:t>
      </w:r>
      <w:r w:rsidRPr="00F8335C">
        <w:rPr>
          <w:szCs w:val="22"/>
        </w:rPr>
        <w:t xml:space="preserve">appropriate </w:t>
      </w:r>
      <w:r w:rsidR="00525A5C">
        <w:rPr>
          <w:szCs w:val="22"/>
        </w:rPr>
        <w:t xml:space="preserve">range of </w:t>
      </w:r>
      <w:r w:rsidRPr="00F8335C">
        <w:rPr>
          <w:szCs w:val="22"/>
        </w:rPr>
        <w:t>WACC</w:t>
      </w:r>
      <w:r w:rsidR="00525A5C">
        <w:rPr>
          <w:szCs w:val="22"/>
        </w:rPr>
        <w:t>’s</w:t>
      </w:r>
      <w:r w:rsidRPr="00F8335C">
        <w:rPr>
          <w:szCs w:val="22"/>
        </w:rPr>
        <w:t xml:space="preserve"> to use based on empirical evidence</w:t>
      </w:r>
      <w:r w:rsidR="00525A5C">
        <w:rPr>
          <w:szCs w:val="22"/>
        </w:rPr>
        <w:t xml:space="preserve"> and provide a sensitivity analysis for this range.</w:t>
      </w:r>
    </w:p>
    <w:p w14:paraId="3D3B7A95" w14:textId="2984A6B9" w:rsidR="00F61C8A" w:rsidRPr="00F61C8A" w:rsidRDefault="006441A4" w:rsidP="00EB13C5">
      <w:pPr>
        <w:pStyle w:val="Heading2"/>
        <w:rPr>
          <w:szCs w:val="22"/>
        </w:rPr>
      </w:pPr>
      <w:r>
        <w:t>The work</w:t>
      </w:r>
      <w:r w:rsidR="00595653">
        <w:t xml:space="preserve"> </w:t>
      </w:r>
      <w:r w:rsidR="007A54BC">
        <w:t xml:space="preserve">must </w:t>
      </w:r>
      <w:r w:rsidR="00595653">
        <w:t xml:space="preserve">provide a range of </w:t>
      </w:r>
      <w:r w:rsidR="00561683">
        <w:t xml:space="preserve">deployment and </w:t>
      </w:r>
      <w:r w:rsidR="00301A08">
        <w:t>operating</w:t>
      </w:r>
      <w:r w:rsidR="00561683">
        <w:t xml:space="preserve"> costs for</w:t>
      </w:r>
      <w:r w:rsidR="003577BB">
        <w:t xml:space="preserve"> </w:t>
      </w:r>
      <w:r w:rsidR="009C043F">
        <w:t>each</w:t>
      </w:r>
      <w:r w:rsidR="00595653">
        <w:t xml:space="preserve"> </w:t>
      </w:r>
      <w:r w:rsidR="00F54B8E">
        <w:t xml:space="preserve">digital </w:t>
      </w:r>
      <w:r w:rsidR="009C043F">
        <w:t xml:space="preserve">infrastructure </w:t>
      </w:r>
      <w:r w:rsidR="00F54B8E">
        <w:t>option</w:t>
      </w:r>
      <w:r w:rsidR="009C043F">
        <w:t xml:space="preserve"> </w:t>
      </w:r>
      <w:r w:rsidR="00595653">
        <w:t>at national, urban, suburban and rural level</w:t>
      </w:r>
      <w:r w:rsidR="008C5257">
        <w:t xml:space="preserve">, </w:t>
      </w:r>
      <w:r w:rsidR="008C5257" w:rsidRPr="005B427E">
        <w:t xml:space="preserve">as well as appropriate sub categories </w:t>
      </w:r>
      <w:r w:rsidR="00D56CDD" w:rsidRPr="005B427E">
        <w:t>if pertinent</w:t>
      </w:r>
      <w:r w:rsidR="00595653">
        <w:t xml:space="preserve">. </w:t>
      </w:r>
      <w:r w:rsidR="00F54B8E">
        <w:t xml:space="preserve">If </w:t>
      </w:r>
      <w:r w:rsidR="00172ADF">
        <w:t xml:space="preserve">geographical </w:t>
      </w:r>
      <w:r w:rsidR="00F54B8E">
        <w:t xml:space="preserve">sub categories are deemed </w:t>
      </w:r>
      <w:r w:rsidR="00F61C8A">
        <w:t xml:space="preserve">appropriate, the </w:t>
      </w:r>
      <w:r w:rsidR="007A54BC">
        <w:t>Potential Provider</w:t>
      </w:r>
      <w:r w:rsidR="00274ABF">
        <w:t xml:space="preserve"> </w:t>
      </w:r>
      <w:r w:rsidR="007A54BC">
        <w:t xml:space="preserve">must </w:t>
      </w:r>
      <w:r w:rsidR="00F61C8A">
        <w:t xml:space="preserve">specify how they plan to sub categorise in their proposal. </w:t>
      </w:r>
    </w:p>
    <w:p w14:paraId="2DDA7495" w14:textId="476F1A3C" w:rsidR="00F61C8A" w:rsidRPr="00F61C8A" w:rsidRDefault="00F61C8A" w:rsidP="00E0579A">
      <w:pPr>
        <w:pStyle w:val="Heading2"/>
        <w:rPr>
          <w:szCs w:val="22"/>
        </w:rPr>
      </w:pPr>
      <w:r>
        <w:lastRenderedPageBreak/>
        <w:t xml:space="preserve">The </w:t>
      </w:r>
      <w:r w:rsidR="00274ABF">
        <w:t>Supplier</w:t>
      </w:r>
      <w:r>
        <w:t xml:space="preserve">, additionally, </w:t>
      </w:r>
      <w:r w:rsidR="007A54BC">
        <w:t xml:space="preserve">must </w:t>
      </w:r>
      <w:r>
        <w:t xml:space="preserve">demonstrate their findings graphically for the </w:t>
      </w:r>
      <w:r w:rsidR="00882001">
        <w:t xml:space="preserve">deployment </w:t>
      </w:r>
      <w:r>
        <w:t>cost</w:t>
      </w:r>
      <w:r w:rsidR="00882001">
        <w:t>s</w:t>
      </w:r>
      <w:r>
        <w:t xml:space="preserve"> </w:t>
      </w:r>
      <w:r w:rsidR="00E0579A" w:rsidRPr="00E0579A">
        <w:t>per sub category</w:t>
      </w:r>
      <w:r w:rsidR="00E0579A">
        <w:t>, n</w:t>
      </w:r>
      <w:r w:rsidR="00E0579A" w:rsidRPr="00E0579A">
        <w:t xml:space="preserve">oting the proportion of the population that falls into each </w:t>
      </w:r>
      <w:r>
        <w:t>for each digital infrastructure option.</w:t>
      </w:r>
    </w:p>
    <w:p w14:paraId="30B7326D" w14:textId="5EFD7E23" w:rsidR="00672BD3" w:rsidRDefault="00D21EB7" w:rsidP="001C521C">
      <w:pPr>
        <w:pStyle w:val="Heading2"/>
        <w:rPr>
          <w:szCs w:val="22"/>
        </w:rPr>
      </w:pPr>
      <w:r>
        <w:rPr>
          <w:szCs w:val="22"/>
        </w:rPr>
        <w:t>Both t</w:t>
      </w:r>
      <w:r w:rsidR="00F8448E" w:rsidRPr="00054C00">
        <w:rPr>
          <w:szCs w:val="22"/>
        </w:rPr>
        <w:t xml:space="preserve">he </w:t>
      </w:r>
      <w:r w:rsidR="00436E7E">
        <w:rPr>
          <w:szCs w:val="22"/>
        </w:rPr>
        <w:t>deployment and operating cost components</w:t>
      </w:r>
      <w:r w:rsidR="0035407F" w:rsidRPr="00054C00">
        <w:rPr>
          <w:szCs w:val="22"/>
        </w:rPr>
        <w:t xml:space="preserve"> for</w:t>
      </w:r>
      <w:r w:rsidR="00F8448E" w:rsidRPr="00054C00">
        <w:rPr>
          <w:szCs w:val="22"/>
        </w:rPr>
        <w:t xml:space="preserve"> each </w:t>
      </w:r>
      <w:r w:rsidR="00F61C8A">
        <w:rPr>
          <w:szCs w:val="22"/>
        </w:rPr>
        <w:t xml:space="preserve">digital </w:t>
      </w:r>
      <w:r w:rsidR="00F8448E" w:rsidRPr="00054C00">
        <w:rPr>
          <w:szCs w:val="22"/>
        </w:rPr>
        <w:t xml:space="preserve">infrastructure </w:t>
      </w:r>
      <w:r w:rsidR="00F61C8A">
        <w:rPr>
          <w:szCs w:val="22"/>
        </w:rPr>
        <w:t>option</w:t>
      </w:r>
      <w:r w:rsidR="00F8448E" w:rsidRPr="00054C00">
        <w:rPr>
          <w:szCs w:val="22"/>
        </w:rPr>
        <w:t xml:space="preserve"> </w:t>
      </w:r>
      <w:r w:rsidR="007A54BC">
        <w:rPr>
          <w:szCs w:val="22"/>
        </w:rPr>
        <w:t>must</w:t>
      </w:r>
      <w:r w:rsidR="00F8448E" w:rsidRPr="00054C00">
        <w:rPr>
          <w:szCs w:val="22"/>
        </w:rPr>
        <w:t xml:space="preserve"> be explored, identifyin</w:t>
      </w:r>
      <w:r w:rsidR="008C5257">
        <w:rPr>
          <w:szCs w:val="22"/>
        </w:rPr>
        <w:t xml:space="preserve">g how they affect overall cost, as well as how they </w:t>
      </w:r>
      <w:r w:rsidR="00F8448E" w:rsidRPr="00054C00">
        <w:rPr>
          <w:szCs w:val="22"/>
        </w:rPr>
        <w:t>compare and vary.</w:t>
      </w:r>
      <w:r w:rsidR="00E63EAF">
        <w:rPr>
          <w:szCs w:val="22"/>
        </w:rPr>
        <w:t xml:space="preserve"> </w:t>
      </w:r>
      <w:r w:rsidR="00D51B65">
        <w:rPr>
          <w:szCs w:val="22"/>
        </w:rPr>
        <w:t xml:space="preserve">The </w:t>
      </w:r>
      <w:r w:rsidR="000327A1">
        <w:rPr>
          <w:szCs w:val="22"/>
        </w:rPr>
        <w:t xml:space="preserve">Authority </w:t>
      </w:r>
      <w:r w:rsidR="00D51B65">
        <w:rPr>
          <w:szCs w:val="22"/>
        </w:rPr>
        <w:t>expe</w:t>
      </w:r>
      <w:r w:rsidR="001E7CA5">
        <w:rPr>
          <w:szCs w:val="22"/>
        </w:rPr>
        <w:t>cts that the</w:t>
      </w:r>
      <w:r w:rsidR="006441A4">
        <w:rPr>
          <w:szCs w:val="22"/>
        </w:rPr>
        <w:t xml:space="preserve"> cost components </w:t>
      </w:r>
      <w:r w:rsidR="007A54BC">
        <w:rPr>
          <w:szCs w:val="22"/>
        </w:rPr>
        <w:t>must</w:t>
      </w:r>
      <w:r w:rsidR="006441A4">
        <w:rPr>
          <w:szCs w:val="22"/>
        </w:rPr>
        <w:t xml:space="preserve"> be to an appropriately </w:t>
      </w:r>
      <w:r w:rsidR="001E7CA5">
        <w:rPr>
          <w:szCs w:val="22"/>
        </w:rPr>
        <w:t xml:space="preserve">granular level, to be agreed upon with the </w:t>
      </w:r>
      <w:r w:rsidR="000327A1">
        <w:rPr>
          <w:szCs w:val="22"/>
        </w:rPr>
        <w:t>Authority</w:t>
      </w:r>
      <w:r w:rsidR="001E7CA5">
        <w:rPr>
          <w:szCs w:val="22"/>
        </w:rPr>
        <w:t xml:space="preserve">. </w:t>
      </w:r>
      <w:r w:rsidR="00882001">
        <w:rPr>
          <w:szCs w:val="22"/>
        </w:rPr>
        <w:t xml:space="preserve">The level of uncertainty for each variable </w:t>
      </w:r>
      <w:r w:rsidR="007A54BC">
        <w:rPr>
          <w:szCs w:val="22"/>
        </w:rPr>
        <w:t>must</w:t>
      </w:r>
      <w:r w:rsidR="001C521C">
        <w:rPr>
          <w:szCs w:val="22"/>
        </w:rPr>
        <w:t xml:space="preserve"> also</w:t>
      </w:r>
      <w:r w:rsidR="00882001">
        <w:rPr>
          <w:szCs w:val="22"/>
        </w:rPr>
        <w:t xml:space="preserve"> be set out. </w:t>
      </w:r>
    </w:p>
    <w:p w14:paraId="1AF4C573" w14:textId="72A99417" w:rsidR="00525A5C" w:rsidRDefault="00882001" w:rsidP="001C521C">
      <w:pPr>
        <w:pStyle w:val="Heading2"/>
        <w:rPr>
          <w:szCs w:val="22"/>
        </w:rPr>
      </w:pPr>
      <w:r>
        <w:rPr>
          <w:szCs w:val="22"/>
        </w:rPr>
        <w:t>The most prominent</w:t>
      </w:r>
      <w:r w:rsidR="007E1FBE">
        <w:rPr>
          <w:szCs w:val="22"/>
        </w:rPr>
        <w:t xml:space="preserve"> and/or </w:t>
      </w:r>
      <w:r w:rsidR="001C521C">
        <w:rPr>
          <w:szCs w:val="22"/>
        </w:rPr>
        <w:t>uncertain,</w:t>
      </w:r>
      <w:r>
        <w:rPr>
          <w:szCs w:val="22"/>
        </w:rPr>
        <w:t xml:space="preserve"> </w:t>
      </w:r>
      <w:r w:rsidR="00436E7E">
        <w:rPr>
          <w:szCs w:val="22"/>
        </w:rPr>
        <w:t xml:space="preserve">variables </w:t>
      </w:r>
      <w:r w:rsidR="007A54BC">
        <w:rPr>
          <w:szCs w:val="22"/>
        </w:rPr>
        <w:t>must</w:t>
      </w:r>
      <w:r w:rsidR="00436E7E">
        <w:rPr>
          <w:szCs w:val="22"/>
        </w:rPr>
        <w:t xml:space="preserve"> be identified in order</w:t>
      </w:r>
      <w:r w:rsidR="00E63EAF">
        <w:rPr>
          <w:szCs w:val="22"/>
        </w:rPr>
        <w:t xml:space="preserve"> </w:t>
      </w:r>
      <w:r w:rsidR="00436E7E">
        <w:rPr>
          <w:szCs w:val="22"/>
        </w:rPr>
        <w:t xml:space="preserve">for the </w:t>
      </w:r>
      <w:r w:rsidR="000327A1">
        <w:rPr>
          <w:szCs w:val="22"/>
        </w:rPr>
        <w:t xml:space="preserve">Authority </w:t>
      </w:r>
      <w:r w:rsidR="00436E7E">
        <w:rPr>
          <w:szCs w:val="22"/>
        </w:rPr>
        <w:t xml:space="preserve">to understand where </w:t>
      </w:r>
      <w:r w:rsidR="005B427E">
        <w:rPr>
          <w:szCs w:val="22"/>
        </w:rPr>
        <w:t xml:space="preserve">there is potential for </w:t>
      </w:r>
      <w:r w:rsidR="00436E7E">
        <w:rPr>
          <w:szCs w:val="22"/>
        </w:rPr>
        <w:t xml:space="preserve">costs </w:t>
      </w:r>
      <w:r w:rsidR="005B427E">
        <w:rPr>
          <w:szCs w:val="22"/>
        </w:rPr>
        <w:t>to</w:t>
      </w:r>
      <w:r w:rsidR="00436E7E">
        <w:rPr>
          <w:szCs w:val="22"/>
        </w:rPr>
        <w:t xml:space="preserve"> be reduced.</w:t>
      </w:r>
      <w:r w:rsidR="00672BD3">
        <w:rPr>
          <w:szCs w:val="22"/>
        </w:rPr>
        <w:t xml:space="preserve"> </w:t>
      </w:r>
      <w:r w:rsidR="00996EDF">
        <w:rPr>
          <w:szCs w:val="22"/>
        </w:rPr>
        <w:t xml:space="preserve">This includes the variability of existing assets and a sensitivity analysis based on the assumptions made. </w:t>
      </w:r>
      <w:r w:rsidR="00672BD3">
        <w:rPr>
          <w:szCs w:val="22"/>
        </w:rPr>
        <w:t xml:space="preserve">The </w:t>
      </w:r>
      <w:r w:rsidR="00274ABF">
        <w:t xml:space="preserve">Supplier </w:t>
      </w:r>
      <w:r w:rsidR="007A54BC">
        <w:rPr>
          <w:szCs w:val="22"/>
        </w:rPr>
        <w:t>must</w:t>
      </w:r>
      <w:r w:rsidR="00672BD3">
        <w:rPr>
          <w:szCs w:val="22"/>
        </w:rPr>
        <w:t xml:space="preserve"> </w:t>
      </w:r>
      <w:r w:rsidR="00996EDF">
        <w:rPr>
          <w:szCs w:val="22"/>
        </w:rPr>
        <w:t xml:space="preserve">also </w:t>
      </w:r>
      <w:r w:rsidR="00525A5C">
        <w:rPr>
          <w:szCs w:val="22"/>
        </w:rPr>
        <w:t xml:space="preserve">determine where significant costs are driven by current policy parameters, thereby indicating where there is potential for savings through policy changes. </w:t>
      </w:r>
    </w:p>
    <w:p w14:paraId="1383DCA0" w14:textId="1AB7EA89" w:rsidR="00F8335C" w:rsidRPr="00F8335C" w:rsidRDefault="00F8448E" w:rsidP="00F8335C">
      <w:pPr>
        <w:pStyle w:val="Heading2"/>
        <w:rPr>
          <w:szCs w:val="22"/>
        </w:rPr>
      </w:pPr>
      <w:r w:rsidRPr="001C521C">
        <w:t xml:space="preserve">Time to deploy and </w:t>
      </w:r>
      <w:r w:rsidR="001C521C" w:rsidRPr="001C521C">
        <w:t>the predicted</w:t>
      </w:r>
      <w:r w:rsidRPr="001C521C">
        <w:t xml:space="preserve"> life </w:t>
      </w:r>
      <w:r w:rsidR="001C521C" w:rsidRPr="001C521C">
        <w:t>time</w:t>
      </w:r>
      <w:r w:rsidR="008A04D0">
        <w:t xml:space="preserve"> cost</w:t>
      </w:r>
      <w:r w:rsidR="001C521C" w:rsidRPr="001C521C">
        <w:t xml:space="preserve"> </w:t>
      </w:r>
      <w:r w:rsidR="00217E89">
        <w:t xml:space="preserve">of </w:t>
      </w:r>
      <w:r w:rsidR="002A5C8B">
        <w:t xml:space="preserve">maintaining </w:t>
      </w:r>
      <w:r w:rsidR="00217E89">
        <w:t>the asset</w:t>
      </w:r>
      <w:r w:rsidRPr="001C521C">
        <w:t xml:space="preserve"> must also be taken into account.</w:t>
      </w:r>
      <w:r w:rsidR="00A06EB3" w:rsidRPr="001C521C">
        <w:t xml:space="preserve"> </w:t>
      </w:r>
      <w:r w:rsidR="001C521C">
        <w:t xml:space="preserve">This includes </w:t>
      </w:r>
      <w:r w:rsidR="00F8335C">
        <w:t xml:space="preserve">consideration of </w:t>
      </w:r>
      <w:r w:rsidR="001C521C">
        <w:t>the opportunity cost of not deploying or maintaining another digital infrastructure option.</w:t>
      </w:r>
      <w:r w:rsidR="00F8335C">
        <w:t xml:space="preserve"> </w:t>
      </w:r>
      <w:r w:rsidR="00F8335C" w:rsidRPr="00F8335C">
        <w:rPr>
          <w:szCs w:val="22"/>
        </w:rPr>
        <w:t xml:space="preserve">The </w:t>
      </w:r>
      <w:r w:rsidR="000327A1">
        <w:rPr>
          <w:szCs w:val="22"/>
        </w:rPr>
        <w:t>Supplier</w:t>
      </w:r>
      <w:r w:rsidR="000327A1" w:rsidRPr="00F8335C">
        <w:rPr>
          <w:szCs w:val="22"/>
        </w:rPr>
        <w:t xml:space="preserve"> </w:t>
      </w:r>
      <w:r w:rsidR="007A54BC">
        <w:rPr>
          <w:szCs w:val="22"/>
        </w:rPr>
        <w:t>must</w:t>
      </w:r>
      <w:r w:rsidR="00F8335C" w:rsidRPr="00F8335C">
        <w:rPr>
          <w:szCs w:val="22"/>
        </w:rPr>
        <w:t xml:space="preserve"> also consider the effect of technological change on cost and set out how this would affect the different options.</w:t>
      </w:r>
    </w:p>
    <w:p w14:paraId="3C76D3D2" w14:textId="1CCCC44E" w:rsidR="00420D78" w:rsidRDefault="00463077" w:rsidP="00420D78">
      <w:pPr>
        <w:pStyle w:val="Heading2"/>
        <w:rPr>
          <w:szCs w:val="22"/>
        </w:rPr>
      </w:pPr>
      <w:r>
        <w:rPr>
          <w:szCs w:val="22"/>
        </w:rPr>
        <w:t xml:space="preserve">Where possible, the </w:t>
      </w:r>
      <w:r w:rsidR="00274ABF">
        <w:t xml:space="preserve">Supplier </w:t>
      </w:r>
      <w:r w:rsidR="007A54BC">
        <w:rPr>
          <w:szCs w:val="22"/>
        </w:rPr>
        <w:t>must</w:t>
      </w:r>
      <w:r>
        <w:rPr>
          <w:szCs w:val="22"/>
        </w:rPr>
        <w:t xml:space="preserve"> base their figures on the actual costs </w:t>
      </w:r>
      <w:r w:rsidR="00C56AD4">
        <w:rPr>
          <w:szCs w:val="22"/>
        </w:rPr>
        <w:t>incurred and forecasted</w:t>
      </w:r>
      <w:r>
        <w:rPr>
          <w:szCs w:val="22"/>
        </w:rPr>
        <w:t xml:space="preserve"> by existing </w:t>
      </w:r>
      <w:r w:rsidR="00132C65">
        <w:rPr>
          <w:szCs w:val="22"/>
        </w:rPr>
        <w:t>network providers</w:t>
      </w:r>
      <w:r>
        <w:rPr>
          <w:szCs w:val="22"/>
        </w:rPr>
        <w:t>.</w:t>
      </w:r>
      <w:r w:rsidR="00FC3369">
        <w:rPr>
          <w:szCs w:val="22"/>
        </w:rPr>
        <w:t xml:space="preserve"> </w:t>
      </w:r>
      <w:r w:rsidR="00420D78">
        <w:rPr>
          <w:szCs w:val="22"/>
        </w:rPr>
        <w:t>Th</w:t>
      </w:r>
      <w:r>
        <w:rPr>
          <w:szCs w:val="22"/>
        </w:rPr>
        <w:t xml:space="preserve">is is to ensure that the </w:t>
      </w:r>
      <w:r w:rsidR="005B427E">
        <w:rPr>
          <w:szCs w:val="22"/>
        </w:rPr>
        <w:t>most accurate figures are captured</w:t>
      </w:r>
      <w:r w:rsidR="00E500D9">
        <w:rPr>
          <w:szCs w:val="22"/>
        </w:rPr>
        <w:t>.</w:t>
      </w:r>
      <w:r w:rsidR="00FC3369">
        <w:rPr>
          <w:szCs w:val="22"/>
        </w:rPr>
        <w:t xml:space="preserve"> A breakdown of the key cost elements is required. </w:t>
      </w:r>
      <w:r w:rsidR="00C56AD4">
        <w:rPr>
          <w:szCs w:val="22"/>
        </w:rPr>
        <w:t xml:space="preserve">The </w:t>
      </w:r>
      <w:r w:rsidR="00274ABF">
        <w:t xml:space="preserve">Supplier </w:t>
      </w:r>
      <w:r w:rsidR="007A54BC">
        <w:rPr>
          <w:szCs w:val="22"/>
        </w:rPr>
        <w:t>must</w:t>
      </w:r>
      <w:r w:rsidR="00C56AD4">
        <w:rPr>
          <w:szCs w:val="22"/>
        </w:rPr>
        <w:t xml:space="preserve"> also ensure to </w:t>
      </w:r>
      <w:r w:rsidR="005B427E">
        <w:rPr>
          <w:szCs w:val="22"/>
        </w:rPr>
        <w:t>distinguish between</w:t>
      </w:r>
      <w:r w:rsidR="00C56AD4">
        <w:rPr>
          <w:szCs w:val="22"/>
        </w:rPr>
        <w:t xml:space="preserve"> the costs</w:t>
      </w:r>
      <w:r w:rsidR="00125F4C">
        <w:rPr>
          <w:szCs w:val="22"/>
        </w:rPr>
        <w:t xml:space="preserve"> </w:t>
      </w:r>
      <w:r w:rsidR="00CA7B0C">
        <w:rPr>
          <w:szCs w:val="22"/>
        </w:rPr>
        <w:t>incurred</w:t>
      </w:r>
      <w:r w:rsidR="00125F4C">
        <w:rPr>
          <w:szCs w:val="22"/>
        </w:rPr>
        <w:t xml:space="preserve"> by urban and rural </w:t>
      </w:r>
      <w:r w:rsidR="005B427E">
        <w:rPr>
          <w:szCs w:val="22"/>
        </w:rPr>
        <w:t>network</w:t>
      </w:r>
      <w:r w:rsidR="00125F4C">
        <w:rPr>
          <w:szCs w:val="22"/>
        </w:rPr>
        <w:t xml:space="preserve"> providers, given the inherent differences between the two</w:t>
      </w:r>
      <w:r w:rsidR="00E63EAF">
        <w:rPr>
          <w:szCs w:val="22"/>
        </w:rPr>
        <w:t>.</w:t>
      </w:r>
    </w:p>
    <w:p w14:paraId="35A8EFFD" w14:textId="64282473" w:rsidR="00160E08" w:rsidRDefault="00160E08" w:rsidP="00160E08">
      <w:pPr>
        <w:pStyle w:val="Heading2"/>
        <w:rPr>
          <w:szCs w:val="22"/>
        </w:rPr>
      </w:pPr>
      <w:r>
        <w:rPr>
          <w:szCs w:val="22"/>
        </w:rPr>
        <w:t xml:space="preserve">The scope of the requirement includes an analysis of communications infrastructure sharing and access to existing communications infrastructure, particularly where this involves, or has the potential to involve, a significant impact on costs. The </w:t>
      </w:r>
      <w:r w:rsidR="00274ABF">
        <w:t xml:space="preserve">Supplier </w:t>
      </w:r>
      <w:r w:rsidR="007A54BC">
        <w:rPr>
          <w:szCs w:val="22"/>
        </w:rPr>
        <w:t>must</w:t>
      </w:r>
      <w:r>
        <w:rPr>
          <w:szCs w:val="22"/>
        </w:rPr>
        <w:t xml:space="preserve"> make clear how both deployment and operating costs can vary between: (1) using existing communications infrastructure, and (2) building new communications infrastructure. </w:t>
      </w:r>
      <w:r w:rsidR="00F052D0">
        <w:rPr>
          <w:szCs w:val="22"/>
        </w:rPr>
        <w:t xml:space="preserve">The </w:t>
      </w:r>
      <w:r w:rsidR="00274ABF">
        <w:t xml:space="preserve">Supplier </w:t>
      </w:r>
      <w:r w:rsidR="00F052D0">
        <w:rPr>
          <w:szCs w:val="22"/>
        </w:rPr>
        <w:t xml:space="preserve">can also </w:t>
      </w:r>
      <w:r w:rsidR="000D2525">
        <w:rPr>
          <w:szCs w:val="22"/>
        </w:rPr>
        <w:t>support</w:t>
      </w:r>
      <w:r>
        <w:rPr>
          <w:szCs w:val="22"/>
        </w:rPr>
        <w:t xml:space="preserve"> </w:t>
      </w:r>
      <w:r w:rsidR="000D2525">
        <w:rPr>
          <w:szCs w:val="22"/>
        </w:rPr>
        <w:t xml:space="preserve">their findings through </w:t>
      </w:r>
      <w:r>
        <w:rPr>
          <w:szCs w:val="22"/>
        </w:rPr>
        <w:t>international use cases</w:t>
      </w:r>
      <w:r w:rsidR="00F052D0">
        <w:rPr>
          <w:szCs w:val="22"/>
        </w:rPr>
        <w:t xml:space="preserve"> (e.g. Spain)</w:t>
      </w:r>
      <w:r>
        <w:rPr>
          <w:szCs w:val="22"/>
        </w:rPr>
        <w:t>.</w:t>
      </w:r>
      <w:r w:rsidR="00274ABF">
        <w:rPr>
          <w:szCs w:val="22"/>
        </w:rPr>
        <w:t xml:space="preserve"> </w:t>
      </w:r>
    </w:p>
    <w:p w14:paraId="2D0B8870" w14:textId="5B378781" w:rsidR="0021189E" w:rsidRDefault="0021189E" w:rsidP="00420D78">
      <w:pPr>
        <w:pStyle w:val="Heading2"/>
        <w:rPr>
          <w:szCs w:val="22"/>
        </w:rPr>
      </w:pPr>
      <w:r>
        <w:rPr>
          <w:szCs w:val="22"/>
        </w:rPr>
        <w:t xml:space="preserve">In some cases, particularly where deployment is costly, innovative solutions have been found to reduce costs. The work </w:t>
      </w:r>
      <w:r w:rsidR="007A54BC">
        <w:rPr>
          <w:szCs w:val="22"/>
        </w:rPr>
        <w:t>must</w:t>
      </w:r>
      <w:r>
        <w:rPr>
          <w:szCs w:val="22"/>
        </w:rPr>
        <w:t xml:space="preserve"> ensure that </w:t>
      </w:r>
      <w:r w:rsidR="00FC39EB">
        <w:rPr>
          <w:szCs w:val="22"/>
        </w:rPr>
        <w:t>this is taken into consideration when determining overall costs</w:t>
      </w:r>
      <w:r w:rsidR="00160E08">
        <w:rPr>
          <w:szCs w:val="22"/>
        </w:rPr>
        <w:t>, considering both UK and international examples</w:t>
      </w:r>
      <w:r w:rsidR="00FC39EB">
        <w:rPr>
          <w:szCs w:val="22"/>
        </w:rPr>
        <w:t xml:space="preserve">. This </w:t>
      </w:r>
      <w:r w:rsidR="00CB29D9">
        <w:rPr>
          <w:szCs w:val="22"/>
        </w:rPr>
        <w:t xml:space="preserve">involves </w:t>
      </w:r>
      <w:r w:rsidR="00E755DF">
        <w:rPr>
          <w:szCs w:val="22"/>
        </w:rPr>
        <w:t xml:space="preserve">both </w:t>
      </w:r>
      <w:r w:rsidR="00CB29D9">
        <w:rPr>
          <w:szCs w:val="22"/>
        </w:rPr>
        <w:t xml:space="preserve">a range of </w:t>
      </w:r>
      <w:r w:rsidR="00E755DF">
        <w:rPr>
          <w:szCs w:val="22"/>
        </w:rPr>
        <w:t xml:space="preserve">(1) </w:t>
      </w:r>
      <w:r w:rsidR="00996EDF">
        <w:rPr>
          <w:szCs w:val="22"/>
        </w:rPr>
        <w:t xml:space="preserve">business </w:t>
      </w:r>
      <w:r w:rsidR="00CB29D9">
        <w:rPr>
          <w:szCs w:val="22"/>
        </w:rPr>
        <w:t xml:space="preserve">models and </w:t>
      </w:r>
      <w:r w:rsidR="00E755DF">
        <w:rPr>
          <w:szCs w:val="22"/>
        </w:rPr>
        <w:t xml:space="preserve">(2) innovative deployment techniques. These </w:t>
      </w:r>
      <w:r w:rsidR="00FC39EB">
        <w:rPr>
          <w:szCs w:val="22"/>
        </w:rPr>
        <w:t>includ</w:t>
      </w:r>
      <w:r w:rsidR="00E755DF">
        <w:rPr>
          <w:szCs w:val="22"/>
        </w:rPr>
        <w:t>e</w:t>
      </w:r>
      <w:r w:rsidR="00FC39EB">
        <w:rPr>
          <w:szCs w:val="22"/>
        </w:rPr>
        <w:t xml:space="preserve">, but </w:t>
      </w:r>
      <w:r w:rsidR="00E755DF">
        <w:rPr>
          <w:szCs w:val="22"/>
        </w:rPr>
        <w:t xml:space="preserve">are </w:t>
      </w:r>
      <w:r w:rsidR="00FC39EB">
        <w:rPr>
          <w:szCs w:val="22"/>
        </w:rPr>
        <w:t xml:space="preserve">not limited to: </w:t>
      </w:r>
      <w:r w:rsidR="00E755DF">
        <w:rPr>
          <w:szCs w:val="22"/>
        </w:rPr>
        <w:t xml:space="preserve">(1) </w:t>
      </w:r>
      <w:r w:rsidR="00FC39EB">
        <w:rPr>
          <w:szCs w:val="22"/>
        </w:rPr>
        <w:t>community supported initiatives</w:t>
      </w:r>
      <w:r w:rsidR="00160E08">
        <w:rPr>
          <w:szCs w:val="22"/>
        </w:rPr>
        <w:t xml:space="preserve">, </w:t>
      </w:r>
      <w:r w:rsidR="00BE6F5B">
        <w:rPr>
          <w:szCs w:val="22"/>
        </w:rPr>
        <w:t xml:space="preserve">public authority investment models (as detailed </w:t>
      </w:r>
      <w:hyperlink r:id="rId15" w:history="1">
        <w:r w:rsidR="00BE6F5B" w:rsidRPr="001F708E">
          <w:rPr>
            <w:rStyle w:val="Hyperlink"/>
            <w:szCs w:val="22"/>
          </w:rPr>
          <w:t>here</w:t>
        </w:r>
      </w:hyperlink>
      <w:r w:rsidR="00BE6F5B">
        <w:rPr>
          <w:szCs w:val="22"/>
        </w:rPr>
        <w:t xml:space="preserve">), </w:t>
      </w:r>
      <w:r w:rsidR="00160E08" w:rsidRPr="00160E08">
        <w:rPr>
          <w:szCs w:val="22"/>
        </w:rPr>
        <w:t>energy utility based approaches</w:t>
      </w:r>
      <w:r w:rsidR="00F052D0">
        <w:rPr>
          <w:szCs w:val="22"/>
        </w:rPr>
        <w:t xml:space="preserve"> and</w:t>
      </w:r>
      <w:r w:rsidR="00160E08">
        <w:rPr>
          <w:szCs w:val="22"/>
        </w:rPr>
        <w:t xml:space="preserve"> </w:t>
      </w:r>
      <w:r w:rsidR="00BF23FE">
        <w:rPr>
          <w:szCs w:val="22"/>
        </w:rPr>
        <w:t xml:space="preserve">use of </w:t>
      </w:r>
      <w:r w:rsidR="00F052D0">
        <w:rPr>
          <w:szCs w:val="22"/>
        </w:rPr>
        <w:t>non-communications infrastructure</w:t>
      </w:r>
      <w:r w:rsidR="00E755DF">
        <w:rPr>
          <w:szCs w:val="22"/>
        </w:rPr>
        <w:t>; (2)</w:t>
      </w:r>
      <w:r w:rsidR="00E755DF" w:rsidRPr="00E755DF">
        <w:rPr>
          <w:szCs w:val="22"/>
        </w:rPr>
        <w:t xml:space="preserve"> </w:t>
      </w:r>
      <w:r w:rsidR="00E755DF">
        <w:rPr>
          <w:szCs w:val="22"/>
        </w:rPr>
        <w:t xml:space="preserve">mapping and modelling tools, and new technologies i.e. narrow-trenching. </w:t>
      </w:r>
      <w:r w:rsidR="00FC39EB">
        <w:rPr>
          <w:szCs w:val="22"/>
        </w:rPr>
        <w:t xml:space="preserve">The </w:t>
      </w:r>
      <w:r w:rsidR="00274ABF">
        <w:t xml:space="preserve">Supplier </w:t>
      </w:r>
      <w:r w:rsidR="00FC39EB">
        <w:rPr>
          <w:szCs w:val="22"/>
        </w:rPr>
        <w:t>must</w:t>
      </w:r>
      <w:r w:rsidR="00FC3369">
        <w:rPr>
          <w:szCs w:val="22"/>
        </w:rPr>
        <w:t xml:space="preserve"> </w:t>
      </w:r>
      <w:r w:rsidR="00FC39EB">
        <w:rPr>
          <w:szCs w:val="22"/>
        </w:rPr>
        <w:t xml:space="preserve">acknowledge and demonstrate through </w:t>
      </w:r>
      <w:r w:rsidR="008A04D0">
        <w:rPr>
          <w:szCs w:val="22"/>
        </w:rPr>
        <w:t xml:space="preserve">brief </w:t>
      </w:r>
      <w:r w:rsidR="00FC39EB">
        <w:rPr>
          <w:szCs w:val="22"/>
        </w:rPr>
        <w:t>use cases</w:t>
      </w:r>
      <w:r w:rsidR="00F052D0">
        <w:rPr>
          <w:szCs w:val="22"/>
        </w:rPr>
        <w:t xml:space="preserve"> (both national and international)</w:t>
      </w:r>
      <w:r w:rsidR="00FC39EB">
        <w:rPr>
          <w:szCs w:val="22"/>
        </w:rPr>
        <w:t>, how costs have been</w:t>
      </w:r>
      <w:r w:rsidR="00CB29D9">
        <w:rPr>
          <w:szCs w:val="22"/>
        </w:rPr>
        <w:t>, and could be,</w:t>
      </w:r>
      <w:r w:rsidR="00FC39EB">
        <w:rPr>
          <w:szCs w:val="22"/>
        </w:rPr>
        <w:t xml:space="preserve"> reduced </w:t>
      </w:r>
      <w:r w:rsidR="00D56CDD">
        <w:rPr>
          <w:szCs w:val="22"/>
        </w:rPr>
        <w:t>through innovative means and the impact this could have on</w:t>
      </w:r>
      <w:r w:rsidR="008A04D0">
        <w:rPr>
          <w:szCs w:val="22"/>
        </w:rPr>
        <w:t xml:space="preserve"> the costs of</w:t>
      </w:r>
      <w:r w:rsidR="00D56CDD">
        <w:rPr>
          <w:szCs w:val="22"/>
        </w:rPr>
        <w:t xml:space="preserve"> deployment</w:t>
      </w:r>
      <w:r w:rsidR="00F052D0">
        <w:rPr>
          <w:szCs w:val="22"/>
        </w:rPr>
        <w:t xml:space="preserve"> and maintenance </w:t>
      </w:r>
      <w:r w:rsidR="00CB29D9">
        <w:rPr>
          <w:szCs w:val="22"/>
        </w:rPr>
        <w:t xml:space="preserve">of the digital infrastructure options </w:t>
      </w:r>
      <w:r w:rsidR="00F052D0">
        <w:rPr>
          <w:szCs w:val="22"/>
        </w:rPr>
        <w:t>in the UK</w:t>
      </w:r>
      <w:r w:rsidR="00D56CDD">
        <w:rPr>
          <w:szCs w:val="22"/>
        </w:rPr>
        <w:t xml:space="preserve">. </w:t>
      </w:r>
    </w:p>
    <w:p w14:paraId="2E7E0E20" w14:textId="3EEF18A8" w:rsidR="00F7318F" w:rsidRDefault="00F7318F" w:rsidP="00420D78">
      <w:pPr>
        <w:pStyle w:val="Heading2"/>
        <w:rPr>
          <w:szCs w:val="22"/>
        </w:rPr>
      </w:pPr>
      <w:r>
        <w:rPr>
          <w:szCs w:val="22"/>
        </w:rPr>
        <w:lastRenderedPageBreak/>
        <w:t xml:space="preserve">The </w:t>
      </w:r>
      <w:r w:rsidR="00D24D90">
        <w:rPr>
          <w:szCs w:val="22"/>
        </w:rPr>
        <w:t xml:space="preserve">Authority </w:t>
      </w:r>
      <w:r>
        <w:rPr>
          <w:szCs w:val="22"/>
        </w:rPr>
        <w:t>published a report on 5G – “</w:t>
      </w:r>
      <w:hyperlink r:id="rId16" w:history="1">
        <w:r w:rsidRPr="00F7318F">
          <w:rPr>
            <w:rStyle w:val="Hyperlink"/>
            <w:szCs w:val="22"/>
          </w:rPr>
          <w:t>Connected Future</w:t>
        </w:r>
      </w:hyperlink>
      <w:r w:rsidR="00F33ADA">
        <w:rPr>
          <w:szCs w:val="22"/>
        </w:rPr>
        <w:t>” - in December. If</w:t>
      </w:r>
      <w:r>
        <w:rPr>
          <w:szCs w:val="22"/>
        </w:rPr>
        <w:t xml:space="preserve"> the recommendations of the report </w:t>
      </w:r>
      <w:r w:rsidR="00F33ADA">
        <w:rPr>
          <w:szCs w:val="22"/>
        </w:rPr>
        <w:t>are</w:t>
      </w:r>
      <w:r>
        <w:rPr>
          <w:szCs w:val="22"/>
        </w:rPr>
        <w:t xml:space="preserve"> accepted by the Government, the </w:t>
      </w:r>
      <w:r w:rsidR="00274ABF">
        <w:t xml:space="preserve">Supplier </w:t>
      </w:r>
      <w:r w:rsidR="007A54BC">
        <w:rPr>
          <w:szCs w:val="22"/>
        </w:rPr>
        <w:t>must</w:t>
      </w:r>
      <w:r>
        <w:rPr>
          <w:szCs w:val="22"/>
        </w:rPr>
        <w:t xml:space="preserve"> consider the potential impact this may have on the costs of deploying and operating the digital infrastructure options.</w:t>
      </w:r>
    </w:p>
    <w:p w14:paraId="34F0A882" w14:textId="7C56593E" w:rsidR="000577F4" w:rsidRDefault="000577F4" w:rsidP="000577F4">
      <w:pPr>
        <w:pStyle w:val="Heading2"/>
        <w:rPr>
          <w:szCs w:val="22"/>
        </w:rPr>
      </w:pPr>
      <w:r>
        <w:rPr>
          <w:szCs w:val="22"/>
        </w:rPr>
        <w:t>Where notable cost synergies exist</w:t>
      </w:r>
      <w:r w:rsidR="00E755DF">
        <w:rPr>
          <w:szCs w:val="22"/>
        </w:rPr>
        <w:t>,</w:t>
      </w:r>
      <w:r>
        <w:rPr>
          <w:szCs w:val="22"/>
        </w:rPr>
        <w:t xml:space="preserve"> the scope of the requirement includes a brief analysis.</w:t>
      </w:r>
      <w:r w:rsidR="00E755DF">
        <w:rPr>
          <w:szCs w:val="22"/>
        </w:rPr>
        <w:t xml:space="preserve"> Cost synergies refer to where cost savings can be made from the evolution of one digital infrastructure option to another. </w:t>
      </w:r>
    </w:p>
    <w:p w14:paraId="0F7D56A0" w14:textId="7591AFF5" w:rsidR="00D56CDD" w:rsidRPr="00D56CDD" w:rsidRDefault="00D56CDD" w:rsidP="00D56CDD">
      <w:pPr>
        <w:pStyle w:val="Heading2"/>
        <w:rPr>
          <w:szCs w:val="22"/>
        </w:rPr>
      </w:pPr>
      <w:r>
        <w:rPr>
          <w:szCs w:val="22"/>
        </w:rPr>
        <w:t xml:space="preserve">The work </w:t>
      </w:r>
      <w:r w:rsidR="007A54BC">
        <w:rPr>
          <w:szCs w:val="22"/>
        </w:rPr>
        <w:t>must</w:t>
      </w:r>
      <w:r>
        <w:rPr>
          <w:szCs w:val="22"/>
        </w:rPr>
        <w:t xml:space="preserve"> seek to briefly compare its results with other benchmarks.</w:t>
      </w:r>
    </w:p>
    <w:p w14:paraId="5670F1F8" w14:textId="49D2BCCC" w:rsidR="00B14DC1" w:rsidRDefault="00B14DC1" w:rsidP="00595653">
      <w:pPr>
        <w:pStyle w:val="Heading2"/>
        <w:rPr>
          <w:szCs w:val="22"/>
        </w:rPr>
      </w:pPr>
      <w:r>
        <w:rPr>
          <w:szCs w:val="22"/>
        </w:rPr>
        <w:t xml:space="preserve">All assumptions made </w:t>
      </w:r>
      <w:r w:rsidR="007A54BC">
        <w:rPr>
          <w:szCs w:val="22"/>
        </w:rPr>
        <w:t>must</w:t>
      </w:r>
      <w:r>
        <w:rPr>
          <w:szCs w:val="22"/>
        </w:rPr>
        <w:t xml:space="preserve"> be clearly stated and agreed</w:t>
      </w:r>
      <w:r w:rsidR="00794033">
        <w:rPr>
          <w:szCs w:val="22"/>
        </w:rPr>
        <w:t xml:space="preserve"> upon</w:t>
      </w:r>
      <w:r>
        <w:rPr>
          <w:szCs w:val="22"/>
        </w:rPr>
        <w:t xml:space="preserve"> with the </w:t>
      </w:r>
      <w:r w:rsidR="000327A1">
        <w:rPr>
          <w:szCs w:val="22"/>
        </w:rPr>
        <w:t>Authority</w:t>
      </w:r>
      <w:r>
        <w:rPr>
          <w:szCs w:val="22"/>
        </w:rPr>
        <w:t>.</w:t>
      </w:r>
    </w:p>
    <w:p w14:paraId="45FF99A0" w14:textId="77777777" w:rsidR="00671798" w:rsidRDefault="005278DB" w:rsidP="005278DB">
      <w:pPr>
        <w:pStyle w:val="Heading2"/>
      </w:pPr>
      <w:r w:rsidRPr="005278DB">
        <w:t xml:space="preserve">The scope of the requirement </w:t>
      </w:r>
      <w:r w:rsidR="00697DE6">
        <w:t>excludes</w:t>
      </w:r>
      <w:r w:rsidRPr="005278DB">
        <w:t xml:space="preserve"> an assessment of current </w:t>
      </w:r>
      <w:r w:rsidR="00697DE6">
        <w:t>and</w:t>
      </w:r>
      <w:r w:rsidRPr="005278DB">
        <w:t xml:space="preserve"> future demand</w:t>
      </w:r>
      <w:r w:rsidR="00B0358D">
        <w:t>, this encompasses take-</w:t>
      </w:r>
      <w:r w:rsidR="00866D5B">
        <w:t>up scenarios</w:t>
      </w:r>
      <w:r w:rsidR="00F8448E">
        <w:t xml:space="preserve"> and </w:t>
      </w:r>
      <w:r w:rsidR="0035407F">
        <w:t>also</w:t>
      </w:r>
      <w:r w:rsidR="00F8448E">
        <w:t xml:space="preserve"> revenue potentials.</w:t>
      </w:r>
    </w:p>
    <w:p w14:paraId="79B5637E" w14:textId="77777777" w:rsidR="005278DB" w:rsidRDefault="005278DB" w:rsidP="005278DB">
      <w:pPr>
        <w:pStyle w:val="Heading2"/>
      </w:pPr>
      <w:r>
        <w:t xml:space="preserve">The scope of the requirement </w:t>
      </w:r>
      <w:r w:rsidR="00697DE6">
        <w:t>excludes</w:t>
      </w:r>
      <w:r>
        <w:t xml:space="preserve"> analysis of current government or Ofcom strategy</w:t>
      </w:r>
      <w:r w:rsidR="00B0358D">
        <w:t>.</w:t>
      </w:r>
    </w:p>
    <w:p w14:paraId="3EB6C6D8" w14:textId="77777777" w:rsidR="00671798" w:rsidRDefault="00FE18AC">
      <w:pPr>
        <w:pStyle w:val="Heading1"/>
        <w:spacing w:after="120"/>
      </w:pPr>
      <w:bookmarkStart w:id="15" w:name="_Toc368573031"/>
      <w:bookmarkStart w:id="16" w:name="_Toc476157668"/>
      <w:r w:rsidRPr="00BE6EE0">
        <w:t>The requirement</w:t>
      </w:r>
      <w:bookmarkEnd w:id="15"/>
      <w:bookmarkEnd w:id="16"/>
    </w:p>
    <w:p w14:paraId="04F71FDE" w14:textId="77777777" w:rsidR="004E5530" w:rsidRDefault="00AD4D45" w:rsidP="00866D5B">
      <w:pPr>
        <w:pStyle w:val="Heading2"/>
      </w:pPr>
      <w:r>
        <w:t>The ke</w:t>
      </w:r>
      <w:r w:rsidR="00B0358D">
        <w:t>y output</w:t>
      </w:r>
      <w:r>
        <w:t xml:space="preserve"> from this proje</w:t>
      </w:r>
      <w:r w:rsidR="00866D5B">
        <w:t>ct will be a</w:t>
      </w:r>
      <w:r w:rsidR="0012271F">
        <w:t xml:space="preserve"> cost analysis of </w:t>
      </w:r>
      <w:r w:rsidR="00172ADF">
        <w:t xml:space="preserve">deploying and operating </w:t>
      </w:r>
      <w:r w:rsidR="00B0358D">
        <w:t xml:space="preserve">the following </w:t>
      </w:r>
      <w:r w:rsidR="00D03F28">
        <w:t>digital infrastructure options</w:t>
      </w:r>
      <w:r w:rsidR="004E5530">
        <w:t xml:space="preserve">: </w:t>
      </w:r>
    </w:p>
    <w:p w14:paraId="178E417F" w14:textId="77777777" w:rsidR="00E73AD7" w:rsidRDefault="00E73AD7" w:rsidP="00E73AD7">
      <w:pPr>
        <w:pStyle w:val="Heading2"/>
        <w:numPr>
          <w:ilvl w:val="0"/>
          <w:numId w:val="38"/>
        </w:numPr>
      </w:pPr>
      <w:r>
        <w:t>Fibre to the home/premise (FTTH/P);</w:t>
      </w:r>
    </w:p>
    <w:p w14:paraId="4773614E" w14:textId="77777777" w:rsidR="00E73AD7" w:rsidRDefault="00E73AD7" w:rsidP="00E73AD7">
      <w:pPr>
        <w:pStyle w:val="Heading2"/>
        <w:numPr>
          <w:ilvl w:val="0"/>
          <w:numId w:val="38"/>
        </w:numPr>
      </w:pPr>
      <w:proofErr w:type="spellStart"/>
      <w:r>
        <w:t>G.fast</w:t>
      </w:r>
      <w:proofErr w:type="spellEnd"/>
      <w:r>
        <w:t xml:space="preserve"> (and </w:t>
      </w:r>
      <w:r w:rsidR="00E0389B">
        <w:t xml:space="preserve">subsequent </w:t>
      </w:r>
      <w:r>
        <w:t>copper based technological advancements);</w:t>
      </w:r>
    </w:p>
    <w:p w14:paraId="3068C1B5" w14:textId="77777777" w:rsidR="00E73AD7" w:rsidRDefault="00E73AD7" w:rsidP="00E73AD7">
      <w:pPr>
        <w:pStyle w:val="Heading2"/>
        <w:numPr>
          <w:ilvl w:val="0"/>
          <w:numId w:val="38"/>
        </w:numPr>
      </w:pPr>
      <w:r>
        <w:t xml:space="preserve">DOCSIS 3.1 (and </w:t>
      </w:r>
      <w:r w:rsidR="00E0389B">
        <w:t xml:space="preserve">subsequent </w:t>
      </w:r>
      <w:r>
        <w:t>cable based technological advancements);</w:t>
      </w:r>
    </w:p>
    <w:p w14:paraId="3DDC0476" w14:textId="77777777" w:rsidR="00E73AD7" w:rsidRDefault="00E73AD7" w:rsidP="00E73AD7">
      <w:pPr>
        <w:pStyle w:val="Heading2"/>
        <w:numPr>
          <w:ilvl w:val="0"/>
          <w:numId w:val="38"/>
        </w:numPr>
      </w:pPr>
      <w:r>
        <w:t>Fixed to the locale wireless.</w:t>
      </w:r>
    </w:p>
    <w:p w14:paraId="3CA3F630" w14:textId="77777777" w:rsidR="00866D5B" w:rsidRDefault="00D03F28" w:rsidP="00866D5B">
      <w:pPr>
        <w:pStyle w:val="Heading2"/>
      </w:pPr>
      <w:r>
        <w:t xml:space="preserve">The report will analyse and compare the relative costs of deploying and maintaining each option across the UK. </w:t>
      </w:r>
    </w:p>
    <w:p w14:paraId="792868AD" w14:textId="17AAA99E" w:rsidR="00AD4D45" w:rsidRPr="00172ADF" w:rsidRDefault="00AD4D45" w:rsidP="00AD4D45">
      <w:pPr>
        <w:pStyle w:val="Heading2"/>
      </w:pPr>
      <w:r w:rsidRPr="00172ADF">
        <w:t xml:space="preserve">These products </w:t>
      </w:r>
      <w:r w:rsidR="007A54BC">
        <w:t>must</w:t>
      </w:r>
      <w:r w:rsidRPr="00172ADF">
        <w:t xml:space="preserve"> be delivered by no later than </w:t>
      </w:r>
      <w:r w:rsidR="00D874DB">
        <w:t>[27</w:t>
      </w:r>
      <w:r w:rsidR="00F96914" w:rsidRPr="00DD7EE3">
        <w:t xml:space="preserve">th September 2017] </w:t>
      </w:r>
      <w:r w:rsidRPr="00172ADF">
        <w:t xml:space="preserve">to ensure that </w:t>
      </w:r>
      <w:r w:rsidR="00C60E4C">
        <w:t>the findings of the report can be used to in</w:t>
      </w:r>
      <w:r w:rsidR="00172ADF" w:rsidRPr="00172ADF">
        <w:t>for</w:t>
      </w:r>
      <w:r w:rsidR="00C60E4C">
        <w:t>m</w:t>
      </w:r>
      <w:r w:rsidR="00172ADF" w:rsidRPr="00172ADF">
        <w:t xml:space="preserve"> the </w:t>
      </w:r>
      <w:r w:rsidR="0012271F" w:rsidRPr="00172ADF">
        <w:t>NIA</w:t>
      </w:r>
      <w:r w:rsidRPr="00172ADF">
        <w:t xml:space="preserve">.  </w:t>
      </w:r>
      <w:r w:rsidR="0012271F" w:rsidRPr="00172ADF">
        <w:t>D</w:t>
      </w:r>
      <w:r w:rsidRPr="00172ADF">
        <w:t>elivery will</w:t>
      </w:r>
      <w:r w:rsidR="0012271F" w:rsidRPr="00172ADF">
        <w:t xml:space="preserve"> </w:t>
      </w:r>
      <w:r w:rsidRPr="00172ADF">
        <w:t>be staggered, with output being suppl</w:t>
      </w:r>
      <w:r w:rsidR="00C60E4C">
        <w:t xml:space="preserve">ied to the </w:t>
      </w:r>
      <w:r w:rsidR="00D24D90">
        <w:t xml:space="preserve">Authority </w:t>
      </w:r>
      <w:r w:rsidR="00C60E4C">
        <w:t>from the [</w:t>
      </w:r>
      <w:r w:rsidR="00945E17">
        <w:t>4</w:t>
      </w:r>
      <w:r w:rsidR="00C60E4C" w:rsidRPr="00C60E4C">
        <w:rPr>
          <w:vertAlign w:val="superscript"/>
        </w:rPr>
        <w:t>th</w:t>
      </w:r>
      <w:r w:rsidR="00C60E4C">
        <w:t xml:space="preserve"> May 2017</w:t>
      </w:r>
      <w:r w:rsidRPr="00172ADF">
        <w:t>], with [</w:t>
      </w:r>
      <w:r w:rsidR="00D353ED">
        <w:t>27</w:t>
      </w:r>
      <w:r w:rsidR="00C60E4C" w:rsidRPr="00C60E4C">
        <w:rPr>
          <w:vertAlign w:val="superscript"/>
        </w:rPr>
        <w:t>th</w:t>
      </w:r>
      <w:r w:rsidR="00C60E4C">
        <w:t xml:space="preserve"> September 2017</w:t>
      </w:r>
      <w:r w:rsidRPr="00172ADF">
        <w:t xml:space="preserve">] an absolute deadline for all products. </w:t>
      </w:r>
      <w:r w:rsidR="00754EEE">
        <w:t xml:space="preserve">The </w:t>
      </w:r>
      <w:r w:rsidR="000327A1">
        <w:rPr>
          <w:szCs w:val="22"/>
        </w:rPr>
        <w:t xml:space="preserve">Authority </w:t>
      </w:r>
      <w:r w:rsidR="00754EEE">
        <w:t xml:space="preserve">expect to be able to use interim findings from the work to inform Vision and Priorities – due to be published at the beginning of June 2017. The </w:t>
      </w:r>
      <w:r w:rsidR="007A54BC">
        <w:t>Supplier must</w:t>
      </w:r>
      <w:r w:rsidR="00754EEE">
        <w:t xml:space="preserve"> therefore ensure that, following feedback and comments by the </w:t>
      </w:r>
      <w:r w:rsidR="00D24D90">
        <w:t xml:space="preserve">Authority </w:t>
      </w:r>
      <w:r w:rsidR="00754EEE">
        <w:t xml:space="preserve">of the first </w:t>
      </w:r>
      <w:r w:rsidR="00D353ED">
        <w:t xml:space="preserve">skeleton </w:t>
      </w:r>
      <w:r w:rsidR="00754EEE">
        <w:t xml:space="preserve">draft on </w:t>
      </w:r>
      <w:r w:rsidR="00945E17">
        <w:t>[4</w:t>
      </w:r>
      <w:r w:rsidR="00754EEE" w:rsidRPr="00C60E4C">
        <w:rPr>
          <w:vertAlign w:val="superscript"/>
        </w:rPr>
        <w:t>th</w:t>
      </w:r>
      <w:r w:rsidR="00754EEE">
        <w:t xml:space="preserve"> May 2017</w:t>
      </w:r>
      <w:r w:rsidR="00754EEE" w:rsidRPr="00172ADF">
        <w:t>]</w:t>
      </w:r>
      <w:r w:rsidR="00754EEE">
        <w:t>, interi</w:t>
      </w:r>
      <w:r w:rsidR="00945E17">
        <w:t>m findings can be provided by [15</w:t>
      </w:r>
      <w:r w:rsidR="00945E17" w:rsidRPr="00945E17">
        <w:rPr>
          <w:vertAlign w:val="superscript"/>
        </w:rPr>
        <w:t>th</w:t>
      </w:r>
      <w:r w:rsidR="00945E17">
        <w:t xml:space="preserve"> May 2017].</w:t>
      </w:r>
      <w:r w:rsidR="00D353ED">
        <w:t xml:space="preserve"> The Supplier must provide a draft final report by [4</w:t>
      </w:r>
      <w:r w:rsidR="00D353ED" w:rsidRPr="00DF3584">
        <w:rPr>
          <w:vertAlign w:val="superscript"/>
        </w:rPr>
        <w:t>th</w:t>
      </w:r>
      <w:r w:rsidR="00D353ED">
        <w:t xml:space="preserve"> September 2017], the Supplier should make changes following feedback by the Authority by [11</w:t>
      </w:r>
      <w:r w:rsidR="00D353ED" w:rsidRPr="00DF3584">
        <w:rPr>
          <w:vertAlign w:val="superscript"/>
        </w:rPr>
        <w:t>th</w:t>
      </w:r>
      <w:r w:rsidR="00D353ED">
        <w:t xml:space="preserve"> September 2017] which can be peer reviewed, with the final report due on [27</w:t>
      </w:r>
      <w:r w:rsidR="00D353ED" w:rsidRPr="00DF3584">
        <w:rPr>
          <w:vertAlign w:val="superscript"/>
        </w:rPr>
        <w:t>th</w:t>
      </w:r>
      <w:r w:rsidR="00D353ED">
        <w:t xml:space="preserve"> September 2017].</w:t>
      </w:r>
    </w:p>
    <w:p w14:paraId="1E449B80" w14:textId="1D461852" w:rsidR="00375CEC" w:rsidRPr="00866D5B" w:rsidRDefault="00375CEC" w:rsidP="00375CEC">
      <w:pPr>
        <w:pStyle w:val="Heading2"/>
      </w:pPr>
      <w:r w:rsidRPr="00866D5B">
        <w:rPr>
          <w:szCs w:val="22"/>
        </w:rPr>
        <w:t>It is expected that the findings presented in the report are quality assured, including through peer review with relevant experts and that the report is fin</w:t>
      </w:r>
      <w:r w:rsidR="00172ADF">
        <w:rPr>
          <w:szCs w:val="22"/>
        </w:rPr>
        <w:t>ished to a publishable standard. A</w:t>
      </w:r>
      <w:r w:rsidRPr="00866D5B">
        <w:rPr>
          <w:szCs w:val="22"/>
        </w:rPr>
        <w:t xml:space="preserve">ll assumptions and caveats </w:t>
      </w:r>
      <w:r w:rsidR="007A54BC">
        <w:rPr>
          <w:szCs w:val="22"/>
        </w:rPr>
        <w:t>must</w:t>
      </w:r>
      <w:r w:rsidR="00172ADF">
        <w:rPr>
          <w:szCs w:val="22"/>
        </w:rPr>
        <w:t xml:space="preserve"> be </w:t>
      </w:r>
      <w:r w:rsidRPr="00866D5B">
        <w:rPr>
          <w:szCs w:val="22"/>
        </w:rPr>
        <w:t>clearly highlighted</w:t>
      </w:r>
      <w:r w:rsidR="00172ADF">
        <w:rPr>
          <w:szCs w:val="22"/>
        </w:rPr>
        <w:t xml:space="preserve"> and agreed upon with the </w:t>
      </w:r>
      <w:r w:rsidR="000327A1">
        <w:rPr>
          <w:szCs w:val="22"/>
        </w:rPr>
        <w:t>Authority</w:t>
      </w:r>
      <w:r w:rsidRPr="00866D5B">
        <w:rPr>
          <w:szCs w:val="22"/>
        </w:rPr>
        <w:t>.</w:t>
      </w:r>
    </w:p>
    <w:p w14:paraId="490E51A5" w14:textId="5090144D" w:rsidR="00375CEC" w:rsidRDefault="00375CEC" w:rsidP="00375CEC">
      <w:pPr>
        <w:pStyle w:val="Heading2"/>
      </w:pPr>
      <w:r>
        <w:lastRenderedPageBreak/>
        <w:t xml:space="preserve">All materials (including research, calculations and models) used to generate the analysis </w:t>
      </w:r>
      <w:r w:rsidR="007A54BC">
        <w:t>must</w:t>
      </w:r>
      <w:r>
        <w:t xml:space="preserve"> be made available to the </w:t>
      </w:r>
      <w:r w:rsidR="000327A1">
        <w:rPr>
          <w:szCs w:val="22"/>
        </w:rPr>
        <w:t xml:space="preserve">Authority </w:t>
      </w:r>
      <w:r>
        <w:t>for future use.</w:t>
      </w:r>
    </w:p>
    <w:p w14:paraId="455F001B" w14:textId="6D08341B" w:rsidR="00AD4D45" w:rsidRDefault="00AD4D45" w:rsidP="00AD4D45">
      <w:pPr>
        <w:pStyle w:val="Heading2"/>
      </w:pPr>
      <w:r>
        <w:t xml:space="preserve">At the start of the project </w:t>
      </w:r>
      <w:r w:rsidR="00F96914">
        <w:t xml:space="preserve">the Authority </w:t>
      </w:r>
      <w:r>
        <w:t>expect</w:t>
      </w:r>
      <w:r w:rsidR="00F96914">
        <w:t>s</w:t>
      </w:r>
      <w:r>
        <w:t xml:space="preserve"> to hold an inception/scoping meeting with the </w:t>
      </w:r>
      <w:r w:rsidR="00274ABF">
        <w:rPr>
          <w:szCs w:val="22"/>
        </w:rPr>
        <w:t>Supplier</w:t>
      </w:r>
      <w:r>
        <w:t>, and for a short inception report to then be provided which clarifies the approach to be taken, along with a plan setting out key milestones and dates for deliverables, risks and how these will be managed etc. – for agreement, before proceeding to carry out the analysis.</w:t>
      </w:r>
      <w:r w:rsidR="00BD7ECA">
        <w:t xml:space="preserve"> The Authority</w:t>
      </w:r>
      <w:r w:rsidR="00BD7ECA" w:rsidRPr="007104DC">
        <w:t xml:space="preserve"> expect</w:t>
      </w:r>
      <w:r w:rsidR="00BD7ECA">
        <w:t>s</w:t>
      </w:r>
      <w:r w:rsidR="00BD7ECA" w:rsidRPr="007104DC">
        <w:t xml:space="preserve"> the </w:t>
      </w:r>
      <w:r w:rsidR="00274ABF">
        <w:t xml:space="preserve">Supplier </w:t>
      </w:r>
      <w:r w:rsidR="00BD7ECA" w:rsidRPr="007104DC">
        <w:t xml:space="preserve">to work closely with the </w:t>
      </w:r>
      <w:r w:rsidR="00D24D90">
        <w:t>Authority</w:t>
      </w:r>
      <w:r w:rsidR="00BD7ECA" w:rsidRPr="007104DC">
        <w:t xml:space="preserve">, including through </w:t>
      </w:r>
      <w:r w:rsidR="00BD7ECA">
        <w:t xml:space="preserve">weekly </w:t>
      </w:r>
      <w:r w:rsidR="00BD7ECA" w:rsidRPr="007104DC">
        <w:t>meetings</w:t>
      </w:r>
      <w:r w:rsidR="00172ADF">
        <w:t xml:space="preserve"> or phone calls</w:t>
      </w:r>
      <w:r w:rsidR="00BD7ECA" w:rsidRPr="007104DC">
        <w:t>.</w:t>
      </w:r>
    </w:p>
    <w:p w14:paraId="6893EB7D" w14:textId="2FEC1909" w:rsidR="00CF3FA9" w:rsidRPr="00CF3FA9" w:rsidRDefault="00CF3FA9" w:rsidP="00CF3FA9">
      <w:pPr>
        <w:pStyle w:val="Heading2"/>
      </w:pPr>
      <w:r w:rsidRPr="00CF3FA9">
        <w:rPr>
          <w:rFonts w:cs="Arial"/>
          <w:szCs w:val="22"/>
          <w:shd w:val="clear" w:color="auto" w:fill="FFFFFF"/>
        </w:rPr>
        <w:t xml:space="preserve">The </w:t>
      </w:r>
      <w:r w:rsidR="000327A1">
        <w:rPr>
          <w:szCs w:val="22"/>
        </w:rPr>
        <w:t xml:space="preserve">Authority </w:t>
      </w:r>
      <w:r w:rsidRPr="00CF3FA9">
        <w:rPr>
          <w:rFonts w:cs="Arial"/>
          <w:szCs w:val="22"/>
          <w:shd w:val="clear" w:color="auto" w:fill="FFFFFF"/>
        </w:rPr>
        <w:t xml:space="preserve">are due to procure a benefit analysis for the same future digital infrastructure options. The </w:t>
      </w:r>
      <w:r w:rsidR="000327A1">
        <w:rPr>
          <w:szCs w:val="22"/>
        </w:rPr>
        <w:t xml:space="preserve">Authority </w:t>
      </w:r>
      <w:r w:rsidRPr="00CF3FA9">
        <w:rPr>
          <w:rFonts w:cs="Arial"/>
          <w:szCs w:val="22"/>
          <w:shd w:val="clear" w:color="auto" w:fill="FFFFFF"/>
        </w:rPr>
        <w:t xml:space="preserve">expects that the assumptions used are compatible and that the </w:t>
      </w:r>
      <w:r w:rsidR="00274ABF">
        <w:rPr>
          <w:szCs w:val="22"/>
        </w:rPr>
        <w:t>Supplier</w:t>
      </w:r>
      <w:r w:rsidR="00274ABF" w:rsidRPr="00CF3FA9" w:rsidDel="00274ABF">
        <w:rPr>
          <w:rFonts w:cs="Arial"/>
          <w:szCs w:val="22"/>
          <w:shd w:val="clear" w:color="auto" w:fill="FFFFFF"/>
        </w:rPr>
        <w:t xml:space="preserve"> </w:t>
      </w:r>
      <w:r w:rsidRPr="00CF3FA9">
        <w:rPr>
          <w:rFonts w:cs="Arial"/>
          <w:szCs w:val="22"/>
          <w:shd w:val="clear" w:color="auto" w:fill="FFFFFF"/>
        </w:rPr>
        <w:t xml:space="preserve">works collaboratively with the </w:t>
      </w:r>
      <w:r w:rsidR="00274ABF">
        <w:rPr>
          <w:szCs w:val="22"/>
        </w:rPr>
        <w:t>Supplier</w:t>
      </w:r>
      <w:r w:rsidR="00274ABF" w:rsidRPr="00CF3FA9" w:rsidDel="00274ABF">
        <w:rPr>
          <w:rFonts w:cs="Arial"/>
          <w:szCs w:val="22"/>
          <w:shd w:val="clear" w:color="auto" w:fill="FFFFFF"/>
        </w:rPr>
        <w:t xml:space="preserve"> </w:t>
      </w:r>
      <w:r w:rsidR="00274ABF">
        <w:rPr>
          <w:rFonts w:cs="Arial"/>
          <w:szCs w:val="22"/>
          <w:shd w:val="clear" w:color="auto" w:fill="FFFFFF"/>
        </w:rPr>
        <w:t xml:space="preserve">of the benefits analysis </w:t>
      </w:r>
      <w:r w:rsidRPr="00CF3FA9">
        <w:rPr>
          <w:rFonts w:cs="Arial"/>
          <w:szCs w:val="22"/>
          <w:shd w:val="clear" w:color="auto" w:fill="FFFFFF"/>
        </w:rPr>
        <w:t xml:space="preserve">contracted by the </w:t>
      </w:r>
      <w:r w:rsidR="00D24D90">
        <w:rPr>
          <w:rFonts w:cs="Arial"/>
          <w:szCs w:val="22"/>
          <w:shd w:val="clear" w:color="auto" w:fill="FFFFFF"/>
        </w:rPr>
        <w:t>Authority</w:t>
      </w:r>
      <w:r w:rsidRPr="00CF3FA9">
        <w:rPr>
          <w:rFonts w:cs="Arial"/>
          <w:szCs w:val="22"/>
          <w:shd w:val="clear" w:color="auto" w:fill="FFFFFF"/>
        </w:rPr>
        <w:t>. That may include, but is not limited to sharing analysis and methodologies, and developing jointly agreed assumptions, assessments and conclusions to ensure that the overall findings of the individually commissioned pieces of research are compatible.</w:t>
      </w:r>
      <w:r w:rsidR="00274ABF">
        <w:rPr>
          <w:rFonts w:cs="Arial"/>
          <w:szCs w:val="22"/>
          <w:shd w:val="clear" w:color="auto" w:fill="FFFFFF"/>
        </w:rPr>
        <w:t xml:space="preserve"> </w:t>
      </w:r>
    </w:p>
    <w:p w14:paraId="0DBE18E4" w14:textId="36869F18" w:rsidR="00AD4D45" w:rsidRDefault="00AD4D45" w:rsidP="00CF3FA9">
      <w:pPr>
        <w:pStyle w:val="Heading2"/>
      </w:pPr>
      <w:r>
        <w:t xml:space="preserve">The </w:t>
      </w:r>
      <w:r w:rsidR="00274ABF">
        <w:t xml:space="preserve">Supplier </w:t>
      </w:r>
      <w:r w:rsidR="007A54BC">
        <w:t>must</w:t>
      </w:r>
      <w:r>
        <w:t xml:space="preserve"> also </w:t>
      </w:r>
      <w:r w:rsidR="003864C5">
        <w:t xml:space="preserve">be </w:t>
      </w:r>
      <w:r>
        <w:t>prepare</w:t>
      </w:r>
      <w:r w:rsidR="003864C5">
        <w:t>d</w:t>
      </w:r>
      <w:r>
        <w:t xml:space="preserve"> to do a presentation </w:t>
      </w:r>
      <w:r w:rsidR="00E03A22">
        <w:t xml:space="preserve">of the report </w:t>
      </w:r>
      <w:r>
        <w:t xml:space="preserve">to technical and non-technical members of the </w:t>
      </w:r>
      <w:r w:rsidR="000327A1">
        <w:rPr>
          <w:szCs w:val="22"/>
        </w:rPr>
        <w:t xml:space="preserve">Authority </w:t>
      </w:r>
      <w:r>
        <w:t>in a clear and concise fashion</w:t>
      </w:r>
      <w:r w:rsidR="003864C5">
        <w:t>. The purpose would be</w:t>
      </w:r>
      <w:r>
        <w:t xml:space="preserve"> to set out the key findings from </w:t>
      </w:r>
      <w:r w:rsidR="00E03A22">
        <w:t>the</w:t>
      </w:r>
      <w:r w:rsidR="003864C5">
        <w:t xml:space="preserve"> report</w:t>
      </w:r>
      <w:r>
        <w:t xml:space="preserve">, and the key assumptions, results, and caveats in a clear and </w:t>
      </w:r>
      <w:r w:rsidR="00BD7ECA">
        <w:t xml:space="preserve">concise fashion, </w:t>
      </w:r>
      <w:r w:rsidR="00BD7ECA" w:rsidRPr="007104DC">
        <w:t>to ensure these are fully understood</w:t>
      </w:r>
      <w:r w:rsidR="00E03A22">
        <w:t xml:space="preserve"> by Commissioners</w:t>
      </w:r>
      <w:r w:rsidR="00BD7ECA" w:rsidRPr="007104DC">
        <w:t>.</w:t>
      </w:r>
      <w:r w:rsidR="00BD7ECA">
        <w:t xml:space="preserve"> </w:t>
      </w:r>
    </w:p>
    <w:p w14:paraId="50CDADAE" w14:textId="786A686E" w:rsidR="00BD7ECA" w:rsidRDefault="00BD7ECA" w:rsidP="00BD7ECA">
      <w:pPr>
        <w:pStyle w:val="Heading2"/>
      </w:pPr>
      <w:r>
        <w:t xml:space="preserve">The </w:t>
      </w:r>
      <w:r w:rsidR="00274ABF">
        <w:rPr>
          <w:szCs w:val="22"/>
        </w:rPr>
        <w:t>Supplier</w:t>
      </w:r>
      <w:r w:rsidR="00274ABF" w:rsidDel="00274ABF">
        <w:t xml:space="preserve"> </w:t>
      </w:r>
      <w:r w:rsidR="007A54BC">
        <w:t>must</w:t>
      </w:r>
      <w:r>
        <w:t xml:space="preserve"> submit a final report detailing analysis, findings and comments in a clear and concise fashion – this should reflect any inputs/requests made by the </w:t>
      </w:r>
      <w:r w:rsidR="00D24D90">
        <w:t xml:space="preserve">Authority </w:t>
      </w:r>
      <w:r>
        <w:t xml:space="preserve">during the production phase. The </w:t>
      </w:r>
      <w:r w:rsidR="00D24D90">
        <w:t xml:space="preserve">Authority </w:t>
      </w:r>
      <w:r>
        <w:t>intends to publish this report.</w:t>
      </w:r>
    </w:p>
    <w:p w14:paraId="7D8CD7A8" w14:textId="77777777" w:rsidR="00671798" w:rsidRPr="00733BA6" w:rsidRDefault="00FE18AC" w:rsidP="00733BA6">
      <w:pPr>
        <w:pStyle w:val="Heading1"/>
        <w:spacing w:after="120"/>
      </w:pPr>
      <w:bookmarkStart w:id="17" w:name="_Toc368573032"/>
      <w:bookmarkStart w:id="18" w:name="_Toc476157669"/>
      <w:r>
        <w:t>key milestones</w:t>
      </w:r>
      <w:bookmarkEnd w:id="17"/>
      <w:bookmarkEnd w:id="18"/>
    </w:p>
    <w:p w14:paraId="1F3A3401" w14:textId="77777777" w:rsidR="00FE18AC" w:rsidRPr="00CA3806" w:rsidRDefault="003438D3" w:rsidP="008F3470">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3438D3">
        <w:rPr>
          <w:rFonts w:cs="Arial"/>
          <w:szCs w:val="22"/>
        </w:rPr>
        <w:t>The Potential Provider should note the following pr</w:t>
      </w:r>
      <w:r w:rsidR="00A57B4E">
        <w:rPr>
          <w:rFonts w:cs="Arial"/>
          <w:szCs w:val="22"/>
        </w:rPr>
        <w:t>oject milestones that the Authority</w:t>
      </w:r>
      <w:r w:rsidRPr="003438D3">
        <w:rPr>
          <w:rFonts w:cs="Arial"/>
          <w:szCs w:val="22"/>
        </w:rPr>
        <w:t xml:space="preserve"> will measure the quality of delivery against:</w:t>
      </w:r>
    </w:p>
    <w:tbl>
      <w:tblPr>
        <w:tblStyle w:val="TableGrid"/>
        <w:tblW w:w="5000" w:type="pct"/>
        <w:tblLook w:val="04A0" w:firstRow="1" w:lastRow="0" w:firstColumn="1" w:lastColumn="0" w:noHBand="0" w:noVBand="1"/>
      </w:tblPr>
      <w:tblGrid>
        <w:gridCol w:w="1620"/>
        <w:gridCol w:w="4473"/>
        <w:gridCol w:w="2926"/>
      </w:tblGrid>
      <w:tr w:rsidR="00FE18AC" w:rsidRPr="00297CF4" w14:paraId="5D229641" w14:textId="77777777" w:rsidTr="00106F24">
        <w:tc>
          <w:tcPr>
            <w:tcW w:w="898" w:type="pct"/>
            <w:shd w:val="clear" w:color="auto" w:fill="C6D9F1" w:themeFill="text2" w:themeFillTint="33"/>
            <w:vAlign w:val="center"/>
          </w:tcPr>
          <w:p w14:paraId="16E9DA77" w14:textId="77777777" w:rsidR="00671798" w:rsidRPr="00733BA6" w:rsidRDefault="00FE18AC">
            <w:pPr>
              <w:pStyle w:val="Heading3"/>
              <w:numPr>
                <w:ilvl w:val="0"/>
                <w:numId w:val="0"/>
              </w:numPr>
              <w:spacing w:after="120"/>
              <w:jc w:val="center"/>
              <w:outlineLvl w:val="2"/>
              <w:rPr>
                <w:b/>
                <w:szCs w:val="24"/>
              </w:rPr>
            </w:pPr>
            <w:r w:rsidRPr="00733BA6">
              <w:rPr>
                <w:b/>
              </w:rPr>
              <w:t>Milestone</w:t>
            </w:r>
          </w:p>
        </w:tc>
        <w:tc>
          <w:tcPr>
            <w:tcW w:w="2480" w:type="pct"/>
            <w:shd w:val="clear" w:color="auto" w:fill="C6D9F1" w:themeFill="text2" w:themeFillTint="33"/>
            <w:vAlign w:val="center"/>
          </w:tcPr>
          <w:p w14:paraId="246EC160" w14:textId="77777777" w:rsidR="00671798" w:rsidRPr="00733BA6" w:rsidRDefault="00FE18AC">
            <w:pPr>
              <w:pStyle w:val="Heading3"/>
              <w:numPr>
                <w:ilvl w:val="0"/>
                <w:numId w:val="0"/>
              </w:numPr>
              <w:spacing w:after="120"/>
              <w:jc w:val="center"/>
              <w:outlineLvl w:val="2"/>
              <w:rPr>
                <w:b/>
                <w:szCs w:val="24"/>
              </w:rPr>
            </w:pPr>
            <w:r w:rsidRPr="00733BA6">
              <w:rPr>
                <w:b/>
              </w:rPr>
              <w:t>Description</w:t>
            </w:r>
          </w:p>
        </w:tc>
        <w:tc>
          <w:tcPr>
            <w:tcW w:w="1622" w:type="pct"/>
            <w:shd w:val="clear" w:color="auto" w:fill="C6D9F1" w:themeFill="text2" w:themeFillTint="33"/>
            <w:vAlign w:val="center"/>
          </w:tcPr>
          <w:p w14:paraId="47FD57EA" w14:textId="77777777" w:rsidR="00671798" w:rsidRPr="00AB5E86" w:rsidRDefault="00FE18AC">
            <w:pPr>
              <w:pStyle w:val="Heading3"/>
              <w:numPr>
                <w:ilvl w:val="0"/>
                <w:numId w:val="0"/>
              </w:numPr>
              <w:spacing w:after="120"/>
              <w:jc w:val="center"/>
              <w:outlineLvl w:val="2"/>
              <w:rPr>
                <w:b/>
                <w:szCs w:val="24"/>
                <w:highlight w:val="yellow"/>
              </w:rPr>
            </w:pPr>
            <w:r w:rsidRPr="00DF3584">
              <w:rPr>
                <w:b/>
              </w:rPr>
              <w:t>Timeframe</w:t>
            </w:r>
          </w:p>
        </w:tc>
      </w:tr>
      <w:tr w:rsidR="00733BA6" w:rsidRPr="00297CF4" w14:paraId="389621AB" w14:textId="77777777" w:rsidTr="00E245A6">
        <w:tc>
          <w:tcPr>
            <w:tcW w:w="898" w:type="pct"/>
            <w:vAlign w:val="center"/>
          </w:tcPr>
          <w:p w14:paraId="12EB2B2F" w14:textId="77777777" w:rsidR="00733BA6" w:rsidRPr="00733BA6" w:rsidRDefault="00733BA6" w:rsidP="00733BA6">
            <w:pPr>
              <w:pStyle w:val="Heading3"/>
              <w:numPr>
                <w:ilvl w:val="0"/>
                <w:numId w:val="0"/>
              </w:numPr>
              <w:spacing w:after="120"/>
              <w:jc w:val="center"/>
              <w:outlineLvl w:val="2"/>
              <w:rPr>
                <w:szCs w:val="24"/>
              </w:rPr>
            </w:pPr>
            <w:r w:rsidRPr="00733BA6">
              <w:t>1</w:t>
            </w:r>
          </w:p>
        </w:tc>
        <w:tc>
          <w:tcPr>
            <w:tcW w:w="2480" w:type="pct"/>
            <w:vAlign w:val="center"/>
          </w:tcPr>
          <w:p w14:paraId="62E46F4E" w14:textId="25353B66" w:rsidR="00733BA6" w:rsidRPr="00733BA6" w:rsidRDefault="00733BA6" w:rsidP="00B15CD3">
            <w:pPr>
              <w:pStyle w:val="Heading3"/>
              <w:numPr>
                <w:ilvl w:val="0"/>
                <w:numId w:val="0"/>
              </w:numPr>
              <w:spacing w:after="120"/>
              <w:jc w:val="left"/>
              <w:outlineLvl w:val="2"/>
              <w:rPr>
                <w:szCs w:val="24"/>
              </w:rPr>
            </w:pPr>
            <w:r w:rsidRPr="00733BA6">
              <w:t xml:space="preserve">Project inception meeting with </w:t>
            </w:r>
            <w:r w:rsidR="00D24D90">
              <w:t>the Authority</w:t>
            </w:r>
            <w:r>
              <w:t xml:space="preserve">, </w:t>
            </w:r>
            <w:r w:rsidRPr="00195B9A">
              <w:t xml:space="preserve">to agree the </w:t>
            </w:r>
            <w:r>
              <w:t xml:space="preserve">milestones </w:t>
            </w:r>
            <w:r w:rsidRPr="00195B9A">
              <w:t>for the project and precise coverage of the report.</w:t>
            </w:r>
          </w:p>
        </w:tc>
        <w:tc>
          <w:tcPr>
            <w:tcW w:w="1622" w:type="pct"/>
            <w:vAlign w:val="center"/>
          </w:tcPr>
          <w:p w14:paraId="708EFD3E" w14:textId="77777777" w:rsidR="00733BA6" w:rsidRPr="00733BA6" w:rsidRDefault="00733BA6" w:rsidP="00733BA6">
            <w:pPr>
              <w:pStyle w:val="Heading3"/>
              <w:numPr>
                <w:ilvl w:val="0"/>
                <w:numId w:val="0"/>
              </w:numPr>
              <w:spacing w:after="120"/>
              <w:jc w:val="center"/>
              <w:outlineLvl w:val="2"/>
              <w:rPr>
                <w:szCs w:val="24"/>
              </w:rPr>
            </w:pPr>
            <w:r w:rsidRPr="00733BA6">
              <w:t xml:space="preserve">Within week 1 of Contract Award </w:t>
            </w:r>
          </w:p>
        </w:tc>
      </w:tr>
      <w:tr w:rsidR="00733BA6" w:rsidRPr="00297CF4" w14:paraId="4F37FFC5" w14:textId="77777777" w:rsidTr="00E245A6">
        <w:tc>
          <w:tcPr>
            <w:tcW w:w="898" w:type="pct"/>
            <w:vAlign w:val="center"/>
          </w:tcPr>
          <w:p w14:paraId="7296778F" w14:textId="77777777" w:rsidR="00733BA6" w:rsidRPr="00733BA6" w:rsidRDefault="00733BA6" w:rsidP="00733BA6">
            <w:pPr>
              <w:pStyle w:val="Heading3"/>
              <w:numPr>
                <w:ilvl w:val="0"/>
                <w:numId w:val="0"/>
              </w:numPr>
              <w:spacing w:after="120"/>
              <w:jc w:val="center"/>
              <w:outlineLvl w:val="2"/>
              <w:rPr>
                <w:szCs w:val="24"/>
              </w:rPr>
            </w:pPr>
            <w:r w:rsidRPr="00733BA6">
              <w:t>2</w:t>
            </w:r>
          </w:p>
        </w:tc>
        <w:tc>
          <w:tcPr>
            <w:tcW w:w="2480" w:type="pct"/>
            <w:vAlign w:val="center"/>
          </w:tcPr>
          <w:p w14:paraId="11758C02" w14:textId="0939E340" w:rsidR="00733BA6" w:rsidRPr="00733BA6" w:rsidRDefault="00733BA6">
            <w:pPr>
              <w:pStyle w:val="Heading3"/>
              <w:numPr>
                <w:ilvl w:val="0"/>
                <w:numId w:val="0"/>
              </w:numPr>
              <w:spacing w:after="120"/>
              <w:jc w:val="left"/>
              <w:outlineLvl w:val="2"/>
              <w:rPr>
                <w:szCs w:val="24"/>
              </w:rPr>
            </w:pPr>
            <w:r w:rsidRPr="00733BA6">
              <w:t xml:space="preserve">An inception report to be provided, and agreed by </w:t>
            </w:r>
            <w:r w:rsidR="00D24D90">
              <w:t>the Authority</w:t>
            </w:r>
            <w:r w:rsidRPr="00733BA6">
              <w:t xml:space="preserve">, clarifying the approach to be taken, along with a plan setting out key milestones and dates for deliverables, risks </w:t>
            </w:r>
            <w:r w:rsidR="00E52C9E">
              <w:t>and how these will be managed</w:t>
            </w:r>
            <w:r w:rsidRPr="00733BA6">
              <w:t xml:space="preserve">. </w:t>
            </w:r>
            <w:r w:rsidR="00E53A1F">
              <w:t xml:space="preserve">This includes the date of the milestone for proposed combinations of digital infrastructure. </w:t>
            </w:r>
          </w:p>
        </w:tc>
        <w:tc>
          <w:tcPr>
            <w:tcW w:w="1622" w:type="pct"/>
            <w:vAlign w:val="center"/>
          </w:tcPr>
          <w:p w14:paraId="6588E14C" w14:textId="77777777" w:rsidR="00733BA6" w:rsidRPr="00733BA6" w:rsidRDefault="00733BA6" w:rsidP="00733BA6">
            <w:pPr>
              <w:pStyle w:val="Heading3"/>
              <w:numPr>
                <w:ilvl w:val="0"/>
                <w:numId w:val="0"/>
              </w:numPr>
              <w:spacing w:after="120"/>
              <w:jc w:val="center"/>
              <w:outlineLvl w:val="2"/>
              <w:rPr>
                <w:szCs w:val="24"/>
              </w:rPr>
            </w:pPr>
            <w:r w:rsidRPr="00733BA6">
              <w:t>Within week 2 of Contract Award</w:t>
            </w:r>
          </w:p>
        </w:tc>
      </w:tr>
      <w:tr w:rsidR="00733BA6" w:rsidRPr="00297CF4" w14:paraId="7947C6C8" w14:textId="77777777" w:rsidTr="00E245A6">
        <w:tc>
          <w:tcPr>
            <w:tcW w:w="898" w:type="pct"/>
            <w:vAlign w:val="center"/>
          </w:tcPr>
          <w:p w14:paraId="325BF645" w14:textId="77777777" w:rsidR="00733BA6" w:rsidRPr="00733BA6" w:rsidRDefault="00733BA6" w:rsidP="00733BA6">
            <w:pPr>
              <w:pStyle w:val="Heading3"/>
              <w:numPr>
                <w:ilvl w:val="0"/>
                <w:numId w:val="0"/>
              </w:numPr>
              <w:spacing w:after="120"/>
              <w:jc w:val="center"/>
              <w:outlineLvl w:val="2"/>
            </w:pPr>
            <w:r>
              <w:t>3</w:t>
            </w:r>
          </w:p>
        </w:tc>
        <w:tc>
          <w:tcPr>
            <w:tcW w:w="2480" w:type="pct"/>
            <w:vAlign w:val="center"/>
          </w:tcPr>
          <w:p w14:paraId="0D037668" w14:textId="77777777" w:rsidR="00733BA6" w:rsidRPr="00733BA6" w:rsidRDefault="00733BA6" w:rsidP="00E03A22">
            <w:pPr>
              <w:pStyle w:val="Heading3"/>
              <w:numPr>
                <w:ilvl w:val="0"/>
                <w:numId w:val="0"/>
              </w:numPr>
              <w:spacing w:after="120"/>
              <w:jc w:val="left"/>
              <w:outlineLvl w:val="2"/>
            </w:pPr>
            <w:r w:rsidRPr="00195B9A">
              <w:t>Update meeting / phone call on the project including any findings</w:t>
            </w:r>
            <w:r w:rsidR="00E03A22">
              <w:t xml:space="preserve"> or assumptions to agree upon</w:t>
            </w:r>
            <w:r>
              <w:t>.</w:t>
            </w:r>
          </w:p>
        </w:tc>
        <w:tc>
          <w:tcPr>
            <w:tcW w:w="1622" w:type="pct"/>
            <w:vAlign w:val="center"/>
          </w:tcPr>
          <w:p w14:paraId="58E2363E" w14:textId="77777777" w:rsidR="00733BA6" w:rsidRPr="00733BA6" w:rsidRDefault="00733BA6" w:rsidP="00733BA6">
            <w:pPr>
              <w:pStyle w:val="Heading3"/>
              <w:numPr>
                <w:ilvl w:val="0"/>
                <w:numId w:val="0"/>
              </w:numPr>
              <w:spacing w:after="120"/>
              <w:jc w:val="center"/>
              <w:outlineLvl w:val="2"/>
            </w:pPr>
            <w:r w:rsidRPr="00195B9A">
              <w:t>Weekly</w:t>
            </w:r>
          </w:p>
        </w:tc>
      </w:tr>
      <w:tr w:rsidR="00733BA6" w14:paraId="429AECC9" w14:textId="77777777" w:rsidTr="00E245A6">
        <w:tc>
          <w:tcPr>
            <w:tcW w:w="898" w:type="pct"/>
            <w:vAlign w:val="center"/>
          </w:tcPr>
          <w:p w14:paraId="51A1D3D3" w14:textId="77777777" w:rsidR="00733BA6" w:rsidRPr="00733BA6" w:rsidRDefault="0024295B" w:rsidP="00733BA6">
            <w:pPr>
              <w:pStyle w:val="Heading3"/>
              <w:numPr>
                <w:ilvl w:val="0"/>
                <w:numId w:val="0"/>
              </w:numPr>
              <w:spacing w:after="120"/>
              <w:jc w:val="center"/>
              <w:outlineLvl w:val="2"/>
              <w:rPr>
                <w:szCs w:val="24"/>
              </w:rPr>
            </w:pPr>
            <w:r>
              <w:rPr>
                <w:szCs w:val="24"/>
              </w:rPr>
              <w:t>4</w:t>
            </w:r>
          </w:p>
        </w:tc>
        <w:tc>
          <w:tcPr>
            <w:tcW w:w="2480" w:type="pct"/>
            <w:vAlign w:val="center"/>
          </w:tcPr>
          <w:p w14:paraId="48483884" w14:textId="78940D37" w:rsidR="00733BA6" w:rsidRPr="00733BA6" w:rsidRDefault="00CD7E85">
            <w:pPr>
              <w:pStyle w:val="Heading3"/>
              <w:numPr>
                <w:ilvl w:val="0"/>
                <w:numId w:val="0"/>
              </w:numPr>
              <w:spacing w:after="120"/>
              <w:jc w:val="left"/>
              <w:outlineLvl w:val="2"/>
              <w:rPr>
                <w:szCs w:val="24"/>
              </w:rPr>
            </w:pPr>
            <w:r>
              <w:t xml:space="preserve">First draft </w:t>
            </w:r>
            <w:r w:rsidR="00E0579A">
              <w:t xml:space="preserve">of the skeleton structure to </w:t>
            </w:r>
            <w:r w:rsidR="00733BA6" w:rsidRPr="00733BA6">
              <w:t xml:space="preserve">be shared with </w:t>
            </w:r>
            <w:r w:rsidR="00D24D90">
              <w:t>the Authority</w:t>
            </w:r>
            <w:r w:rsidR="008D2358">
              <w:t>.</w:t>
            </w:r>
            <w:r w:rsidR="00E0579A">
              <w:t xml:space="preserve"> If possible, </w:t>
            </w:r>
            <w:r w:rsidR="00E0579A">
              <w:lastRenderedPageBreak/>
              <w:t xml:space="preserve">presentation of preliminary findings to be shared with </w:t>
            </w:r>
            <w:r w:rsidR="00D24D90">
              <w:t xml:space="preserve">the Authority </w:t>
            </w:r>
            <w:r w:rsidR="00E0579A">
              <w:t xml:space="preserve">for inclusion in Vision and Priorities (the </w:t>
            </w:r>
            <w:r w:rsidR="00274ABF">
              <w:rPr>
                <w:szCs w:val="22"/>
              </w:rPr>
              <w:t>Supplier</w:t>
            </w:r>
            <w:r w:rsidR="00274ABF">
              <w:t xml:space="preserve"> </w:t>
            </w:r>
            <w:r w:rsidR="007A54BC">
              <w:t>must</w:t>
            </w:r>
            <w:r w:rsidR="00E0579A">
              <w:t xml:space="preserve"> keep </w:t>
            </w:r>
            <w:r w:rsidR="00D24D90">
              <w:t xml:space="preserve">the Authority </w:t>
            </w:r>
            <w:r w:rsidR="00E0579A">
              <w:t>informed of progress and likelihood/extent of these in the weeks before).</w:t>
            </w:r>
          </w:p>
        </w:tc>
        <w:tc>
          <w:tcPr>
            <w:tcW w:w="1622" w:type="pct"/>
            <w:vAlign w:val="center"/>
          </w:tcPr>
          <w:p w14:paraId="15AD0B41" w14:textId="77777777" w:rsidR="00CD7E85" w:rsidRDefault="00CD7E85" w:rsidP="00CD7E85">
            <w:pPr>
              <w:pStyle w:val="Heading3"/>
              <w:numPr>
                <w:ilvl w:val="0"/>
                <w:numId w:val="0"/>
              </w:numPr>
              <w:spacing w:after="120"/>
              <w:jc w:val="center"/>
              <w:outlineLvl w:val="2"/>
            </w:pPr>
            <w:r>
              <w:lastRenderedPageBreak/>
              <w:t>4</w:t>
            </w:r>
            <w:r w:rsidRPr="00CD7E85">
              <w:rPr>
                <w:vertAlign w:val="superscript"/>
              </w:rPr>
              <w:t>th</w:t>
            </w:r>
            <w:r>
              <w:t xml:space="preserve"> May 2017 </w:t>
            </w:r>
          </w:p>
          <w:p w14:paraId="2A957449" w14:textId="62CC0292" w:rsidR="00CD7E85" w:rsidRPr="00CD7E85" w:rsidRDefault="00CD7E85" w:rsidP="00CD7E85">
            <w:pPr>
              <w:pStyle w:val="Heading3"/>
              <w:numPr>
                <w:ilvl w:val="0"/>
                <w:numId w:val="0"/>
              </w:numPr>
              <w:spacing w:after="120"/>
              <w:jc w:val="center"/>
              <w:outlineLvl w:val="2"/>
            </w:pPr>
          </w:p>
        </w:tc>
      </w:tr>
      <w:tr w:rsidR="008D2358" w14:paraId="3BFAB324" w14:textId="77777777" w:rsidTr="00E245A6">
        <w:tc>
          <w:tcPr>
            <w:tcW w:w="898" w:type="pct"/>
            <w:vAlign w:val="center"/>
          </w:tcPr>
          <w:p w14:paraId="4C7AB3CF" w14:textId="77777777" w:rsidR="008D2358" w:rsidRDefault="0024295B" w:rsidP="008D2358">
            <w:pPr>
              <w:pStyle w:val="Heading3"/>
              <w:numPr>
                <w:ilvl w:val="0"/>
                <w:numId w:val="0"/>
              </w:numPr>
              <w:spacing w:after="120"/>
              <w:jc w:val="center"/>
              <w:outlineLvl w:val="2"/>
            </w:pPr>
            <w:r>
              <w:lastRenderedPageBreak/>
              <w:t>5</w:t>
            </w:r>
          </w:p>
        </w:tc>
        <w:tc>
          <w:tcPr>
            <w:tcW w:w="2480" w:type="pct"/>
            <w:vAlign w:val="center"/>
          </w:tcPr>
          <w:p w14:paraId="1A50EF68" w14:textId="478B842A" w:rsidR="008D2358" w:rsidRPr="00195B9A" w:rsidRDefault="0024295B" w:rsidP="00CD7E85">
            <w:pPr>
              <w:pStyle w:val="Heading3"/>
              <w:numPr>
                <w:ilvl w:val="0"/>
                <w:numId w:val="0"/>
              </w:numPr>
              <w:spacing w:after="120"/>
              <w:jc w:val="left"/>
              <w:outlineLvl w:val="2"/>
            </w:pPr>
            <w:r>
              <w:t>Second</w:t>
            </w:r>
            <w:r w:rsidR="00CD7E85">
              <w:t xml:space="preserve"> draft</w:t>
            </w:r>
            <w:r w:rsidR="00E0579A">
              <w:t xml:space="preserve"> of the skeleton structure</w:t>
            </w:r>
            <w:r w:rsidR="00CD7E85">
              <w:t xml:space="preserve">, following comments and feedback by </w:t>
            </w:r>
            <w:r w:rsidR="00D24D90">
              <w:t>the Authority</w:t>
            </w:r>
            <w:r w:rsidR="00CD7E85">
              <w:t>, with interim findings to be shared. These interim findings will be used to inform Vision and Priorities</w:t>
            </w:r>
            <w:r w:rsidR="00E0579A">
              <w:t xml:space="preserve"> if appropriate</w:t>
            </w:r>
            <w:r w:rsidR="00CD7E85">
              <w:t>.</w:t>
            </w:r>
            <w:r w:rsidR="00D24D90">
              <w:t xml:space="preserve"> </w:t>
            </w:r>
          </w:p>
        </w:tc>
        <w:tc>
          <w:tcPr>
            <w:tcW w:w="1622" w:type="pct"/>
            <w:vAlign w:val="center"/>
          </w:tcPr>
          <w:p w14:paraId="2DFD2F24" w14:textId="77777777" w:rsidR="00CD7E85" w:rsidRDefault="00CD7E85" w:rsidP="00CD7E85">
            <w:pPr>
              <w:pStyle w:val="Heading3"/>
              <w:numPr>
                <w:ilvl w:val="0"/>
                <w:numId w:val="0"/>
              </w:numPr>
              <w:spacing w:after="120"/>
              <w:jc w:val="center"/>
              <w:outlineLvl w:val="2"/>
            </w:pPr>
            <w:r>
              <w:t>15</w:t>
            </w:r>
            <w:r w:rsidRPr="00CD7E85">
              <w:rPr>
                <w:vertAlign w:val="superscript"/>
              </w:rPr>
              <w:t>th</w:t>
            </w:r>
            <w:r>
              <w:t xml:space="preserve"> May 2017 </w:t>
            </w:r>
          </w:p>
          <w:p w14:paraId="6506410E" w14:textId="4E5A1307" w:rsidR="008D2358" w:rsidRPr="00733BA6" w:rsidRDefault="008D2358" w:rsidP="00CD7E85">
            <w:pPr>
              <w:pStyle w:val="Heading3"/>
              <w:numPr>
                <w:ilvl w:val="0"/>
                <w:numId w:val="0"/>
              </w:numPr>
              <w:spacing w:after="120"/>
              <w:jc w:val="center"/>
              <w:outlineLvl w:val="2"/>
            </w:pPr>
          </w:p>
        </w:tc>
      </w:tr>
      <w:tr w:rsidR="00E53A1F" w14:paraId="6F15F109" w14:textId="77777777" w:rsidTr="00E245A6">
        <w:tc>
          <w:tcPr>
            <w:tcW w:w="898" w:type="pct"/>
            <w:vAlign w:val="center"/>
          </w:tcPr>
          <w:p w14:paraId="479D3901" w14:textId="4035BA6E" w:rsidR="00E53A1F" w:rsidRDefault="00E53A1F" w:rsidP="008D2358">
            <w:pPr>
              <w:pStyle w:val="Heading3"/>
              <w:numPr>
                <w:ilvl w:val="0"/>
                <w:numId w:val="0"/>
              </w:numPr>
              <w:spacing w:after="120"/>
              <w:jc w:val="center"/>
              <w:outlineLvl w:val="2"/>
            </w:pPr>
            <w:r>
              <w:t>6</w:t>
            </w:r>
          </w:p>
        </w:tc>
        <w:tc>
          <w:tcPr>
            <w:tcW w:w="2480" w:type="pct"/>
            <w:vAlign w:val="center"/>
          </w:tcPr>
          <w:p w14:paraId="75A0B3B3" w14:textId="4F71648D" w:rsidR="00E53A1F" w:rsidRDefault="00E53A1F" w:rsidP="00CD7E85">
            <w:pPr>
              <w:pStyle w:val="Heading3"/>
              <w:numPr>
                <w:ilvl w:val="0"/>
                <w:numId w:val="0"/>
              </w:numPr>
              <w:spacing w:after="120"/>
              <w:jc w:val="left"/>
              <w:outlineLvl w:val="2"/>
            </w:pPr>
            <w:r>
              <w:t>First draft of the final report to be shared with the Authority for comments and feedback.</w:t>
            </w:r>
          </w:p>
        </w:tc>
        <w:tc>
          <w:tcPr>
            <w:tcW w:w="1622" w:type="pct"/>
            <w:vAlign w:val="center"/>
          </w:tcPr>
          <w:p w14:paraId="311AE026" w14:textId="3E5B345A" w:rsidR="00E53A1F" w:rsidRDefault="007F55C2" w:rsidP="00CD7E85">
            <w:pPr>
              <w:pStyle w:val="Heading3"/>
              <w:numPr>
                <w:ilvl w:val="0"/>
                <w:numId w:val="0"/>
              </w:numPr>
              <w:spacing w:after="120"/>
              <w:jc w:val="center"/>
              <w:outlineLvl w:val="2"/>
            </w:pPr>
            <w:r>
              <w:t>13</w:t>
            </w:r>
            <w:r w:rsidR="00E53A1F" w:rsidRPr="00DF3584">
              <w:rPr>
                <w:vertAlign w:val="superscript"/>
              </w:rPr>
              <w:t>th</w:t>
            </w:r>
            <w:r w:rsidR="00E53A1F">
              <w:t xml:space="preserve"> September 2017</w:t>
            </w:r>
          </w:p>
        </w:tc>
      </w:tr>
      <w:tr w:rsidR="00E53A1F" w14:paraId="1BF279C2" w14:textId="77777777" w:rsidTr="00E245A6">
        <w:tc>
          <w:tcPr>
            <w:tcW w:w="898" w:type="pct"/>
            <w:vAlign w:val="center"/>
          </w:tcPr>
          <w:p w14:paraId="37CCE14D" w14:textId="2513FD93" w:rsidR="00E53A1F" w:rsidRDefault="00E53A1F" w:rsidP="008D2358">
            <w:pPr>
              <w:pStyle w:val="Heading3"/>
              <w:numPr>
                <w:ilvl w:val="0"/>
                <w:numId w:val="0"/>
              </w:numPr>
              <w:spacing w:after="120"/>
              <w:jc w:val="center"/>
              <w:outlineLvl w:val="2"/>
            </w:pPr>
            <w:r>
              <w:t>7</w:t>
            </w:r>
          </w:p>
        </w:tc>
        <w:tc>
          <w:tcPr>
            <w:tcW w:w="2480" w:type="pct"/>
            <w:vAlign w:val="center"/>
          </w:tcPr>
          <w:p w14:paraId="49EC2AB4" w14:textId="5349B2A4" w:rsidR="00E53A1F" w:rsidRDefault="00E53A1F" w:rsidP="00CD7E85">
            <w:pPr>
              <w:pStyle w:val="Heading3"/>
              <w:numPr>
                <w:ilvl w:val="0"/>
                <w:numId w:val="0"/>
              </w:numPr>
              <w:spacing w:after="120"/>
              <w:jc w:val="left"/>
              <w:outlineLvl w:val="2"/>
            </w:pPr>
            <w:r>
              <w:t>Second draft of the final report to be shared with the Authority for comments, feedback and peer review.</w:t>
            </w:r>
          </w:p>
        </w:tc>
        <w:tc>
          <w:tcPr>
            <w:tcW w:w="1622" w:type="pct"/>
            <w:vAlign w:val="center"/>
          </w:tcPr>
          <w:p w14:paraId="042F0C2B" w14:textId="3C40B1DF" w:rsidR="00E53A1F" w:rsidRDefault="007F55C2">
            <w:pPr>
              <w:pStyle w:val="Heading3"/>
              <w:numPr>
                <w:ilvl w:val="0"/>
                <w:numId w:val="0"/>
              </w:numPr>
              <w:spacing w:after="120"/>
              <w:jc w:val="center"/>
              <w:outlineLvl w:val="2"/>
            </w:pPr>
            <w:r>
              <w:t>25</w:t>
            </w:r>
            <w:r w:rsidR="00E53A1F" w:rsidRPr="00DF3584">
              <w:rPr>
                <w:vertAlign w:val="superscript"/>
              </w:rPr>
              <w:t>th</w:t>
            </w:r>
            <w:r w:rsidR="00E53A1F">
              <w:t xml:space="preserve"> September 2017</w:t>
            </w:r>
          </w:p>
        </w:tc>
      </w:tr>
      <w:tr w:rsidR="008D2358" w14:paraId="3F37919D" w14:textId="77777777" w:rsidTr="00E245A6">
        <w:tc>
          <w:tcPr>
            <w:tcW w:w="898" w:type="pct"/>
            <w:vAlign w:val="center"/>
          </w:tcPr>
          <w:p w14:paraId="1BB74BFD" w14:textId="0CCFC15B" w:rsidR="008D2358" w:rsidRPr="00733BA6" w:rsidRDefault="00E53A1F" w:rsidP="008D2358">
            <w:pPr>
              <w:pStyle w:val="Heading3"/>
              <w:numPr>
                <w:ilvl w:val="0"/>
                <w:numId w:val="0"/>
              </w:numPr>
              <w:spacing w:after="120"/>
              <w:jc w:val="center"/>
              <w:outlineLvl w:val="2"/>
            </w:pPr>
            <w:r>
              <w:t>8</w:t>
            </w:r>
          </w:p>
        </w:tc>
        <w:tc>
          <w:tcPr>
            <w:tcW w:w="2480" w:type="pct"/>
            <w:vAlign w:val="center"/>
          </w:tcPr>
          <w:p w14:paraId="61EAEF91" w14:textId="21BCCEF3" w:rsidR="008D2358" w:rsidRPr="00733BA6" w:rsidRDefault="008D2358" w:rsidP="00E03A22">
            <w:pPr>
              <w:pStyle w:val="Heading3"/>
              <w:numPr>
                <w:ilvl w:val="0"/>
                <w:numId w:val="0"/>
              </w:numPr>
              <w:spacing w:after="120"/>
              <w:jc w:val="left"/>
              <w:outlineLvl w:val="2"/>
            </w:pPr>
            <w:r w:rsidRPr="00195B9A">
              <w:t>Final version of the r</w:t>
            </w:r>
            <w:r>
              <w:t xml:space="preserve">eport </w:t>
            </w:r>
            <w:r w:rsidR="00E53A1F">
              <w:t xml:space="preserve">to be submitted to the Authority </w:t>
            </w:r>
            <w:r>
              <w:t>suitable for publication.</w:t>
            </w:r>
          </w:p>
        </w:tc>
        <w:tc>
          <w:tcPr>
            <w:tcW w:w="1622" w:type="pct"/>
            <w:vAlign w:val="center"/>
          </w:tcPr>
          <w:p w14:paraId="0CF57288" w14:textId="4B5FE876" w:rsidR="008D2358" w:rsidRPr="00733BA6" w:rsidRDefault="007F55C2">
            <w:pPr>
              <w:pStyle w:val="Heading3"/>
              <w:numPr>
                <w:ilvl w:val="0"/>
                <w:numId w:val="0"/>
              </w:numPr>
              <w:spacing w:after="120"/>
              <w:jc w:val="center"/>
              <w:outlineLvl w:val="2"/>
            </w:pPr>
            <w:r>
              <w:t>4</w:t>
            </w:r>
            <w:r w:rsidR="007F542D" w:rsidRPr="007F542D">
              <w:rPr>
                <w:vertAlign w:val="superscript"/>
              </w:rPr>
              <w:t>th</w:t>
            </w:r>
            <w:r w:rsidR="007F542D">
              <w:t xml:space="preserve"> </w:t>
            </w:r>
            <w:r>
              <w:t xml:space="preserve">October </w:t>
            </w:r>
            <w:r w:rsidR="007F542D">
              <w:t>2017</w:t>
            </w:r>
          </w:p>
        </w:tc>
      </w:tr>
    </w:tbl>
    <w:p w14:paraId="51DA1571" w14:textId="77777777" w:rsidR="00FE18AC" w:rsidRDefault="00FE18AC" w:rsidP="00F44D62">
      <w:pPr>
        <w:pStyle w:val="Heading1"/>
        <w:numPr>
          <w:ilvl w:val="0"/>
          <w:numId w:val="0"/>
        </w:numPr>
        <w:overflowPunct w:val="0"/>
        <w:autoSpaceDE w:val="0"/>
        <w:autoSpaceDN w:val="0"/>
        <w:spacing w:after="120"/>
        <w:textAlignment w:val="baseline"/>
        <w:rPr>
          <w:rFonts w:cs="Arial"/>
          <w:szCs w:val="22"/>
        </w:rPr>
      </w:pPr>
      <w:bookmarkStart w:id="19" w:name="_Toc302637211"/>
    </w:p>
    <w:p w14:paraId="36756EFC" w14:textId="77777777" w:rsidR="00106F24" w:rsidRDefault="00106F24">
      <w:pPr>
        <w:pStyle w:val="Heading1"/>
        <w:tabs>
          <w:tab w:val="clear" w:pos="720"/>
          <w:tab w:val="num" w:pos="0"/>
        </w:tabs>
        <w:overflowPunct w:val="0"/>
        <w:autoSpaceDE w:val="0"/>
        <w:autoSpaceDN w:val="0"/>
        <w:spacing w:after="120"/>
        <w:ind w:left="709" w:hanging="709"/>
        <w:textAlignment w:val="baseline"/>
        <w:rPr>
          <w:rFonts w:cs="Arial"/>
          <w:szCs w:val="22"/>
        </w:rPr>
      </w:pPr>
      <w:bookmarkStart w:id="20" w:name="_Toc476157670"/>
      <w:bookmarkStart w:id="21" w:name="_Toc368573033"/>
      <w:r>
        <w:rPr>
          <w:rFonts w:cs="Arial"/>
          <w:szCs w:val="22"/>
        </w:rPr>
        <w:t>authority’s responsibilities</w:t>
      </w:r>
      <w:bookmarkEnd w:id="20"/>
    </w:p>
    <w:p w14:paraId="522F98B4" w14:textId="3179355C" w:rsidR="008D2358" w:rsidRPr="00351B41" w:rsidRDefault="008D2358" w:rsidP="008D2358">
      <w:pPr>
        <w:pStyle w:val="Heading2"/>
      </w:pPr>
      <w:r w:rsidRPr="00351B41">
        <w:t xml:space="preserve">The </w:t>
      </w:r>
      <w:r w:rsidR="00274ABF">
        <w:t>Authority</w:t>
      </w:r>
      <w:r w:rsidRPr="00351B41">
        <w:t xml:space="preserve"> will share pertinent information </w:t>
      </w:r>
      <w:r>
        <w:t xml:space="preserve">received through relevant stakeholders and introduce the </w:t>
      </w:r>
      <w:r w:rsidR="00274ABF">
        <w:rPr>
          <w:szCs w:val="22"/>
        </w:rPr>
        <w:t>Supplier</w:t>
      </w:r>
      <w:r w:rsidR="00274ABF" w:rsidDel="00274ABF">
        <w:t xml:space="preserve"> </w:t>
      </w:r>
      <w:r>
        <w:t>to relevant stakeholders, which can offer valuable advice on the requirement</w:t>
      </w:r>
      <w:r w:rsidRPr="00351B41">
        <w:t>.</w:t>
      </w:r>
    </w:p>
    <w:p w14:paraId="07022575" w14:textId="77777777" w:rsidR="00671798" w:rsidRDefault="00FE18AC">
      <w:pPr>
        <w:pStyle w:val="Heading1"/>
        <w:tabs>
          <w:tab w:val="clear" w:pos="720"/>
          <w:tab w:val="num" w:pos="0"/>
        </w:tabs>
        <w:overflowPunct w:val="0"/>
        <w:autoSpaceDE w:val="0"/>
        <w:autoSpaceDN w:val="0"/>
        <w:spacing w:after="120"/>
        <w:ind w:left="709" w:hanging="709"/>
        <w:textAlignment w:val="baseline"/>
        <w:rPr>
          <w:rFonts w:cs="Arial"/>
          <w:szCs w:val="22"/>
        </w:rPr>
      </w:pPr>
      <w:bookmarkStart w:id="22" w:name="_Toc476157671"/>
      <w:r w:rsidRPr="00BE6EE0">
        <w:rPr>
          <w:rFonts w:cs="Arial"/>
          <w:szCs w:val="22"/>
        </w:rPr>
        <w:t>reporting</w:t>
      </w:r>
      <w:bookmarkEnd w:id="21"/>
      <w:bookmarkEnd w:id="22"/>
    </w:p>
    <w:p w14:paraId="7863BAD7" w14:textId="5C6A242A" w:rsidR="00671798" w:rsidRPr="008D2358" w:rsidRDefault="000C37BC" w:rsidP="000C37BC">
      <w:pPr>
        <w:pStyle w:val="Heading2"/>
      </w:pPr>
      <w:r w:rsidRPr="000C37BC">
        <w:t>As referred to within the Key Milestones, section 7 of this Appendix B – Statement of Requirements.</w:t>
      </w:r>
    </w:p>
    <w:p w14:paraId="2503B2EF"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3" w:name="_Toc368573034"/>
      <w:bookmarkStart w:id="24" w:name="_Toc476157672"/>
      <w:r w:rsidRPr="00BE6EE0">
        <w:rPr>
          <w:rFonts w:cs="Arial"/>
          <w:szCs w:val="22"/>
        </w:rPr>
        <w:t>volumes</w:t>
      </w:r>
      <w:bookmarkEnd w:id="23"/>
      <w:bookmarkEnd w:id="24"/>
    </w:p>
    <w:p w14:paraId="19F432CC" w14:textId="77777777" w:rsidR="008D2358" w:rsidRPr="0007350B" w:rsidRDefault="008D2358" w:rsidP="008D2358">
      <w:pPr>
        <w:pStyle w:val="Heading2"/>
      </w:pPr>
      <w:bookmarkStart w:id="25" w:name="_Toc368573035"/>
      <w:r w:rsidRPr="0007350B">
        <w:t xml:space="preserve">This is a substantial piece of work – the expectation is that the key outputs and related materials will be both extensive and of publishable standard. </w:t>
      </w:r>
    </w:p>
    <w:p w14:paraId="484D89E2"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6" w:name="_Toc476157673"/>
      <w:r w:rsidRPr="00BE6EE0">
        <w:rPr>
          <w:rFonts w:cs="Arial"/>
          <w:szCs w:val="22"/>
        </w:rPr>
        <w:t>continuous improvement</w:t>
      </w:r>
      <w:bookmarkEnd w:id="25"/>
      <w:bookmarkEnd w:id="26"/>
    </w:p>
    <w:p w14:paraId="61AF91C5" w14:textId="77777777" w:rsidR="008D2358" w:rsidRPr="0007350B" w:rsidRDefault="008D2358" w:rsidP="008D2358">
      <w:pPr>
        <w:pStyle w:val="Heading2"/>
        <w:tabs>
          <w:tab w:val="clear" w:pos="720"/>
          <w:tab w:val="num" w:pos="709"/>
        </w:tabs>
        <w:spacing w:after="120"/>
        <w:ind w:left="709" w:hanging="709"/>
      </w:pPr>
      <w:r w:rsidRPr="0007350B">
        <w:t>The Supplier will be expected to give due consideration to how the way in which the required Services are to be delivered throughout the Contract duration can be continually improved.</w:t>
      </w:r>
    </w:p>
    <w:p w14:paraId="27781746" w14:textId="1200E0AB" w:rsidR="00671798" w:rsidRDefault="00FE18AC">
      <w:pPr>
        <w:pStyle w:val="Heading2"/>
        <w:tabs>
          <w:tab w:val="clear" w:pos="720"/>
          <w:tab w:val="num" w:pos="709"/>
        </w:tabs>
        <w:spacing w:after="120"/>
        <w:ind w:left="709" w:hanging="709"/>
      </w:pPr>
      <w:r w:rsidRPr="008104E0">
        <w:t xml:space="preserve">The </w:t>
      </w:r>
      <w:r w:rsidR="003047E0">
        <w:t>Supplier</w:t>
      </w:r>
      <w:r w:rsidRPr="008104E0">
        <w:t xml:space="preserve"> </w:t>
      </w:r>
      <w:r w:rsidR="007A54BC">
        <w:t>must</w:t>
      </w:r>
      <w:r w:rsidRPr="008104E0">
        <w:t xml:space="preserve"> present new ways of working to the</w:t>
      </w:r>
      <w:r>
        <w:t xml:space="preserve"> </w:t>
      </w:r>
      <w:r w:rsidRPr="008104E0">
        <w:t xml:space="preserve">Authority during </w:t>
      </w:r>
      <w:r w:rsidR="008D2358" w:rsidRPr="00054C00">
        <w:t>weekly</w:t>
      </w:r>
      <w:r w:rsidRPr="008104E0">
        <w:t xml:space="preserve"> Contract review meetings</w:t>
      </w:r>
      <w:r w:rsidR="00E03A22">
        <w:t xml:space="preserve"> or phone calls</w:t>
      </w:r>
      <w:r w:rsidRPr="008104E0">
        <w:t>.</w:t>
      </w:r>
      <w:r w:rsidR="004D22DF">
        <w:t xml:space="preserve"> </w:t>
      </w:r>
    </w:p>
    <w:p w14:paraId="452190B3" w14:textId="77777777" w:rsidR="00671798" w:rsidRDefault="00FE18AC">
      <w:pPr>
        <w:pStyle w:val="Heading2"/>
        <w:tabs>
          <w:tab w:val="clear" w:pos="720"/>
          <w:tab w:val="num" w:pos="709"/>
        </w:tabs>
        <w:spacing w:after="120"/>
        <w:ind w:left="709" w:hanging="709"/>
      </w:pPr>
      <w:r w:rsidRPr="008104E0">
        <w:t>Changes to the way in which the Services are to be delivered must be brought to the</w:t>
      </w:r>
      <w:r>
        <w:t xml:space="preserve"> </w:t>
      </w:r>
      <w:r w:rsidRPr="008104E0">
        <w:t xml:space="preserve">Authority’s attention and agreed prior to any </w:t>
      </w:r>
      <w:r>
        <w:t>changes being implemented.</w:t>
      </w:r>
    </w:p>
    <w:p w14:paraId="33B90CAD" w14:textId="77777777" w:rsidR="004E78BC" w:rsidRDefault="004E78BC" w:rsidP="004E78BC">
      <w:pPr>
        <w:pStyle w:val="Heading1"/>
      </w:pPr>
      <w:bookmarkStart w:id="27" w:name="_Toc476157674"/>
      <w:r>
        <w:lastRenderedPageBreak/>
        <w:t>Sustainability</w:t>
      </w:r>
      <w:bookmarkEnd w:id="27"/>
    </w:p>
    <w:p w14:paraId="5D282708" w14:textId="77777777" w:rsidR="008D2358" w:rsidRPr="0007350B" w:rsidRDefault="008D2358" w:rsidP="008D2358">
      <w:pPr>
        <w:pStyle w:val="Heading2"/>
      </w:pPr>
      <w:bookmarkStart w:id="28" w:name="_Toc368573036"/>
      <w:r w:rsidRPr="0007350B">
        <w:t>N/A</w:t>
      </w:r>
    </w:p>
    <w:p w14:paraId="686E441B" w14:textId="77777777" w:rsidR="00FE18AC" w:rsidRPr="00517FEF"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9" w:name="_Toc476157675"/>
      <w:r w:rsidRPr="00517FEF">
        <w:rPr>
          <w:rFonts w:cs="Arial"/>
          <w:szCs w:val="22"/>
        </w:rPr>
        <w:t>quality</w:t>
      </w:r>
      <w:bookmarkEnd w:id="28"/>
      <w:bookmarkEnd w:id="29"/>
    </w:p>
    <w:p w14:paraId="6937B6B8" w14:textId="48258D6C" w:rsidR="001040B6" w:rsidRDefault="005126FE" w:rsidP="005126FE">
      <w:pPr>
        <w:pStyle w:val="Heading2"/>
      </w:pPr>
      <w:bookmarkStart w:id="30" w:name="_Toc368573037"/>
      <w:r>
        <w:t xml:space="preserve">The recommendations to government in the National Infrastructure Assessment </w:t>
      </w:r>
      <w:r w:rsidR="00274ABF">
        <w:t xml:space="preserve">(NIA) </w:t>
      </w:r>
      <w:r>
        <w:t xml:space="preserve">will be informed by this report. The </w:t>
      </w:r>
      <w:r w:rsidR="000327A1">
        <w:rPr>
          <w:szCs w:val="22"/>
        </w:rPr>
        <w:t xml:space="preserve">Authority </w:t>
      </w:r>
      <w:r w:rsidR="00C36D56">
        <w:t>intends to</w:t>
      </w:r>
      <w:r>
        <w:t xml:space="preserve"> incorporate the preliminary findings of the report into the Vision and Priorities document. </w:t>
      </w:r>
      <w:r w:rsidR="00C36D56">
        <w:t xml:space="preserve">The preliminary findings </w:t>
      </w:r>
      <w:r w:rsidR="007A54BC">
        <w:t>must</w:t>
      </w:r>
      <w:r w:rsidR="00C36D56">
        <w:t xml:space="preserve"> first be presented to the </w:t>
      </w:r>
      <w:r w:rsidR="000327A1">
        <w:rPr>
          <w:szCs w:val="22"/>
        </w:rPr>
        <w:t xml:space="preserve">Authority </w:t>
      </w:r>
      <w:r w:rsidR="00BC0EA4">
        <w:t xml:space="preserve">by </w:t>
      </w:r>
      <w:r w:rsidR="00C36D56">
        <w:t>4</w:t>
      </w:r>
      <w:r w:rsidR="00C36D56" w:rsidRPr="00C36D56">
        <w:rPr>
          <w:vertAlign w:val="superscript"/>
        </w:rPr>
        <w:t>th</w:t>
      </w:r>
      <w:r w:rsidR="00BC0EA4">
        <w:t xml:space="preserve"> May 2017</w:t>
      </w:r>
      <w:r w:rsidR="00C36D56">
        <w:t xml:space="preserve"> for feedback, with the fina</w:t>
      </w:r>
      <w:r w:rsidR="00BC0EA4">
        <w:t xml:space="preserve">l interim findings provided by </w:t>
      </w:r>
      <w:r w:rsidR="00C36D56">
        <w:t>15</w:t>
      </w:r>
      <w:r w:rsidR="00C36D56" w:rsidRPr="00C36D56">
        <w:rPr>
          <w:vertAlign w:val="superscript"/>
        </w:rPr>
        <w:t>th</w:t>
      </w:r>
      <w:r w:rsidR="00BC0EA4">
        <w:t xml:space="preserve"> May 2017</w:t>
      </w:r>
      <w:r w:rsidR="00C36D56">
        <w:t xml:space="preserve"> as an absolute deadline. </w:t>
      </w:r>
      <w:r w:rsidR="00E82F59">
        <w:t>The absolute deadline for the final report is the 13</w:t>
      </w:r>
      <w:r w:rsidR="00E82F59" w:rsidRPr="00E82F59">
        <w:rPr>
          <w:vertAlign w:val="superscript"/>
        </w:rPr>
        <w:t>th</w:t>
      </w:r>
      <w:r w:rsidR="00BC0EA4">
        <w:t xml:space="preserve"> September 2017</w:t>
      </w:r>
      <w:r w:rsidR="00E82F59">
        <w:t xml:space="preserve">. </w:t>
      </w:r>
      <w:r>
        <w:t>T</w:t>
      </w:r>
      <w:r w:rsidR="001040B6">
        <w:t>he report</w:t>
      </w:r>
      <w:r w:rsidR="001040B6" w:rsidRPr="005E0ABF">
        <w:t xml:space="preserve"> </w:t>
      </w:r>
      <w:r w:rsidR="007A54BC">
        <w:t>must</w:t>
      </w:r>
      <w:r w:rsidR="001040B6" w:rsidRPr="005E0ABF">
        <w:t xml:space="preserve"> be to a publishable standard, with all assumptions and caveats clearly highlighted</w:t>
      </w:r>
      <w:r w:rsidR="001040B6">
        <w:t xml:space="preserve"> and referenced appropriately</w:t>
      </w:r>
      <w:r w:rsidR="001040B6" w:rsidRPr="005E0ABF">
        <w:t xml:space="preserve">. </w:t>
      </w:r>
    </w:p>
    <w:p w14:paraId="196994CD" w14:textId="1C44B4A0" w:rsidR="00CF3FA9" w:rsidRDefault="00CF3FA9" w:rsidP="00CF3FA9">
      <w:pPr>
        <w:pStyle w:val="Heading2"/>
      </w:pPr>
      <w:r>
        <w:t xml:space="preserve">As part of </w:t>
      </w:r>
      <w:r w:rsidR="00D24D90">
        <w:t xml:space="preserve">the Authority’s </w:t>
      </w:r>
      <w:r>
        <w:t xml:space="preserve">quality assurance process, </w:t>
      </w:r>
      <w:r w:rsidR="00D24D90">
        <w:t xml:space="preserve">the Authority </w:t>
      </w:r>
      <w:r>
        <w:t xml:space="preserve">can and will choose to have peer review of the output to be conducted by third parties and/or </w:t>
      </w:r>
      <w:r w:rsidR="00D24D90">
        <w:t>the Authority</w:t>
      </w:r>
      <w:r>
        <w:t xml:space="preserve">’s expert advisory panels. The quality assurance process </w:t>
      </w:r>
      <w:r w:rsidR="007A54BC">
        <w:t>must</w:t>
      </w:r>
      <w:r>
        <w:t xml:space="preserve"> be agreed with the </w:t>
      </w:r>
      <w:r w:rsidR="000327A1">
        <w:rPr>
          <w:szCs w:val="22"/>
        </w:rPr>
        <w:t xml:space="preserve">Authority </w:t>
      </w:r>
      <w:r>
        <w:t xml:space="preserve">once the Potential Provider has been selected. It is required that the </w:t>
      </w:r>
      <w:r w:rsidR="00274ABF">
        <w:rPr>
          <w:szCs w:val="22"/>
        </w:rPr>
        <w:t>Supplier</w:t>
      </w:r>
      <w:r w:rsidR="00274ABF" w:rsidDel="00274ABF">
        <w:t xml:space="preserve"> </w:t>
      </w:r>
      <w:r>
        <w:t xml:space="preserve">will need to work proactively and collaboratively with the </w:t>
      </w:r>
      <w:r w:rsidR="00274ABF">
        <w:t xml:space="preserve">Authority </w:t>
      </w:r>
      <w:r>
        <w:t>to consider any reasonable comments and to incorporate them into their work and output accordingly.</w:t>
      </w:r>
      <w:r w:rsidR="00D24D90">
        <w:t xml:space="preserve"> </w:t>
      </w:r>
      <w:r w:rsidR="00274ABF">
        <w:t xml:space="preserve"> </w:t>
      </w:r>
    </w:p>
    <w:p w14:paraId="027E3BCB"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1" w:name="_Toc476157676"/>
      <w:r w:rsidRPr="00BE6EE0">
        <w:rPr>
          <w:rFonts w:cs="Arial"/>
          <w:szCs w:val="22"/>
        </w:rPr>
        <w:t>PRICE</w:t>
      </w:r>
      <w:bookmarkEnd w:id="30"/>
      <w:bookmarkEnd w:id="31"/>
    </w:p>
    <w:p w14:paraId="34746D75" w14:textId="77777777" w:rsidR="00F96914" w:rsidRPr="00E76DDB" w:rsidRDefault="00F96914" w:rsidP="00F96914">
      <w:pPr>
        <w:pStyle w:val="Heading2"/>
        <w:spacing w:after="120"/>
        <w:ind w:left="709" w:hanging="709"/>
      </w:pPr>
      <w:bookmarkStart w:id="32" w:name="_Toc368573038"/>
      <w:r w:rsidRPr="00E76DDB">
        <w:t xml:space="preserve">Prices should be </w:t>
      </w:r>
      <w:r>
        <w:t xml:space="preserve">capped for the term of the contract, </w:t>
      </w:r>
      <w:r w:rsidRPr="00E76DDB">
        <w:t>inclusive of expenses and exclusive of VAT.</w:t>
      </w:r>
    </w:p>
    <w:p w14:paraId="7197F8B8" w14:textId="124C0934" w:rsidR="00F96914" w:rsidRDefault="00F96914" w:rsidP="000C37BC">
      <w:pPr>
        <w:pStyle w:val="Heading2"/>
      </w:pPr>
      <w:r>
        <w:t xml:space="preserve">Bids are expected to range between </w:t>
      </w:r>
      <w:r w:rsidR="00BC0EA4">
        <w:t>£70,000 and £100</w:t>
      </w:r>
      <w:r w:rsidR="000C37BC">
        <w:t xml:space="preserve">,000, </w:t>
      </w:r>
      <w:r w:rsidR="000C37BC" w:rsidRPr="000C37BC">
        <w:t>prices above this maximum ceiling will not be considered.</w:t>
      </w:r>
    </w:p>
    <w:p w14:paraId="6E2D952A" w14:textId="77777777" w:rsidR="00F96914" w:rsidRDefault="00F96914" w:rsidP="00F96914">
      <w:pPr>
        <w:pStyle w:val="Heading2"/>
        <w:spacing w:after="120"/>
        <w:ind w:left="709" w:hanging="709"/>
      </w:pPr>
      <w:r>
        <w:t>It is the Authority’s intention to adopt the following payment schedule:</w:t>
      </w:r>
    </w:p>
    <w:p w14:paraId="65C062DE" w14:textId="7A7CC00A" w:rsidR="00F96914" w:rsidRDefault="004E5484" w:rsidP="00F96914">
      <w:pPr>
        <w:pStyle w:val="Heading3"/>
      </w:pPr>
      <w:r>
        <w:t>[1</w:t>
      </w:r>
      <w:r w:rsidR="00F96914">
        <w:t>0]% of the total contract price for successful delivery of milestone [4];</w:t>
      </w:r>
    </w:p>
    <w:p w14:paraId="209DCD2B" w14:textId="1D81D51B" w:rsidR="00F96914" w:rsidRDefault="004E5484" w:rsidP="00F96914">
      <w:pPr>
        <w:pStyle w:val="Heading3"/>
      </w:pPr>
      <w:r>
        <w:t>[2</w:t>
      </w:r>
      <w:r w:rsidR="00F96914">
        <w:t>0]% of the total contract price for successful delivery of milestone [5];</w:t>
      </w:r>
    </w:p>
    <w:p w14:paraId="70148992" w14:textId="1E73D0A3" w:rsidR="00E53A1F" w:rsidRDefault="00E53A1F">
      <w:pPr>
        <w:pStyle w:val="Heading3"/>
      </w:pPr>
      <w:r>
        <w:t>[20]% of the total contract price for successful delivery of milestone [6];</w:t>
      </w:r>
    </w:p>
    <w:p w14:paraId="7678BD20" w14:textId="24AF8460" w:rsidR="0089375B" w:rsidRDefault="0089375B">
      <w:pPr>
        <w:pStyle w:val="Heading3"/>
      </w:pPr>
      <w:r>
        <w:t>[10]% of the total contract price for successful delivery of milestone [</w:t>
      </w:r>
      <w:r w:rsidR="004072C6">
        <w:t>7</w:t>
      </w:r>
      <w:r>
        <w:t>];</w:t>
      </w:r>
      <w:r w:rsidR="00D56B69">
        <w:t xml:space="preserve"> and</w:t>
      </w:r>
    </w:p>
    <w:p w14:paraId="60D4C163" w14:textId="486397AB" w:rsidR="00F96914" w:rsidRDefault="004E5484" w:rsidP="00F96914">
      <w:pPr>
        <w:pStyle w:val="Heading3"/>
      </w:pPr>
      <w:r>
        <w:t>[</w:t>
      </w:r>
      <w:r w:rsidR="0089375B">
        <w:t>4</w:t>
      </w:r>
      <w:r w:rsidR="00F96914">
        <w:t>0]% of the total contract value for successful delivery of milestone [</w:t>
      </w:r>
      <w:r w:rsidR="00E53A1F">
        <w:t>8</w:t>
      </w:r>
      <w:r w:rsidR="00F96914">
        <w:t>]</w:t>
      </w:r>
      <w:r w:rsidR="008D5538">
        <w:t>.</w:t>
      </w:r>
    </w:p>
    <w:p w14:paraId="6A7C9A62" w14:textId="77777777" w:rsidR="001040B6" w:rsidRDefault="001040B6" w:rsidP="001040B6">
      <w:pPr>
        <w:pStyle w:val="Heading2"/>
      </w:pPr>
      <w:r w:rsidRPr="00E76DDB">
        <w:t>Prices are to be submitted via the [e-Sourcing Suite] [Appendix E] excluding VAT.</w:t>
      </w:r>
    </w:p>
    <w:p w14:paraId="493B9DAF"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3" w:name="_Toc476157677"/>
      <w:r w:rsidRPr="00BE6EE0">
        <w:rPr>
          <w:rFonts w:cs="Arial"/>
          <w:szCs w:val="22"/>
        </w:rPr>
        <w:t>STAFF AND CUSTOMER SERVICE</w:t>
      </w:r>
      <w:bookmarkEnd w:id="32"/>
      <w:bookmarkEnd w:id="33"/>
    </w:p>
    <w:p w14:paraId="0F1D14A0" w14:textId="59171159" w:rsidR="00671798" w:rsidRDefault="00FE18AC">
      <w:pPr>
        <w:pStyle w:val="Heading2"/>
        <w:tabs>
          <w:tab w:val="clear" w:pos="720"/>
          <w:tab w:val="num" w:pos="709"/>
        </w:tabs>
        <w:spacing w:after="120"/>
        <w:ind w:left="709" w:hanging="709"/>
      </w:pPr>
      <w:r w:rsidRPr="002E7082">
        <w:t>The</w:t>
      </w:r>
      <w:r>
        <w:t xml:space="preserve"> </w:t>
      </w:r>
      <w:r w:rsidRPr="002E7082">
        <w:t xml:space="preserve">Authority requires the </w:t>
      </w:r>
      <w:r w:rsidR="00274ABF">
        <w:rPr>
          <w:szCs w:val="22"/>
        </w:rPr>
        <w:t>Supplier</w:t>
      </w:r>
      <w:r w:rsidR="00274ABF" w:rsidRPr="002E7082" w:rsidDel="00274ABF">
        <w:t xml:space="preserve"> </w:t>
      </w:r>
      <w:r w:rsidRPr="002E7082">
        <w:t>to</w:t>
      </w:r>
      <w:r>
        <w:t xml:space="preserve"> provide a sufficient level of resource throughout the duration of the Contract in order to consistently deliver a quality service to all Parties.</w:t>
      </w:r>
    </w:p>
    <w:p w14:paraId="69ACEDA1" w14:textId="65017585" w:rsidR="00671798" w:rsidRDefault="00274ABF">
      <w:pPr>
        <w:pStyle w:val="Heading2"/>
        <w:tabs>
          <w:tab w:val="clear" w:pos="720"/>
          <w:tab w:val="num" w:pos="709"/>
        </w:tabs>
        <w:spacing w:after="120"/>
        <w:ind w:left="709" w:hanging="709"/>
      </w:pPr>
      <w:r>
        <w:t xml:space="preserve">The </w:t>
      </w:r>
      <w:r>
        <w:rPr>
          <w:szCs w:val="22"/>
        </w:rPr>
        <w:t>Supplier</w:t>
      </w:r>
      <w:r w:rsidR="00FE18AC">
        <w:t>’s staff assigned to the Contract</w:t>
      </w:r>
      <w:r w:rsidR="00FE18AC" w:rsidRPr="002E7082">
        <w:t xml:space="preserve"> </w:t>
      </w:r>
      <w:r w:rsidR="00FE18AC">
        <w:t xml:space="preserve">shall have </w:t>
      </w:r>
      <w:r w:rsidR="00E63412" w:rsidRPr="00106B6D">
        <w:t xml:space="preserve">the </w:t>
      </w:r>
      <w:r w:rsidR="00FE18AC" w:rsidRPr="00106B6D">
        <w:t>relevant qualifications</w:t>
      </w:r>
      <w:r w:rsidR="00FE18AC" w:rsidRPr="002E7082">
        <w:t xml:space="preserve"> and experience to deliver</w:t>
      </w:r>
      <w:r w:rsidR="00E63412">
        <w:t xml:space="preserve"> the</w:t>
      </w:r>
      <w:r w:rsidR="00FE18AC" w:rsidRPr="002E7082">
        <w:t xml:space="preserve"> Contract. </w:t>
      </w:r>
    </w:p>
    <w:p w14:paraId="2A251979" w14:textId="040668A1" w:rsidR="00671798" w:rsidRDefault="00FE18AC">
      <w:pPr>
        <w:pStyle w:val="Heading2"/>
        <w:tabs>
          <w:tab w:val="clear" w:pos="720"/>
          <w:tab w:val="num" w:pos="709"/>
        </w:tabs>
        <w:spacing w:after="120"/>
        <w:ind w:left="709" w:hanging="709"/>
      </w:pPr>
      <w:r w:rsidRPr="002E7082">
        <w:lastRenderedPageBreak/>
        <w:t xml:space="preserve">The </w:t>
      </w:r>
      <w:r w:rsidR="00274ABF">
        <w:rPr>
          <w:szCs w:val="22"/>
        </w:rPr>
        <w:t>Supplier</w:t>
      </w:r>
      <w:r w:rsidR="00274ABF" w:rsidRPr="002E7082" w:rsidDel="00274ABF">
        <w:t xml:space="preserve"> </w:t>
      </w:r>
      <w:r w:rsidRPr="002E7082">
        <w:t xml:space="preserve">shall ensure that </w:t>
      </w:r>
      <w:r>
        <w:t>staff understand</w:t>
      </w:r>
      <w:r w:rsidRPr="002E7082">
        <w:t xml:space="preserve"> the</w:t>
      </w:r>
      <w:r>
        <w:t xml:space="preserve"> </w:t>
      </w:r>
      <w:r w:rsidRPr="002E7082">
        <w:t>Authority’s vi</w:t>
      </w:r>
      <w:r>
        <w:t xml:space="preserve">sion and objectives and </w:t>
      </w:r>
      <w:r w:rsidR="00E63412">
        <w:t xml:space="preserve">will </w:t>
      </w:r>
      <w:r>
        <w:t>provide</w:t>
      </w:r>
      <w:r w:rsidRPr="002E7082">
        <w:t xml:space="preserve"> excellent customer service to the Authority throughout </w:t>
      </w:r>
      <w:r>
        <w:t>the duration of the Contract.</w:t>
      </w:r>
      <w:r w:rsidRPr="002E7082">
        <w:t xml:space="preserve"> </w:t>
      </w:r>
      <w:r>
        <w:t xml:space="preserve"> </w:t>
      </w:r>
    </w:p>
    <w:p w14:paraId="6C4F0495"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4" w:name="_Toc368573039"/>
      <w:bookmarkStart w:id="35" w:name="_Toc476157678"/>
      <w:r w:rsidRPr="004E1D36">
        <w:rPr>
          <w:rFonts w:cs="Arial"/>
          <w:szCs w:val="22"/>
        </w:rPr>
        <w:t>service levels a</w:t>
      </w:r>
      <w:r>
        <w:rPr>
          <w:rFonts w:cs="Arial"/>
          <w:szCs w:val="22"/>
        </w:rPr>
        <w:t>nd performance</w:t>
      </w:r>
      <w:bookmarkEnd w:id="34"/>
      <w:bookmarkEnd w:id="35"/>
    </w:p>
    <w:p w14:paraId="2E6FA8DD" w14:textId="77777777" w:rsidR="00671798" w:rsidRDefault="00FE18AC">
      <w:pPr>
        <w:pStyle w:val="Heading2"/>
        <w:tabs>
          <w:tab w:val="clear" w:pos="720"/>
          <w:tab w:val="num" w:pos="132"/>
          <w:tab w:val="num" w:pos="862"/>
        </w:tabs>
        <w:overflowPunct w:val="0"/>
        <w:autoSpaceDE w:val="0"/>
        <w:autoSpaceDN w:val="0"/>
        <w:spacing w:after="120"/>
        <w:ind w:left="709" w:hanging="709"/>
        <w:textAlignment w:val="baseline"/>
      </w:pPr>
      <w:r>
        <w:t>The Authority will measure the quality of the Supplier’s delivery by:</w:t>
      </w:r>
    </w:p>
    <w:p w14:paraId="0CADECF2" w14:textId="77777777" w:rsidR="00671798" w:rsidRDefault="00671798">
      <w:pPr>
        <w:pStyle w:val="Heading3"/>
        <w:tabs>
          <w:tab w:val="clear" w:pos="1800"/>
          <w:tab w:val="num" w:pos="1418"/>
        </w:tabs>
        <w:spacing w:after="120"/>
        <w:ind w:left="1418" w:hanging="698"/>
      </w:pPr>
    </w:p>
    <w:tbl>
      <w:tblPr>
        <w:tblStyle w:val="TableGrid"/>
        <w:tblW w:w="5000" w:type="pct"/>
        <w:tblLayout w:type="fixed"/>
        <w:tblLook w:val="04A0" w:firstRow="1" w:lastRow="0" w:firstColumn="1" w:lastColumn="0" w:noHBand="0" w:noVBand="1"/>
      </w:tblPr>
      <w:tblGrid>
        <w:gridCol w:w="1260"/>
        <w:gridCol w:w="1144"/>
        <w:gridCol w:w="3709"/>
        <w:gridCol w:w="1394"/>
        <w:gridCol w:w="1512"/>
      </w:tblGrid>
      <w:tr w:rsidR="008933C1" w14:paraId="3206AA95" w14:textId="33D68F6C" w:rsidTr="000C37BC">
        <w:tc>
          <w:tcPr>
            <w:tcW w:w="699" w:type="pct"/>
            <w:shd w:val="clear" w:color="auto" w:fill="DBE5F1" w:themeFill="accent1" w:themeFillTint="33"/>
          </w:tcPr>
          <w:p w14:paraId="0767BE68" w14:textId="77777777" w:rsidR="00F96914" w:rsidRDefault="00F96914" w:rsidP="00B13763">
            <w:pPr>
              <w:pStyle w:val="Heading2"/>
              <w:numPr>
                <w:ilvl w:val="0"/>
                <w:numId w:val="0"/>
              </w:numPr>
              <w:jc w:val="center"/>
              <w:outlineLvl w:val="1"/>
            </w:pPr>
            <w:r>
              <w:t>KPI/SLA</w:t>
            </w:r>
          </w:p>
        </w:tc>
        <w:tc>
          <w:tcPr>
            <w:tcW w:w="634" w:type="pct"/>
            <w:shd w:val="clear" w:color="auto" w:fill="DBE5F1" w:themeFill="accent1" w:themeFillTint="33"/>
          </w:tcPr>
          <w:p w14:paraId="320061FE" w14:textId="77777777" w:rsidR="00F96914" w:rsidRDefault="00F96914" w:rsidP="00B13763">
            <w:pPr>
              <w:pStyle w:val="Heading2"/>
              <w:numPr>
                <w:ilvl w:val="0"/>
                <w:numId w:val="0"/>
              </w:numPr>
              <w:jc w:val="center"/>
              <w:outlineLvl w:val="1"/>
            </w:pPr>
            <w:r>
              <w:t>Service Area</w:t>
            </w:r>
          </w:p>
        </w:tc>
        <w:tc>
          <w:tcPr>
            <w:tcW w:w="2056" w:type="pct"/>
            <w:shd w:val="clear" w:color="auto" w:fill="DBE5F1" w:themeFill="accent1" w:themeFillTint="33"/>
          </w:tcPr>
          <w:p w14:paraId="53BC0851" w14:textId="77777777" w:rsidR="00F96914" w:rsidRDefault="00F96914" w:rsidP="00B13763">
            <w:pPr>
              <w:pStyle w:val="Heading2"/>
              <w:numPr>
                <w:ilvl w:val="0"/>
                <w:numId w:val="0"/>
              </w:numPr>
              <w:jc w:val="center"/>
              <w:outlineLvl w:val="1"/>
            </w:pPr>
            <w:r>
              <w:t>KPI/SLA description</w:t>
            </w:r>
          </w:p>
        </w:tc>
        <w:tc>
          <w:tcPr>
            <w:tcW w:w="773" w:type="pct"/>
            <w:shd w:val="clear" w:color="auto" w:fill="DBE5F1" w:themeFill="accent1" w:themeFillTint="33"/>
          </w:tcPr>
          <w:p w14:paraId="6F97EA5B" w14:textId="77777777" w:rsidR="00F96914" w:rsidRDefault="00F96914" w:rsidP="00B13763">
            <w:pPr>
              <w:pStyle w:val="Heading2"/>
              <w:numPr>
                <w:ilvl w:val="0"/>
                <w:numId w:val="0"/>
              </w:numPr>
              <w:jc w:val="center"/>
              <w:outlineLvl w:val="1"/>
            </w:pPr>
            <w:r w:rsidRPr="00DF3584">
              <w:t>Target</w:t>
            </w:r>
          </w:p>
        </w:tc>
        <w:tc>
          <w:tcPr>
            <w:tcW w:w="838" w:type="pct"/>
            <w:shd w:val="clear" w:color="auto" w:fill="DBE5F1" w:themeFill="accent1" w:themeFillTint="33"/>
          </w:tcPr>
          <w:p w14:paraId="4948FE9F" w14:textId="50D98430" w:rsidR="00F96914" w:rsidRPr="00AB5E86" w:rsidRDefault="00F96914" w:rsidP="00B13763">
            <w:pPr>
              <w:pStyle w:val="Heading2"/>
              <w:numPr>
                <w:ilvl w:val="0"/>
                <w:numId w:val="0"/>
              </w:numPr>
              <w:jc w:val="center"/>
              <w:outlineLvl w:val="1"/>
              <w:rPr>
                <w:highlight w:val="yellow"/>
              </w:rPr>
            </w:pPr>
            <w:r w:rsidRPr="004D7A98">
              <w:t>Remedy</w:t>
            </w:r>
          </w:p>
        </w:tc>
      </w:tr>
      <w:tr w:rsidR="008933C1" w14:paraId="07086522" w14:textId="105CF22E" w:rsidTr="000C37BC">
        <w:tc>
          <w:tcPr>
            <w:tcW w:w="699" w:type="pct"/>
          </w:tcPr>
          <w:p w14:paraId="44CAE3FB" w14:textId="77777777" w:rsidR="00F96914" w:rsidRDefault="00F96914" w:rsidP="001040B6">
            <w:pPr>
              <w:pStyle w:val="Heading2"/>
              <w:numPr>
                <w:ilvl w:val="0"/>
                <w:numId w:val="0"/>
              </w:numPr>
              <w:jc w:val="center"/>
              <w:outlineLvl w:val="1"/>
            </w:pPr>
            <w:r>
              <w:t>#1</w:t>
            </w:r>
          </w:p>
        </w:tc>
        <w:tc>
          <w:tcPr>
            <w:tcW w:w="634" w:type="pct"/>
          </w:tcPr>
          <w:p w14:paraId="3698E375" w14:textId="77777777" w:rsidR="00F96914" w:rsidRDefault="00F96914" w:rsidP="001040B6">
            <w:pPr>
              <w:pStyle w:val="Heading2"/>
              <w:numPr>
                <w:ilvl w:val="0"/>
                <w:numId w:val="0"/>
              </w:numPr>
              <w:jc w:val="left"/>
              <w:outlineLvl w:val="1"/>
            </w:pPr>
            <w:r>
              <w:t xml:space="preserve">Agreed approach </w:t>
            </w:r>
          </w:p>
        </w:tc>
        <w:tc>
          <w:tcPr>
            <w:tcW w:w="2056" w:type="pct"/>
          </w:tcPr>
          <w:p w14:paraId="225AE017" w14:textId="04E89EE4" w:rsidR="00F96914" w:rsidRDefault="00F96914" w:rsidP="001040B6">
            <w:pPr>
              <w:pStyle w:val="Heading2"/>
              <w:numPr>
                <w:ilvl w:val="0"/>
                <w:numId w:val="0"/>
              </w:numPr>
              <w:jc w:val="left"/>
              <w:outlineLvl w:val="1"/>
            </w:pPr>
            <w:r>
              <w:t xml:space="preserve">An inception report to be provided, and agreed by the Authority, clarifying the approach to be taken, along with a plan setting out key milestones and dates for deliverables, risks and how these will be managed.   </w:t>
            </w:r>
          </w:p>
        </w:tc>
        <w:tc>
          <w:tcPr>
            <w:tcW w:w="773" w:type="pct"/>
          </w:tcPr>
          <w:p w14:paraId="13538B01" w14:textId="77777777" w:rsidR="00F96914" w:rsidRDefault="00F96914" w:rsidP="001040B6">
            <w:pPr>
              <w:pStyle w:val="Heading2"/>
              <w:numPr>
                <w:ilvl w:val="0"/>
                <w:numId w:val="0"/>
              </w:numPr>
              <w:outlineLvl w:val="1"/>
            </w:pPr>
            <w:r>
              <w:t xml:space="preserve">Within 2 weeks of contract award </w:t>
            </w:r>
          </w:p>
        </w:tc>
        <w:tc>
          <w:tcPr>
            <w:tcW w:w="838" w:type="pct"/>
          </w:tcPr>
          <w:p w14:paraId="58C38F13" w14:textId="461FAA32" w:rsidR="00F96914" w:rsidRDefault="00B15CD3" w:rsidP="001040B6">
            <w:pPr>
              <w:pStyle w:val="Heading2"/>
              <w:numPr>
                <w:ilvl w:val="0"/>
                <w:numId w:val="0"/>
              </w:numPr>
              <w:outlineLvl w:val="1"/>
            </w:pPr>
            <w:r>
              <w:t>N/A</w:t>
            </w:r>
          </w:p>
        </w:tc>
      </w:tr>
      <w:tr w:rsidR="00F96914" w14:paraId="5E39E63C" w14:textId="6154A6DD" w:rsidTr="000C37BC">
        <w:trPr>
          <w:cantSplit/>
          <w:trHeight w:val="1134"/>
        </w:trPr>
        <w:tc>
          <w:tcPr>
            <w:tcW w:w="699" w:type="pct"/>
          </w:tcPr>
          <w:p w14:paraId="681C6C91" w14:textId="77777777" w:rsidR="00F96914" w:rsidRDefault="00F96914" w:rsidP="001040B6">
            <w:pPr>
              <w:pStyle w:val="Heading2"/>
              <w:numPr>
                <w:ilvl w:val="0"/>
                <w:numId w:val="0"/>
              </w:numPr>
              <w:jc w:val="center"/>
              <w:outlineLvl w:val="1"/>
            </w:pPr>
            <w:r>
              <w:t>#2</w:t>
            </w:r>
          </w:p>
        </w:tc>
        <w:tc>
          <w:tcPr>
            <w:tcW w:w="634" w:type="pct"/>
          </w:tcPr>
          <w:p w14:paraId="257DDEC1" w14:textId="77777777" w:rsidR="00F96914" w:rsidRDefault="00F96914" w:rsidP="001040B6">
            <w:pPr>
              <w:pStyle w:val="Heading2"/>
              <w:numPr>
                <w:ilvl w:val="0"/>
                <w:numId w:val="0"/>
              </w:numPr>
              <w:outlineLvl w:val="1"/>
            </w:pPr>
            <w:r>
              <w:t>Key outputs delivered in draft</w:t>
            </w:r>
          </w:p>
        </w:tc>
        <w:tc>
          <w:tcPr>
            <w:tcW w:w="2056" w:type="pct"/>
            <w:shd w:val="clear" w:color="auto" w:fill="auto"/>
          </w:tcPr>
          <w:p w14:paraId="68D7510D" w14:textId="656C454C" w:rsidR="00F96914" w:rsidRDefault="00F96914" w:rsidP="00E73AD7">
            <w:pPr>
              <w:pStyle w:val="Heading2"/>
              <w:numPr>
                <w:ilvl w:val="0"/>
                <w:numId w:val="0"/>
              </w:numPr>
              <w:ind w:left="720" w:hanging="720"/>
              <w:jc w:val="left"/>
              <w:outlineLvl w:val="1"/>
              <w:rPr>
                <w:szCs w:val="22"/>
              </w:rPr>
            </w:pPr>
            <w:r>
              <w:rPr>
                <w:szCs w:val="22"/>
              </w:rPr>
              <w:t>A first draft of the skeleton structure including:</w:t>
            </w:r>
          </w:p>
          <w:p w14:paraId="274D4FBE" w14:textId="77777777" w:rsidR="00F96914" w:rsidRDefault="00F96914" w:rsidP="00E73AD7">
            <w:pPr>
              <w:pStyle w:val="Heading2"/>
              <w:numPr>
                <w:ilvl w:val="0"/>
                <w:numId w:val="33"/>
              </w:numPr>
              <w:outlineLvl w:val="1"/>
              <w:rPr>
                <w:szCs w:val="22"/>
              </w:rPr>
            </w:pPr>
            <w:r>
              <w:rPr>
                <w:szCs w:val="22"/>
              </w:rPr>
              <w:t>Interim findings</w:t>
            </w:r>
          </w:p>
          <w:p w14:paraId="5BF8F4B4" w14:textId="77777777" w:rsidR="00F96914" w:rsidRDefault="00F96914" w:rsidP="00E73AD7">
            <w:pPr>
              <w:pStyle w:val="Heading2"/>
              <w:numPr>
                <w:ilvl w:val="0"/>
                <w:numId w:val="33"/>
              </w:numPr>
              <w:outlineLvl w:val="1"/>
              <w:rPr>
                <w:szCs w:val="22"/>
              </w:rPr>
            </w:pPr>
            <w:r>
              <w:rPr>
                <w:szCs w:val="22"/>
              </w:rPr>
              <w:t>Evidence based and up to date assessment of the costs of deploying and maintaining the following digital infrastructure options in the UK:</w:t>
            </w:r>
          </w:p>
          <w:p w14:paraId="78D07E92" w14:textId="77777777" w:rsidR="00F96914" w:rsidRPr="00E73AD7" w:rsidRDefault="00F96914" w:rsidP="00E73AD7">
            <w:pPr>
              <w:pStyle w:val="ListParagraph"/>
              <w:numPr>
                <w:ilvl w:val="1"/>
                <w:numId w:val="33"/>
              </w:numPr>
              <w:spacing w:before="240" w:after="240"/>
              <w:rPr>
                <w:rFonts w:eastAsia="STZhongsong"/>
                <w:szCs w:val="20"/>
              </w:rPr>
            </w:pPr>
            <w:r w:rsidRPr="00E73AD7">
              <w:rPr>
                <w:rFonts w:eastAsia="STZhongsong"/>
                <w:szCs w:val="20"/>
              </w:rPr>
              <w:t>Fibre to the home/premise (FTTH/P);</w:t>
            </w:r>
          </w:p>
          <w:p w14:paraId="7194976E" w14:textId="77777777" w:rsidR="00F96914" w:rsidRPr="00E73AD7" w:rsidRDefault="00F96914" w:rsidP="00E73AD7">
            <w:pPr>
              <w:pStyle w:val="ListParagraph"/>
              <w:numPr>
                <w:ilvl w:val="1"/>
                <w:numId w:val="33"/>
              </w:numPr>
              <w:spacing w:before="240" w:after="240"/>
              <w:rPr>
                <w:rFonts w:eastAsia="STZhongsong"/>
                <w:szCs w:val="20"/>
              </w:rPr>
            </w:pPr>
            <w:proofErr w:type="spellStart"/>
            <w:r w:rsidRPr="00E73AD7">
              <w:rPr>
                <w:rFonts w:eastAsia="STZhongsong"/>
                <w:szCs w:val="20"/>
              </w:rPr>
              <w:t>G.fast</w:t>
            </w:r>
            <w:proofErr w:type="spellEnd"/>
            <w:r w:rsidRPr="00E73AD7">
              <w:rPr>
                <w:rFonts w:eastAsia="STZhongsong"/>
                <w:szCs w:val="20"/>
              </w:rPr>
              <w:t xml:space="preserve"> (and </w:t>
            </w:r>
            <w:r>
              <w:t xml:space="preserve">subsequent </w:t>
            </w:r>
            <w:r w:rsidRPr="00E73AD7">
              <w:rPr>
                <w:rFonts w:eastAsia="STZhongsong"/>
                <w:szCs w:val="20"/>
              </w:rPr>
              <w:t>copper based technological advancements);</w:t>
            </w:r>
          </w:p>
          <w:p w14:paraId="6C82427B" w14:textId="77777777" w:rsidR="00F96914" w:rsidRDefault="00F96914" w:rsidP="00E73AD7">
            <w:pPr>
              <w:pStyle w:val="ListParagraph"/>
              <w:numPr>
                <w:ilvl w:val="1"/>
                <w:numId w:val="33"/>
              </w:numPr>
              <w:spacing w:before="240" w:after="240"/>
              <w:rPr>
                <w:rFonts w:eastAsia="STZhongsong"/>
                <w:szCs w:val="20"/>
              </w:rPr>
            </w:pPr>
            <w:r w:rsidRPr="00E73AD7">
              <w:rPr>
                <w:rFonts w:eastAsia="STZhongsong"/>
                <w:szCs w:val="20"/>
              </w:rPr>
              <w:t xml:space="preserve">DOCSIS 3.1 (and </w:t>
            </w:r>
            <w:r>
              <w:t xml:space="preserve">subsequent </w:t>
            </w:r>
            <w:r w:rsidRPr="00E73AD7">
              <w:rPr>
                <w:rFonts w:eastAsia="STZhongsong"/>
                <w:szCs w:val="20"/>
              </w:rPr>
              <w:t>cable based technological advancements);</w:t>
            </w:r>
          </w:p>
          <w:p w14:paraId="5C3D5BB2" w14:textId="77777777" w:rsidR="00F96914" w:rsidRPr="00E73AD7" w:rsidRDefault="00F96914" w:rsidP="00E73AD7">
            <w:pPr>
              <w:pStyle w:val="ListParagraph"/>
              <w:numPr>
                <w:ilvl w:val="1"/>
                <w:numId w:val="33"/>
              </w:numPr>
              <w:spacing w:before="240" w:after="240"/>
              <w:rPr>
                <w:rFonts w:eastAsia="STZhongsong"/>
                <w:szCs w:val="20"/>
              </w:rPr>
            </w:pPr>
            <w:r w:rsidRPr="00E73AD7">
              <w:rPr>
                <w:rFonts w:eastAsia="STZhongsong"/>
                <w:szCs w:val="20"/>
              </w:rPr>
              <w:t>Fixed to the locale wireless.</w:t>
            </w:r>
          </w:p>
        </w:tc>
        <w:tc>
          <w:tcPr>
            <w:tcW w:w="773" w:type="pct"/>
          </w:tcPr>
          <w:p w14:paraId="78729137" w14:textId="77777777" w:rsidR="00F96914" w:rsidRDefault="00F96914" w:rsidP="0024295B">
            <w:pPr>
              <w:pStyle w:val="Heading2"/>
              <w:numPr>
                <w:ilvl w:val="0"/>
                <w:numId w:val="0"/>
              </w:numPr>
              <w:outlineLvl w:val="1"/>
            </w:pPr>
            <w:r>
              <w:t>4</w:t>
            </w:r>
            <w:r w:rsidRPr="00C36D56">
              <w:rPr>
                <w:vertAlign w:val="superscript"/>
              </w:rPr>
              <w:t>th</w:t>
            </w:r>
            <w:r>
              <w:t xml:space="preserve"> May 2017</w:t>
            </w:r>
          </w:p>
        </w:tc>
        <w:tc>
          <w:tcPr>
            <w:tcW w:w="838" w:type="pct"/>
          </w:tcPr>
          <w:p w14:paraId="079259C2" w14:textId="0B4D0596" w:rsidR="00F96914" w:rsidRPr="00C36D56" w:rsidDel="00E0579A" w:rsidRDefault="00B15CD3" w:rsidP="0024295B">
            <w:pPr>
              <w:pStyle w:val="Heading2"/>
              <w:numPr>
                <w:ilvl w:val="0"/>
                <w:numId w:val="0"/>
              </w:numPr>
              <w:outlineLvl w:val="1"/>
            </w:pPr>
            <w:r>
              <w:t>10% penalty charge</w:t>
            </w:r>
          </w:p>
        </w:tc>
      </w:tr>
      <w:tr w:rsidR="00F96914" w14:paraId="0E7528FE" w14:textId="148A296B" w:rsidTr="000C37BC">
        <w:tc>
          <w:tcPr>
            <w:tcW w:w="699" w:type="pct"/>
          </w:tcPr>
          <w:p w14:paraId="6E42845B" w14:textId="77777777" w:rsidR="00F96914" w:rsidRDefault="00F96914" w:rsidP="001040B6">
            <w:pPr>
              <w:pStyle w:val="Heading2"/>
              <w:numPr>
                <w:ilvl w:val="0"/>
                <w:numId w:val="0"/>
              </w:numPr>
              <w:jc w:val="center"/>
              <w:outlineLvl w:val="1"/>
            </w:pPr>
            <w:r>
              <w:lastRenderedPageBreak/>
              <w:t>#3</w:t>
            </w:r>
          </w:p>
        </w:tc>
        <w:tc>
          <w:tcPr>
            <w:tcW w:w="634" w:type="pct"/>
          </w:tcPr>
          <w:p w14:paraId="08DC7ADE" w14:textId="77777777" w:rsidR="00F96914" w:rsidRDefault="00F96914" w:rsidP="001040B6">
            <w:pPr>
              <w:pStyle w:val="Heading2"/>
              <w:numPr>
                <w:ilvl w:val="0"/>
                <w:numId w:val="0"/>
              </w:numPr>
              <w:outlineLvl w:val="1"/>
            </w:pPr>
            <w:r>
              <w:t>Key outputs delivered in draft</w:t>
            </w:r>
          </w:p>
        </w:tc>
        <w:tc>
          <w:tcPr>
            <w:tcW w:w="2056" w:type="pct"/>
          </w:tcPr>
          <w:p w14:paraId="0D624808" w14:textId="5DDCD3BD" w:rsidR="00F96914" w:rsidRDefault="00F96914" w:rsidP="001040B6">
            <w:pPr>
              <w:pStyle w:val="Heading2"/>
              <w:numPr>
                <w:ilvl w:val="0"/>
                <w:numId w:val="0"/>
              </w:numPr>
              <w:tabs>
                <w:tab w:val="left" w:pos="720"/>
              </w:tabs>
              <w:ind w:left="720" w:hanging="720"/>
              <w:jc w:val="left"/>
              <w:outlineLvl w:val="1"/>
            </w:pPr>
            <w:r>
              <w:t xml:space="preserve">A second draft of the skeleton structure covering: </w:t>
            </w:r>
          </w:p>
          <w:p w14:paraId="0E7202EC" w14:textId="7BB3EE05" w:rsidR="00F96914" w:rsidRDefault="00F96914" w:rsidP="00E73AD7">
            <w:pPr>
              <w:pStyle w:val="Heading2"/>
              <w:numPr>
                <w:ilvl w:val="0"/>
                <w:numId w:val="33"/>
              </w:numPr>
              <w:tabs>
                <w:tab w:val="left" w:pos="720"/>
              </w:tabs>
              <w:outlineLvl w:val="1"/>
            </w:pPr>
            <w:r>
              <w:t>The Authority’s comments on the interim findings</w:t>
            </w:r>
          </w:p>
          <w:p w14:paraId="46E6CB0F" w14:textId="77777777" w:rsidR="00F96914" w:rsidRDefault="00F96914" w:rsidP="00E73AD7">
            <w:pPr>
              <w:pStyle w:val="Heading2"/>
              <w:numPr>
                <w:ilvl w:val="0"/>
                <w:numId w:val="33"/>
              </w:numPr>
              <w:outlineLvl w:val="1"/>
              <w:rPr>
                <w:szCs w:val="22"/>
              </w:rPr>
            </w:pPr>
            <w:r>
              <w:rPr>
                <w:szCs w:val="22"/>
              </w:rPr>
              <w:t>Evidence based and up to date assessment of the costs of deploying and maintaining the following digital infrastructure options in the UK:</w:t>
            </w:r>
          </w:p>
          <w:p w14:paraId="1F08E88D" w14:textId="77777777" w:rsidR="00F96914" w:rsidRPr="00E73AD7" w:rsidRDefault="00F96914" w:rsidP="00E73AD7">
            <w:pPr>
              <w:pStyle w:val="ListParagraph"/>
              <w:numPr>
                <w:ilvl w:val="1"/>
                <w:numId w:val="33"/>
              </w:numPr>
              <w:spacing w:before="240" w:after="240"/>
              <w:rPr>
                <w:rFonts w:eastAsia="STZhongsong"/>
                <w:szCs w:val="20"/>
              </w:rPr>
            </w:pPr>
            <w:r w:rsidRPr="00E73AD7">
              <w:rPr>
                <w:rFonts w:eastAsia="STZhongsong"/>
                <w:szCs w:val="20"/>
              </w:rPr>
              <w:t>Fibre to the home/premise (FTTH/P);</w:t>
            </w:r>
          </w:p>
          <w:p w14:paraId="33CE247E" w14:textId="77777777" w:rsidR="00F96914" w:rsidRPr="00E73AD7" w:rsidRDefault="00F96914" w:rsidP="00E73AD7">
            <w:pPr>
              <w:pStyle w:val="ListParagraph"/>
              <w:numPr>
                <w:ilvl w:val="1"/>
                <w:numId w:val="33"/>
              </w:numPr>
              <w:spacing w:before="240" w:after="240"/>
              <w:rPr>
                <w:rFonts w:eastAsia="STZhongsong"/>
                <w:szCs w:val="20"/>
              </w:rPr>
            </w:pPr>
            <w:proofErr w:type="spellStart"/>
            <w:r w:rsidRPr="00E73AD7">
              <w:rPr>
                <w:rFonts w:eastAsia="STZhongsong"/>
                <w:szCs w:val="20"/>
              </w:rPr>
              <w:t>G.fast</w:t>
            </w:r>
            <w:proofErr w:type="spellEnd"/>
            <w:r w:rsidRPr="00E73AD7">
              <w:rPr>
                <w:rFonts w:eastAsia="STZhongsong"/>
                <w:szCs w:val="20"/>
              </w:rPr>
              <w:t xml:space="preserve"> (and </w:t>
            </w:r>
            <w:r>
              <w:t xml:space="preserve">subsequent </w:t>
            </w:r>
            <w:r w:rsidRPr="00E73AD7">
              <w:rPr>
                <w:rFonts w:eastAsia="STZhongsong"/>
                <w:szCs w:val="20"/>
              </w:rPr>
              <w:t>copper based technological advancements);</w:t>
            </w:r>
          </w:p>
          <w:p w14:paraId="065AC341" w14:textId="77777777" w:rsidR="00F96914" w:rsidRPr="00E73AD7" w:rsidRDefault="00F96914" w:rsidP="00E73AD7">
            <w:pPr>
              <w:pStyle w:val="ListParagraph"/>
              <w:numPr>
                <w:ilvl w:val="1"/>
                <w:numId w:val="33"/>
              </w:numPr>
              <w:spacing w:before="240" w:after="240"/>
              <w:rPr>
                <w:rFonts w:eastAsia="STZhongsong"/>
                <w:szCs w:val="20"/>
              </w:rPr>
            </w:pPr>
            <w:r w:rsidRPr="00E73AD7">
              <w:rPr>
                <w:rFonts w:eastAsia="STZhongsong"/>
                <w:szCs w:val="20"/>
              </w:rPr>
              <w:t xml:space="preserve">DOCSIS 3.1 (and </w:t>
            </w:r>
            <w:r>
              <w:t xml:space="preserve">subsequent </w:t>
            </w:r>
            <w:r w:rsidRPr="00E73AD7">
              <w:rPr>
                <w:rFonts w:eastAsia="STZhongsong"/>
                <w:szCs w:val="20"/>
              </w:rPr>
              <w:t>cable based technological advancements);</w:t>
            </w:r>
          </w:p>
          <w:p w14:paraId="6301410B" w14:textId="77777777" w:rsidR="00F96914" w:rsidRPr="00C06E3C" w:rsidRDefault="00F96914" w:rsidP="00E73AD7">
            <w:pPr>
              <w:pStyle w:val="Heading2"/>
              <w:numPr>
                <w:ilvl w:val="1"/>
                <w:numId w:val="33"/>
              </w:numPr>
              <w:jc w:val="left"/>
              <w:outlineLvl w:val="1"/>
              <w:rPr>
                <w:szCs w:val="22"/>
              </w:rPr>
            </w:pPr>
            <w:r w:rsidRPr="00E73AD7">
              <w:t>Fixed to the locale wireless.</w:t>
            </w:r>
          </w:p>
        </w:tc>
        <w:tc>
          <w:tcPr>
            <w:tcW w:w="773" w:type="pct"/>
          </w:tcPr>
          <w:p w14:paraId="425D4036" w14:textId="77777777" w:rsidR="00F96914" w:rsidRDefault="00F96914" w:rsidP="00C36D56">
            <w:pPr>
              <w:pStyle w:val="Heading2"/>
              <w:numPr>
                <w:ilvl w:val="0"/>
                <w:numId w:val="0"/>
              </w:numPr>
              <w:outlineLvl w:val="1"/>
            </w:pPr>
            <w:r>
              <w:t>15</w:t>
            </w:r>
            <w:r w:rsidRPr="00C36D56">
              <w:rPr>
                <w:vertAlign w:val="superscript"/>
              </w:rPr>
              <w:t>th</w:t>
            </w:r>
            <w:r>
              <w:t xml:space="preserve"> May 2017</w:t>
            </w:r>
          </w:p>
        </w:tc>
        <w:tc>
          <w:tcPr>
            <w:tcW w:w="838" w:type="pct"/>
          </w:tcPr>
          <w:p w14:paraId="13639B5B" w14:textId="3A193E78" w:rsidR="00F96914" w:rsidDel="00E0579A" w:rsidRDefault="00B15CD3" w:rsidP="00C36D56">
            <w:pPr>
              <w:pStyle w:val="Heading2"/>
              <w:numPr>
                <w:ilvl w:val="0"/>
                <w:numId w:val="0"/>
              </w:numPr>
              <w:outlineLvl w:val="1"/>
            </w:pPr>
            <w:r>
              <w:t>20% penalty charge</w:t>
            </w:r>
          </w:p>
        </w:tc>
      </w:tr>
      <w:tr w:rsidR="0038774C" w14:paraId="15F4ABBE" w14:textId="77777777" w:rsidTr="000C37BC">
        <w:tc>
          <w:tcPr>
            <w:tcW w:w="699" w:type="pct"/>
          </w:tcPr>
          <w:p w14:paraId="477B9C37" w14:textId="63C639B8" w:rsidR="0038774C" w:rsidRDefault="0038774C" w:rsidP="0038774C">
            <w:pPr>
              <w:pStyle w:val="Heading2"/>
              <w:numPr>
                <w:ilvl w:val="0"/>
                <w:numId w:val="0"/>
              </w:numPr>
              <w:jc w:val="center"/>
              <w:outlineLvl w:val="1"/>
            </w:pPr>
            <w:r>
              <w:t>#4</w:t>
            </w:r>
          </w:p>
        </w:tc>
        <w:tc>
          <w:tcPr>
            <w:tcW w:w="634" w:type="pct"/>
          </w:tcPr>
          <w:p w14:paraId="6C24C7CA" w14:textId="0A7CCF5D" w:rsidR="0038774C" w:rsidRDefault="0038774C" w:rsidP="0038774C">
            <w:pPr>
              <w:pStyle w:val="Heading2"/>
              <w:numPr>
                <w:ilvl w:val="0"/>
                <w:numId w:val="0"/>
              </w:numPr>
              <w:outlineLvl w:val="1"/>
            </w:pPr>
            <w:r>
              <w:t>Key outputs delivered in draft</w:t>
            </w:r>
          </w:p>
        </w:tc>
        <w:tc>
          <w:tcPr>
            <w:tcW w:w="2056" w:type="pct"/>
          </w:tcPr>
          <w:p w14:paraId="6D2DEDC4" w14:textId="71861F2A" w:rsidR="0038774C" w:rsidRDefault="0038774C" w:rsidP="0038774C">
            <w:pPr>
              <w:pStyle w:val="Heading2"/>
              <w:numPr>
                <w:ilvl w:val="0"/>
                <w:numId w:val="0"/>
              </w:numPr>
              <w:tabs>
                <w:tab w:val="left" w:pos="720"/>
              </w:tabs>
              <w:ind w:left="720" w:hanging="720"/>
              <w:jc w:val="left"/>
              <w:outlineLvl w:val="1"/>
            </w:pPr>
            <w:r>
              <w:t xml:space="preserve">A first draft of the final report covering: </w:t>
            </w:r>
          </w:p>
          <w:p w14:paraId="379A5FD8" w14:textId="77777777" w:rsidR="0038774C" w:rsidRDefault="0038774C" w:rsidP="0038774C">
            <w:pPr>
              <w:pStyle w:val="Heading2"/>
              <w:numPr>
                <w:ilvl w:val="0"/>
                <w:numId w:val="33"/>
              </w:numPr>
              <w:outlineLvl w:val="1"/>
              <w:rPr>
                <w:szCs w:val="22"/>
              </w:rPr>
            </w:pPr>
            <w:r>
              <w:rPr>
                <w:szCs w:val="22"/>
              </w:rPr>
              <w:t>Evidence based and up to date assessment of the costs of deploying and maintaining the following digital infrastructure options in the UK:</w:t>
            </w:r>
          </w:p>
          <w:p w14:paraId="385BA0DC" w14:textId="77777777" w:rsidR="0038774C" w:rsidRPr="00E73AD7" w:rsidRDefault="0038774C" w:rsidP="0038774C">
            <w:pPr>
              <w:pStyle w:val="ListParagraph"/>
              <w:numPr>
                <w:ilvl w:val="1"/>
                <w:numId w:val="33"/>
              </w:numPr>
              <w:spacing w:before="240" w:after="240"/>
              <w:rPr>
                <w:rFonts w:eastAsia="STZhongsong"/>
                <w:szCs w:val="20"/>
              </w:rPr>
            </w:pPr>
            <w:r w:rsidRPr="00E73AD7">
              <w:rPr>
                <w:rFonts w:eastAsia="STZhongsong"/>
                <w:szCs w:val="20"/>
              </w:rPr>
              <w:t>Fibre to the home/premise (FTTH/P);</w:t>
            </w:r>
          </w:p>
          <w:p w14:paraId="2E36E506" w14:textId="77777777" w:rsidR="0038774C" w:rsidRPr="00E73AD7" w:rsidRDefault="0038774C" w:rsidP="0038774C">
            <w:pPr>
              <w:pStyle w:val="ListParagraph"/>
              <w:numPr>
                <w:ilvl w:val="1"/>
                <w:numId w:val="33"/>
              </w:numPr>
              <w:spacing w:before="240" w:after="240"/>
              <w:rPr>
                <w:rFonts w:eastAsia="STZhongsong"/>
                <w:szCs w:val="20"/>
              </w:rPr>
            </w:pPr>
            <w:proofErr w:type="spellStart"/>
            <w:r w:rsidRPr="00E73AD7">
              <w:rPr>
                <w:rFonts w:eastAsia="STZhongsong"/>
                <w:szCs w:val="20"/>
              </w:rPr>
              <w:t>G.fast</w:t>
            </w:r>
            <w:proofErr w:type="spellEnd"/>
            <w:r w:rsidRPr="00E73AD7">
              <w:rPr>
                <w:rFonts w:eastAsia="STZhongsong"/>
                <w:szCs w:val="20"/>
              </w:rPr>
              <w:t xml:space="preserve"> (and </w:t>
            </w:r>
            <w:r>
              <w:t xml:space="preserve">subsequent </w:t>
            </w:r>
            <w:r w:rsidRPr="00E73AD7">
              <w:rPr>
                <w:rFonts w:eastAsia="STZhongsong"/>
                <w:szCs w:val="20"/>
              </w:rPr>
              <w:lastRenderedPageBreak/>
              <w:t>copper based technological advancements);</w:t>
            </w:r>
          </w:p>
          <w:p w14:paraId="0AFCED80" w14:textId="77777777" w:rsidR="0038774C" w:rsidRPr="00E73AD7" w:rsidRDefault="0038774C" w:rsidP="0038774C">
            <w:pPr>
              <w:pStyle w:val="ListParagraph"/>
              <w:numPr>
                <w:ilvl w:val="1"/>
                <w:numId w:val="33"/>
              </w:numPr>
              <w:spacing w:before="240" w:after="240"/>
              <w:rPr>
                <w:rFonts w:eastAsia="STZhongsong"/>
                <w:szCs w:val="20"/>
              </w:rPr>
            </w:pPr>
            <w:r w:rsidRPr="00E73AD7">
              <w:rPr>
                <w:rFonts w:eastAsia="STZhongsong"/>
                <w:szCs w:val="20"/>
              </w:rPr>
              <w:t xml:space="preserve">DOCSIS 3.1 (and </w:t>
            </w:r>
            <w:r>
              <w:t xml:space="preserve">subsequent </w:t>
            </w:r>
            <w:r w:rsidRPr="00E73AD7">
              <w:rPr>
                <w:rFonts w:eastAsia="STZhongsong"/>
                <w:szCs w:val="20"/>
              </w:rPr>
              <w:t>cable based technological advancements);</w:t>
            </w:r>
          </w:p>
          <w:p w14:paraId="5A117A1B" w14:textId="24300492" w:rsidR="0038774C" w:rsidRDefault="0038774C" w:rsidP="00DF3584">
            <w:pPr>
              <w:pStyle w:val="Heading2"/>
              <w:numPr>
                <w:ilvl w:val="1"/>
                <w:numId w:val="33"/>
              </w:numPr>
              <w:tabs>
                <w:tab w:val="left" w:pos="720"/>
              </w:tabs>
              <w:jc w:val="left"/>
              <w:outlineLvl w:val="1"/>
            </w:pPr>
            <w:r w:rsidRPr="00E73AD7">
              <w:t>Fixed to the locale wireless.</w:t>
            </w:r>
          </w:p>
        </w:tc>
        <w:tc>
          <w:tcPr>
            <w:tcW w:w="773" w:type="pct"/>
          </w:tcPr>
          <w:p w14:paraId="6B864309" w14:textId="2F296012" w:rsidR="0038774C" w:rsidRDefault="0038774C" w:rsidP="0038774C">
            <w:pPr>
              <w:pStyle w:val="Heading2"/>
              <w:numPr>
                <w:ilvl w:val="0"/>
                <w:numId w:val="0"/>
              </w:numPr>
              <w:outlineLvl w:val="1"/>
            </w:pPr>
            <w:r>
              <w:lastRenderedPageBreak/>
              <w:t>4</w:t>
            </w:r>
            <w:r w:rsidRPr="00DF3584">
              <w:rPr>
                <w:vertAlign w:val="superscript"/>
              </w:rPr>
              <w:t>th</w:t>
            </w:r>
            <w:r>
              <w:t xml:space="preserve"> September 2017</w:t>
            </w:r>
          </w:p>
        </w:tc>
        <w:tc>
          <w:tcPr>
            <w:tcW w:w="838" w:type="pct"/>
          </w:tcPr>
          <w:p w14:paraId="18C69952" w14:textId="50947DF2" w:rsidR="0038774C" w:rsidRDefault="0038774C" w:rsidP="0038774C">
            <w:pPr>
              <w:pStyle w:val="Heading2"/>
              <w:numPr>
                <w:ilvl w:val="0"/>
                <w:numId w:val="0"/>
              </w:numPr>
              <w:outlineLvl w:val="1"/>
            </w:pPr>
            <w:r>
              <w:t>10% penalty charge</w:t>
            </w:r>
          </w:p>
        </w:tc>
      </w:tr>
      <w:tr w:rsidR="0038774C" w14:paraId="23E5ACAA" w14:textId="77777777" w:rsidTr="000C37BC">
        <w:tc>
          <w:tcPr>
            <w:tcW w:w="699" w:type="pct"/>
          </w:tcPr>
          <w:p w14:paraId="5F509C41" w14:textId="46A144C0" w:rsidR="0038774C" w:rsidRDefault="0038774C" w:rsidP="0038774C">
            <w:pPr>
              <w:pStyle w:val="Heading2"/>
              <w:numPr>
                <w:ilvl w:val="0"/>
                <w:numId w:val="0"/>
              </w:numPr>
              <w:jc w:val="center"/>
              <w:outlineLvl w:val="1"/>
            </w:pPr>
            <w:r>
              <w:t>#5</w:t>
            </w:r>
          </w:p>
        </w:tc>
        <w:tc>
          <w:tcPr>
            <w:tcW w:w="634" w:type="pct"/>
          </w:tcPr>
          <w:p w14:paraId="3287659F" w14:textId="0A384C92" w:rsidR="0038774C" w:rsidRDefault="0038774C" w:rsidP="0038774C">
            <w:pPr>
              <w:pStyle w:val="Heading2"/>
              <w:numPr>
                <w:ilvl w:val="0"/>
                <w:numId w:val="0"/>
              </w:numPr>
              <w:outlineLvl w:val="1"/>
            </w:pPr>
            <w:r>
              <w:t>Key outputs delivered in draft</w:t>
            </w:r>
          </w:p>
        </w:tc>
        <w:tc>
          <w:tcPr>
            <w:tcW w:w="2056" w:type="pct"/>
          </w:tcPr>
          <w:p w14:paraId="7CD7F021" w14:textId="432470DC" w:rsidR="0038774C" w:rsidRDefault="0038774C" w:rsidP="0038774C">
            <w:pPr>
              <w:pStyle w:val="Heading2"/>
              <w:numPr>
                <w:ilvl w:val="0"/>
                <w:numId w:val="0"/>
              </w:numPr>
              <w:tabs>
                <w:tab w:val="left" w:pos="720"/>
              </w:tabs>
              <w:ind w:left="720" w:hanging="720"/>
              <w:jc w:val="left"/>
              <w:outlineLvl w:val="1"/>
            </w:pPr>
            <w:r>
              <w:t xml:space="preserve">A second draft of the final report covering: </w:t>
            </w:r>
          </w:p>
          <w:p w14:paraId="03241C5A" w14:textId="77777777" w:rsidR="0038774C" w:rsidRDefault="0038774C" w:rsidP="0038774C">
            <w:pPr>
              <w:pStyle w:val="Heading2"/>
              <w:numPr>
                <w:ilvl w:val="0"/>
                <w:numId w:val="33"/>
              </w:numPr>
              <w:tabs>
                <w:tab w:val="left" w:pos="720"/>
              </w:tabs>
              <w:outlineLvl w:val="1"/>
            </w:pPr>
            <w:r>
              <w:t>The Authority’s comments on the interim findings</w:t>
            </w:r>
          </w:p>
          <w:p w14:paraId="1B604DA3" w14:textId="77777777" w:rsidR="0038774C" w:rsidRDefault="0038774C" w:rsidP="0038774C">
            <w:pPr>
              <w:pStyle w:val="Heading2"/>
              <w:numPr>
                <w:ilvl w:val="0"/>
                <w:numId w:val="33"/>
              </w:numPr>
              <w:outlineLvl w:val="1"/>
              <w:rPr>
                <w:szCs w:val="22"/>
              </w:rPr>
            </w:pPr>
            <w:r>
              <w:rPr>
                <w:szCs w:val="22"/>
              </w:rPr>
              <w:t>Evidence based and up to date assessment of the costs of deploying and maintaining the following digital infrastructure options in the UK:</w:t>
            </w:r>
          </w:p>
          <w:p w14:paraId="588F2EBF" w14:textId="77777777" w:rsidR="0038774C" w:rsidRPr="00E73AD7" w:rsidRDefault="0038774C" w:rsidP="0038774C">
            <w:pPr>
              <w:pStyle w:val="ListParagraph"/>
              <w:numPr>
                <w:ilvl w:val="1"/>
                <w:numId w:val="33"/>
              </w:numPr>
              <w:spacing w:before="240" w:after="240"/>
              <w:rPr>
                <w:rFonts w:eastAsia="STZhongsong"/>
                <w:szCs w:val="20"/>
              </w:rPr>
            </w:pPr>
            <w:r w:rsidRPr="00E73AD7">
              <w:rPr>
                <w:rFonts w:eastAsia="STZhongsong"/>
                <w:szCs w:val="20"/>
              </w:rPr>
              <w:t>Fibre to the home/premise (FTTH/P);</w:t>
            </w:r>
          </w:p>
          <w:p w14:paraId="08013FA4" w14:textId="77777777" w:rsidR="0038774C" w:rsidRPr="00E73AD7" w:rsidRDefault="0038774C" w:rsidP="0038774C">
            <w:pPr>
              <w:pStyle w:val="ListParagraph"/>
              <w:numPr>
                <w:ilvl w:val="1"/>
                <w:numId w:val="33"/>
              </w:numPr>
              <w:spacing w:before="240" w:after="240"/>
              <w:rPr>
                <w:rFonts w:eastAsia="STZhongsong"/>
                <w:szCs w:val="20"/>
              </w:rPr>
            </w:pPr>
            <w:proofErr w:type="spellStart"/>
            <w:r w:rsidRPr="00E73AD7">
              <w:rPr>
                <w:rFonts w:eastAsia="STZhongsong"/>
                <w:szCs w:val="20"/>
              </w:rPr>
              <w:t>G.fast</w:t>
            </w:r>
            <w:proofErr w:type="spellEnd"/>
            <w:r w:rsidRPr="00E73AD7">
              <w:rPr>
                <w:rFonts w:eastAsia="STZhongsong"/>
                <w:szCs w:val="20"/>
              </w:rPr>
              <w:t xml:space="preserve"> (and </w:t>
            </w:r>
            <w:r>
              <w:t xml:space="preserve">subsequent </w:t>
            </w:r>
            <w:r w:rsidRPr="00E73AD7">
              <w:rPr>
                <w:rFonts w:eastAsia="STZhongsong"/>
                <w:szCs w:val="20"/>
              </w:rPr>
              <w:t>copper based technological advancements);</w:t>
            </w:r>
          </w:p>
          <w:p w14:paraId="32F3196C" w14:textId="77777777" w:rsidR="0038774C" w:rsidRPr="00E73AD7" w:rsidRDefault="0038774C" w:rsidP="0038774C">
            <w:pPr>
              <w:pStyle w:val="ListParagraph"/>
              <w:numPr>
                <w:ilvl w:val="1"/>
                <w:numId w:val="33"/>
              </w:numPr>
              <w:spacing w:before="240" w:after="240"/>
              <w:rPr>
                <w:rFonts w:eastAsia="STZhongsong"/>
                <w:szCs w:val="20"/>
              </w:rPr>
            </w:pPr>
            <w:r w:rsidRPr="00E73AD7">
              <w:rPr>
                <w:rFonts w:eastAsia="STZhongsong"/>
                <w:szCs w:val="20"/>
              </w:rPr>
              <w:t xml:space="preserve">DOCSIS 3.1 (and </w:t>
            </w:r>
            <w:r>
              <w:t xml:space="preserve">subsequent </w:t>
            </w:r>
            <w:r w:rsidRPr="00E73AD7">
              <w:rPr>
                <w:rFonts w:eastAsia="STZhongsong"/>
                <w:szCs w:val="20"/>
              </w:rPr>
              <w:t>cable based technological advancements);</w:t>
            </w:r>
          </w:p>
          <w:p w14:paraId="0F524FD8" w14:textId="33230978" w:rsidR="0038774C" w:rsidRDefault="0038774C" w:rsidP="00DF3584">
            <w:pPr>
              <w:pStyle w:val="Heading2"/>
              <w:numPr>
                <w:ilvl w:val="1"/>
                <w:numId w:val="33"/>
              </w:numPr>
              <w:tabs>
                <w:tab w:val="left" w:pos="720"/>
              </w:tabs>
              <w:jc w:val="left"/>
              <w:outlineLvl w:val="1"/>
            </w:pPr>
            <w:r w:rsidRPr="00E73AD7">
              <w:t>Fixed to the locale wireless.</w:t>
            </w:r>
          </w:p>
        </w:tc>
        <w:tc>
          <w:tcPr>
            <w:tcW w:w="773" w:type="pct"/>
          </w:tcPr>
          <w:p w14:paraId="63CDC518" w14:textId="72B48D99" w:rsidR="0038774C" w:rsidRDefault="0038774C" w:rsidP="0038774C">
            <w:pPr>
              <w:pStyle w:val="Heading2"/>
              <w:numPr>
                <w:ilvl w:val="0"/>
                <w:numId w:val="0"/>
              </w:numPr>
              <w:outlineLvl w:val="1"/>
            </w:pPr>
            <w:r>
              <w:t>11</w:t>
            </w:r>
            <w:r w:rsidRPr="00DF3584">
              <w:rPr>
                <w:vertAlign w:val="superscript"/>
              </w:rPr>
              <w:t>th</w:t>
            </w:r>
            <w:r>
              <w:t xml:space="preserve"> September 2017</w:t>
            </w:r>
          </w:p>
        </w:tc>
        <w:tc>
          <w:tcPr>
            <w:tcW w:w="838" w:type="pct"/>
          </w:tcPr>
          <w:p w14:paraId="680F0953" w14:textId="4512F834" w:rsidR="0038774C" w:rsidRDefault="0038774C" w:rsidP="0038774C">
            <w:pPr>
              <w:pStyle w:val="Heading2"/>
              <w:numPr>
                <w:ilvl w:val="0"/>
                <w:numId w:val="0"/>
              </w:numPr>
              <w:outlineLvl w:val="1"/>
            </w:pPr>
            <w:r>
              <w:t>10% penalty charge</w:t>
            </w:r>
          </w:p>
        </w:tc>
      </w:tr>
      <w:tr w:rsidR="0038774C" w14:paraId="6FB5B3B7" w14:textId="6F4BAF59" w:rsidTr="000C37BC">
        <w:tc>
          <w:tcPr>
            <w:tcW w:w="699" w:type="pct"/>
          </w:tcPr>
          <w:p w14:paraId="3FB255CA" w14:textId="2FBE52A3" w:rsidR="0038774C" w:rsidRDefault="0038774C" w:rsidP="0038774C">
            <w:pPr>
              <w:pStyle w:val="Heading2"/>
              <w:numPr>
                <w:ilvl w:val="0"/>
                <w:numId w:val="0"/>
              </w:numPr>
              <w:jc w:val="center"/>
              <w:outlineLvl w:val="1"/>
            </w:pPr>
            <w:r>
              <w:t>#6</w:t>
            </w:r>
          </w:p>
        </w:tc>
        <w:tc>
          <w:tcPr>
            <w:tcW w:w="634" w:type="pct"/>
          </w:tcPr>
          <w:p w14:paraId="37920518" w14:textId="77777777" w:rsidR="0038774C" w:rsidRDefault="0038774C" w:rsidP="0038774C">
            <w:pPr>
              <w:pStyle w:val="Heading2"/>
              <w:numPr>
                <w:ilvl w:val="0"/>
                <w:numId w:val="0"/>
              </w:numPr>
              <w:outlineLvl w:val="1"/>
            </w:pPr>
            <w:r>
              <w:t xml:space="preserve">Key outputs in final, </w:t>
            </w:r>
            <w:r>
              <w:lastRenderedPageBreak/>
              <w:t xml:space="preserve">publishable form </w:t>
            </w:r>
          </w:p>
        </w:tc>
        <w:tc>
          <w:tcPr>
            <w:tcW w:w="2056" w:type="pct"/>
          </w:tcPr>
          <w:p w14:paraId="77DA33F8" w14:textId="77777777" w:rsidR="0038774C" w:rsidRDefault="0038774C" w:rsidP="0038774C">
            <w:pPr>
              <w:pStyle w:val="Heading2"/>
              <w:numPr>
                <w:ilvl w:val="0"/>
                <w:numId w:val="0"/>
              </w:numPr>
              <w:tabs>
                <w:tab w:val="left" w:pos="720"/>
              </w:tabs>
              <w:jc w:val="left"/>
              <w:outlineLvl w:val="1"/>
            </w:pPr>
            <w:r>
              <w:lastRenderedPageBreak/>
              <w:t xml:space="preserve">A final report that presents </w:t>
            </w:r>
          </w:p>
          <w:p w14:paraId="0908B186" w14:textId="2E020D6A" w:rsidR="0038774C" w:rsidRDefault="0038774C" w:rsidP="0038774C">
            <w:pPr>
              <w:pStyle w:val="Heading2"/>
              <w:numPr>
                <w:ilvl w:val="0"/>
                <w:numId w:val="33"/>
              </w:numPr>
              <w:tabs>
                <w:tab w:val="left" w:pos="720"/>
              </w:tabs>
              <w:outlineLvl w:val="1"/>
            </w:pPr>
            <w:r>
              <w:t xml:space="preserve">The Authority’s comments on the second </w:t>
            </w:r>
            <w:r>
              <w:lastRenderedPageBreak/>
              <w:t>draft, throughout the process and comments from the peer review;</w:t>
            </w:r>
          </w:p>
          <w:p w14:paraId="2D8F220B" w14:textId="77777777" w:rsidR="0038774C" w:rsidRDefault="0038774C" w:rsidP="0038774C">
            <w:pPr>
              <w:pStyle w:val="Heading2"/>
              <w:numPr>
                <w:ilvl w:val="0"/>
                <w:numId w:val="33"/>
              </w:numPr>
              <w:outlineLvl w:val="1"/>
              <w:rPr>
                <w:szCs w:val="22"/>
              </w:rPr>
            </w:pPr>
            <w:r>
              <w:rPr>
                <w:szCs w:val="22"/>
              </w:rPr>
              <w:t>Evidence based and up to date assessment of the costs in deploying and maintaining the following digital infrastructure options in the UK:</w:t>
            </w:r>
          </w:p>
          <w:p w14:paraId="6719DAF5" w14:textId="77777777" w:rsidR="0038774C" w:rsidRPr="00E73AD7" w:rsidRDefault="0038774C" w:rsidP="0038774C">
            <w:pPr>
              <w:pStyle w:val="ListParagraph"/>
              <w:numPr>
                <w:ilvl w:val="1"/>
                <w:numId w:val="33"/>
              </w:numPr>
              <w:spacing w:before="240" w:after="240"/>
              <w:rPr>
                <w:rFonts w:eastAsia="STZhongsong"/>
                <w:szCs w:val="20"/>
              </w:rPr>
            </w:pPr>
            <w:r w:rsidRPr="00E73AD7">
              <w:rPr>
                <w:rFonts w:eastAsia="STZhongsong"/>
                <w:szCs w:val="20"/>
              </w:rPr>
              <w:t>Fibre to the home/premise (FTTH/P);</w:t>
            </w:r>
          </w:p>
          <w:p w14:paraId="65F1D679" w14:textId="77777777" w:rsidR="0038774C" w:rsidRPr="00E73AD7" w:rsidRDefault="0038774C" w:rsidP="0038774C">
            <w:pPr>
              <w:pStyle w:val="ListParagraph"/>
              <w:numPr>
                <w:ilvl w:val="1"/>
                <w:numId w:val="33"/>
              </w:numPr>
              <w:spacing w:before="240" w:after="240"/>
              <w:rPr>
                <w:rFonts w:eastAsia="STZhongsong"/>
                <w:szCs w:val="20"/>
              </w:rPr>
            </w:pPr>
            <w:proofErr w:type="spellStart"/>
            <w:r w:rsidRPr="00E73AD7">
              <w:rPr>
                <w:rFonts w:eastAsia="STZhongsong"/>
                <w:szCs w:val="20"/>
              </w:rPr>
              <w:t>G.fast</w:t>
            </w:r>
            <w:proofErr w:type="spellEnd"/>
            <w:r w:rsidRPr="00E73AD7">
              <w:rPr>
                <w:rFonts w:eastAsia="STZhongsong"/>
                <w:szCs w:val="20"/>
              </w:rPr>
              <w:t xml:space="preserve"> (and </w:t>
            </w:r>
            <w:r>
              <w:t xml:space="preserve">subsequent </w:t>
            </w:r>
            <w:r w:rsidRPr="00E73AD7">
              <w:rPr>
                <w:rFonts w:eastAsia="STZhongsong"/>
                <w:szCs w:val="20"/>
              </w:rPr>
              <w:t>copper based technological advancements);</w:t>
            </w:r>
          </w:p>
          <w:p w14:paraId="09BDC843" w14:textId="77777777" w:rsidR="0038774C" w:rsidRDefault="0038774C" w:rsidP="0038774C">
            <w:pPr>
              <w:pStyle w:val="ListParagraph"/>
              <w:numPr>
                <w:ilvl w:val="1"/>
                <w:numId w:val="33"/>
              </w:numPr>
              <w:spacing w:before="240" w:after="240"/>
              <w:rPr>
                <w:rFonts w:eastAsia="STZhongsong"/>
                <w:szCs w:val="20"/>
              </w:rPr>
            </w:pPr>
            <w:r w:rsidRPr="00E73AD7">
              <w:rPr>
                <w:rFonts w:eastAsia="STZhongsong"/>
                <w:szCs w:val="20"/>
              </w:rPr>
              <w:t xml:space="preserve">DOCSIS 3.1 (and </w:t>
            </w:r>
            <w:r>
              <w:t xml:space="preserve">subsequent </w:t>
            </w:r>
            <w:r w:rsidRPr="00E73AD7">
              <w:rPr>
                <w:rFonts w:eastAsia="STZhongsong"/>
                <w:szCs w:val="20"/>
              </w:rPr>
              <w:t>cable based technological advancements);</w:t>
            </w:r>
          </w:p>
          <w:p w14:paraId="50B85FD2" w14:textId="77777777" w:rsidR="0038774C" w:rsidRPr="00E73AD7" w:rsidRDefault="0038774C" w:rsidP="0038774C">
            <w:pPr>
              <w:pStyle w:val="ListParagraph"/>
              <w:numPr>
                <w:ilvl w:val="1"/>
                <w:numId w:val="33"/>
              </w:numPr>
              <w:spacing w:before="240" w:after="240"/>
              <w:rPr>
                <w:rFonts w:eastAsia="STZhongsong"/>
                <w:szCs w:val="20"/>
              </w:rPr>
            </w:pPr>
            <w:r w:rsidRPr="00E73AD7">
              <w:rPr>
                <w:rFonts w:eastAsia="STZhongsong"/>
                <w:szCs w:val="20"/>
              </w:rPr>
              <w:t>Fixed to the locale wireless.</w:t>
            </w:r>
          </w:p>
        </w:tc>
        <w:tc>
          <w:tcPr>
            <w:tcW w:w="773" w:type="pct"/>
          </w:tcPr>
          <w:p w14:paraId="4C40DEF1" w14:textId="1FC95E1F" w:rsidR="0038774C" w:rsidRDefault="0038774C" w:rsidP="0038774C">
            <w:pPr>
              <w:pStyle w:val="Heading2"/>
              <w:numPr>
                <w:ilvl w:val="0"/>
                <w:numId w:val="0"/>
              </w:numPr>
              <w:outlineLvl w:val="1"/>
            </w:pPr>
            <w:r>
              <w:lastRenderedPageBreak/>
              <w:t>27</w:t>
            </w:r>
            <w:r w:rsidRPr="00C36D56">
              <w:rPr>
                <w:vertAlign w:val="superscript"/>
              </w:rPr>
              <w:t>th</w:t>
            </w:r>
            <w:r>
              <w:t xml:space="preserve"> September 2017</w:t>
            </w:r>
          </w:p>
        </w:tc>
        <w:tc>
          <w:tcPr>
            <w:tcW w:w="838" w:type="pct"/>
          </w:tcPr>
          <w:p w14:paraId="4592D980" w14:textId="0B2C9119" w:rsidR="0038774C" w:rsidRDefault="0038774C" w:rsidP="0038774C">
            <w:pPr>
              <w:pStyle w:val="Heading2"/>
              <w:numPr>
                <w:ilvl w:val="0"/>
                <w:numId w:val="0"/>
              </w:numPr>
              <w:outlineLvl w:val="1"/>
            </w:pPr>
            <w:r>
              <w:t>50% penalty charge</w:t>
            </w:r>
          </w:p>
        </w:tc>
      </w:tr>
    </w:tbl>
    <w:p w14:paraId="28BC7076" w14:textId="77777777" w:rsidR="003F626A" w:rsidRDefault="003F626A" w:rsidP="003F626A">
      <w:pPr>
        <w:pStyle w:val="Heading2"/>
        <w:numPr>
          <w:ilvl w:val="0"/>
          <w:numId w:val="0"/>
        </w:numPr>
        <w:ind w:left="720"/>
      </w:pPr>
    </w:p>
    <w:p w14:paraId="27F0CAFB" w14:textId="77777777" w:rsidR="00671798" w:rsidRDefault="00FE18AC">
      <w:pPr>
        <w:pStyle w:val="Heading1"/>
        <w:spacing w:after="120"/>
      </w:pPr>
      <w:bookmarkStart w:id="36" w:name="_Toc368573040"/>
      <w:bookmarkStart w:id="37" w:name="_Toc476157679"/>
      <w:r>
        <w:t>Security requirements</w:t>
      </w:r>
      <w:bookmarkEnd w:id="36"/>
      <w:bookmarkEnd w:id="37"/>
    </w:p>
    <w:p w14:paraId="5BA7BD4C" w14:textId="3A91286B" w:rsidR="00AB5E86" w:rsidRPr="0007350B" w:rsidRDefault="000C37BC" w:rsidP="000C37BC">
      <w:pPr>
        <w:pStyle w:val="Heading2"/>
      </w:pPr>
      <w:bookmarkStart w:id="38" w:name="_Toc368573041"/>
      <w:r w:rsidRPr="000C37BC">
        <w:t>All data security requirements will align with the Terms and Conditions of the Crown Commercial Service’s Terms and Conditions within Appendix C.</w:t>
      </w:r>
    </w:p>
    <w:p w14:paraId="4D15FCB4" w14:textId="03A0DC9D" w:rsidR="00183DAF" w:rsidRDefault="00FE18AC" w:rsidP="00183DAF">
      <w:pPr>
        <w:pStyle w:val="Heading1"/>
        <w:tabs>
          <w:tab w:val="clear" w:pos="720"/>
          <w:tab w:val="num" w:pos="0"/>
        </w:tabs>
        <w:overflowPunct w:val="0"/>
        <w:autoSpaceDE w:val="0"/>
        <w:autoSpaceDN w:val="0"/>
        <w:spacing w:after="120"/>
        <w:ind w:left="709" w:hanging="709"/>
        <w:textAlignment w:val="baseline"/>
        <w:rPr>
          <w:rFonts w:cs="Arial"/>
          <w:szCs w:val="22"/>
        </w:rPr>
      </w:pPr>
      <w:bookmarkStart w:id="39" w:name="_Toc476157680"/>
      <w:r>
        <w:rPr>
          <w:rFonts w:cs="Arial"/>
          <w:szCs w:val="22"/>
        </w:rPr>
        <w:t>intellectual property rights (ipr)</w:t>
      </w:r>
      <w:bookmarkEnd w:id="38"/>
      <w:bookmarkEnd w:id="39"/>
    </w:p>
    <w:p w14:paraId="5F8C550A" w14:textId="5EA8A245" w:rsidR="00AB5E86" w:rsidRPr="00D73062" w:rsidRDefault="00AB5E86" w:rsidP="00AB5E86">
      <w:pPr>
        <w:pStyle w:val="Heading2"/>
      </w:pPr>
      <w:bookmarkStart w:id="40" w:name="_Toc368573042"/>
      <w:r w:rsidRPr="003B004C">
        <w:t xml:space="preserve">All analysis </w:t>
      </w:r>
      <w:r>
        <w:t xml:space="preserve">(including any calculations, </w:t>
      </w:r>
      <w:r w:rsidRPr="003B004C">
        <w:t>models</w:t>
      </w:r>
      <w:r>
        <w:t xml:space="preserve"> and draft reports</w:t>
      </w:r>
      <w:r w:rsidRPr="003B004C">
        <w:t xml:space="preserve">) used to generate the outputs </w:t>
      </w:r>
      <w:r w:rsidR="007A54BC">
        <w:t>must</w:t>
      </w:r>
      <w:r w:rsidRPr="003B004C">
        <w:t xml:space="preserve"> be provided to the </w:t>
      </w:r>
      <w:r w:rsidRPr="00D73062">
        <w:t>Authority for future use.</w:t>
      </w:r>
    </w:p>
    <w:p w14:paraId="25A73DB2" w14:textId="77777777" w:rsidR="0081061A" w:rsidRPr="00874062" w:rsidRDefault="0081061A"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1" w:name="_Toc476157681"/>
      <w:r w:rsidRPr="00874062">
        <w:rPr>
          <w:rFonts w:cs="Arial"/>
          <w:szCs w:val="22"/>
        </w:rPr>
        <w:t>payment</w:t>
      </w:r>
      <w:bookmarkEnd w:id="41"/>
    </w:p>
    <w:p w14:paraId="1BF6A012" w14:textId="77777777" w:rsidR="00AB5E86" w:rsidRPr="0007350B" w:rsidRDefault="00AB5E86" w:rsidP="00AB5E86">
      <w:pPr>
        <w:pStyle w:val="Heading2"/>
        <w:rPr>
          <w:szCs w:val="22"/>
        </w:rPr>
      </w:pPr>
      <w:r w:rsidRPr="0007350B">
        <w:rPr>
          <w:rFonts w:cs="Arial"/>
          <w:color w:val="000000"/>
          <w:szCs w:val="22"/>
          <w:shd w:val="clear" w:color="auto" w:fill="FFFFFF"/>
        </w:rPr>
        <w:t>Payment can only be made following satisfactory delivery of pre-agreed certified products and deliverables.</w:t>
      </w:r>
    </w:p>
    <w:p w14:paraId="5F67942D" w14:textId="77777777" w:rsidR="00AB5E86" w:rsidRPr="000C37BC" w:rsidRDefault="00AB5E86" w:rsidP="00AB5E86">
      <w:pPr>
        <w:pStyle w:val="Heading2"/>
        <w:rPr>
          <w:szCs w:val="22"/>
        </w:rPr>
      </w:pPr>
      <w:r w:rsidRPr="0007350B">
        <w:rPr>
          <w:rFonts w:cs="Arial"/>
          <w:color w:val="000000"/>
          <w:szCs w:val="22"/>
          <w:shd w:val="clear" w:color="auto" w:fill="FFFFFF"/>
        </w:rPr>
        <w:t>Before payment can be considered, each invoice must include a detailed elemental breakdown of work completed and the associated costs.</w:t>
      </w:r>
    </w:p>
    <w:p w14:paraId="7E21A52D" w14:textId="77777777" w:rsidR="000C37BC" w:rsidRPr="00D37470" w:rsidRDefault="000C37BC" w:rsidP="000C37BC">
      <w:pPr>
        <w:pStyle w:val="Heading2"/>
        <w:rPr>
          <w:szCs w:val="22"/>
        </w:rPr>
      </w:pPr>
      <w:r w:rsidRPr="00D37470">
        <w:rPr>
          <w:rFonts w:cs="Arial"/>
          <w:color w:val="000000"/>
          <w:szCs w:val="22"/>
          <w:shd w:val="clear" w:color="auto" w:fill="FFFFFF"/>
        </w:rPr>
        <w:t>Invoices to be sent to:</w:t>
      </w:r>
    </w:p>
    <w:p w14:paraId="6BCAACA0" w14:textId="77777777" w:rsidR="000C37BC" w:rsidRPr="00D37470" w:rsidRDefault="000C37BC" w:rsidP="000C37BC">
      <w:pPr>
        <w:pStyle w:val="Heading2"/>
        <w:numPr>
          <w:ilvl w:val="0"/>
          <w:numId w:val="0"/>
        </w:numPr>
        <w:spacing w:after="0"/>
        <w:ind w:left="720"/>
        <w:rPr>
          <w:szCs w:val="22"/>
        </w:rPr>
      </w:pPr>
      <w:r w:rsidRPr="00D37470">
        <w:rPr>
          <w:szCs w:val="22"/>
        </w:rPr>
        <w:lastRenderedPageBreak/>
        <w:t>HM Treasury</w:t>
      </w:r>
    </w:p>
    <w:p w14:paraId="594D6AF0" w14:textId="77777777" w:rsidR="000C37BC" w:rsidRPr="00D37470" w:rsidRDefault="000C37BC" w:rsidP="000C37BC">
      <w:pPr>
        <w:pStyle w:val="Heading2"/>
        <w:numPr>
          <w:ilvl w:val="0"/>
          <w:numId w:val="0"/>
        </w:numPr>
        <w:spacing w:after="0"/>
        <w:ind w:left="720"/>
        <w:rPr>
          <w:szCs w:val="22"/>
        </w:rPr>
      </w:pPr>
      <w:r w:rsidRPr="00D37470">
        <w:rPr>
          <w:szCs w:val="22"/>
        </w:rPr>
        <w:t>Finance Department</w:t>
      </w:r>
    </w:p>
    <w:p w14:paraId="0A0C59EC" w14:textId="77777777" w:rsidR="000C37BC" w:rsidRPr="00D37470" w:rsidRDefault="000C37BC" w:rsidP="000C37BC">
      <w:pPr>
        <w:pStyle w:val="Heading2"/>
        <w:numPr>
          <w:ilvl w:val="0"/>
          <w:numId w:val="0"/>
        </w:numPr>
        <w:spacing w:after="0"/>
        <w:ind w:left="720"/>
        <w:rPr>
          <w:szCs w:val="22"/>
        </w:rPr>
      </w:pPr>
      <w:r w:rsidRPr="00D37470">
        <w:rPr>
          <w:szCs w:val="22"/>
        </w:rPr>
        <w:t>1 Horse Guards Road</w:t>
      </w:r>
    </w:p>
    <w:p w14:paraId="16E27952" w14:textId="77777777" w:rsidR="000C37BC" w:rsidRPr="00D37470" w:rsidRDefault="000C37BC" w:rsidP="000C37BC">
      <w:pPr>
        <w:pStyle w:val="Heading2"/>
        <w:numPr>
          <w:ilvl w:val="0"/>
          <w:numId w:val="0"/>
        </w:numPr>
        <w:spacing w:after="0"/>
        <w:ind w:left="720"/>
        <w:rPr>
          <w:szCs w:val="22"/>
        </w:rPr>
      </w:pPr>
      <w:r w:rsidRPr="00D37470">
        <w:rPr>
          <w:szCs w:val="22"/>
        </w:rPr>
        <w:t>London</w:t>
      </w:r>
    </w:p>
    <w:p w14:paraId="0954F651" w14:textId="77777777" w:rsidR="000C37BC" w:rsidRDefault="000C37BC" w:rsidP="000C37BC">
      <w:pPr>
        <w:pStyle w:val="Heading2"/>
        <w:numPr>
          <w:ilvl w:val="0"/>
          <w:numId w:val="0"/>
        </w:numPr>
        <w:spacing w:after="0"/>
        <w:ind w:left="720"/>
        <w:rPr>
          <w:szCs w:val="22"/>
        </w:rPr>
      </w:pPr>
      <w:r w:rsidRPr="00D37470">
        <w:rPr>
          <w:szCs w:val="22"/>
        </w:rPr>
        <w:t>SW1A 2HQ</w:t>
      </w:r>
    </w:p>
    <w:p w14:paraId="6E6F39D0" w14:textId="77777777" w:rsidR="000C37BC" w:rsidRPr="0007350B" w:rsidRDefault="000C37BC" w:rsidP="000C37BC">
      <w:pPr>
        <w:pStyle w:val="Heading2"/>
        <w:numPr>
          <w:ilvl w:val="0"/>
          <w:numId w:val="0"/>
        </w:numPr>
        <w:ind w:left="720"/>
        <w:rPr>
          <w:szCs w:val="22"/>
        </w:rPr>
      </w:pPr>
    </w:p>
    <w:p w14:paraId="23AC60AF"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2" w:name="_Toc476157682"/>
      <w:r>
        <w:rPr>
          <w:rFonts w:cs="Arial"/>
          <w:szCs w:val="22"/>
        </w:rPr>
        <w:t>additional information</w:t>
      </w:r>
      <w:bookmarkEnd w:id="40"/>
      <w:bookmarkEnd w:id="42"/>
      <w:r>
        <w:rPr>
          <w:rFonts w:cs="Arial"/>
          <w:szCs w:val="22"/>
        </w:rPr>
        <w:t xml:space="preserve"> </w:t>
      </w:r>
    </w:p>
    <w:p w14:paraId="2705E75A" w14:textId="4813221E" w:rsidR="00AB5E86" w:rsidRPr="0007350B" w:rsidRDefault="00AB5E86" w:rsidP="00AB5E86">
      <w:pPr>
        <w:pStyle w:val="Heading2"/>
        <w:tabs>
          <w:tab w:val="clear" w:pos="720"/>
          <w:tab w:val="num" w:pos="709"/>
        </w:tabs>
        <w:spacing w:after="120"/>
        <w:ind w:left="709" w:hanging="709"/>
      </w:pPr>
      <w:bookmarkStart w:id="43" w:name="_Toc368573043"/>
      <w:bookmarkEnd w:id="19"/>
      <w:r w:rsidRPr="0007350B">
        <w:t xml:space="preserve">The </w:t>
      </w:r>
      <w:r w:rsidR="00274ABF">
        <w:t>Potential Provider</w:t>
      </w:r>
      <w:r w:rsidR="00274ABF" w:rsidRPr="0007350B">
        <w:t xml:space="preserve"> </w:t>
      </w:r>
      <w:r w:rsidRPr="0007350B">
        <w:t xml:space="preserve">should demonstrate that they are open to working collaboratively with other </w:t>
      </w:r>
      <w:r w:rsidR="00274ABF">
        <w:t>Suppliers</w:t>
      </w:r>
      <w:r w:rsidRPr="0007350B">
        <w:t xml:space="preserve">, contracted by the </w:t>
      </w:r>
      <w:r w:rsidR="000327A1">
        <w:rPr>
          <w:szCs w:val="22"/>
        </w:rPr>
        <w:t xml:space="preserve">Authority </w:t>
      </w:r>
      <w:r>
        <w:t>in order</w:t>
      </w:r>
      <w:r w:rsidRPr="0007350B">
        <w:t xml:space="preserve"> to deliver related pieces of analysis.  </w:t>
      </w:r>
      <w:r>
        <w:t xml:space="preserve"> </w:t>
      </w:r>
    </w:p>
    <w:p w14:paraId="28893001" w14:textId="77777777" w:rsidR="00671798" w:rsidRDefault="00FE18AC">
      <w:pPr>
        <w:pStyle w:val="Heading1"/>
        <w:spacing w:after="120"/>
      </w:pPr>
      <w:bookmarkStart w:id="44" w:name="_Toc476157683"/>
      <w:r>
        <w:t>Location</w:t>
      </w:r>
      <w:bookmarkEnd w:id="43"/>
      <w:bookmarkEnd w:id="44"/>
      <w:r>
        <w:t xml:space="preserve"> </w:t>
      </w:r>
    </w:p>
    <w:p w14:paraId="252857BC" w14:textId="16B44AFC" w:rsidR="00926958" w:rsidRDefault="00AB5E86">
      <w:pPr>
        <w:pStyle w:val="Heading2"/>
      </w:pPr>
      <w:r>
        <w:t xml:space="preserve">The location of the Services will be carried out at </w:t>
      </w:r>
      <w:r w:rsidRPr="002A72D9">
        <w:t xml:space="preserve">the offices of the </w:t>
      </w:r>
      <w:r w:rsidR="00274ABF">
        <w:t>Supplier</w:t>
      </w:r>
      <w:r w:rsidR="00274ABF" w:rsidRPr="002A72D9">
        <w:t xml:space="preserve"> </w:t>
      </w:r>
      <w:r w:rsidRPr="002A72D9">
        <w:t xml:space="preserve">– however frequent meeting will need to take place with the </w:t>
      </w:r>
      <w:r w:rsidR="00274ABF">
        <w:t>Authority</w:t>
      </w:r>
      <w:r w:rsidRPr="002A72D9">
        <w:t xml:space="preserve"> who are based in </w:t>
      </w:r>
      <w:r w:rsidR="000C37BC">
        <w:t>London</w:t>
      </w:r>
      <w:r>
        <w:t xml:space="preserve">. </w:t>
      </w:r>
    </w:p>
    <w:p w14:paraId="2043167F" w14:textId="77777777" w:rsidR="00CC33D6" w:rsidRDefault="00CC33D6" w:rsidP="00CC33D6">
      <w:pPr>
        <w:pStyle w:val="Heading2"/>
        <w:numPr>
          <w:ilvl w:val="0"/>
          <w:numId w:val="0"/>
        </w:numPr>
        <w:ind w:left="720"/>
      </w:pPr>
    </w:p>
    <w:p w14:paraId="48C2C0E1" w14:textId="77777777" w:rsidR="00CC33D6" w:rsidRDefault="00CC33D6" w:rsidP="00CC33D6">
      <w:pPr>
        <w:pStyle w:val="Heading2"/>
        <w:numPr>
          <w:ilvl w:val="0"/>
          <w:numId w:val="0"/>
        </w:numPr>
        <w:ind w:left="720"/>
      </w:pPr>
    </w:p>
    <w:p w14:paraId="726E6129" w14:textId="77777777" w:rsidR="00CC33D6" w:rsidRDefault="00CC33D6" w:rsidP="00CC33D6">
      <w:pPr>
        <w:pStyle w:val="Heading2"/>
        <w:numPr>
          <w:ilvl w:val="0"/>
          <w:numId w:val="0"/>
        </w:numPr>
        <w:ind w:left="720"/>
      </w:pPr>
    </w:p>
    <w:p w14:paraId="0F92518A" w14:textId="77777777" w:rsidR="00CC33D6" w:rsidRDefault="00CC33D6" w:rsidP="00CC33D6">
      <w:pPr>
        <w:pStyle w:val="Heading2"/>
        <w:numPr>
          <w:ilvl w:val="0"/>
          <w:numId w:val="0"/>
        </w:numPr>
        <w:ind w:left="720"/>
      </w:pPr>
    </w:p>
    <w:p w14:paraId="7B4EE77B" w14:textId="77777777" w:rsidR="00CC33D6" w:rsidRDefault="00CC33D6" w:rsidP="00CC33D6">
      <w:pPr>
        <w:pStyle w:val="Heading2"/>
        <w:numPr>
          <w:ilvl w:val="0"/>
          <w:numId w:val="0"/>
        </w:numPr>
        <w:ind w:left="720"/>
      </w:pPr>
    </w:p>
    <w:p w14:paraId="1D135D69" w14:textId="77777777" w:rsidR="00CC33D6" w:rsidRDefault="00CC33D6" w:rsidP="00CC33D6">
      <w:pPr>
        <w:pStyle w:val="Heading2"/>
        <w:numPr>
          <w:ilvl w:val="0"/>
          <w:numId w:val="0"/>
        </w:numPr>
        <w:ind w:left="720"/>
      </w:pPr>
    </w:p>
    <w:p w14:paraId="0AF34536" w14:textId="77777777" w:rsidR="00CC33D6" w:rsidRDefault="00CC33D6" w:rsidP="00CC33D6">
      <w:pPr>
        <w:pStyle w:val="Heading2"/>
        <w:numPr>
          <w:ilvl w:val="0"/>
          <w:numId w:val="0"/>
        </w:numPr>
        <w:ind w:left="720"/>
      </w:pPr>
    </w:p>
    <w:p w14:paraId="31B2E7B5" w14:textId="77777777" w:rsidR="00CC33D6" w:rsidRDefault="00CC33D6" w:rsidP="00CC33D6">
      <w:pPr>
        <w:pStyle w:val="Heading2"/>
        <w:numPr>
          <w:ilvl w:val="0"/>
          <w:numId w:val="0"/>
        </w:numPr>
        <w:ind w:left="720"/>
      </w:pPr>
    </w:p>
    <w:p w14:paraId="376FE259" w14:textId="77777777" w:rsidR="00CC33D6" w:rsidRDefault="00CC33D6" w:rsidP="00CC33D6">
      <w:pPr>
        <w:pStyle w:val="Heading2"/>
        <w:numPr>
          <w:ilvl w:val="0"/>
          <w:numId w:val="0"/>
        </w:numPr>
        <w:ind w:left="720"/>
      </w:pPr>
    </w:p>
    <w:p w14:paraId="5A4B30C5" w14:textId="77777777" w:rsidR="00CC33D6" w:rsidRDefault="00CC33D6" w:rsidP="00CC33D6">
      <w:pPr>
        <w:pStyle w:val="Heading2"/>
        <w:numPr>
          <w:ilvl w:val="0"/>
          <w:numId w:val="0"/>
        </w:numPr>
        <w:ind w:left="720"/>
      </w:pPr>
    </w:p>
    <w:p w14:paraId="119AD780" w14:textId="77777777" w:rsidR="00CC33D6" w:rsidRDefault="00CC33D6" w:rsidP="00CC33D6">
      <w:pPr>
        <w:pStyle w:val="Heading2"/>
        <w:numPr>
          <w:ilvl w:val="0"/>
          <w:numId w:val="0"/>
        </w:numPr>
        <w:ind w:left="720"/>
      </w:pPr>
    </w:p>
    <w:p w14:paraId="7C4A0C7C" w14:textId="77777777" w:rsidR="00CC33D6" w:rsidRDefault="00CC33D6" w:rsidP="00CC33D6">
      <w:pPr>
        <w:pStyle w:val="Heading2"/>
        <w:numPr>
          <w:ilvl w:val="0"/>
          <w:numId w:val="0"/>
        </w:numPr>
        <w:ind w:left="720"/>
      </w:pPr>
    </w:p>
    <w:p w14:paraId="3FCDD9B9" w14:textId="77777777" w:rsidR="00CC33D6" w:rsidRDefault="00CC33D6" w:rsidP="00CC33D6">
      <w:pPr>
        <w:pStyle w:val="Heading2"/>
        <w:numPr>
          <w:ilvl w:val="0"/>
          <w:numId w:val="0"/>
        </w:numPr>
        <w:ind w:left="720"/>
      </w:pPr>
    </w:p>
    <w:p w14:paraId="57265E9B" w14:textId="77777777" w:rsidR="00CC33D6" w:rsidRDefault="00CC33D6" w:rsidP="00CC33D6">
      <w:pPr>
        <w:pStyle w:val="Heading2"/>
        <w:numPr>
          <w:ilvl w:val="0"/>
          <w:numId w:val="0"/>
        </w:numPr>
        <w:ind w:left="720"/>
      </w:pPr>
    </w:p>
    <w:p w14:paraId="76083653" w14:textId="77777777" w:rsidR="00CC33D6" w:rsidRDefault="00CC33D6" w:rsidP="00CC33D6">
      <w:pPr>
        <w:pStyle w:val="Heading2"/>
        <w:numPr>
          <w:ilvl w:val="0"/>
          <w:numId w:val="0"/>
        </w:numPr>
        <w:ind w:left="720"/>
      </w:pPr>
    </w:p>
    <w:p w14:paraId="3418FC13" w14:textId="77777777" w:rsidR="00CC33D6" w:rsidRDefault="00CC33D6" w:rsidP="00CC33D6">
      <w:pPr>
        <w:pStyle w:val="Heading2"/>
        <w:numPr>
          <w:ilvl w:val="0"/>
          <w:numId w:val="0"/>
        </w:numPr>
        <w:ind w:left="720"/>
      </w:pPr>
    </w:p>
    <w:p w14:paraId="3D8B2A5D" w14:textId="77777777" w:rsidR="00CC33D6" w:rsidRDefault="00CC33D6" w:rsidP="00CC33D6">
      <w:pPr>
        <w:pStyle w:val="Heading2"/>
        <w:numPr>
          <w:ilvl w:val="0"/>
          <w:numId w:val="0"/>
        </w:numPr>
        <w:ind w:left="720"/>
      </w:pPr>
    </w:p>
    <w:p w14:paraId="1EE4F3E0" w14:textId="77777777" w:rsidR="00CC33D6" w:rsidRDefault="00CC33D6" w:rsidP="00CC33D6">
      <w:pPr>
        <w:pStyle w:val="Heading2"/>
        <w:numPr>
          <w:ilvl w:val="0"/>
          <w:numId w:val="0"/>
        </w:numPr>
        <w:ind w:left="720"/>
      </w:pPr>
    </w:p>
    <w:p w14:paraId="2B0E50B1" w14:textId="7ACB3C63" w:rsidR="00CC33D6" w:rsidRDefault="00CC33D6" w:rsidP="00CC33D6">
      <w:pPr>
        <w:pStyle w:val="Heading2"/>
        <w:numPr>
          <w:ilvl w:val="0"/>
          <w:numId w:val="0"/>
        </w:numPr>
        <w:ind w:left="720" w:hanging="720"/>
        <w:rPr>
          <w:b/>
        </w:rPr>
      </w:pPr>
      <w:r w:rsidRPr="00CC33D6">
        <w:rPr>
          <w:b/>
        </w:rPr>
        <w:lastRenderedPageBreak/>
        <w:t>ANNEX 1</w:t>
      </w:r>
    </w:p>
    <w:p w14:paraId="2C36E22C" w14:textId="6AC57A7C" w:rsidR="00CC33D6" w:rsidRPr="005A4352" w:rsidRDefault="00296DCF" w:rsidP="00296DCF">
      <w:pPr>
        <w:pStyle w:val="Heading2"/>
        <w:numPr>
          <w:ilvl w:val="0"/>
          <w:numId w:val="0"/>
        </w:numPr>
        <w:ind w:left="720" w:hanging="720"/>
        <w:rPr>
          <w:b/>
        </w:rPr>
      </w:pPr>
      <w:r w:rsidRPr="00296DCF">
        <w:rPr>
          <w:b/>
        </w:rPr>
        <w:t>HM Treasury Group – travel and expenses policy</w:t>
      </w:r>
    </w:p>
    <w:bookmarkStart w:id="45" w:name="_GoBack"/>
    <w:p w14:paraId="506C93CB" w14:textId="3EEB7720" w:rsidR="00CC33D6" w:rsidRPr="00F72720" w:rsidRDefault="00011019" w:rsidP="00CC33D6">
      <w:pPr>
        <w:pStyle w:val="Heading2"/>
        <w:numPr>
          <w:ilvl w:val="0"/>
          <w:numId w:val="0"/>
        </w:numPr>
        <w:ind w:left="720"/>
      </w:pPr>
      <w:r>
        <w:object w:dxaOrig="1376" w:dyaOrig="899" w14:anchorId="6A45D4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5pt;height:45pt" o:ole="">
            <v:imagedata r:id="rId17" o:title=""/>
          </v:shape>
          <o:OLEObject Type="Embed" ProgID="Package" ShapeID="_x0000_i1025" DrawAspect="Icon" ObjectID="_1550302434" r:id="rId18"/>
        </w:object>
      </w:r>
      <w:bookmarkEnd w:id="45"/>
    </w:p>
    <w:sectPr w:rsidR="00CC33D6" w:rsidRPr="00F72720" w:rsidSect="00985B4D">
      <w:headerReference w:type="default" r:id="rId19"/>
      <w:footerReference w:type="default" r:id="rId20"/>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0DA01" w14:textId="77777777" w:rsidR="005F6C81" w:rsidRDefault="005F6C81">
      <w:pPr>
        <w:spacing w:line="20" w:lineRule="exact"/>
      </w:pPr>
    </w:p>
  </w:endnote>
  <w:endnote w:type="continuationSeparator" w:id="0">
    <w:p w14:paraId="6A3298ED" w14:textId="77777777" w:rsidR="005F6C81" w:rsidRDefault="005F6C81">
      <w:pPr>
        <w:spacing w:line="20" w:lineRule="exact"/>
      </w:pPr>
      <w:r>
        <w:t xml:space="preserve"> </w:t>
      </w:r>
    </w:p>
  </w:endnote>
  <w:endnote w:type="continuationNotice" w:id="1">
    <w:p w14:paraId="4EE659D3" w14:textId="77777777" w:rsidR="005F6C81" w:rsidRDefault="005F6C81">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6F0B8443" w14:textId="77777777" w:rsidR="00A11522" w:rsidRDefault="00A11522" w:rsidP="00985B4D">
        <w:pPr>
          <w:pStyle w:val="Footer"/>
          <w:jc w:val="center"/>
        </w:pPr>
        <w:r>
          <w:rPr>
            <w:noProof/>
            <w:lang w:eastAsia="en-GB"/>
          </w:rPr>
          <mc:AlternateContent>
            <mc:Choice Requires="wps">
              <w:drawing>
                <wp:anchor distT="0" distB="0" distL="114300" distR="114300" simplePos="0" relativeHeight="251650560" behindDoc="0" locked="0" layoutInCell="1" allowOverlap="1" wp14:anchorId="5E6016FD" wp14:editId="275EBE3B">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79050C" id="Straight Connector 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27DDF10F" w14:textId="77777777" w:rsidR="00A11522" w:rsidRPr="00985B4D" w:rsidRDefault="00A11522" w:rsidP="00985B4D">
        <w:pPr>
          <w:pStyle w:val="Footer"/>
          <w:jc w:val="center"/>
          <w:rPr>
            <w:sz w:val="20"/>
            <w:szCs w:val="20"/>
          </w:rPr>
        </w:pPr>
        <w:r w:rsidRPr="00985B4D">
          <w:rPr>
            <w:sz w:val="20"/>
            <w:szCs w:val="20"/>
          </w:rPr>
          <w:t>OFFICIAL</w:t>
        </w:r>
      </w:p>
      <w:p w14:paraId="08758386" w14:textId="77777777" w:rsidR="00A11522" w:rsidRPr="00985B4D" w:rsidRDefault="00A11522">
        <w:pPr>
          <w:pStyle w:val="Footer"/>
          <w:rPr>
            <w:sz w:val="20"/>
            <w:szCs w:val="20"/>
          </w:rPr>
        </w:pPr>
        <w:r w:rsidRPr="00985B4D">
          <w:rPr>
            <w:sz w:val="20"/>
            <w:szCs w:val="20"/>
          </w:rPr>
          <w:t>Appendix B – Statement of Requirements</w:t>
        </w:r>
      </w:p>
      <w:p w14:paraId="1F437290" w14:textId="6993F99F" w:rsidR="00A11522" w:rsidRDefault="00A11522">
        <w:pPr>
          <w:pStyle w:val="Footer"/>
          <w:rPr>
            <w:sz w:val="20"/>
            <w:szCs w:val="20"/>
          </w:rPr>
        </w:pPr>
        <w:r>
          <w:rPr>
            <w:sz w:val="20"/>
            <w:szCs w:val="20"/>
          </w:rPr>
          <w:t>Amanda Jones</w:t>
        </w:r>
      </w:p>
      <w:p w14:paraId="1B18BA51" w14:textId="7F714D40" w:rsidR="00E403FB" w:rsidRPr="00985B4D" w:rsidRDefault="00E403FB">
        <w:pPr>
          <w:pStyle w:val="Footer"/>
          <w:rPr>
            <w:sz w:val="20"/>
            <w:szCs w:val="20"/>
          </w:rPr>
        </w:pPr>
        <w:r w:rsidRPr="00E403FB">
          <w:rPr>
            <w:sz w:val="20"/>
            <w:szCs w:val="20"/>
          </w:rPr>
          <w:t>© Crown copyright 2016</w:t>
        </w:r>
      </w:p>
      <w:p w14:paraId="798ED1B4" w14:textId="0B4AE508" w:rsidR="00A11522" w:rsidRPr="00985B4D" w:rsidRDefault="00A11522" w:rsidP="00985B4D">
        <w:pPr>
          <w:pStyle w:val="Footer"/>
          <w:jc w:val="right"/>
          <w:rPr>
            <w:sz w:val="20"/>
            <w:szCs w:val="20"/>
          </w:rPr>
        </w:pPr>
        <w:r w:rsidRPr="008D5538">
          <w:rPr>
            <w:sz w:val="20"/>
            <w:szCs w:val="20"/>
          </w:rPr>
          <w:t xml:space="preserve">V1.0 </w:t>
        </w:r>
        <w:r>
          <w:rPr>
            <w:sz w:val="20"/>
            <w:szCs w:val="20"/>
          </w:rPr>
          <w:t>0</w:t>
        </w:r>
        <w:r w:rsidR="00375441">
          <w:rPr>
            <w:sz w:val="20"/>
            <w:szCs w:val="20"/>
          </w:rPr>
          <w:t>6</w:t>
        </w:r>
        <w:r w:rsidRPr="00DF3584">
          <w:rPr>
            <w:sz w:val="20"/>
            <w:szCs w:val="20"/>
          </w:rPr>
          <w:t>/0</w:t>
        </w:r>
        <w:r>
          <w:rPr>
            <w:sz w:val="20"/>
            <w:szCs w:val="20"/>
          </w:rPr>
          <w:t>3</w:t>
        </w:r>
        <w:r w:rsidRPr="00DF3584">
          <w:rPr>
            <w:sz w:val="20"/>
            <w:szCs w:val="20"/>
          </w:rPr>
          <w:t>/1</w:t>
        </w:r>
        <w:r w:rsidRPr="00F72720">
          <w:rPr>
            <w:sz w:val="20"/>
            <w:szCs w:val="20"/>
          </w:rPr>
          <w:t>7</w:t>
        </w:r>
      </w:p>
      <w:p w14:paraId="770FECF5" w14:textId="6DDA503B" w:rsidR="00A11522" w:rsidRDefault="00A11522" w:rsidP="00DF3584">
        <w:pPr>
          <w:pStyle w:val="Footer"/>
          <w:tabs>
            <w:tab w:val="center" w:pos="4514"/>
            <w:tab w:val="right" w:pos="9029"/>
          </w:tabs>
        </w:pPr>
        <w:r>
          <w:rPr>
            <w:sz w:val="20"/>
            <w:szCs w:val="20"/>
          </w:rPr>
          <w:tab/>
        </w:r>
        <w:r>
          <w:rPr>
            <w:sz w:val="20"/>
            <w:szCs w:val="20"/>
          </w:rPr>
          <w:tab/>
        </w: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011019">
          <w:rPr>
            <w:noProof/>
            <w:sz w:val="20"/>
            <w:szCs w:val="20"/>
          </w:rPr>
          <w:t>12</w:t>
        </w:r>
        <w:r w:rsidRPr="00985B4D">
          <w:rPr>
            <w:noProof/>
            <w:sz w:val="20"/>
            <w:szCs w:val="20"/>
          </w:rPr>
          <w:fldChar w:fldCharType="end"/>
        </w:r>
        <w:r>
          <w:rPr>
            <w:noProof/>
            <w:sz w:val="20"/>
            <w:szCs w:val="20"/>
          </w:rPr>
          <w:tab/>
        </w:r>
        <w:r>
          <w:rPr>
            <w:noProof/>
            <w:sz w:val="20"/>
            <w:szCs w:val="20"/>
          </w:rPr>
          <w:tab/>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93B51" w14:textId="77777777" w:rsidR="005F6C81" w:rsidRDefault="005F6C81">
      <w:r>
        <w:separator/>
      </w:r>
    </w:p>
  </w:footnote>
  <w:footnote w:type="continuationSeparator" w:id="0">
    <w:p w14:paraId="4F330453" w14:textId="77777777" w:rsidR="005F6C81" w:rsidRDefault="005F6C81">
      <w:r>
        <w:continuationSeparator/>
      </w:r>
    </w:p>
  </w:footnote>
  <w:footnote w:type="continuationNotice" w:id="1">
    <w:p w14:paraId="08D30F9B" w14:textId="77777777" w:rsidR="005F6C81" w:rsidRDefault="005F6C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C4AEC" w14:textId="77777777" w:rsidR="00A11522" w:rsidRPr="00F44D62" w:rsidRDefault="00A11522"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61824" behindDoc="1" locked="0" layoutInCell="1" allowOverlap="1" wp14:anchorId="3AC4A50C" wp14:editId="24FC96FA">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65432F4D" w14:textId="77777777" w:rsidR="00A11522" w:rsidRDefault="00A11522" w:rsidP="00985B4D">
    <w:pPr>
      <w:tabs>
        <w:tab w:val="center" w:pos="4153"/>
        <w:tab w:val="right" w:pos="8306"/>
      </w:tabs>
      <w:ind w:left="720"/>
      <w:jc w:val="center"/>
      <w:rPr>
        <w:sz w:val="20"/>
        <w:szCs w:val="20"/>
      </w:rPr>
    </w:pPr>
    <w:r w:rsidRPr="00F44D62">
      <w:rPr>
        <w:sz w:val="20"/>
        <w:szCs w:val="20"/>
      </w:rPr>
      <w:t>App</w:t>
    </w:r>
    <w:r>
      <w:rPr>
        <w:sz w:val="20"/>
        <w:szCs w:val="20"/>
      </w:rPr>
      <w:t>endix B – Statement of Requirements</w:t>
    </w:r>
  </w:p>
  <w:p w14:paraId="5D7A8891" w14:textId="47C72AA6" w:rsidR="00A11522" w:rsidRPr="00DF3584" w:rsidRDefault="00A11522" w:rsidP="005334EA">
    <w:pPr>
      <w:tabs>
        <w:tab w:val="center" w:pos="4153"/>
        <w:tab w:val="right" w:pos="8306"/>
      </w:tabs>
      <w:ind w:left="720"/>
      <w:jc w:val="center"/>
      <w:rPr>
        <w:rFonts w:cs="Arial"/>
        <w:sz w:val="20"/>
        <w:szCs w:val="20"/>
      </w:rPr>
    </w:pPr>
    <w:r w:rsidRPr="00CC605A">
      <w:rPr>
        <w:rFonts w:cs="Arial"/>
        <w:sz w:val="20"/>
        <w:szCs w:val="20"/>
      </w:rPr>
      <w:t xml:space="preserve">Cost Analysis </w:t>
    </w:r>
    <w:r>
      <w:rPr>
        <w:rFonts w:cs="Arial"/>
        <w:sz w:val="20"/>
        <w:szCs w:val="20"/>
      </w:rPr>
      <w:t>o</w:t>
    </w:r>
    <w:r w:rsidRPr="00CC605A">
      <w:rPr>
        <w:rFonts w:cs="Arial"/>
        <w:sz w:val="20"/>
        <w:szCs w:val="20"/>
      </w:rPr>
      <w:t xml:space="preserve">f </w:t>
    </w:r>
    <w:r w:rsidRPr="00DF3584">
      <w:rPr>
        <w:rFonts w:cs="Arial"/>
        <w:sz w:val="20"/>
        <w:szCs w:val="20"/>
      </w:rPr>
      <w:t>Future Digital Infrastructure Options</w:t>
    </w:r>
  </w:p>
  <w:p w14:paraId="40D61C96" w14:textId="013E86E2" w:rsidR="00A11522" w:rsidRPr="005334EA" w:rsidRDefault="00A11522" w:rsidP="005334EA">
    <w:pPr>
      <w:tabs>
        <w:tab w:val="center" w:pos="4153"/>
        <w:tab w:val="right" w:pos="8306"/>
      </w:tabs>
      <w:ind w:left="720"/>
      <w:jc w:val="center"/>
      <w:rPr>
        <w:sz w:val="20"/>
        <w:szCs w:val="20"/>
      </w:rPr>
    </w:pPr>
    <w:r w:rsidRPr="00DF3584">
      <w:rPr>
        <w:rFonts w:cs="Arial"/>
        <w:sz w:val="20"/>
        <w:szCs w:val="20"/>
      </w:rPr>
      <w:t>CCZZ17A15</w:t>
    </w:r>
  </w:p>
  <w:p w14:paraId="71136E45" w14:textId="77777777" w:rsidR="00A11522" w:rsidRPr="009D0EAE" w:rsidRDefault="00A11522" w:rsidP="00F946AC">
    <w:pPr>
      <w:pStyle w:val="Header"/>
      <w:jc w:val="center"/>
      <w:rPr>
        <w:rFonts w:cs="Arial"/>
        <w:sz w:val="20"/>
        <w:szCs w:val="20"/>
        <w:highlight w:val="yellow"/>
      </w:rPr>
    </w:pPr>
  </w:p>
  <w:p w14:paraId="117A4DB9" w14:textId="77777777" w:rsidR="00A11522" w:rsidRPr="00074357" w:rsidRDefault="00A11522" w:rsidP="00074357">
    <w:pPr>
      <w:pStyle w:val="Header"/>
    </w:pPr>
    <w:r>
      <w:rPr>
        <w:noProof/>
        <w:lang w:eastAsia="en-GB"/>
      </w:rPr>
      <mc:AlternateContent>
        <mc:Choice Requires="wps">
          <w:drawing>
            <wp:anchor distT="0" distB="0" distL="114300" distR="114300" simplePos="0" relativeHeight="251673088" behindDoc="0" locked="0" layoutInCell="1" allowOverlap="1" wp14:anchorId="0938B197" wp14:editId="5F01AD3E">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2B2C87" id="Straight Connector 1"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AE19DD"/>
    <w:multiLevelType w:val="hybridMultilevel"/>
    <w:tmpl w:val="331890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FEC5419"/>
    <w:multiLevelType w:val="hybridMultilevel"/>
    <w:tmpl w:val="2A182FFE"/>
    <w:lvl w:ilvl="0" w:tplc="846CC228">
      <w:start w:val="3"/>
      <w:numFmt w:val="bullet"/>
      <w:lvlText w:val="-"/>
      <w:lvlJc w:val="left"/>
      <w:pPr>
        <w:ind w:left="1080" w:hanging="360"/>
      </w:pPr>
      <w:rPr>
        <w:rFonts w:ascii="Arial" w:eastAsia="STZhongsong"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453E84"/>
    <w:multiLevelType w:val="hybridMultilevel"/>
    <w:tmpl w:val="3F8C4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B20245C"/>
    <w:multiLevelType w:val="hybridMultilevel"/>
    <w:tmpl w:val="2C4CBA4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1"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15:restartNumberingAfterBreak="0">
    <w:nsid w:val="38B52DEB"/>
    <w:multiLevelType w:val="hybridMultilevel"/>
    <w:tmpl w:val="B96E62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5" w15:restartNumberingAfterBreak="0">
    <w:nsid w:val="45E5280C"/>
    <w:multiLevelType w:val="hybridMultilevel"/>
    <w:tmpl w:val="FFEA43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887869"/>
    <w:multiLevelType w:val="hybridMultilevel"/>
    <w:tmpl w:val="E75C42D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9" w15:restartNumberingAfterBreak="0">
    <w:nsid w:val="4B6C2C5C"/>
    <w:multiLevelType w:val="multilevel"/>
    <w:tmpl w:val="1332CCD4"/>
    <w:name w:val="Plato Schedule Numbering List"/>
    <w:numStyleLink w:val="111111"/>
  </w:abstractNum>
  <w:abstractNum w:abstractNumId="30" w15:restartNumberingAfterBreak="0">
    <w:nsid w:val="4D0F048B"/>
    <w:multiLevelType w:val="multilevel"/>
    <w:tmpl w:val="0136B430"/>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1" w15:restartNumberingAfterBreak="0">
    <w:nsid w:val="50965CCA"/>
    <w:multiLevelType w:val="multilevel"/>
    <w:tmpl w:val="1332CCD4"/>
    <w:name w:val="Appendicies Heading List"/>
    <w:numStyleLink w:val="111111"/>
  </w:abstractNum>
  <w:abstractNum w:abstractNumId="32"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3" w15:restartNumberingAfterBreak="0">
    <w:nsid w:val="568D1B29"/>
    <w:multiLevelType w:val="hybridMultilevel"/>
    <w:tmpl w:val="5ECA0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6"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0" w15:restartNumberingAfterBreak="0">
    <w:nsid w:val="6F35139D"/>
    <w:multiLevelType w:val="hybridMultilevel"/>
    <w:tmpl w:val="68343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2"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3"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32"/>
  </w:num>
  <w:num w:numId="3">
    <w:abstractNumId w:val="17"/>
  </w:num>
  <w:num w:numId="4">
    <w:abstractNumId w:val="19"/>
  </w:num>
  <w:num w:numId="5">
    <w:abstractNumId w:val="5"/>
  </w:num>
  <w:num w:numId="6">
    <w:abstractNumId w:val="27"/>
  </w:num>
  <w:num w:numId="7">
    <w:abstractNumId w:val="21"/>
  </w:num>
  <w:num w:numId="8">
    <w:abstractNumId w:val="16"/>
  </w:num>
  <w:num w:numId="9">
    <w:abstractNumId w:val="4"/>
  </w:num>
  <w:num w:numId="10">
    <w:abstractNumId w:val="3"/>
  </w:num>
  <w:num w:numId="11">
    <w:abstractNumId w:val="2"/>
  </w:num>
  <w:num w:numId="12">
    <w:abstractNumId w:val="1"/>
  </w:num>
  <w:num w:numId="13">
    <w:abstractNumId w:val="0"/>
  </w:num>
  <w:num w:numId="14">
    <w:abstractNumId w:val="42"/>
  </w:num>
  <w:num w:numId="15">
    <w:abstractNumId w:val="10"/>
  </w:num>
  <w:num w:numId="16">
    <w:abstractNumId w:val="37"/>
  </w:num>
  <w:num w:numId="17">
    <w:abstractNumId w:val="9"/>
  </w:num>
  <w:num w:numId="18">
    <w:abstractNumId w:val="23"/>
  </w:num>
  <w:num w:numId="19">
    <w:abstractNumId w:val="20"/>
  </w:num>
  <w:num w:numId="20">
    <w:abstractNumId w:val="35"/>
  </w:num>
  <w:num w:numId="21">
    <w:abstractNumId w:val="14"/>
  </w:num>
  <w:num w:numId="22">
    <w:abstractNumId w:val="39"/>
  </w:num>
  <w:num w:numId="23">
    <w:abstractNumId w:val="28"/>
  </w:num>
  <w:num w:numId="24">
    <w:abstractNumId w:val="13"/>
  </w:num>
  <w:num w:numId="25">
    <w:abstractNumId w:val="38"/>
  </w:num>
  <w:num w:numId="26">
    <w:abstractNumId w:val="7"/>
  </w:num>
  <w:num w:numId="27">
    <w:abstractNumId w:val="34"/>
  </w:num>
  <w:num w:numId="28">
    <w:abstractNumId w:val="24"/>
  </w:num>
  <w:num w:numId="29">
    <w:abstractNumId w:val="41"/>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32"/>
  </w:num>
  <w:num w:numId="33">
    <w:abstractNumId w:val="18"/>
  </w:num>
  <w:num w:numId="34">
    <w:abstractNumId w:val="30"/>
  </w:num>
  <w:num w:numId="35">
    <w:abstractNumId w:val="8"/>
  </w:num>
  <w:num w:numId="36">
    <w:abstractNumId w:val="33"/>
  </w:num>
  <w:num w:numId="37">
    <w:abstractNumId w:val="15"/>
  </w:num>
  <w:num w:numId="38">
    <w:abstractNumId w:val="26"/>
  </w:num>
  <w:num w:numId="39">
    <w:abstractNumId w:val="12"/>
  </w:num>
  <w:num w:numId="40">
    <w:abstractNumId w:val="22"/>
  </w:num>
  <w:num w:numId="41">
    <w:abstractNumId w:val="25"/>
  </w:num>
  <w:num w:numId="42">
    <w:abstractNumId w:val="4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2A5E"/>
    <w:rsid w:val="000033CA"/>
    <w:rsid w:val="00004DDC"/>
    <w:rsid w:val="0000639C"/>
    <w:rsid w:val="000067FA"/>
    <w:rsid w:val="00007A30"/>
    <w:rsid w:val="00011019"/>
    <w:rsid w:val="000110CC"/>
    <w:rsid w:val="00011988"/>
    <w:rsid w:val="00012987"/>
    <w:rsid w:val="0001386E"/>
    <w:rsid w:val="00013A3B"/>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7A1"/>
    <w:rsid w:val="0003289F"/>
    <w:rsid w:val="00035A45"/>
    <w:rsid w:val="00037CB6"/>
    <w:rsid w:val="00040A60"/>
    <w:rsid w:val="000459DD"/>
    <w:rsid w:val="00050FAD"/>
    <w:rsid w:val="00051303"/>
    <w:rsid w:val="00052A65"/>
    <w:rsid w:val="00053DF7"/>
    <w:rsid w:val="0005414E"/>
    <w:rsid w:val="00054C00"/>
    <w:rsid w:val="00056F7F"/>
    <w:rsid w:val="000577F4"/>
    <w:rsid w:val="00060D0E"/>
    <w:rsid w:val="000645CC"/>
    <w:rsid w:val="00064943"/>
    <w:rsid w:val="00066D70"/>
    <w:rsid w:val="0007040F"/>
    <w:rsid w:val="000717BE"/>
    <w:rsid w:val="0007280F"/>
    <w:rsid w:val="00072D38"/>
    <w:rsid w:val="00074357"/>
    <w:rsid w:val="00074D97"/>
    <w:rsid w:val="00074DC0"/>
    <w:rsid w:val="000763EA"/>
    <w:rsid w:val="00076448"/>
    <w:rsid w:val="000812AE"/>
    <w:rsid w:val="0008330B"/>
    <w:rsid w:val="00090D6B"/>
    <w:rsid w:val="000910A7"/>
    <w:rsid w:val="00092145"/>
    <w:rsid w:val="00092C56"/>
    <w:rsid w:val="00094E2D"/>
    <w:rsid w:val="00096F76"/>
    <w:rsid w:val="00097EBA"/>
    <w:rsid w:val="000A0BB0"/>
    <w:rsid w:val="000A0C5F"/>
    <w:rsid w:val="000A0D22"/>
    <w:rsid w:val="000A1031"/>
    <w:rsid w:val="000A462F"/>
    <w:rsid w:val="000A5E95"/>
    <w:rsid w:val="000A65E5"/>
    <w:rsid w:val="000A72F8"/>
    <w:rsid w:val="000B12A9"/>
    <w:rsid w:val="000B1C66"/>
    <w:rsid w:val="000B29B2"/>
    <w:rsid w:val="000B4297"/>
    <w:rsid w:val="000B4955"/>
    <w:rsid w:val="000B5C9F"/>
    <w:rsid w:val="000B7E75"/>
    <w:rsid w:val="000C0071"/>
    <w:rsid w:val="000C1D0A"/>
    <w:rsid w:val="000C1F01"/>
    <w:rsid w:val="000C2484"/>
    <w:rsid w:val="000C2E05"/>
    <w:rsid w:val="000C37BC"/>
    <w:rsid w:val="000C68BF"/>
    <w:rsid w:val="000C6BD6"/>
    <w:rsid w:val="000C7C2B"/>
    <w:rsid w:val="000D2525"/>
    <w:rsid w:val="000D3719"/>
    <w:rsid w:val="000D4605"/>
    <w:rsid w:val="000E031B"/>
    <w:rsid w:val="000E4C53"/>
    <w:rsid w:val="000E6052"/>
    <w:rsid w:val="000F232D"/>
    <w:rsid w:val="000F3348"/>
    <w:rsid w:val="000F3500"/>
    <w:rsid w:val="000F3E1D"/>
    <w:rsid w:val="000F52E6"/>
    <w:rsid w:val="00100B77"/>
    <w:rsid w:val="0010192B"/>
    <w:rsid w:val="0010318E"/>
    <w:rsid w:val="00103294"/>
    <w:rsid w:val="001040B6"/>
    <w:rsid w:val="001040CE"/>
    <w:rsid w:val="0010453E"/>
    <w:rsid w:val="0010577C"/>
    <w:rsid w:val="00105FBC"/>
    <w:rsid w:val="00106B6D"/>
    <w:rsid w:val="00106F24"/>
    <w:rsid w:val="00110F67"/>
    <w:rsid w:val="00113459"/>
    <w:rsid w:val="00113CF2"/>
    <w:rsid w:val="001173D2"/>
    <w:rsid w:val="001223EC"/>
    <w:rsid w:val="0012271F"/>
    <w:rsid w:val="00122891"/>
    <w:rsid w:val="00123FAD"/>
    <w:rsid w:val="001245F5"/>
    <w:rsid w:val="001256D9"/>
    <w:rsid w:val="00125F4C"/>
    <w:rsid w:val="0012683D"/>
    <w:rsid w:val="001313AB"/>
    <w:rsid w:val="00131AF8"/>
    <w:rsid w:val="001321F1"/>
    <w:rsid w:val="00132C65"/>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48AC"/>
    <w:rsid w:val="00156231"/>
    <w:rsid w:val="0015696A"/>
    <w:rsid w:val="00156E2F"/>
    <w:rsid w:val="00157D99"/>
    <w:rsid w:val="00160E08"/>
    <w:rsid w:val="00160EA4"/>
    <w:rsid w:val="00161A2F"/>
    <w:rsid w:val="0016322B"/>
    <w:rsid w:val="0016383C"/>
    <w:rsid w:val="00163EE9"/>
    <w:rsid w:val="00166299"/>
    <w:rsid w:val="0017017C"/>
    <w:rsid w:val="0017225B"/>
    <w:rsid w:val="00172ADF"/>
    <w:rsid w:val="00173352"/>
    <w:rsid w:val="0017368C"/>
    <w:rsid w:val="00176CBE"/>
    <w:rsid w:val="00176DF8"/>
    <w:rsid w:val="0018020B"/>
    <w:rsid w:val="001802DD"/>
    <w:rsid w:val="00181D58"/>
    <w:rsid w:val="00181E75"/>
    <w:rsid w:val="00183DAF"/>
    <w:rsid w:val="00183EB0"/>
    <w:rsid w:val="00184233"/>
    <w:rsid w:val="001842F4"/>
    <w:rsid w:val="00184673"/>
    <w:rsid w:val="001863E6"/>
    <w:rsid w:val="001866C8"/>
    <w:rsid w:val="0018756A"/>
    <w:rsid w:val="00193FB5"/>
    <w:rsid w:val="001962E6"/>
    <w:rsid w:val="001A1780"/>
    <w:rsid w:val="001A3C4D"/>
    <w:rsid w:val="001A7AB1"/>
    <w:rsid w:val="001B0587"/>
    <w:rsid w:val="001B2EA8"/>
    <w:rsid w:val="001B3C1C"/>
    <w:rsid w:val="001B485F"/>
    <w:rsid w:val="001B4B79"/>
    <w:rsid w:val="001B52D8"/>
    <w:rsid w:val="001B62DA"/>
    <w:rsid w:val="001B7109"/>
    <w:rsid w:val="001B7657"/>
    <w:rsid w:val="001C210F"/>
    <w:rsid w:val="001C2D04"/>
    <w:rsid w:val="001C4CDC"/>
    <w:rsid w:val="001C521C"/>
    <w:rsid w:val="001C5F6E"/>
    <w:rsid w:val="001C609B"/>
    <w:rsid w:val="001C63F8"/>
    <w:rsid w:val="001D0473"/>
    <w:rsid w:val="001D0D12"/>
    <w:rsid w:val="001D1ADF"/>
    <w:rsid w:val="001D1C5A"/>
    <w:rsid w:val="001D3018"/>
    <w:rsid w:val="001D54F2"/>
    <w:rsid w:val="001D5C65"/>
    <w:rsid w:val="001D6212"/>
    <w:rsid w:val="001E13B3"/>
    <w:rsid w:val="001E378F"/>
    <w:rsid w:val="001E3BC9"/>
    <w:rsid w:val="001E49D6"/>
    <w:rsid w:val="001E6058"/>
    <w:rsid w:val="001E7CA5"/>
    <w:rsid w:val="001F0B69"/>
    <w:rsid w:val="001F13E1"/>
    <w:rsid w:val="001F2926"/>
    <w:rsid w:val="001F2F1C"/>
    <w:rsid w:val="001F300D"/>
    <w:rsid w:val="001F3B05"/>
    <w:rsid w:val="001F4B65"/>
    <w:rsid w:val="002014DC"/>
    <w:rsid w:val="00202978"/>
    <w:rsid w:val="00202DAB"/>
    <w:rsid w:val="00204498"/>
    <w:rsid w:val="00205CD6"/>
    <w:rsid w:val="00206015"/>
    <w:rsid w:val="00206732"/>
    <w:rsid w:val="0021189E"/>
    <w:rsid w:val="002136EC"/>
    <w:rsid w:val="002148F6"/>
    <w:rsid w:val="00215015"/>
    <w:rsid w:val="00217E89"/>
    <w:rsid w:val="0022047E"/>
    <w:rsid w:val="00220ACA"/>
    <w:rsid w:val="002222F1"/>
    <w:rsid w:val="002229A8"/>
    <w:rsid w:val="002235BF"/>
    <w:rsid w:val="00224FFC"/>
    <w:rsid w:val="0022513D"/>
    <w:rsid w:val="00225865"/>
    <w:rsid w:val="0022592F"/>
    <w:rsid w:val="002262A5"/>
    <w:rsid w:val="002268D4"/>
    <w:rsid w:val="0022721A"/>
    <w:rsid w:val="00233206"/>
    <w:rsid w:val="00234955"/>
    <w:rsid w:val="00235462"/>
    <w:rsid w:val="00241853"/>
    <w:rsid w:val="0024295B"/>
    <w:rsid w:val="00243547"/>
    <w:rsid w:val="00245B30"/>
    <w:rsid w:val="00246795"/>
    <w:rsid w:val="00250446"/>
    <w:rsid w:val="00251900"/>
    <w:rsid w:val="00254E18"/>
    <w:rsid w:val="00255F6A"/>
    <w:rsid w:val="00257039"/>
    <w:rsid w:val="00257324"/>
    <w:rsid w:val="00257F38"/>
    <w:rsid w:val="002600C6"/>
    <w:rsid w:val="002608F4"/>
    <w:rsid w:val="00260EF5"/>
    <w:rsid w:val="0026119D"/>
    <w:rsid w:val="002630FA"/>
    <w:rsid w:val="002634FE"/>
    <w:rsid w:val="002649FC"/>
    <w:rsid w:val="0027062E"/>
    <w:rsid w:val="002723EE"/>
    <w:rsid w:val="00273E03"/>
    <w:rsid w:val="00274391"/>
    <w:rsid w:val="00274416"/>
    <w:rsid w:val="00274ABF"/>
    <w:rsid w:val="00276661"/>
    <w:rsid w:val="00277524"/>
    <w:rsid w:val="00280B5B"/>
    <w:rsid w:val="002826D7"/>
    <w:rsid w:val="002848C1"/>
    <w:rsid w:val="0028697F"/>
    <w:rsid w:val="00286F62"/>
    <w:rsid w:val="002876FE"/>
    <w:rsid w:val="00287C83"/>
    <w:rsid w:val="00291584"/>
    <w:rsid w:val="002933F8"/>
    <w:rsid w:val="00296DCF"/>
    <w:rsid w:val="00297D77"/>
    <w:rsid w:val="002A08BF"/>
    <w:rsid w:val="002A1BFC"/>
    <w:rsid w:val="002A5258"/>
    <w:rsid w:val="002A5C8B"/>
    <w:rsid w:val="002A7D10"/>
    <w:rsid w:val="002A7DA6"/>
    <w:rsid w:val="002B1E1B"/>
    <w:rsid w:val="002B407C"/>
    <w:rsid w:val="002B43BE"/>
    <w:rsid w:val="002B4FD0"/>
    <w:rsid w:val="002B55ED"/>
    <w:rsid w:val="002B5AEB"/>
    <w:rsid w:val="002B5C29"/>
    <w:rsid w:val="002B6278"/>
    <w:rsid w:val="002B6FD7"/>
    <w:rsid w:val="002B744B"/>
    <w:rsid w:val="002C1AF6"/>
    <w:rsid w:val="002C1DE8"/>
    <w:rsid w:val="002C2D54"/>
    <w:rsid w:val="002C3316"/>
    <w:rsid w:val="002C4729"/>
    <w:rsid w:val="002C519F"/>
    <w:rsid w:val="002C538F"/>
    <w:rsid w:val="002C671C"/>
    <w:rsid w:val="002D268A"/>
    <w:rsid w:val="002D2841"/>
    <w:rsid w:val="002D3A27"/>
    <w:rsid w:val="002D4104"/>
    <w:rsid w:val="002D7AC9"/>
    <w:rsid w:val="002E05A6"/>
    <w:rsid w:val="002E248D"/>
    <w:rsid w:val="002E5436"/>
    <w:rsid w:val="002E6400"/>
    <w:rsid w:val="002F13FD"/>
    <w:rsid w:val="002F1F7F"/>
    <w:rsid w:val="002F3129"/>
    <w:rsid w:val="002F42F4"/>
    <w:rsid w:val="002F7AA1"/>
    <w:rsid w:val="0030038A"/>
    <w:rsid w:val="0030185A"/>
    <w:rsid w:val="00301A08"/>
    <w:rsid w:val="0030285B"/>
    <w:rsid w:val="0030439A"/>
    <w:rsid w:val="003047E0"/>
    <w:rsid w:val="0030606A"/>
    <w:rsid w:val="003066E9"/>
    <w:rsid w:val="00315091"/>
    <w:rsid w:val="00315C76"/>
    <w:rsid w:val="0032065B"/>
    <w:rsid w:val="00323541"/>
    <w:rsid w:val="00323EAA"/>
    <w:rsid w:val="00330C5C"/>
    <w:rsid w:val="00331523"/>
    <w:rsid w:val="003316AA"/>
    <w:rsid w:val="00333D28"/>
    <w:rsid w:val="003341DC"/>
    <w:rsid w:val="00336059"/>
    <w:rsid w:val="0034369B"/>
    <w:rsid w:val="003438D3"/>
    <w:rsid w:val="00343C78"/>
    <w:rsid w:val="0034602A"/>
    <w:rsid w:val="00346A23"/>
    <w:rsid w:val="00347685"/>
    <w:rsid w:val="00347DB3"/>
    <w:rsid w:val="00352261"/>
    <w:rsid w:val="00353191"/>
    <w:rsid w:val="00353EC0"/>
    <w:rsid w:val="0035407F"/>
    <w:rsid w:val="00354A9C"/>
    <w:rsid w:val="003550DB"/>
    <w:rsid w:val="003577BB"/>
    <w:rsid w:val="00357E6F"/>
    <w:rsid w:val="003627B1"/>
    <w:rsid w:val="00362E9E"/>
    <w:rsid w:val="003631FE"/>
    <w:rsid w:val="00363D74"/>
    <w:rsid w:val="00364FCA"/>
    <w:rsid w:val="0036555C"/>
    <w:rsid w:val="0036574F"/>
    <w:rsid w:val="003660F6"/>
    <w:rsid w:val="00366F85"/>
    <w:rsid w:val="003729F0"/>
    <w:rsid w:val="00373767"/>
    <w:rsid w:val="0037496E"/>
    <w:rsid w:val="0037526E"/>
    <w:rsid w:val="00375441"/>
    <w:rsid w:val="00375AE9"/>
    <w:rsid w:val="00375CEC"/>
    <w:rsid w:val="00376922"/>
    <w:rsid w:val="00376FF7"/>
    <w:rsid w:val="003770F8"/>
    <w:rsid w:val="00377F3E"/>
    <w:rsid w:val="0038049D"/>
    <w:rsid w:val="00386338"/>
    <w:rsid w:val="003864C5"/>
    <w:rsid w:val="00386706"/>
    <w:rsid w:val="003874EB"/>
    <w:rsid w:val="0038774C"/>
    <w:rsid w:val="003908EB"/>
    <w:rsid w:val="00390BC3"/>
    <w:rsid w:val="0039193D"/>
    <w:rsid w:val="00396B62"/>
    <w:rsid w:val="003A0CDA"/>
    <w:rsid w:val="003A199A"/>
    <w:rsid w:val="003A21C8"/>
    <w:rsid w:val="003A2C48"/>
    <w:rsid w:val="003A4DD7"/>
    <w:rsid w:val="003B0599"/>
    <w:rsid w:val="003B4727"/>
    <w:rsid w:val="003B4B25"/>
    <w:rsid w:val="003B5670"/>
    <w:rsid w:val="003B74BC"/>
    <w:rsid w:val="003C1CB5"/>
    <w:rsid w:val="003C4135"/>
    <w:rsid w:val="003C54C9"/>
    <w:rsid w:val="003C7811"/>
    <w:rsid w:val="003D0625"/>
    <w:rsid w:val="003D0A36"/>
    <w:rsid w:val="003D1E1C"/>
    <w:rsid w:val="003D2039"/>
    <w:rsid w:val="003D2902"/>
    <w:rsid w:val="003D2F60"/>
    <w:rsid w:val="003D4366"/>
    <w:rsid w:val="003D4F07"/>
    <w:rsid w:val="003D52B7"/>
    <w:rsid w:val="003D6D0B"/>
    <w:rsid w:val="003E3E8C"/>
    <w:rsid w:val="003E404D"/>
    <w:rsid w:val="003E4FA3"/>
    <w:rsid w:val="003E7509"/>
    <w:rsid w:val="003F06FF"/>
    <w:rsid w:val="003F1C5D"/>
    <w:rsid w:val="003F626A"/>
    <w:rsid w:val="00400F7C"/>
    <w:rsid w:val="00401C86"/>
    <w:rsid w:val="00402F0D"/>
    <w:rsid w:val="00404F9C"/>
    <w:rsid w:val="0040508D"/>
    <w:rsid w:val="00405A77"/>
    <w:rsid w:val="004072C6"/>
    <w:rsid w:val="00411572"/>
    <w:rsid w:val="004126C0"/>
    <w:rsid w:val="004128DA"/>
    <w:rsid w:val="00413A43"/>
    <w:rsid w:val="004147A7"/>
    <w:rsid w:val="00415016"/>
    <w:rsid w:val="0041576D"/>
    <w:rsid w:val="00416045"/>
    <w:rsid w:val="00420D78"/>
    <w:rsid w:val="00422823"/>
    <w:rsid w:val="0042602C"/>
    <w:rsid w:val="00426AB4"/>
    <w:rsid w:val="00427A64"/>
    <w:rsid w:val="00430054"/>
    <w:rsid w:val="004300D8"/>
    <w:rsid w:val="0043067F"/>
    <w:rsid w:val="004324B4"/>
    <w:rsid w:val="00433761"/>
    <w:rsid w:val="00436E7E"/>
    <w:rsid w:val="004401D5"/>
    <w:rsid w:val="00441A56"/>
    <w:rsid w:val="00442EDE"/>
    <w:rsid w:val="00447F11"/>
    <w:rsid w:val="004516D6"/>
    <w:rsid w:val="0045279B"/>
    <w:rsid w:val="00453EE6"/>
    <w:rsid w:val="0045425C"/>
    <w:rsid w:val="00456D72"/>
    <w:rsid w:val="00461688"/>
    <w:rsid w:val="00462365"/>
    <w:rsid w:val="00462E6A"/>
    <w:rsid w:val="00463077"/>
    <w:rsid w:val="00470A2A"/>
    <w:rsid w:val="004722DA"/>
    <w:rsid w:val="004725C1"/>
    <w:rsid w:val="00476F39"/>
    <w:rsid w:val="004771C4"/>
    <w:rsid w:val="00477C7D"/>
    <w:rsid w:val="00480506"/>
    <w:rsid w:val="00480E50"/>
    <w:rsid w:val="004900A1"/>
    <w:rsid w:val="004909B0"/>
    <w:rsid w:val="0049625F"/>
    <w:rsid w:val="00497D0E"/>
    <w:rsid w:val="004A225E"/>
    <w:rsid w:val="004A2D0B"/>
    <w:rsid w:val="004A2E7B"/>
    <w:rsid w:val="004A31F5"/>
    <w:rsid w:val="004A4371"/>
    <w:rsid w:val="004A48ED"/>
    <w:rsid w:val="004B4E34"/>
    <w:rsid w:val="004B6951"/>
    <w:rsid w:val="004B7B71"/>
    <w:rsid w:val="004C0636"/>
    <w:rsid w:val="004C1460"/>
    <w:rsid w:val="004C2D93"/>
    <w:rsid w:val="004C50CD"/>
    <w:rsid w:val="004C5641"/>
    <w:rsid w:val="004C5A51"/>
    <w:rsid w:val="004C5C6B"/>
    <w:rsid w:val="004C62BB"/>
    <w:rsid w:val="004D0392"/>
    <w:rsid w:val="004D0A59"/>
    <w:rsid w:val="004D1EED"/>
    <w:rsid w:val="004D2218"/>
    <w:rsid w:val="004D22DF"/>
    <w:rsid w:val="004D267E"/>
    <w:rsid w:val="004D2D01"/>
    <w:rsid w:val="004D34B9"/>
    <w:rsid w:val="004D4D43"/>
    <w:rsid w:val="004D4E92"/>
    <w:rsid w:val="004D5500"/>
    <w:rsid w:val="004D7A98"/>
    <w:rsid w:val="004E1F9F"/>
    <w:rsid w:val="004E445C"/>
    <w:rsid w:val="004E5484"/>
    <w:rsid w:val="004E5530"/>
    <w:rsid w:val="004E6FB0"/>
    <w:rsid w:val="004E70A8"/>
    <w:rsid w:val="004E78BC"/>
    <w:rsid w:val="004F2229"/>
    <w:rsid w:val="004F2D68"/>
    <w:rsid w:val="004F4E7F"/>
    <w:rsid w:val="004F6B43"/>
    <w:rsid w:val="004F6EE0"/>
    <w:rsid w:val="0050062B"/>
    <w:rsid w:val="005009A0"/>
    <w:rsid w:val="0050116C"/>
    <w:rsid w:val="00502279"/>
    <w:rsid w:val="0050272D"/>
    <w:rsid w:val="00502DB6"/>
    <w:rsid w:val="0050474C"/>
    <w:rsid w:val="0050537E"/>
    <w:rsid w:val="00505473"/>
    <w:rsid w:val="005054EC"/>
    <w:rsid w:val="005126FE"/>
    <w:rsid w:val="005147FE"/>
    <w:rsid w:val="00515D51"/>
    <w:rsid w:val="00517904"/>
    <w:rsid w:val="0052086C"/>
    <w:rsid w:val="00522AAC"/>
    <w:rsid w:val="0052365A"/>
    <w:rsid w:val="0052487A"/>
    <w:rsid w:val="00525A5C"/>
    <w:rsid w:val="00527040"/>
    <w:rsid w:val="005278DB"/>
    <w:rsid w:val="00531417"/>
    <w:rsid w:val="0053220D"/>
    <w:rsid w:val="005334EA"/>
    <w:rsid w:val="00533F76"/>
    <w:rsid w:val="005364E3"/>
    <w:rsid w:val="0055006C"/>
    <w:rsid w:val="00551203"/>
    <w:rsid w:val="00551397"/>
    <w:rsid w:val="005571B2"/>
    <w:rsid w:val="00561683"/>
    <w:rsid w:val="00561AE0"/>
    <w:rsid w:val="00561BB6"/>
    <w:rsid w:val="00563F76"/>
    <w:rsid w:val="00564CCA"/>
    <w:rsid w:val="0056660C"/>
    <w:rsid w:val="0057385C"/>
    <w:rsid w:val="005750D7"/>
    <w:rsid w:val="005750F5"/>
    <w:rsid w:val="005759DD"/>
    <w:rsid w:val="00576C34"/>
    <w:rsid w:val="00580393"/>
    <w:rsid w:val="00581887"/>
    <w:rsid w:val="005821EF"/>
    <w:rsid w:val="0058297A"/>
    <w:rsid w:val="0058409F"/>
    <w:rsid w:val="00586640"/>
    <w:rsid w:val="00586CC2"/>
    <w:rsid w:val="00590FFC"/>
    <w:rsid w:val="005924FF"/>
    <w:rsid w:val="00593CFF"/>
    <w:rsid w:val="00595653"/>
    <w:rsid w:val="00595CDA"/>
    <w:rsid w:val="00597B02"/>
    <w:rsid w:val="005A137B"/>
    <w:rsid w:val="005A1F60"/>
    <w:rsid w:val="005A49EA"/>
    <w:rsid w:val="005B228D"/>
    <w:rsid w:val="005B28B1"/>
    <w:rsid w:val="005B2BA5"/>
    <w:rsid w:val="005B3574"/>
    <w:rsid w:val="005B427E"/>
    <w:rsid w:val="005B466A"/>
    <w:rsid w:val="005B4A89"/>
    <w:rsid w:val="005C0826"/>
    <w:rsid w:val="005C2951"/>
    <w:rsid w:val="005C3B95"/>
    <w:rsid w:val="005C6291"/>
    <w:rsid w:val="005C6503"/>
    <w:rsid w:val="005D1196"/>
    <w:rsid w:val="005D2362"/>
    <w:rsid w:val="005E00DA"/>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C81"/>
    <w:rsid w:val="005F6E6D"/>
    <w:rsid w:val="005F79C0"/>
    <w:rsid w:val="005F7F59"/>
    <w:rsid w:val="006001BE"/>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1BB0"/>
    <w:rsid w:val="006231D2"/>
    <w:rsid w:val="00627B4B"/>
    <w:rsid w:val="00627D1B"/>
    <w:rsid w:val="0063134B"/>
    <w:rsid w:val="00631AE2"/>
    <w:rsid w:val="00632838"/>
    <w:rsid w:val="00635B31"/>
    <w:rsid w:val="00636209"/>
    <w:rsid w:val="00636E2D"/>
    <w:rsid w:val="006373DB"/>
    <w:rsid w:val="00641ACD"/>
    <w:rsid w:val="0064354C"/>
    <w:rsid w:val="00644149"/>
    <w:rsid w:val="006441A4"/>
    <w:rsid w:val="006455A0"/>
    <w:rsid w:val="0064629E"/>
    <w:rsid w:val="00646588"/>
    <w:rsid w:val="00646B4C"/>
    <w:rsid w:val="00647567"/>
    <w:rsid w:val="006501FA"/>
    <w:rsid w:val="006502CE"/>
    <w:rsid w:val="00650B3E"/>
    <w:rsid w:val="00653D40"/>
    <w:rsid w:val="00654173"/>
    <w:rsid w:val="006549BE"/>
    <w:rsid w:val="0065676A"/>
    <w:rsid w:val="00657DE2"/>
    <w:rsid w:val="006600A8"/>
    <w:rsid w:val="00660E0B"/>
    <w:rsid w:val="006641E1"/>
    <w:rsid w:val="006645BF"/>
    <w:rsid w:val="00671798"/>
    <w:rsid w:val="00671C2E"/>
    <w:rsid w:val="00672BD3"/>
    <w:rsid w:val="006754B9"/>
    <w:rsid w:val="006772C0"/>
    <w:rsid w:val="00680C72"/>
    <w:rsid w:val="00682677"/>
    <w:rsid w:val="00683380"/>
    <w:rsid w:val="006849F7"/>
    <w:rsid w:val="00684CF6"/>
    <w:rsid w:val="00684EC6"/>
    <w:rsid w:val="00684FF6"/>
    <w:rsid w:val="0068585D"/>
    <w:rsid w:val="00685E8D"/>
    <w:rsid w:val="0068678A"/>
    <w:rsid w:val="0069053C"/>
    <w:rsid w:val="0069239F"/>
    <w:rsid w:val="00693308"/>
    <w:rsid w:val="006940AD"/>
    <w:rsid w:val="0069520A"/>
    <w:rsid w:val="006968E6"/>
    <w:rsid w:val="00697DE6"/>
    <w:rsid w:val="006A0E9A"/>
    <w:rsid w:val="006A385C"/>
    <w:rsid w:val="006A3DBC"/>
    <w:rsid w:val="006A3F51"/>
    <w:rsid w:val="006A4316"/>
    <w:rsid w:val="006A4943"/>
    <w:rsid w:val="006A6DAA"/>
    <w:rsid w:val="006B1F15"/>
    <w:rsid w:val="006B32CD"/>
    <w:rsid w:val="006B3676"/>
    <w:rsid w:val="006B4F77"/>
    <w:rsid w:val="006B556B"/>
    <w:rsid w:val="006B5A7E"/>
    <w:rsid w:val="006B62D2"/>
    <w:rsid w:val="006C0828"/>
    <w:rsid w:val="006C2069"/>
    <w:rsid w:val="006C3BF0"/>
    <w:rsid w:val="006C3FE6"/>
    <w:rsid w:val="006C466F"/>
    <w:rsid w:val="006C7377"/>
    <w:rsid w:val="006D0B91"/>
    <w:rsid w:val="006D2324"/>
    <w:rsid w:val="006D3910"/>
    <w:rsid w:val="006D4085"/>
    <w:rsid w:val="006D50D6"/>
    <w:rsid w:val="006D5BAD"/>
    <w:rsid w:val="006D6196"/>
    <w:rsid w:val="006D64A7"/>
    <w:rsid w:val="006D7362"/>
    <w:rsid w:val="006D7F52"/>
    <w:rsid w:val="006E13AE"/>
    <w:rsid w:val="006E28A2"/>
    <w:rsid w:val="006E5B51"/>
    <w:rsid w:val="006E5FFB"/>
    <w:rsid w:val="006F098A"/>
    <w:rsid w:val="006F0C06"/>
    <w:rsid w:val="006F299C"/>
    <w:rsid w:val="006F46DC"/>
    <w:rsid w:val="006F490F"/>
    <w:rsid w:val="006F5CE9"/>
    <w:rsid w:val="006F6878"/>
    <w:rsid w:val="006F6F85"/>
    <w:rsid w:val="006F7AC8"/>
    <w:rsid w:val="007003CC"/>
    <w:rsid w:val="00702208"/>
    <w:rsid w:val="00702C1F"/>
    <w:rsid w:val="00704A4D"/>
    <w:rsid w:val="0070644D"/>
    <w:rsid w:val="00706FCC"/>
    <w:rsid w:val="007110A9"/>
    <w:rsid w:val="007145F1"/>
    <w:rsid w:val="0072081F"/>
    <w:rsid w:val="007217F8"/>
    <w:rsid w:val="00724885"/>
    <w:rsid w:val="00733ACF"/>
    <w:rsid w:val="00733BA6"/>
    <w:rsid w:val="0073540C"/>
    <w:rsid w:val="00735596"/>
    <w:rsid w:val="00735D7F"/>
    <w:rsid w:val="00740B2E"/>
    <w:rsid w:val="00740DB8"/>
    <w:rsid w:val="007411D4"/>
    <w:rsid w:val="00742B45"/>
    <w:rsid w:val="007435B9"/>
    <w:rsid w:val="00743726"/>
    <w:rsid w:val="00745259"/>
    <w:rsid w:val="00745FE8"/>
    <w:rsid w:val="0075008F"/>
    <w:rsid w:val="00753744"/>
    <w:rsid w:val="00753ABE"/>
    <w:rsid w:val="0075444C"/>
    <w:rsid w:val="00754EEE"/>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8132F"/>
    <w:rsid w:val="00781B53"/>
    <w:rsid w:val="00781F72"/>
    <w:rsid w:val="007838E0"/>
    <w:rsid w:val="00784548"/>
    <w:rsid w:val="00791568"/>
    <w:rsid w:val="00791F7F"/>
    <w:rsid w:val="00792660"/>
    <w:rsid w:val="00792A76"/>
    <w:rsid w:val="00792F41"/>
    <w:rsid w:val="00793CFE"/>
    <w:rsid w:val="00794033"/>
    <w:rsid w:val="007957E7"/>
    <w:rsid w:val="007968E2"/>
    <w:rsid w:val="00797375"/>
    <w:rsid w:val="007A1EDB"/>
    <w:rsid w:val="007A4212"/>
    <w:rsid w:val="007A54BC"/>
    <w:rsid w:val="007A5C92"/>
    <w:rsid w:val="007A6776"/>
    <w:rsid w:val="007A7E53"/>
    <w:rsid w:val="007B22E8"/>
    <w:rsid w:val="007B3FCD"/>
    <w:rsid w:val="007B5019"/>
    <w:rsid w:val="007B52CD"/>
    <w:rsid w:val="007B7B17"/>
    <w:rsid w:val="007C33F9"/>
    <w:rsid w:val="007C389F"/>
    <w:rsid w:val="007C59BE"/>
    <w:rsid w:val="007C69BD"/>
    <w:rsid w:val="007C6DB3"/>
    <w:rsid w:val="007C79FC"/>
    <w:rsid w:val="007D04CE"/>
    <w:rsid w:val="007D1C75"/>
    <w:rsid w:val="007D4124"/>
    <w:rsid w:val="007D431E"/>
    <w:rsid w:val="007D4AF7"/>
    <w:rsid w:val="007D5356"/>
    <w:rsid w:val="007D5C41"/>
    <w:rsid w:val="007D6207"/>
    <w:rsid w:val="007D7EEC"/>
    <w:rsid w:val="007E1C0F"/>
    <w:rsid w:val="007E1FBE"/>
    <w:rsid w:val="007E26EE"/>
    <w:rsid w:val="007E3BEA"/>
    <w:rsid w:val="007E4D19"/>
    <w:rsid w:val="007E581E"/>
    <w:rsid w:val="007E5ED3"/>
    <w:rsid w:val="007E69D2"/>
    <w:rsid w:val="007F062B"/>
    <w:rsid w:val="007F255C"/>
    <w:rsid w:val="007F48F8"/>
    <w:rsid w:val="007F521C"/>
    <w:rsid w:val="007F542D"/>
    <w:rsid w:val="007F55C2"/>
    <w:rsid w:val="007F78F3"/>
    <w:rsid w:val="007F7976"/>
    <w:rsid w:val="00800097"/>
    <w:rsid w:val="0080204D"/>
    <w:rsid w:val="00802735"/>
    <w:rsid w:val="00803909"/>
    <w:rsid w:val="00804229"/>
    <w:rsid w:val="008042A5"/>
    <w:rsid w:val="008047E2"/>
    <w:rsid w:val="0080626B"/>
    <w:rsid w:val="00806CB2"/>
    <w:rsid w:val="00806DC0"/>
    <w:rsid w:val="008073BC"/>
    <w:rsid w:val="0081061A"/>
    <w:rsid w:val="00811C30"/>
    <w:rsid w:val="0081457C"/>
    <w:rsid w:val="008174FC"/>
    <w:rsid w:val="00821734"/>
    <w:rsid w:val="008219C9"/>
    <w:rsid w:val="00822196"/>
    <w:rsid w:val="008227FE"/>
    <w:rsid w:val="0082305E"/>
    <w:rsid w:val="0082468F"/>
    <w:rsid w:val="00825DD7"/>
    <w:rsid w:val="00826384"/>
    <w:rsid w:val="0082702F"/>
    <w:rsid w:val="00827E8F"/>
    <w:rsid w:val="00830EA9"/>
    <w:rsid w:val="008311F8"/>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6D5B"/>
    <w:rsid w:val="00867F30"/>
    <w:rsid w:val="00871033"/>
    <w:rsid w:val="00873E83"/>
    <w:rsid w:val="00874062"/>
    <w:rsid w:val="0087463E"/>
    <w:rsid w:val="00874B74"/>
    <w:rsid w:val="00874ED6"/>
    <w:rsid w:val="008752FE"/>
    <w:rsid w:val="00877AA1"/>
    <w:rsid w:val="00880C0D"/>
    <w:rsid w:val="00881157"/>
    <w:rsid w:val="0088161D"/>
    <w:rsid w:val="00882001"/>
    <w:rsid w:val="00882465"/>
    <w:rsid w:val="00890886"/>
    <w:rsid w:val="008916A4"/>
    <w:rsid w:val="008933C1"/>
    <w:rsid w:val="0089375B"/>
    <w:rsid w:val="00896E89"/>
    <w:rsid w:val="00897DB5"/>
    <w:rsid w:val="008A004A"/>
    <w:rsid w:val="008A04D0"/>
    <w:rsid w:val="008A17B5"/>
    <w:rsid w:val="008A20B1"/>
    <w:rsid w:val="008A2F3A"/>
    <w:rsid w:val="008A3F1A"/>
    <w:rsid w:val="008A3FCF"/>
    <w:rsid w:val="008A41ED"/>
    <w:rsid w:val="008A5EAC"/>
    <w:rsid w:val="008A74AE"/>
    <w:rsid w:val="008A7C5C"/>
    <w:rsid w:val="008B2760"/>
    <w:rsid w:val="008B3DC8"/>
    <w:rsid w:val="008B4EC5"/>
    <w:rsid w:val="008B5210"/>
    <w:rsid w:val="008B7859"/>
    <w:rsid w:val="008C05F1"/>
    <w:rsid w:val="008C218B"/>
    <w:rsid w:val="008C402D"/>
    <w:rsid w:val="008C4AD4"/>
    <w:rsid w:val="008C5257"/>
    <w:rsid w:val="008C59EE"/>
    <w:rsid w:val="008C6917"/>
    <w:rsid w:val="008C6DD8"/>
    <w:rsid w:val="008C7012"/>
    <w:rsid w:val="008C764B"/>
    <w:rsid w:val="008D01FD"/>
    <w:rsid w:val="008D17C0"/>
    <w:rsid w:val="008D1AFC"/>
    <w:rsid w:val="008D1F53"/>
    <w:rsid w:val="008D2358"/>
    <w:rsid w:val="008D28A6"/>
    <w:rsid w:val="008D5538"/>
    <w:rsid w:val="008D5A46"/>
    <w:rsid w:val="008D66D4"/>
    <w:rsid w:val="008D752C"/>
    <w:rsid w:val="008D7794"/>
    <w:rsid w:val="008E0B8A"/>
    <w:rsid w:val="008E5B1C"/>
    <w:rsid w:val="008E5D54"/>
    <w:rsid w:val="008E6D8C"/>
    <w:rsid w:val="008E7734"/>
    <w:rsid w:val="008E7D6B"/>
    <w:rsid w:val="008F0B3A"/>
    <w:rsid w:val="008F0B5B"/>
    <w:rsid w:val="008F0F5B"/>
    <w:rsid w:val="008F3470"/>
    <w:rsid w:val="008F48B8"/>
    <w:rsid w:val="008F4F1E"/>
    <w:rsid w:val="008F7730"/>
    <w:rsid w:val="00900BFA"/>
    <w:rsid w:val="00900E71"/>
    <w:rsid w:val="009021F5"/>
    <w:rsid w:val="00903012"/>
    <w:rsid w:val="0090447A"/>
    <w:rsid w:val="00904679"/>
    <w:rsid w:val="00905BFB"/>
    <w:rsid w:val="009064EA"/>
    <w:rsid w:val="009066E0"/>
    <w:rsid w:val="00910C56"/>
    <w:rsid w:val="00911C93"/>
    <w:rsid w:val="00912B1E"/>
    <w:rsid w:val="00912C42"/>
    <w:rsid w:val="009141BA"/>
    <w:rsid w:val="0091531E"/>
    <w:rsid w:val="00915583"/>
    <w:rsid w:val="009175F3"/>
    <w:rsid w:val="00922A4C"/>
    <w:rsid w:val="00923A8C"/>
    <w:rsid w:val="00923ACC"/>
    <w:rsid w:val="00926958"/>
    <w:rsid w:val="00926AFD"/>
    <w:rsid w:val="009317B0"/>
    <w:rsid w:val="00932346"/>
    <w:rsid w:val="0093247C"/>
    <w:rsid w:val="00932D6C"/>
    <w:rsid w:val="0093413B"/>
    <w:rsid w:val="00934359"/>
    <w:rsid w:val="009372EF"/>
    <w:rsid w:val="00943815"/>
    <w:rsid w:val="009448C5"/>
    <w:rsid w:val="0094512F"/>
    <w:rsid w:val="00945E17"/>
    <w:rsid w:val="00951437"/>
    <w:rsid w:val="00951FEC"/>
    <w:rsid w:val="00953FE8"/>
    <w:rsid w:val="0095645A"/>
    <w:rsid w:val="009572E2"/>
    <w:rsid w:val="00961BBF"/>
    <w:rsid w:val="00964906"/>
    <w:rsid w:val="00965F55"/>
    <w:rsid w:val="00970943"/>
    <w:rsid w:val="00970C86"/>
    <w:rsid w:val="00971A11"/>
    <w:rsid w:val="00971B61"/>
    <w:rsid w:val="009738CD"/>
    <w:rsid w:val="0097525F"/>
    <w:rsid w:val="0097705B"/>
    <w:rsid w:val="0098237E"/>
    <w:rsid w:val="00982986"/>
    <w:rsid w:val="00983AEF"/>
    <w:rsid w:val="00985750"/>
    <w:rsid w:val="00985B4D"/>
    <w:rsid w:val="00986DDB"/>
    <w:rsid w:val="00990E3F"/>
    <w:rsid w:val="00993750"/>
    <w:rsid w:val="00995562"/>
    <w:rsid w:val="00995864"/>
    <w:rsid w:val="00996944"/>
    <w:rsid w:val="00996EDF"/>
    <w:rsid w:val="009979AD"/>
    <w:rsid w:val="00997A9A"/>
    <w:rsid w:val="009A041A"/>
    <w:rsid w:val="009A0DA6"/>
    <w:rsid w:val="009A28B5"/>
    <w:rsid w:val="009A37CD"/>
    <w:rsid w:val="009B059A"/>
    <w:rsid w:val="009B0A14"/>
    <w:rsid w:val="009B0A8A"/>
    <w:rsid w:val="009B0E63"/>
    <w:rsid w:val="009C043F"/>
    <w:rsid w:val="009C1684"/>
    <w:rsid w:val="009C2B62"/>
    <w:rsid w:val="009C3578"/>
    <w:rsid w:val="009C3DAF"/>
    <w:rsid w:val="009C3E01"/>
    <w:rsid w:val="009C426E"/>
    <w:rsid w:val="009D08E6"/>
    <w:rsid w:val="009D12CD"/>
    <w:rsid w:val="009D4394"/>
    <w:rsid w:val="009D737E"/>
    <w:rsid w:val="009D7801"/>
    <w:rsid w:val="009E1BA0"/>
    <w:rsid w:val="009E2289"/>
    <w:rsid w:val="009E22EF"/>
    <w:rsid w:val="009E2A3A"/>
    <w:rsid w:val="009E2B2D"/>
    <w:rsid w:val="009E3385"/>
    <w:rsid w:val="009E38B3"/>
    <w:rsid w:val="009E46E8"/>
    <w:rsid w:val="009E7CA6"/>
    <w:rsid w:val="009F0B88"/>
    <w:rsid w:val="009F0C3F"/>
    <w:rsid w:val="009F0C62"/>
    <w:rsid w:val="009F0DAB"/>
    <w:rsid w:val="009F44CA"/>
    <w:rsid w:val="00A04242"/>
    <w:rsid w:val="00A055F2"/>
    <w:rsid w:val="00A061A4"/>
    <w:rsid w:val="00A06EB3"/>
    <w:rsid w:val="00A06EEA"/>
    <w:rsid w:val="00A07797"/>
    <w:rsid w:val="00A07BA2"/>
    <w:rsid w:val="00A11522"/>
    <w:rsid w:val="00A1158C"/>
    <w:rsid w:val="00A11943"/>
    <w:rsid w:val="00A120C0"/>
    <w:rsid w:val="00A12294"/>
    <w:rsid w:val="00A126CF"/>
    <w:rsid w:val="00A13177"/>
    <w:rsid w:val="00A13F6E"/>
    <w:rsid w:val="00A150ED"/>
    <w:rsid w:val="00A163C2"/>
    <w:rsid w:val="00A203DA"/>
    <w:rsid w:val="00A2522F"/>
    <w:rsid w:val="00A26DB5"/>
    <w:rsid w:val="00A27A35"/>
    <w:rsid w:val="00A3180D"/>
    <w:rsid w:val="00A326AA"/>
    <w:rsid w:val="00A32EAE"/>
    <w:rsid w:val="00A33F0B"/>
    <w:rsid w:val="00A35B02"/>
    <w:rsid w:val="00A3630D"/>
    <w:rsid w:val="00A363DA"/>
    <w:rsid w:val="00A37384"/>
    <w:rsid w:val="00A4055F"/>
    <w:rsid w:val="00A425FC"/>
    <w:rsid w:val="00A46AE8"/>
    <w:rsid w:val="00A520BB"/>
    <w:rsid w:val="00A53C90"/>
    <w:rsid w:val="00A544DF"/>
    <w:rsid w:val="00A54C8F"/>
    <w:rsid w:val="00A5594A"/>
    <w:rsid w:val="00A55D22"/>
    <w:rsid w:val="00A57890"/>
    <w:rsid w:val="00A57B4E"/>
    <w:rsid w:val="00A61283"/>
    <w:rsid w:val="00A6219D"/>
    <w:rsid w:val="00A63129"/>
    <w:rsid w:val="00A63BD3"/>
    <w:rsid w:val="00A63F3F"/>
    <w:rsid w:val="00A646DE"/>
    <w:rsid w:val="00A72352"/>
    <w:rsid w:val="00A73E58"/>
    <w:rsid w:val="00A74FE3"/>
    <w:rsid w:val="00A81243"/>
    <w:rsid w:val="00A845EC"/>
    <w:rsid w:val="00A852B4"/>
    <w:rsid w:val="00A90772"/>
    <w:rsid w:val="00A913D3"/>
    <w:rsid w:val="00A91BED"/>
    <w:rsid w:val="00A93E74"/>
    <w:rsid w:val="00A949A8"/>
    <w:rsid w:val="00A959B8"/>
    <w:rsid w:val="00A9628B"/>
    <w:rsid w:val="00A96390"/>
    <w:rsid w:val="00A97322"/>
    <w:rsid w:val="00A97BB0"/>
    <w:rsid w:val="00AA03D7"/>
    <w:rsid w:val="00AA1224"/>
    <w:rsid w:val="00AA196D"/>
    <w:rsid w:val="00AA220C"/>
    <w:rsid w:val="00AA31FA"/>
    <w:rsid w:val="00AA341B"/>
    <w:rsid w:val="00AA4F8E"/>
    <w:rsid w:val="00AA7115"/>
    <w:rsid w:val="00AB0220"/>
    <w:rsid w:val="00AB1D5F"/>
    <w:rsid w:val="00AB1DE3"/>
    <w:rsid w:val="00AB262A"/>
    <w:rsid w:val="00AB2C25"/>
    <w:rsid w:val="00AB4B48"/>
    <w:rsid w:val="00AB4FFF"/>
    <w:rsid w:val="00AB55DE"/>
    <w:rsid w:val="00AB5E86"/>
    <w:rsid w:val="00AB656C"/>
    <w:rsid w:val="00AB65D2"/>
    <w:rsid w:val="00AB66B3"/>
    <w:rsid w:val="00AB6CFB"/>
    <w:rsid w:val="00AC0CBA"/>
    <w:rsid w:val="00AC28DE"/>
    <w:rsid w:val="00AC4A36"/>
    <w:rsid w:val="00AC5219"/>
    <w:rsid w:val="00AC6A1B"/>
    <w:rsid w:val="00AC6CBD"/>
    <w:rsid w:val="00AD047E"/>
    <w:rsid w:val="00AD3355"/>
    <w:rsid w:val="00AD376A"/>
    <w:rsid w:val="00AD4D45"/>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5288"/>
    <w:rsid w:val="00AF5D31"/>
    <w:rsid w:val="00AF655B"/>
    <w:rsid w:val="00AF75E2"/>
    <w:rsid w:val="00AF7B04"/>
    <w:rsid w:val="00B008C0"/>
    <w:rsid w:val="00B0302C"/>
    <w:rsid w:val="00B0358D"/>
    <w:rsid w:val="00B06365"/>
    <w:rsid w:val="00B1155E"/>
    <w:rsid w:val="00B1289A"/>
    <w:rsid w:val="00B12987"/>
    <w:rsid w:val="00B13340"/>
    <w:rsid w:val="00B13763"/>
    <w:rsid w:val="00B14DC1"/>
    <w:rsid w:val="00B15CD3"/>
    <w:rsid w:val="00B17E58"/>
    <w:rsid w:val="00B2145E"/>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6D5E"/>
    <w:rsid w:val="00B4720A"/>
    <w:rsid w:val="00B50716"/>
    <w:rsid w:val="00B50FC5"/>
    <w:rsid w:val="00B55F78"/>
    <w:rsid w:val="00B561E8"/>
    <w:rsid w:val="00B57549"/>
    <w:rsid w:val="00B6068D"/>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905EC"/>
    <w:rsid w:val="00B90C10"/>
    <w:rsid w:val="00B919C4"/>
    <w:rsid w:val="00B9252C"/>
    <w:rsid w:val="00B92A35"/>
    <w:rsid w:val="00B9498B"/>
    <w:rsid w:val="00B951B1"/>
    <w:rsid w:val="00B96277"/>
    <w:rsid w:val="00B979BD"/>
    <w:rsid w:val="00B97A23"/>
    <w:rsid w:val="00BA361B"/>
    <w:rsid w:val="00BA4A84"/>
    <w:rsid w:val="00BA4C9A"/>
    <w:rsid w:val="00BA53B5"/>
    <w:rsid w:val="00BA68DB"/>
    <w:rsid w:val="00BA7ABE"/>
    <w:rsid w:val="00BB0A71"/>
    <w:rsid w:val="00BB201E"/>
    <w:rsid w:val="00BB3E2D"/>
    <w:rsid w:val="00BB3E77"/>
    <w:rsid w:val="00BB5C1E"/>
    <w:rsid w:val="00BB6DF6"/>
    <w:rsid w:val="00BB7AA8"/>
    <w:rsid w:val="00BC01AD"/>
    <w:rsid w:val="00BC0359"/>
    <w:rsid w:val="00BC0EA4"/>
    <w:rsid w:val="00BC1EBF"/>
    <w:rsid w:val="00BC2E68"/>
    <w:rsid w:val="00BC44B6"/>
    <w:rsid w:val="00BC70ED"/>
    <w:rsid w:val="00BC79C0"/>
    <w:rsid w:val="00BD1D37"/>
    <w:rsid w:val="00BD212B"/>
    <w:rsid w:val="00BD42DB"/>
    <w:rsid w:val="00BD6245"/>
    <w:rsid w:val="00BD7ECA"/>
    <w:rsid w:val="00BE1049"/>
    <w:rsid w:val="00BE17A9"/>
    <w:rsid w:val="00BE231E"/>
    <w:rsid w:val="00BE407A"/>
    <w:rsid w:val="00BE6F5B"/>
    <w:rsid w:val="00BF1413"/>
    <w:rsid w:val="00BF19C4"/>
    <w:rsid w:val="00BF23FE"/>
    <w:rsid w:val="00BF3BAD"/>
    <w:rsid w:val="00BF3CBD"/>
    <w:rsid w:val="00BF411A"/>
    <w:rsid w:val="00BF423A"/>
    <w:rsid w:val="00BF4C2E"/>
    <w:rsid w:val="00C00B5F"/>
    <w:rsid w:val="00C00D58"/>
    <w:rsid w:val="00C02A15"/>
    <w:rsid w:val="00C02C4F"/>
    <w:rsid w:val="00C0327F"/>
    <w:rsid w:val="00C0387E"/>
    <w:rsid w:val="00C06E3C"/>
    <w:rsid w:val="00C1747F"/>
    <w:rsid w:val="00C20E79"/>
    <w:rsid w:val="00C226E8"/>
    <w:rsid w:val="00C22D5D"/>
    <w:rsid w:val="00C233B8"/>
    <w:rsid w:val="00C25BEE"/>
    <w:rsid w:val="00C26F1C"/>
    <w:rsid w:val="00C3280C"/>
    <w:rsid w:val="00C356C1"/>
    <w:rsid w:val="00C35E26"/>
    <w:rsid w:val="00C36C28"/>
    <w:rsid w:val="00C36D56"/>
    <w:rsid w:val="00C3701E"/>
    <w:rsid w:val="00C42333"/>
    <w:rsid w:val="00C4233A"/>
    <w:rsid w:val="00C44DC2"/>
    <w:rsid w:val="00C450EC"/>
    <w:rsid w:val="00C50014"/>
    <w:rsid w:val="00C50E68"/>
    <w:rsid w:val="00C52DE8"/>
    <w:rsid w:val="00C5443A"/>
    <w:rsid w:val="00C569A3"/>
    <w:rsid w:val="00C56AD4"/>
    <w:rsid w:val="00C60E4C"/>
    <w:rsid w:val="00C60FF1"/>
    <w:rsid w:val="00C613B7"/>
    <w:rsid w:val="00C61512"/>
    <w:rsid w:val="00C61ED0"/>
    <w:rsid w:val="00C644A6"/>
    <w:rsid w:val="00C64CE8"/>
    <w:rsid w:val="00C65E9D"/>
    <w:rsid w:val="00C675AD"/>
    <w:rsid w:val="00C67D1A"/>
    <w:rsid w:val="00C704B7"/>
    <w:rsid w:val="00C71D94"/>
    <w:rsid w:val="00C73155"/>
    <w:rsid w:val="00C7447E"/>
    <w:rsid w:val="00C74C5F"/>
    <w:rsid w:val="00C75B3B"/>
    <w:rsid w:val="00C76852"/>
    <w:rsid w:val="00C7767B"/>
    <w:rsid w:val="00C77D9C"/>
    <w:rsid w:val="00C81EC7"/>
    <w:rsid w:val="00C82DC0"/>
    <w:rsid w:val="00C847AF"/>
    <w:rsid w:val="00C860DD"/>
    <w:rsid w:val="00C8752E"/>
    <w:rsid w:val="00C879A1"/>
    <w:rsid w:val="00C901B4"/>
    <w:rsid w:val="00C92311"/>
    <w:rsid w:val="00C92F49"/>
    <w:rsid w:val="00C944BE"/>
    <w:rsid w:val="00C959C7"/>
    <w:rsid w:val="00C96075"/>
    <w:rsid w:val="00C97B56"/>
    <w:rsid w:val="00CA1DA2"/>
    <w:rsid w:val="00CA2595"/>
    <w:rsid w:val="00CA3052"/>
    <w:rsid w:val="00CA3130"/>
    <w:rsid w:val="00CA3806"/>
    <w:rsid w:val="00CA69F1"/>
    <w:rsid w:val="00CA7B0C"/>
    <w:rsid w:val="00CB0B3E"/>
    <w:rsid w:val="00CB14F9"/>
    <w:rsid w:val="00CB1680"/>
    <w:rsid w:val="00CB29D9"/>
    <w:rsid w:val="00CB3318"/>
    <w:rsid w:val="00CB4E2D"/>
    <w:rsid w:val="00CB6C6D"/>
    <w:rsid w:val="00CC05D0"/>
    <w:rsid w:val="00CC2078"/>
    <w:rsid w:val="00CC33D6"/>
    <w:rsid w:val="00CC5CB2"/>
    <w:rsid w:val="00CC605A"/>
    <w:rsid w:val="00CD10B1"/>
    <w:rsid w:val="00CD13CF"/>
    <w:rsid w:val="00CD38F0"/>
    <w:rsid w:val="00CD3EE5"/>
    <w:rsid w:val="00CD4D5D"/>
    <w:rsid w:val="00CD5018"/>
    <w:rsid w:val="00CD7168"/>
    <w:rsid w:val="00CD7E85"/>
    <w:rsid w:val="00CE0116"/>
    <w:rsid w:val="00CE0AE1"/>
    <w:rsid w:val="00CE0E02"/>
    <w:rsid w:val="00CE285C"/>
    <w:rsid w:val="00CE2942"/>
    <w:rsid w:val="00CE43E0"/>
    <w:rsid w:val="00CE44DA"/>
    <w:rsid w:val="00CE5D7B"/>
    <w:rsid w:val="00CF09E4"/>
    <w:rsid w:val="00CF0B22"/>
    <w:rsid w:val="00CF0F7A"/>
    <w:rsid w:val="00CF199D"/>
    <w:rsid w:val="00CF2CE8"/>
    <w:rsid w:val="00CF3FA9"/>
    <w:rsid w:val="00CF53F5"/>
    <w:rsid w:val="00CF5885"/>
    <w:rsid w:val="00CF7A5C"/>
    <w:rsid w:val="00CF7B6A"/>
    <w:rsid w:val="00CF7DAD"/>
    <w:rsid w:val="00D01126"/>
    <w:rsid w:val="00D012D3"/>
    <w:rsid w:val="00D02587"/>
    <w:rsid w:val="00D03382"/>
    <w:rsid w:val="00D038AC"/>
    <w:rsid w:val="00D03F28"/>
    <w:rsid w:val="00D056A2"/>
    <w:rsid w:val="00D10BD3"/>
    <w:rsid w:val="00D12A9F"/>
    <w:rsid w:val="00D16593"/>
    <w:rsid w:val="00D178E0"/>
    <w:rsid w:val="00D20C5C"/>
    <w:rsid w:val="00D21E06"/>
    <w:rsid w:val="00D21EB7"/>
    <w:rsid w:val="00D23214"/>
    <w:rsid w:val="00D24D90"/>
    <w:rsid w:val="00D25E4D"/>
    <w:rsid w:val="00D26A0C"/>
    <w:rsid w:val="00D2700C"/>
    <w:rsid w:val="00D32B32"/>
    <w:rsid w:val="00D336B8"/>
    <w:rsid w:val="00D353B7"/>
    <w:rsid w:val="00D353ED"/>
    <w:rsid w:val="00D37365"/>
    <w:rsid w:val="00D3778B"/>
    <w:rsid w:val="00D4133C"/>
    <w:rsid w:val="00D4205C"/>
    <w:rsid w:val="00D42A06"/>
    <w:rsid w:val="00D440C9"/>
    <w:rsid w:val="00D44A45"/>
    <w:rsid w:val="00D46D1C"/>
    <w:rsid w:val="00D47B67"/>
    <w:rsid w:val="00D5114F"/>
    <w:rsid w:val="00D51B65"/>
    <w:rsid w:val="00D53F84"/>
    <w:rsid w:val="00D56944"/>
    <w:rsid w:val="00D56954"/>
    <w:rsid w:val="00D56B69"/>
    <w:rsid w:val="00D56CDD"/>
    <w:rsid w:val="00D62E47"/>
    <w:rsid w:val="00D64947"/>
    <w:rsid w:val="00D70A58"/>
    <w:rsid w:val="00D7211C"/>
    <w:rsid w:val="00D74BF3"/>
    <w:rsid w:val="00D74C4C"/>
    <w:rsid w:val="00D75C1C"/>
    <w:rsid w:val="00D80252"/>
    <w:rsid w:val="00D8251C"/>
    <w:rsid w:val="00D82A24"/>
    <w:rsid w:val="00D82DB4"/>
    <w:rsid w:val="00D83B95"/>
    <w:rsid w:val="00D846CA"/>
    <w:rsid w:val="00D84A3C"/>
    <w:rsid w:val="00D870E9"/>
    <w:rsid w:val="00D874DB"/>
    <w:rsid w:val="00D92179"/>
    <w:rsid w:val="00D94567"/>
    <w:rsid w:val="00D9647E"/>
    <w:rsid w:val="00D96E2F"/>
    <w:rsid w:val="00DA5C32"/>
    <w:rsid w:val="00DA6D7B"/>
    <w:rsid w:val="00DA770E"/>
    <w:rsid w:val="00DB0BF5"/>
    <w:rsid w:val="00DB0CEC"/>
    <w:rsid w:val="00DB1185"/>
    <w:rsid w:val="00DB3C6E"/>
    <w:rsid w:val="00DB3D51"/>
    <w:rsid w:val="00DB4281"/>
    <w:rsid w:val="00DB7133"/>
    <w:rsid w:val="00DC0208"/>
    <w:rsid w:val="00DC465C"/>
    <w:rsid w:val="00DC4F6F"/>
    <w:rsid w:val="00DC6E1E"/>
    <w:rsid w:val="00DD4374"/>
    <w:rsid w:val="00DD6502"/>
    <w:rsid w:val="00DD6E07"/>
    <w:rsid w:val="00DD714C"/>
    <w:rsid w:val="00DE005F"/>
    <w:rsid w:val="00DE0CDD"/>
    <w:rsid w:val="00DE1254"/>
    <w:rsid w:val="00DE28AB"/>
    <w:rsid w:val="00DE29D7"/>
    <w:rsid w:val="00DE3681"/>
    <w:rsid w:val="00DE4B4B"/>
    <w:rsid w:val="00DE4B85"/>
    <w:rsid w:val="00DF3584"/>
    <w:rsid w:val="00DF55DF"/>
    <w:rsid w:val="00DF5A32"/>
    <w:rsid w:val="00DF61D8"/>
    <w:rsid w:val="00E0083E"/>
    <w:rsid w:val="00E024D2"/>
    <w:rsid w:val="00E030C9"/>
    <w:rsid w:val="00E0389B"/>
    <w:rsid w:val="00E03A22"/>
    <w:rsid w:val="00E05439"/>
    <w:rsid w:val="00E0579A"/>
    <w:rsid w:val="00E05F1D"/>
    <w:rsid w:val="00E10534"/>
    <w:rsid w:val="00E10E97"/>
    <w:rsid w:val="00E13CFC"/>
    <w:rsid w:val="00E13D86"/>
    <w:rsid w:val="00E14310"/>
    <w:rsid w:val="00E20D35"/>
    <w:rsid w:val="00E22084"/>
    <w:rsid w:val="00E22767"/>
    <w:rsid w:val="00E245A6"/>
    <w:rsid w:val="00E25C2D"/>
    <w:rsid w:val="00E2791D"/>
    <w:rsid w:val="00E32A1D"/>
    <w:rsid w:val="00E33788"/>
    <w:rsid w:val="00E3410E"/>
    <w:rsid w:val="00E403FB"/>
    <w:rsid w:val="00E4045B"/>
    <w:rsid w:val="00E41D60"/>
    <w:rsid w:val="00E420B0"/>
    <w:rsid w:val="00E42A3E"/>
    <w:rsid w:val="00E450B0"/>
    <w:rsid w:val="00E473F4"/>
    <w:rsid w:val="00E500D9"/>
    <w:rsid w:val="00E50B0C"/>
    <w:rsid w:val="00E52C9E"/>
    <w:rsid w:val="00E53A1F"/>
    <w:rsid w:val="00E53E5F"/>
    <w:rsid w:val="00E57A45"/>
    <w:rsid w:val="00E613F6"/>
    <w:rsid w:val="00E63261"/>
    <w:rsid w:val="00E63383"/>
    <w:rsid w:val="00E63412"/>
    <w:rsid w:val="00E6347A"/>
    <w:rsid w:val="00E63E21"/>
    <w:rsid w:val="00E63EAF"/>
    <w:rsid w:val="00E66849"/>
    <w:rsid w:val="00E7010B"/>
    <w:rsid w:val="00E70BA3"/>
    <w:rsid w:val="00E7139A"/>
    <w:rsid w:val="00E7148B"/>
    <w:rsid w:val="00E71513"/>
    <w:rsid w:val="00E73AD7"/>
    <w:rsid w:val="00E755DF"/>
    <w:rsid w:val="00E76CE3"/>
    <w:rsid w:val="00E8003D"/>
    <w:rsid w:val="00E82F59"/>
    <w:rsid w:val="00E83567"/>
    <w:rsid w:val="00E835F2"/>
    <w:rsid w:val="00E843CB"/>
    <w:rsid w:val="00E84B10"/>
    <w:rsid w:val="00E84FBC"/>
    <w:rsid w:val="00E8578F"/>
    <w:rsid w:val="00E876BF"/>
    <w:rsid w:val="00E90397"/>
    <w:rsid w:val="00E90BDB"/>
    <w:rsid w:val="00E9160D"/>
    <w:rsid w:val="00E91B23"/>
    <w:rsid w:val="00E92407"/>
    <w:rsid w:val="00E9262A"/>
    <w:rsid w:val="00E927E9"/>
    <w:rsid w:val="00EA0A6E"/>
    <w:rsid w:val="00EA374C"/>
    <w:rsid w:val="00EA3CBF"/>
    <w:rsid w:val="00EA6A93"/>
    <w:rsid w:val="00EA6E29"/>
    <w:rsid w:val="00EB1275"/>
    <w:rsid w:val="00EB13C5"/>
    <w:rsid w:val="00EB1BA2"/>
    <w:rsid w:val="00EB2BD4"/>
    <w:rsid w:val="00EB3DA4"/>
    <w:rsid w:val="00EB512C"/>
    <w:rsid w:val="00EB5CE0"/>
    <w:rsid w:val="00EB6DB1"/>
    <w:rsid w:val="00EC1B98"/>
    <w:rsid w:val="00EC212C"/>
    <w:rsid w:val="00EC3A14"/>
    <w:rsid w:val="00EC4C4F"/>
    <w:rsid w:val="00EC6507"/>
    <w:rsid w:val="00ED08E0"/>
    <w:rsid w:val="00ED08E6"/>
    <w:rsid w:val="00ED0E52"/>
    <w:rsid w:val="00ED208B"/>
    <w:rsid w:val="00ED3242"/>
    <w:rsid w:val="00ED3ECF"/>
    <w:rsid w:val="00ED6D4F"/>
    <w:rsid w:val="00EE2602"/>
    <w:rsid w:val="00EE2DA4"/>
    <w:rsid w:val="00EE3490"/>
    <w:rsid w:val="00EE3CAE"/>
    <w:rsid w:val="00EE4132"/>
    <w:rsid w:val="00EE6DC8"/>
    <w:rsid w:val="00EE7827"/>
    <w:rsid w:val="00EF0368"/>
    <w:rsid w:val="00EF1231"/>
    <w:rsid w:val="00EF14C7"/>
    <w:rsid w:val="00EF5B11"/>
    <w:rsid w:val="00EF60B2"/>
    <w:rsid w:val="00F00060"/>
    <w:rsid w:val="00F000D3"/>
    <w:rsid w:val="00F015C6"/>
    <w:rsid w:val="00F052D0"/>
    <w:rsid w:val="00F072DE"/>
    <w:rsid w:val="00F07323"/>
    <w:rsid w:val="00F0772F"/>
    <w:rsid w:val="00F07BA3"/>
    <w:rsid w:val="00F10B2A"/>
    <w:rsid w:val="00F10E1E"/>
    <w:rsid w:val="00F1110B"/>
    <w:rsid w:val="00F1392B"/>
    <w:rsid w:val="00F15160"/>
    <w:rsid w:val="00F16205"/>
    <w:rsid w:val="00F1633B"/>
    <w:rsid w:val="00F172D8"/>
    <w:rsid w:val="00F17D6E"/>
    <w:rsid w:val="00F2043B"/>
    <w:rsid w:val="00F21DC2"/>
    <w:rsid w:val="00F242C1"/>
    <w:rsid w:val="00F26236"/>
    <w:rsid w:val="00F26367"/>
    <w:rsid w:val="00F267CA"/>
    <w:rsid w:val="00F2778E"/>
    <w:rsid w:val="00F30696"/>
    <w:rsid w:val="00F33ADA"/>
    <w:rsid w:val="00F34D03"/>
    <w:rsid w:val="00F3576A"/>
    <w:rsid w:val="00F35B2B"/>
    <w:rsid w:val="00F37B26"/>
    <w:rsid w:val="00F40B47"/>
    <w:rsid w:val="00F439AD"/>
    <w:rsid w:val="00F44D62"/>
    <w:rsid w:val="00F45A2A"/>
    <w:rsid w:val="00F4664B"/>
    <w:rsid w:val="00F468FE"/>
    <w:rsid w:val="00F47257"/>
    <w:rsid w:val="00F476A1"/>
    <w:rsid w:val="00F533A3"/>
    <w:rsid w:val="00F54B8E"/>
    <w:rsid w:val="00F55629"/>
    <w:rsid w:val="00F562BD"/>
    <w:rsid w:val="00F576F1"/>
    <w:rsid w:val="00F61C8A"/>
    <w:rsid w:val="00F62DC9"/>
    <w:rsid w:val="00F6463B"/>
    <w:rsid w:val="00F656D5"/>
    <w:rsid w:val="00F65C1B"/>
    <w:rsid w:val="00F66001"/>
    <w:rsid w:val="00F718BA"/>
    <w:rsid w:val="00F71D56"/>
    <w:rsid w:val="00F722CD"/>
    <w:rsid w:val="00F72720"/>
    <w:rsid w:val="00F7318F"/>
    <w:rsid w:val="00F7526B"/>
    <w:rsid w:val="00F80355"/>
    <w:rsid w:val="00F8335C"/>
    <w:rsid w:val="00F8366A"/>
    <w:rsid w:val="00F8387B"/>
    <w:rsid w:val="00F8448E"/>
    <w:rsid w:val="00F85C06"/>
    <w:rsid w:val="00F87597"/>
    <w:rsid w:val="00F946AC"/>
    <w:rsid w:val="00F950A3"/>
    <w:rsid w:val="00F96914"/>
    <w:rsid w:val="00FA0C0A"/>
    <w:rsid w:val="00FA0E10"/>
    <w:rsid w:val="00FA11A4"/>
    <w:rsid w:val="00FA27DB"/>
    <w:rsid w:val="00FA27DF"/>
    <w:rsid w:val="00FA43B4"/>
    <w:rsid w:val="00FA5C55"/>
    <w:rsid w:val="00FA79DC"/>
    <w:rsid w:val="00FB1A3D"/>
    <w:rsid w:val="00FB1E81"/>
    <w:rsid w:val="00FB2431"/>
    <w:rsid w:val="00FB322F"/>
    <w:rsid w:val="00FC0100"/>
    <w:rsid w:val="00FC0D7C"/>
    <w:rsid w:val="00FC1A5A"/>
    <w:rsid w:val="00FC3369"/>
    <w:rsid w:val="00FC38BB"/>
    <w:rsid w:val="00FC39EB"/>
    <w:rsid w:val="00FC3A1F"/>
    <w:rsid w:val="00FC7CF2"/>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7FBC3"/>
  <w15:docId w15:val="{6B5E8479-50AF-4F18-9FE5-7554616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446548">
      <w:bodyDiv w:val="1"/>
      <w:marLeft w:val="0"/>
      <w:marRight w:val="0"/>
      <w:marTop w:val="0"/>
      <w:marBottom w:val="0"/>
      <w:divBdr>
        <w:top w:val="none" w:sz="0" w:space="0" w:color="auto"/>
        <w:left w:val="none" w:sz="0" w:space="0" w:color="auto"/>
        <w:bottom w:val="none" w:sz="0" w:space="0" w:color="auto"/>
        <w:right w:val="none" w:sz="0" w:space="0" w:color="auto"/>
      </w:divBdr>
    </w:div>
    <w:div w:id="1321739612">
      <w:bodyDiv w:val="1"/>
      <w:marLeft w:val="0"/>
      <w:marRight w:val="0"/>
      <w:marTop w:val="0"/>
      <w:marBottom w:val="0"/>
      <w:divBdr>
        <w:top w:val="none" w:sz="0" w:space="0" w:color="auto"/>
        <w:left w:val="none" w:sz="0" w:space="0" w:color="auto"/>
        <w:bottom w:val="none" w:sz="0" w:space="0" w:color="auto"/>
        <w:right w:val="none" w:sz="0" w:space="0" w:color="auto"/>
      </w:divBdr>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9269/NIC_charter_6_final.pdf" TargetMode="External"/><Relationship Id="rId13" Type="http://schemas.openxmlformats.org/officeDocument/2006/relationships/hyperlink" Target="https://www.gov.uk/government/consultations/national-infrastructure-commission" TargetMode="Externa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organisations/national-infrastructure-commission"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https://www.gov.uk/government/uploads/system/uploads/attachment_data/file/577906/CONNECTED_FUTURE_ACCESSIBLE.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63516/NIA_call_for_evidence_October_2017.pdf" TargetMode="External"/><Relationship Id="rId5" Type="http://schemas.openxmlformats.org/officeDocument/2006/relationships/webSettings" Target="webSettings.xml"/><Relationship Id="rId15" Type="http://schemas.openxmlformats.org/officeDocument/2006/relationships/hyperlink" Target="http://ec.europa.eu/newsroom/dae/document.cfm?doc_id=6908" TargetMode="External"/><Relationship Id="rId10" Type="http://schemas.openxmlformats.org/officeDocument/2006/relationships/hyperlink" Target="https://www.gov.uk/government/publications/national-infrastructure-assessment-consultation-respons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uploads/system/uploads/attachment_data/file/585374/NIC_framework_document_web.pdf" TargetMode="External"/><Relationship Id="rId14" Type="http://schemas.openxmlformats.org/officeDocument/2006/relationships/hyperlink" Target="https://www.gov.uk/government/publications/connected-futur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B5CB7-0F0D-46DF-9C36-9DF0A4640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4082</Words>
  <Characters>23273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27301</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Bergin</dc:creator>
  <cp:keywords/>
  <dc:description/>
  <cp:lastModifiedBy>Ben Hurford</cp:lastModifiedBy>
  <cp:revision>7</cp:revision>
  <cp:lastPrinted>2017-02-24T17:14:00Z</cp:lastPrinted>
  <dcterms:created xsi:type="dcterms:W3CDTF">2017-03-02T13:32:00Z</dcterms:created>
  <dcterms:modified xsi:type="dcterms:W3CDTF">2017-03-06T10:47:00Z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