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8C022" w14:textId="6217FC4F" w:rsidR="005A1A3C" w:rsidRPr="00FA6858" w:rsidRDefault="009F6003" w:rsidP="005A1A3C">
      <w:pPr>
        <w:spacing w:before="120" w:after="120" w:line="256" w:lineRule="auto"/>
        <w:jc w:val="center"/>
        <w:rPr>
          <w:rFonts w:ascii="Arial" w:eastAsia="Calibri" w:hAnsi="Arial" w:cs="Arial"/>
          <w:b/>
          <w:sz w:val="24"/>
          <w:szCs w:val="24"/>
        </w:rPr>
      </w:pPr>
      <w:r>
        <w:rPr>
          <w:rFonts w:ascii="Arial" w:eastAsia="Calibri" w:hAnsi="Arial" w:cs="Arial"/>
          <w:b/>
          <w:sz w:val="24"/>
          <w:szCs w:val="24"/>
        </w:rPr>
        <w:t>Appendix 2 to Schedule 2</w:t>
      </w:r>
    </w:p>
    <w:p w14:paraId="558FBD47" w14:textId="77777777" w:rsidR="005A1A3C" w:rsidRPr="00FA6858" w:rsidRDefault="005A1A3C" w:rsidP="005A1A3C">
      <w:pPr>
        <w:spacing w:before="120" w:after="120" w:line="256" w:lineRule="auto"/>
        <w:jc w:val="center"/>
        <w:rPr>
          <w:rFonts w:ascii="Arial" w:eastAsia="Calibri" w:hAnsi="Arial" w:cs="Arial"/>
          <w:b/>
          <w:sz w:val="24"/>
          <w:szCs w:val="24"/>
        </w:rPr>
      </w:pPr>
      <w:r w:rsidRPr="00FA6858">
        <w:rPr>
          <w:rFonts w:ascii="Arial" w:eastAsia="Calibri" w:hAnsi="Arial" w:cs="Arial"/>
          <w:b/>
          <w:sz w:val="24"/>
          <w:szCs w:val="24"/>
        </w:rPr>
        <w:t>PERFORMANCE MEASUREMENT</w:t>
      </w:r>
    </w:p>
    <w:p w14:paraId="065D4056" w14:textId="77777777" w:rsidR="005A1A3C" w:rsidRPr="00FA6858" w:rsidRDefault="005A1A3C" w:rsidP="005A1A3C">
      <w:pPr>
        <w:pStyle w:val="Title"/>
        <w:spacing w:before="120" w:after="120"/>
        <w:rPr>
          <w:rFonts w:ascii="Arial" w:hAnsi="Arial" w:cs="Arial"/>
          <w:szCs w:val="24"/>
        </w:rPr>
      </w:pPr>
    </w:p>
    <w:p w14:paraId="4279DA2A" w14:textId="77777777" w:rsidR="005A1A3C" w:rsidRPr="00FA6858" w:rsidRDefault="005A1A3C" w:rsidP="005A1A3C">
      <w:pPr>
        <w:pStyle w:val="Heading1"/>
        <w:keepLines w:val="0"/>
        <w:numPr>
          <w:ilvl w:val="0"/>
          <w:numId w:val="5"/>
        </w:numPr>
        <w:tabs>
          <w:tab w:val="left" w:pos="720"/>
        </w:tabs>
        <w:spacing w:before="120" w:after="120" w:line="360" w:lineRule="auto"/>
        <w:contextualSpacing w:val="0"/>
        <w:rPr>
          <w:rFonts w:cs="Arial"/>
          <w:b w:val="0"/>
          <w:szCs w:val="24"/>
        </w:rPr>
      </w:pPr>
      <w:r w:rsidRPr="00FA6858">
        <w:rPr>
          <w:rFonts w:cs="Arial"/>
          <w:szCs w:val="24"/>
        </w:rPr>
        <w:t>INTRODUCTION</w:t>
      </w:r>
    </w:p>
    <w:p w14:paraId="57B35C91" w14:textId="4BFBB736" w:rsidR="005A1A3C" w:rsidRPr="00FA6858" w:rsidRDefault="005A1A3C" w:rsidP="005A1A3C">
      <w:pPr>
        <w:pStyle w:val="BodyText"/>
        <w:numPr>
          <w:ilvl w:val="1"/>
          <w:numId w:val="5"/>
        </w:numPr>
        <w:spacing w:before="120" w:after="120" w:line="240" w:lineRule="auto"/>
        <w:jc w:val="left"/>
        <w:rPr>
          <w:rFonts w:ascii="Arial" w:hAnsi="Arial" w:cs="Arial"/>
          <w:szCs w:val="24"/>
        </w:rPr>
      </w:pPr>
      <w:r>
        <w:rPr>
          <w:rFonts w:ascii="Arial" w:hAnsi="Arial" w:cs="Arial"/>
          <w:szCs w:val="24"/>
        </w:rPr>
        <w:t>T</w:t>
      </w:r>
      <w:r w:rsidRPr="00FA6858">
        <w:rPr>
          <w:rFonts w:ascii="Arial" w:hAnsi="Arial" w:cs="Arial"/>
          <w:szCs w:val="24"/>
        </w:rPr>
        <w:t xml:space="preserve">his Schedule sets out the process which will be followed to measure the </w:t>
      </w:r>
      <w:r>
        <w:rPr>
          <w:rFonts w:ascii="Arial" w:hAnsi="Arial" w:cs="Arial"/>
          <w:szCs w:val="24"/>
        </w:rPr>
        <w:t>requirements set out within</w:t>
      </w:r>
      <w:r w:rsidRPr="00FA6858">
        <w:rPr>
          <w:rFonts w:ascii="Arial" w:hAnsi="Arial" w:cs="Arial"/>
          <w:szCs w:val="24"/>
        </w:rPr>
        <w:t xml:space="preserve"> the </w:t>
      </w:r>
      <w:r w:rsidR="00A712E5">
        <w:rPr>
          <w:rFonts w:ascii="Arial" w:hAnsi="Arial" w:cs="Arial"/>
          <w:szCs w:val="24"/>
        </w:rPr>
        <w:t xml:space="preserve">Statement </w:t>
      </w:r>
      <w:r w:rsidR="00D44F0B">
        <w:rPr>
          <w:rFonts w:ascii="Arial" w:hAnsi="Arial" w:cs="Arial"/>
          <w:szCs w:val="24"/>
        </w:rPr>
        <w:t>of</w:t>
      </w:r>
      <w:r w:rsidR="00A712E5">
        <w:rPr>
          <w:rFonts w:ascii="Arial" w:hAnsi="Arial" w:cs="Arial"/>
          <w:szCs w:val="24"/>
        </w:rPr>
        <w:t xml:space="preserve"> </w:t>
      </w:r>
      <w:r w:rsidR="00A710BB">
        <w:rPr>
          <w:rFonts w:ascii="Arial" w:hAnsi="Arial" w:cs="Arial"/>
          <w:szCs w:val="24"/>
        </w:rPr>
        <w:t>Requirements</w:t>
      </w:r>
      <w:r>
        <w:rPr>
          <w:rFonts w:ascii="Arial" w:hAnsi="Arial" w:cs="Arial"/>
          <w:szCs w:val="24"/>
        </w:rPr>
        <w:t xml:space="preserve"> (SOR)</w:t>
      </w:r>
      <w:r w:rsidRPr="00FA6858">
        <w:rPr>
          <w:rFonts w:ascii="Arial" w:hAnsi="Arial" w:cs="Arial"/>
          <w:szCs w:val="24"/>
        </w:rPr>
        <w:t xml:space="preserve">, which will determine the amount payable by the </w:t>
      </w:r>
      <w:r w:rsidR="004C09CA">
        <w:rPr>
          <w:rFonts w:ascii="Arial" w:hAnsi="Arial" w:cs="Arial"/>
          <w:szCs w:val="24"/>
        </w:rPr>
        <w:t>Authority</w:t>
      </w:r>
      <w:r w:rsidRPr="00FA6858">
        <w:rPr>
          <w:rFonts w:ascii="Arial" w:hAnsi="Arial" w:cs="Arial"/>
          <w:szCs w:val="24"/>
        </w:rPr>
        <w:t xml:space="preserve"> to the Contractor.</w:t>
      </w:r>
    </w:p>
    <w:p w14:paraId="16F30251" w14:textId="27B8B89E" w:rsidR="005A1A3C" w:rsidRPr="00FA6858" w:rsidRDefault="005A1A3C" w:rsidP="005A1A3C">
      <w:pPr>
        <w:pStyle w:val="BodyText"/>
        <w:numPr>
          <w:ilvl w:val="1"/>
          <w:numId w:val="5"/>
        </w:numPr>
        <w:spacing w:before="120" w:after="120" w:line="240" w:lineRule="auto"/>
        <w:jc w:val="left"/>
        <w:rPr>
          <w:rFonts w:ascii="Arial" w:hAnsi="Arial" w:cs="Arial"/>
          <w:szCs w:val="24"/>
        </w:rPr>
      </w:pPr>
      <w:r w:rsidRPr="00FA6858">
        <w:rPr>
          <w:rFonts w:ascii="Arial" w:hAnsi="Arial" w:cs="Arial"/>
          <w:szCs w:val="24"/>
        </w:rPr>
        <w:t xml:space="preserve">The Performance Indicators (PIs) at Annex A to this Schedule will be used by the </w:t>
      </w:r>
      <w:r w:rsidR="004C09CA">
        <w:rPr>
          <w:rFonts w:ascii="Arial" w:hAnsi="Arial" w:cs="Arial"/>
          <w:szCs w:val="24"/>
        </w:rPr>
        <w:t>Authority</w:t>
      </w:r>
      <w:r w:rsidRPr="00FA6858">
        <w:rPr>
          <w:rFonts w:ascii="Arial" w:hAnsi="Arial" w:cs="Arial"/>
          <w:szCs w:val="24"/>
        </w:rPr>
        <w:t xml:space="preserve"> as the basis </w:t>
      </w:r>
      <w:r>
        <w:rPr>
          <w:rFonts w:ascii="Arial" w:hAnsi="Arial" w:cs="Arial"/>
          <w:szCs w:val="24"/>
        </w:rPr>
        <w:t>for</w:t>
      </w:r>
      <w:r w:rsidRPr="00FA6858">
        <w:rPr>
          <w:rFonts w:ascii="Arial" w:hAnsi="Arial" w:cs="Arial"/>
          <w:szCs w:val="24"/>
        </w:rPr>
        <w:t xml:space="preserve"> measuring the Contractor’s performance in delivering against </w:t>
      </w:r>
      <w:r>
        <w:rPr>
          <w:rFonts w:ascii="Arial" w:hAnsi="Arial" w:cs="Arial"/>
          <w:szCs w:val="24"/>
        </w:rPr>
        <w:t>the SOR plus any options taken that extend the contract term or add capability</w:t>
      </w:r>
      <w:r w:rsidRPr="00FA6858">
        <w:rPr>
          <w:rFonts w:ascii="Arial" w:hAnsi="Arial" w:cs="Arial"/>
          <w:szCs w:val="24"/>
        </w:rPr>
        <w:t xml:space="preserve">. </w:t>
      </w:r>
    </w:p>
    <w:p w14:paraId="03AC9686" w14:textId="5906B9F3" w:rsidR="005A1A3C" w:rsidRDefault="005A1A3C" w:rsidP="005A1A3C">
      <w:pPr>
        <w:pStyle w:val="BodyText"/>
        <w:numPr>
          <w:ilvl w:val="1"/>
          <w:numId w:val="5"/>
        </w:numPr>
        <w:spacing w:before="120" w:after="120" w:line="240" w:lineRule="auto"/>
        <w:jc w:val="left"/>
        <w:rPr>
          <w:rFonts w:ascii="Arial" w:hAnsi="Arial" w:cs="Arial"/>
          <w:szCs w:val="24"/>
        </w:rPr>
      </w:pPr>
      <w:r w:rsidRPr="00FA6858">
        <w:rPr>
          <w:rFonts w:ascii="Arial" w:hAnsi="Arial" w:cs="Arial"/>
          <w:szCs w:val="24"/>
        </w:rPr>
        <w:t>If the Contractor’s performance falls below that required by each PI, it shall be deemed a Shortfall</w:t>
      </w:r>
      <w:r>
        <w:rPr>
          <w:rStyle w:val="FootnoteReference"/>
          <w:rFonts w:ascii="Arial" w:hAnsi="Arial" w:cs="Arial"/>
          <w:szCs w:val="24"/>
        </w:rPr>
        <w:footnoteReference w:id="1"/>
      </w:r>
      <w:r w:rsidRPr="00FA6858">
        <w:rPr>
          <w:rFonts w:ascii="Arial" w:hAnsi="Arial" w:cs="Arial"/>
          <w:szCs w:val="24"/>
        </w:rPr>
        <w:t xml:space="preserve"> and result in a Payment Deduction being made as set out in </w:t>
      </w:r>
      <w:r>
        <w:rPr>
          <w:rFonts w:ascii="Arial" w:hAnsi="Arial" w:cs="Arial"/>
          <w:szCs w:val="24"/>
        </w:rPr>
        <w:t xml:space="preserve">Annex </w:t>
      </w:r>
      <w:r w:rsidR="009F6003">
        <w:rPr>
          <w:rFonts w:ascii="Arial" w:hAnsi="Arial" w:cs="Arial"/>
          <w:szCs w:val="24"/>
        </w:rPr>
        <w:t xml:space="preserve">A. </w:t>
      </w:r>
    </w:p>
    <w:p w14:paraId="0F1755E5" w14:textId="77777777" w:rsidR="005A1A3C" w:rsidRPr="00FA6858" w:rsidRDefault="005A1A3C" w:rsidP="005A1A3C">
      <w:pPr>
        <w:pStyle w:val="Heading1"/>
        <w:keepLines w:val="0"/>
        <w:numPr>
          <w:ilvl w:val="0"/>
          <w:numId w:val="5"/>
        </w:numPr>
        <w:tabs>
          <w:tab w:val="left" w:pos="720"/>
        </w:tabs>
        <w:spacing w:before="120" w:after="120" w:line="360" w:lineRule="auto"/>
        <w:contextualSpacing w:val="0"/>
        <w:rPr>
          <w:rFonts w:cs="Arial"/>
          <w:b w:val="0"/>
          <w:szCs w:val="24"/>
        </w:rPr>
      </w:pPr>
      <w:bookmarkStart w:id="0" w:name="_Toc24884608"/>
      <w:r w:rsidRPr="00FA6858">
        <w:rPr>
          <w:rFonts w:cs="Arial"/>
          <w:szCs w:val="24"/>
        </w:rPr>
        <w:t>OVERVIEW</w:t>
      </w:r>
      <w:bookmarkEnd w:id="0"/>
    </w:p>
    <w:p w14:paraId="0D46E30C" w14:textId="77777777" w:rsidR="005A1A3C" w:rsidRPr="00FA6858" w:rsidRDefault="005A1A3C" w:rsidP="005A1A3C">
      <w:pPr>
        <w:pStyle w:val="BodyText"/>
        <w:numPr>
          <w:ilvl w:val="1"/>
          <w:numId w:val="5"/>
        </w:numPr>
        <w:spacing w:before="120" w:after="120" w:line="240" w:lineRule="auto"/>
        <w:jc w:val="left"/>
        <w:rPr>
          <w:rFonts w:ascii="Arial" w:hAnsi="Arial" w:cs="Arial"/>
          <w:szCs w:val="24"/>
        </w:rPr>
      </w:pPr>
      <w:r w:rsidRPr="00FA6858">
        <w:rPr>
          <w:rFonts w:ascii="Arial" w:hAnsi="Arial" w:cs="Arial"/>
          <w:szCs w:val="24"/>
        </w:rPr>
        <w:t xml:space="preserve">Payment Deductions are commensurate with their importance to the service provided. </w:t>
      </w:r>
    </w:p>
    <w:p w14:paraId="73810751" w14:textId="659BD531" w:rsidR="005A1A3C" w:rsidRPr="00FA6858" w:rsidRDefault="005A1A3C" w:rsidP="005A1A3C">
      <w:pPr>
        <w:pStyle w:val="BodyText"/>
        <w:numPr>
          <w:ilvl w:val="1"/>
          <w:numId w:val="5"/>
        </w:numPr>
        <w:spacing w:before="120" w:after="120" w:line="240" w:lineRule="auto"/>
        <w:jc w:val="left"/>
        <w:rPr>
          <w:rFonts w:ascii="Arial" w:hAnsi="Arial" w:cs="Arial"/>
          <w:szCs w:val="24"/>
        </w:rPr>
      </w:pPr>
      <w:r w:rsidRPr="00FA6858">
        <w:rPr>
          <w:rFonts w:ascii="Arial" w:hAnsi="Arial" w:cs="Arial"/>
          <w:szCs w:val="24"/>
        </w:rPr>
        <w:t xml:space="preserve">The Contractor shall be responsible for all Shortfalls against a PI unless the Contractor can prove that the Shortfall(s) occurred as a direct result of the </w:t>
      </w:r>
      <w:r w:rsidR="004C09CA">
        <w:rPr>
          <w:rFonts w:ascii="Arial" w:hAnsi="Arial" w:cs="Arial"/>
          <w:szCs w:val="24"/>
        </w:rPr>
        <w:t>Authority</w:t>
      </w:r>
      <w:r w:rsidRPr="00FA6858">
        <w:rPr>
          <w:rFonts w:ascii="Arial" w:hAnsi="Arial" w:cs="Arial"/>
          <w:szCs w:val="24"/>
        </w:rPr>
        <w:t xml:space="preserve"> not meeting an associated contractual obligation.</w:t>
      </w:r>
    </w:p>
    <w:p w14:paraId="3802A4F7" w14:textId="390ACB3D" w:rsidR="005A1A3C" w:rsidRPr="00FA6858" w:rsidRDefault="005A1A3C" w:rsidP="005A1A3C">
      <w:pPr>
        <w:pStyle w:val="BodyText"/>
        <w:numPr>
          <w:ilvl w:val="1"/>
          <w:numId w:val="5"/>
        </w:numPr>
        <w:spacing w:before="120" w:after="120" w:line="240" w:lineRule="auto"/>
        <w:jc w:val="left"/>
        <w:rPr>
          <w:rFonts w:ascii="Arial" w:hAnsi="Arial" w:cs="Arial"/>
          <w:szCs w:val="24"/>
        </w:rPr>
      </w:pPr>
      <w:r w:rsidRPr="00FA6858">
        <w:rPr>
          <w:rFonts w:ascii="Arial" w:hAnsi="Arial" w:cs="Arial"/>
          <w:szCs w:val="24"/>
        </w:rPr>
        <w:t xml:space="preserve">In the event the Contractor’s Project Manager and the </w:t>
      </w:r>
      <w:r w:rsidR="004C09CA">
        <w:rPr>
          <w:rFonts w:ascii="Arial" w:hAnsi="Arial" w:cs="Arial"/>
          <w:szCs w:val="24"/>
        </w:rPr>
        <w:t>Authority</w:t>
      </w:r>
      <w:r w:rsidRPr="00FA6858">
        <w:rPr>
          <w:rFonts w:ascii="Arial" w:hAnsi="Arial" w:cs="Arial"/>
          <w:szCs w:val="24"/>
        </w:rPr>
        <w:t xml:space="preserve"> cannot agree on the cause of a Shortfall, the matter shall be referred to dispute resolution, in accordance </w:t>
      </w:r>
      <w:bookmarkStart w:id="1" w:name="_Hlk103691377"/>
      <w:r w:rsidRPr="00FA6858">
        <w:rPr>
          <w:rFonts w:ascii="Arial" w:hAnsi="Arial" w:cs="Arial"/>
          <w:szCs w:val="24"/>
        </w:rPr>
        <w:t xml:space="preserve">with </w:t>
      </w:r>
      <w:r>
        <w:rPr>
          <w:rFonts w:ascii="Arial" w:hAnsi="Arial" w:cs="Arial"/>
          <w:szCs w:val="24"/>
        </w:rPr>
        <w:t>DEFCON 530</w:t>
      </w:r>
      <w:r w:rsidRPr="00FA6858">
        <w:rPr>
          <w:rFonts w:ascii="Arial" w:hAnsi="Arial" w:cs="Arial"/>
          <w:szCs w:val="24"/>
        </w:rPr>
        <w:t xml:space="preserve"> (Dispute Resolution) of the Contract.  </w:t>
      </w:r>
    </w:p>
    <w:bookmarkEnd w:id="1"/>
    <w:p w14:paraId="587F58FE" w14:textId="6E23BFC5" w:rsidR="005A1A3C" w:rsidRPr="00FA6858" w:rsidRDefault="005A1A3C" w:rsidP="005A1A3C">
      <w:pPr>
        <w:pStyle w:val="BodyText"/>
        <w:numPr>
          <w:ilvl w:val="1"/>
          <w:numId w:val="5"/>
        </w:numPr>
        <w:spacing w:before="120" w:after="120" w:line="240" w:lineRule="auto"/>
        <w:jc w:val="left"/>
        <w:rPr>
          <w:rFonts w:ascii="Arial" w:hAnsi="Arial" w:cs="Arial"/>
          <w:szCs w:val="24"/>
        </w:rPr>
      </w:pPr>
      <w:r w:rsidRPr="00FA6858">
        <w:rPr>
          <w:rFonts w:ascii="Arial" w:hAnsi="Arial" w:cs="Arial"/>
          <w:szCs w:val="24"/>
        </w:rPr>
        <w:t xml:space="preserve">If the matter cannot be resolved between the Parties following the dispute resolution process, the </w:t>
      </w:r>
      <w:r w:rsidR="004C09CA">
        <w:rPr>
          <w:rFonts w:ascii="Arial" w:hAnsi="Arial" w:cs="Arial"/>
          <w:szCs w:val="24"/>
        </w:rPr>
        <w:t>Authority</w:t>
      </w:r>
      <w:r w:rsidRPr="00FA6858">
        <w:rPr>
          <w:rFonts w:ascii="Arial" w:hAnsi="Arial" w:cs="Arial"/>
          <w:szCs w:val="24"/>
        </w:rPr>
        <w:t xml:space="preserve"> will </w:t>
      </w:r>
      <w:proofErr w:type="gramStart"/>
      <w:r w:rsidRPr="00FA6858">
        <w:rPr>
          <w:rFonts w:ascii="Arial" w:hAnsi="Arial" w:cs="Arial"/>
          <w:szCs w:val="24"/>
        </w:rPr>
        <w:t>make a decision</w:t>
      </w:r>
      <w:proofErr w:type="gramEnd"/>
      <w:r w:rsidRPr="00FA6858">
        <w:rPr>
          <w:rFonts w:ascii="Arial" w:hAnsi="Arial" w:cs="Arial"/>
          <w:szCs w:val="24"/>
        </w:rPr>
        <w:t xml:space="preserve"> (whose decision shall not be unreasonable taking into consideration the points from both Parties) which shall be final.</w:t>
      </w:r>
    </w:p>
    <w:p w14:paraId="2885EA22" w14:textId="77777777" w:rsidR="005A1A3C" w:rsidRPr="00FA6858" w:rsidRDefault="005A1A3C" w:rsidP="005A1A3C">
      <w:pPr>
        <w:pStyle w:val="BodyText"/>
        <w:spacing w:before="120" w:after="120" w:line="240" w:lineRule="auto"/>
        <w:ind w:left="709"/>
        <w:jc w:val="left"/>
        <w:rPr>
          <w:rFonts w:ascii="Arial" w:hAnsi="Arial" w:cs="Arial"/>
          <w:szCs w:val="24"/>
        </w:rPr>
      </w:pPr>
    </w:p>
    <w:p w14:paraId="3473D65F" w14:textId="77777777" w:rsidR="005A1A3C" w:rsidRPr="00FA6858" w:rsidRDefault="005A1A3C" w:rsidP="005A1A3C">
      <w:pPr>
        <w:pStyle w:val="Heading1"/>
        <w:keepLines w:val="0"/>
        <w:numPr>
          <w:ilvl w:val="0"/>
          <w:numId w:val="5"/>
        </w:numPr>
        <w:tabs>
          <w:tab w:val="left" w:pos="720"/>
        </w:tabs>
        <w:spacing w:before="120" w:after="120" w:line="360" w:lineRule="auto"/>
        <w:contextualSpacing w:val="0"/>
        <w:rPr>
          <w:rFonts w:cs="Arial"/>
          <w:b w:val="0"/>
          <w:szCs w:val="24"/>
        </w:rPr>
      </w:pPr>
      <w:bookmarkStart w:id="2" w:name="_Toc24884609"/>
      <w:r w:rsidRPr="00FA6858">
        <w:rPr>
          <w:rFonts w:cs="Arial"/>
          <w:szCs w:val="24"/>
        </w:rPr>
        <w:t>PERFORMANCE</w:t>
      </w:r>
      <w:bookmarkEnd w:id="2"/>
      <w:r w:rsidRPr="00FA6858">
        <w:rPr>
          <w:rFonts w:cs="Arial"/>
          <w:szCs w:val="24"/>
        </w:rPr>
        <w:t xml:space="preserve"> MONITORING</w:t>
      </w:r>
    </w:p>
    <w:p w14:paraId="5AF3C0F1" w14:textId="77777777" w:rsidR="005A1A3C" w:rsidRPr="00820DEB" w:rsidRDefault="005A1A3C" w:rsidP="005A1A3C">
      <w:pPr>
        <w:pStyle w:val="BodyText"/>
        <w:numPr>
          <w:ilvl w:val="1"/>
          <w:numId w:val="5"/>
        </w:numPr>
        <w:spacing w:before="120" w:after="120" w:line="240" w:lineRule="auto"/>
        <w:jc w:val="left"/>
        <w:rPr>
          <w:rFonts w:ascii="Arial" w:hAnsi="Arial" w:cs="Arial"/>
          <w:szCs w:val="24"/>
        </w:rPr>
      </w:pPr>
      <w:r w:rsidRPr="00820DEB">
        <w:rPr>
          <w:rFonts w:ascii="Arial" w:hAnsi="Arial" w:cs="Arial"/>
          <w:szCs w:val="24"/>
        </w:rPr>
        <w:t xml:space="preserve">The Contractor’s performance against the SOR will be measured at the end of each exercise. </w:t>
      </w:r>
    </w:p>
    <w:p w14:paraId="543DD3DD" w14:textId="77777777" w:rsidR="005A1A3C" w:rsidRPr="000E502A" w:rsidRDefault="005A1A3C" w:rsidP="005A1A3C">
      <w:pPr>
        <w:pStyle w:val="BodyText"/>
        <w:numPr>
          <w:ilvl w:val="1"/>
          <w:numId w:val="5"/>
        </w:numPr>
        <w:spacing w:before="120" w:after="120" w:line="240" w:lineRule="auto"/>
        <w:jc w:val="left"/>
        <w:rPr>
          <w:rFonts w:ascii="Arial" w:hAnsi="Arial" w:cs="Arial"/>
          <w:szCs w:val="24"/>
        </w:rPr>
      </w:pPr>
      <w:r w:rsidRPr="000E502A">
        <w:rPr>
          <w:rFonts w:ascii="Arial" w:hAnsi="Arial" w:cs="Arial"/>
          <w:szCs w:val="24"/>
        </w:rPr>
        <w:t>The Contractor shall self-monitor performance and shall be responsible for the provision of all evidence necessary to demonstrate compliance against each PI</w:t>
      </w:r>
      <w:r>
        <w:rPr>
          <w:rFonts w:ascii="Arial" w:hAnsi="Arial" w:cs="Arial"/>
          <w:szCs w:val="24"/>
        </w:rPr>
        <w:t xml:space="preserve">. The Contractor shall include such evidence within each Post Exercise Report (PXR). </w:t>
      </w:r>
    </w:p>
    <w:p w14:paraId="02CF8CD8" w14:textId="3A2FCBDC" w:rsidR="005A1A3C" w:rsidRPr="00206C44" w:rsidRDefault="005A1A3C" w:rsidP="00D44F0B">
      <w:pPr>
        <w:pStyle w:val="BodyText"/>
        <w:numPr>
          <w:ilvl w:val="1"/>
          <w:numId w:val="5"/>
        </w:numPr>
        <w:spacing w:before="120" w:after="120" w:line="240" w:lineRule="auto"/>
        <w:jc w:val="left"/>
        <w:rPr>
          <w:rFonts w:ascii="Arial" w:hAnsi="Arial" w:cs="Arial"/>
          <w:szCs w:val="24"/>
        </w:rPr>
      </w:pPr>
      <w:r w:rsidRPr="00206C44">
        <w:rPr>
          <w:rFonts w:ascii="Arial" w:hAnsi="Arial" w:cs="Arial"/>
          <w:szCs w:val="24"/>
        </w:rPr>
        <w:t xml:space="preserve">The </w:t>
      </w:r>
      <w:r w:rsidR="004C09CA">
        <w:rPr>
          <w:rFonts w:ascii="Arial" w:hAnsi="Arial" w:cs="Arial"/>
          <w:szCs w:val="24"/>
        </w:rPr>
        <w:t>Authority</w:t>
      </w:r>
      <w:r w:rsidRPr="00206C44">
        <w:rPr>
          <w:rFonts w:ascii="Arial" w:hAnsi="Arial" w:cs="Arial"/>
          <w:szCs w:val="24"/>
        </w:rPr>
        <w:t xml:space="preserve"> shall monitor the Contractor’s performance and shall verify the reported Shortfalls as well as establish any Shortfalls not reported by the Contractor (“unreported Shortfall”). The </w:t>
      </w:r>
      <w:r w:rsidR="004C09CA">
        <w:rPr>
          <w:rFonts w:ascii="Arial" w:hAnsi="Arial" w:cs="Arial"/>
          <w:szCs w:val="24"/>
        </w:rPr>
        <w:t>Authority</w:t>
      </w:r>
      <w:r w:rsidRPr="00206C44">
        <w:rPr>
          <w:rFonts w:ascii="Arial" w:hAnsi="Arial" w:cs="Arial"/>
          <w:szCs w:val="24"/>
        </w:rPr>
        <w:t xml:space="preserve"> shall notify the Contractor of unreported Shortfalls, and the Parties shall agree whether they should be a Shortfall or not. Where the Parties agree that the unreported Shortfall should be a Shortfall, the process for calculating a corresponding Payment Deduction as set out </w:t>
      </w:r>
      <w:r w:rsidR="006A3D10">
        <w:rPr>
          <w:rFonts w:ascii="Arial" w:hAnsi="Arial" w:cs="Arial"/>
          <w:szCs w:val="24"/>
        </w:rPr>
        <w:t>below</w:t>
      </w:r>
      <w:r w:rsidRPr="00206C44">
        <w:rPr>
          <w:rFonts w:ascii="Arial" w:hAnsi="Arial" w:cs="Arial"/>
          <w:szCs w:val="24"/>
        </w:rPr>
        <w:t xml:space="preserve">. Where the Parties cannot agree on whether an unreported Shortfall is a Shortfall, the matter shall be dealt with in accordance with DEFCON 530 (Dispute Resolution) of the Contract.  </w:t>
      </w:r>
    </w:p>
    <w:p w14:paraId="6F5AFD9A" w14:textId="7015061C" w:rsidR="005A1A3C" w:rsidRPr="00FA6858" w:rsidRDefault="005A1A3C" w:rsidP="005A1A3C">
      <w:pPr>
        <w:pStyle w:val="BodyText"/>
        <w:numPr>
          <w:ilvl w:val="1"/>
          <w:numId w:val="5"/>
        </w:numPr>
        <w:spacing w:before="120" w:after="120" w:line="240" w:lineRule="auto"/>
        <w:jc w:val="left"/>
        <w:rPr>
          <w:rFonts w:ascii="Arial" w:hAnsi="Arial" w:cs="Arial"/>
          <w:szCs w:val="24"/>
        </w:rPr>
      </w:pPr>
      <w:r w:rsidRPr="00FA6858">
        <w:rPr>
          <w:rFonts w:ascii="Arial" w:hAnsi="Arial" w:cs="Arial"/>
          <w:szCs w:val="24"/>
        </w:rPr>
        <w:t xml:space="preserve">If the matter cannot be resolved between the Parties following the dispute resolution process, the </w:t>
      </w:r>
      <w:r w:rsidR="004C09CA">
        <w:rPr>
          <w:rFonts w:ascii="Arial" w:hAnsi="Arial" w:cs="Arial"/>
          <w:szCs w:val="24"/>
        </w:rPr>
        <w:t>Authority</w:t>
      </w:r>
      <w:r w:rsidRPr="00FA6858">
        <w:rPr>
          <w:rFonts w:ascii="Arial" w:hAnsi="Arial" w:cs="Arial"/>
          <w:szCs w:val="24"/>
        </w:rPr>
        <w:t xml:space="preserve"> will </w:t>
      </w:r>
      <w:proofErr w:type="gramStart"/>
      <w:r w:rsidRPr="00FA6858">
        <w:rPr>
          <w:rFonts w:ascii="Arial" w:hAnsi="Arial" w:cs="Arial"/>
          <w:szCs w:val="24"/>
        </w:rPr>
        <w:t>make a decision</w:t>
      </w:r>
      <w:proofErr w:type="gramEnd"/>
      <w:r w:rsidRPr="00FA6858">
        <w:rPr>
          <w:rFonts w:ascii="Arial" w:hAnsi="Arial" w:cs="Arial"/>
          <w:szCs w:val="24"/>
        </w:rPr>
        <w:t xml:space="preserve"> (whose decision shall not be unreasonable taking into consideration the points from both Parties) which shall be final.</w:t>
      </w:r>
    </w:p>
    <w:p w14:paraId="2387864D" w14:textId="77777777" w:rsidR="009B3B24" w:rsidRDefault="009B3B24">
      <w:pPr>
        <w:spacing w:after="160" w:line="259" w:lineRule="auto"/>
      </w:pPr>
    </w:p>
    <w:p w14:paraId="3821C827" w14:textId="7667D286" w:rsidR="009B3B24" w:rsidRPr="009B3B24" w:rsidRDefault="009B3B24" w:rsidP="009B3B24">
      <w:pPr>
        <w:pStyle w:val="Heading1"/>
        <w:keepLines w:val="0"/>
        <w:numPr>
          <w:ilvl w:val="0"/>
          <w:numId w:val="5"/>
        </w:numPr>
        <w:tabs>
          <w:tab w:val="left" w:pos="720"/>
        </w:tabs>
        <w:spacing w:before="120" w:after="120" w:line="360" w:lineRule="auto"/>
        <w:contextualSpacing w:val="0"/>
        <w:rPr>
          <w:rFonts w:cs="Arial"/>
          <w:szCs w:val="24"/>
        </w:rPr>
      </w:pPr>
      <w:r w:rsidRPr="009B3B24">
        <w:rPr>
          <w:rFonts w:cs="Arial"/>
          <w:szCs w:val="24"/>
        </w:rPr>
        <w:t xml:space="preserve">Instances of </w:t>
      </w:r>
      <w:r>
        <w:rPr>
          <w:rFonts w:cs="Arial"/>
          <w:szCs w:val="24"/>
        </w:rPr>
        <w:t>Shortfall(s)</w:t>
      </w:r>
      <w:r w:rsidRPr="009B3B24">
        <w:rPr>
          <w:rFonts w:cs="Arial"/>
          <w:szCs w:val="24"/>
        </w:rPr>
        <w:t xml:space="preserve"> </w:t>
      </w:r>
    </w:p>
    <w:p w14:paraId="030843FB" w14:textId="77777777" w:rsidR="009B3B24" w:rsidRPr="00D50ABC" w:rsidRDefault="009B3B24" w:rsidP="009B3B24">
      <w:pPr>
        <w:pStyle w:val="BodyText2"/>
        <w:spacing w:after="0" w:line="240" w:lineRule="auto"/>
        <w:rPr>
          <w:rFonts w:ascii="Arial" w:hAnsi="Arial" w:cs="Arial"/>
        </w:rPr>
      </w:pPr>
    </w:p>
    <w:p w14:paraId="7CD250AA" w14:textId="77777777" w:rsidR="00FC12BB" w:rsidRPr="00FC12BB" w:rsidRDefault="00FC12BB" w:rsidP="00FC12BB">
      <w:pPr>
        <w:pStyle w:val="BodyText2"/>
        <w:spacing w:after="0" w:line="240" w:lineRule="auto"/>
        <w:ind w:left="360"/>
        <w:rPr>
          <w:rFonts w:ascii="Arial" w:hAnsi="Arial" w:cs="Arial"/>
          <w:sz w:val="24"/>
          <w:szCs w:val="24"/>
        </w:rPr>
      </w:pPr>
      <w:r w:rsidRPr="00FC12BB">
        <w:rPr>
          <w:rFonts w:ascii="Arial" w:hAnsi="Arial" w:cs="Arial"/>
          <w:sz w:val="24"/>
          <w:szCs w:val="24"/>
        </w:rPr>
        <w:t>1.1</w:t>
      </w:r>
      <w:r w:rsidRPr="00FC12BB">
        <w:rPr>
          <w:rFonts w:ascii="Arial" w:hAnsi="Arial" w:cs="Arial"/>
          <w:sz w:val="24"/>
          <w:szCs w:val="24"/>
        </w:rPr>
        <w:tab/>
        <w:t>Where a KPI is measured as being Red in any exercise, the Authority shall have the right to a payment deduction equating to 3% of the total cost of the exercise.</w:t>
      </w:r>
      <w:r w:rsidRPr="00FC12BB">
        <w:rPr>
          <w:sz w:val="24"/>
          <w:szCs w:val="24"/>
        </w:rPr>
        <w:t xml:space="preserve">   </w:t>
      </w:r>
    </w:p>
    <w:p w14:paraId="2B6D8B03" w14:textId="77777777" w:rsidR="00FC12BB" w:rsidRPr="00FC12BB" w:rsidRDefault="00FC12BB" w:rsidP="00FC12BB">
      <w:pPr>
        <w:pStyle w:val="BodyText2"/>
        <w:spacing w:after="0" w:line="240" w:lineRule="auto"/>
        <w:rPr>
          <w:rFonts w:ascii="Arial" w:hAnsi="Arial" w:cs="Arial"/>
          <w:sz w:val="24"/>
          <w:szCs w:val="24"/>
        </w:rPr>
      </w:pPr>
    </w:p>
    <w:p w14:paraId="247AB24E" w14:textId="77777777" w:rsidR="00FC12BB" w:rsidRPr="00FC12BB" w:rsidRDefault="00FC12BB" w:rsidP="00FC12BB">
      <w:pPr>
        <w:pStyle w:val="BodyText2"/>
        <w:spacing w:after="0" w:line="240" w:lineRule="auto"/>
        <w:ind w:left="360"/>
        <w:rPr>
          <w:rFonts w:ascii="Arial" w:hAnsi="Arial" w:cs="Arial"/>
          <w:sz w:val="24"/>
          <w:szCs w:val="24"/>
        </w:rPr>
      </w:pPr>
      <w:r w:rsidRPr="00FC12BB">
        <w:rPr>
          <w:rFonts w:ascii="Arial" w:hAnsi="Arial" w:cs="Arial"/>
          <w:sz w:val="24"/>
          <w:szCs w:val="24"/>
        </w:rPr>
        <w:t>1.2</w:t>
      </w:r>
      <w:r w:rsidRPr="00FC12BB">
        <w:rPr>
          <w:rFonts w:ascii="Arial" w:hAnsi="Arial" w:cs="Arial"/>
          <w:sz w:val="24"/>
          <w:szCs w:val="24"/>
        </w:rPr>
        <w:tab/>
        <w:t xml:space="preserve">The contractor will be responsible for drafting an Improvement Plan for the agreement between both parties in the event of any Amber or Red KPI. </w:t>
      </w:r>
    </w:p>
    <w:p w14:paraId="1217275E" w14:textId="77777777" w:rsidR="00FC12BB" w:rsidRPr="00FC12BB" w:rsidRDefault="00FC12BB" w:rsidP="00FC12BB">
      <w:pPr>
        <w:pStyle w:val="BodyText2"/>
        <w:spacing w:after="0" w:line="240" w:lineRule="auto"/>
        <w:rPr>
          <w:rFonts w:ascii="Arial" w:hAnsi="Arial" w:cs="Arial"/>
          <w:sz w:val="24"/>
          <w:szCs w:val="24"/>
        </w:rPr>
      </w:pPr>
    </w:p>
    <w:p w14:paraId="1D4DEA23" w14:textId="77777777" w:rsidR="00FC12BB" w:rsidRPr="00FC12BB" w:rsidRDefault="00FC12BB" w:rsidP="00FC12BB">
      <w:pPr>
        <w:pStyle w:val="BodyText2"/>
        <w:spacing w:after="0" w:line="240" w:lineRule="auto"/>
        <w:ind w:left="360"/>
        <w:rPr>
          <w:rFonts w:ascii="Arial" w:hAnsi="Arial" w:cs="Arial"/>
          <w:sz w:val="24"/>
          <w:szCs w:val="24"/>
        </w:rPr>
      </w:pPr>
      <w:r w:rsidRPr="00FC12BB">
        <w:rPr>
          <w:rFonts w:ascii="Arial" w:hAnsi="Arial" w:cs="Arial"/>
          <w:sz w:val="24"/>
          <w:szCs w:val="24"/>
        </w:rPr>
        <w:t>1.3</w:t>
      </w:r>
      <w:r w:rsidRPr="00FC12BB">
        <w:rPr>
          <w:rFonts w:ascii="Arial" w:hAnsi="Arial" w:cs="Arial"/>
          <w:sz w:val="24"/>
          <w:szCs w:val="24"/>
        </w:rPr>
        <w:tab/>
        <w:t>In the event of an Amber KPI not being rectified by the next exercise, following an Improvement Plan, the contractor will fall into the Red for this KPI. They will then be subject to a further improvement plan, as per 1.2. Failure to improve performance will result in the measures described under 1.4</w:t>
      </w:r>
    </w:p>
    <w:p w14:paraId="511C01E7" w14:textId="77777777" w:rsidR="00FC12BB" w:rsidRPr="00FC12BB" w:rsidRDefault="00FC12BB" w:rsidP="00FC12BB">
      <w:pPr>
        <w:pStyle w:val="BodyText2"/>
        <w:spacing w:after="0" w:line="240" w:lineRule="auto"/>
        <w:rPr>
          <w:rFonts w:ascii="Arial" w:hAnsi="Arial" w:cs="Arial"/>
          <w:sz w:val="24"/>
          <w:szCs w:val="24"/>
        </w:rPr>
      </w:pPr>
    </w:p>
    <w:p w14:paraId="3A81D5CF" w14:textId="77777777" w:rsidR="00FC12BB" w:rsidRPr="00FC12BB" w:rsidRDefault="00FC12BB" w:rsidP="00FC12BB">
      <w:pPr>
        <w:autoSpaceDE w:val="0"/>
        <w:autoSpaceDN w:val="0"/>
        <w:spacing w:after="60"/>
        <w:ind w:left="360"/>
        <w:rPr>
          <w:rFonts w:ascii="Arial" w:hAnsi="Arial" w:cs="Arial"/>
          <w:sz w:val="28"/>
          <w:szCs w:val="28"/>
        </w:rPr>
      </w:pPr>
      <w:r w:rsidRPr="00FC12BB">
        <w:rPr>
          <w:rFonts w:ascii="Arial" w:hAnsi="Arial" w:cs="Arial"/>
          <w:sz w:val="24"/>
          <w:szCs w:val="24"/>
        </w:rPr>
        <w:t>1.4</w:t>
      </w:r>
      <w:r w:rsidRPr="00FC12BB">
        <w:rPr>
          <w:rFonts w:ascii="Arial" w:hAnsi="Arial" w:cs="Arial"/>
          <w:sz w:val="24"/>
          <w:szCs w:val="24"/>
        </w:rPr>
        <w:tab/>
        <w:t xml:space="preserve">In the event of a persistent breach (3 consecutive exercises) of the performance measurement mechanisms (Red) which is not </w:t>
      </w:r>
      <w:r w:rsidRPr="00FC12BB">
        <w:rPr>
          <w:rFonts w:ascii="Arial" w:hAnsi="Arial" w:cs="Arial"/>
          <w:color w:val="000000"/>
          <w:sz w:val="24"/>
          <w:szCs w:val="24"/>
        </w:rPr>
        <w:t xml:space="preserve">satisfactorily managed the Authority </w:t>
      </w:r>
      <w:r w:rsidRPr="00FC12BB">
        <w:rPr>
          <w:rFonts w:ascii="Arial" w:hAnsi="Arial" w:cs="Arial"/>
          <w:sz w:val="24"/>
          <w:szCs w:val="24"/>
        </w:rPr>
        <w:t>reserves the right</w:t>
      </w:r>
      <w:r w:rsidRPr="00FC12BB">
        <w:rPr>
          <w:rFonts w:ascii="Arial" w:hAnsi="Arial" w:cs="Arial"/>
          <w:color w:val="000000"/>
          <w:sz w:val="24"/>
          <w:szCs w:val="24"/>
        </w:rPr>
        <w:t xml:space="preserve"> to terminate the Contract.  Termination under these circumstances will be under the terms of Condition 41 (Termination for Convenience) and as referenced in the Contract.</w:t>
      </w:r>
    </w:p>
    <w:p w14:paraId="21F42657" w14:textId="77777777" w:rsidR="00FC12BB" w:rsidRPr="00FC12BB" w:rsidRDefault="00FC12BB" w:rsidP="00FC12BB">
      <w:pPr>
        <w:pStyle w:val="BodyText2"/>
        <w:spacing w:after="0" w:line="240" w:lineRule="auto"/>
        <w:rPr>
          <w:rFonts w:ascii="Arial" w:hAnsi="Arial" w:cs="Arial"/>
          <w:sz w:val="24"/>
          <w:szCs w:val="24"/>
        </w:rPr>
      </w:pPr>
    </w:p>
    <w:p w14:paraId="2E6F9DAA" w14:textId="77777777" w:rsidR="00FC12BB" w:rsidRPr="00FC12BB" w:rsidRDefault="00FC12BB" w:rsidP="00FC12BB">
      <w:pPr>
        <w:pStyle w:val="BodyText2"/>
        <w:spacing w:after="0" w:line="240" w:lineRule="auto"/>
        <w:ind w:firstLine="360"/>
        <w:rPr>
          <w:rFonts w:ascii="Arial" w:hAnsi="Arial" w:cs="Arial"/>
          <w:sz w:val="24"/>
          <w:szCs w:val="24"/>
        </w:rPr>
      </w:pPr>
      <w:r w:rsidRPr="00FC12BB">
        <w:rPr>
          <w:rFonts w:ascii="Arial" w:hAnsi="Arial" w:cs="Arial"/>
          <w:sz w:val="24"/>
          <w:szCs w:val="24"/>
        </w:rPr>
        <w:t>1.5</w:t>
      </w:r>
      <w:r w:rsidRPr="00FC12BB">
        <w:rPr>
          <w:rFonts w:ascii="Arial" w:hAnsi="Arial" w:cs="Arial"/>
          <w:sz w:val="24"/>
          <w:szCs w:val="24"/>
        </w:rPr>
        <w:tab/>
        <w:t>The Contractor shall not fail (</w:t>
      </w:r>
      <w:proofErr w:type="spellStart"/>
      <w:proofErr w:type="gramStart"/>
      <w:r w:rsidRPr="00FC12BB">
        <w:rPr>
          <w:rFonts w:ascii="Arial" w:hAnsi="Arial" w:cs="Arial"/>
          <w:sz w:val="24"/>
          <w:szCs w:val="24"/>
        </w:rPr>
        <w:t>eg</w:t>
      </w:r>
      <w:proofErr w:type="spellEnd"/>
      <w:proofErr w:type="gramEnd"/>
      <w:r w:rsidRPr="00FC12BB">
        <w:rPr>
          <w:rFonts w:ascii="Arial" w:hAnsi="Arial" w:cs="Arial"/>
          <w:sz w:val="24"/>
          <w:szCs w:val="24"/>
        </w:rPr>
        <w:t xml:space="preserve"> Amber or Red) KPIs due to acts or omissions of the Authority or force majeure events. </w:t>
      </w:r>
    </w:p>
    <w:p w14:paraId="26DD24C5" w14:textId="7D698F7D" w:rsidR="00FC12BB" w:rsidRPr="00FC12BB" w:rsidRDefault="00FC12BB">
      <w:pPr>
        <w:spacing w:after="160" w:line="259" w:lineRule="auto"/>
        <w:rPr>
          <w:rFonts w:ascii="Arial" w:eastAsiaTheme="majorEastAsia" w:hAnsi="Arial" w:cstheme="majorBidi"/>
          <w:b/>
          <w:sz w:val="28"/>
          <w:szCs w:val="36"/>
          <w:u w:val="single"/>
        </w:rPr>
      </w:pPr>
      <w:r w:rsidRPr="00FC12BB">
        <w:rPr>
          <w:rFonts w:ascii="Arial" w:eastAsiaTheme="majorEastAsia" w:hAnsi="Arial" w:cstheme="majorBidi"/>
          <w:b/>
          <w:sz w:val="28"/>
          <w:szCs w:val="36"/>
          <w:u w:val="single"/>
        </w:rPr>
        <w:br w:type="page"/>
      </w:r>
    </w:p>
    <w:p w14:paraId="7B382197" w14:textId="77777777" w:rsidR="00FC12BB" w:rsidRDefault="00FC12BB">
      <w:pPr>
        <w:spacing w:after="160" w:line="259" w:lineRule="auto"/>
        <w:rPr>
          <w:rFonts w:ascii="Arial" w:eastAsiaTheme="majorEastAsia" w:hAnsi="Arial" w:cstheme="majorBidi"/>
          <w:b/>
          <w:sz w:val="24"/>
          <w:szCs w:val="32"/>
          <w:u w:val="single"/>
        </w:rPr>
        <w:sectPr w:rsidR="00FC12BB" w:rsidSect="00FC12BB">
          <w:headerReference w:type="even" r:id="rId11"/>
          <w:headerReference w:type="default" r:id="rId12"/>
          <w:footerReference w:type="even" r:id="rId13"/>
          <w:footerReference w:type="default" r:id="rId14"/>
          <w:headerReference w:type="first" r:id="rId15"/>
          <w:footerReference w:type="first" r:id="rId16"/>
          <w:pgSz w:w="16838" w:h="23811" w:code="8"/>
          <w:pgMar w:top="1440" w:right="1440" w:bottom="1440" w:left="1440" w:header="720" w:footer="720" w:gutter="0"/>
          <w:cols w:space="720"/>
          <w:docGrid w:linePitch="360"/>
        </w:sectPr>
      </w:pPr>
    </w:p>
    <w:p w14:paraId="55B2AD90" w14:textId="2B9E83EF" w:rsidR="00C1002E" w:rsidRDefault="00C1002E">
      <w:pPr>
        <w:spacing w:after="160" w:line="259" w:lineRule="auto"/>
        <w:rPr>
          <w:rFonts w:ascii="Arial" w:eastAsiaTheme="majorEastAsia" w:hAnsi="Arial" w:cstheme="majorBidi"/>
          <w:b/>
          <w:sz w:val="24"/>
          <w:szCs w:val="32"/>
          <w:u w:val="single"/>
        </w:rPr>
      </w:pPr>
    </w:p>
    <w:p w14:paraId="0CD0F083" w14:textId="131F142F" w:rsidR="006D0924" w:rsidRDefault="006D0924" w:rsidP="006D0924">
      <w:pPr>
        <w:pStyle w:val="Heading1"/>
      </w:pPr>
      <w:r>
        <w:t xml:space="preserve">CLOSE AIR SUPPORT </w:t>
      </w:r>
      <w:r w:rsidR="00183763">
        <w:t xml:space="preserve">(CAS) </w:t>
      </w:r>
      <w:r>
        <w:t xml:space="preserve">AND INTELLIGENCE, SURVEILLANCE AND RECONNAISSANCE </w:t>
      </w:r>
      <w:r w:rsidR="00183763">
        <w:t xml:space="preserve">(ISR) </w:t>
      </w:r>
      <w:r>
        <w:t>EMULATION FOR TRAINING BRANCH HQ FIELD ARMY</w:t>
      </w:r>
    </w:p>
    <w:p w14:paraId="343FF511" w14:textId="77777777" w:rsidR="00D83D62" w:rsidRPr="00D83D62" w:rsidRDefault="00D83D62" w:rsidP="00FC12BB">
      <w:pPr>
        <w:pStyle w:val="NoSpacing"/>
        <w:framePr w:wrap="around"/>
      </w:pPr>
    </w:p>
    <w:p w14:paraId="5D5E436C" w14:textId="2D8AC2BF" w:rsidR="00C81ADB" w:rsidRDefault="00300CBF" w:rsidP="009166AC">
      <w:pPr>
        <w:pStyle w:val="Heading2"/>
        <w:framePr w:wrap="around"/>
      </w:pPr>
      <w:r>
        <w:t>KPI Categories</w:t>
      </w:r>
    </w:p>
    <w:p w14:paraId="2113C78B" w14:textId="77777777" w:rsidR="00BA43A9" w:rsidRPr="00BA43A9" w:rsidRDefault="00BA43A9" w:rsidP="00FC12BB">
      <w:pPr>
        <w:pStyle w:val="NoSpacing"/>
        <w:framePr w:wrap="around"/>
      </w:pPr>
    </w:p>
    <w:p w14:paraId="2A0290F6" w14:textId="4D717F4B" w:rsidR="00BA43A9" w:rsidRDefault="00113B8E" w:rsidP="00FC12BB">
      <w:pPr>
        <w:pStyle w:val="NoSpacing"/>
        <w:framePr w:wrap="around"/>
        <w:numPr>
          <w:ilvl w:val="0"/>
          <w:numId w:val="6"/>
        </w:numPr>
      </w:pPr>
      <w:r>
        <w:t>R</w:t>
      </w:r>
      <w:r w:rsidR="00BA43A9">
        <w:t>equirement</w:t>
      </w:r>
      <w:r w:rsidR="00576904">
        <w:t>s</w:t>
      </w:r>
      <w:r w:rsidR="00405CA4">
        <w:t xml:space="preserve"> (Refers to PIs </w:t>
      </w:r>
      <w:r w:rsidR="00A413E1">
        <w:t>1 -</w:t>
      </w:r>
      <w:r w:rsidR="00E97729">
        <w:t>12</w:t>
      </w:r>
      <w:r w:rsidR="00566865">
        <w:t>)</w:t>
      </w:r>
      <w:r w:rsidR="00A413E1">
        <w:t xml:space="preserve"> </w:t>
      </w:r>
    </w:p>
    <w:p w14:paraId="1C7F109F" w14:textId="267AD3FB" w:rsidR="00BA43A9" w:rsidRDefault="00BA43A9" w:rsidP="00FC12BB">
      <w:pPr>
        <w:pStyle w:val="NoSpacing"/>
        <w:framePr w:wrap="around"/>
        <w:numPr>
          <w:ilvl w:val="0"/>
          <w:numId w:val="6"/>
        </w:numPr>
      </w:pPr>
      <w:r>
        <w:t>Social Value</w:t>
      </w:r>
      <w:r w:rsidR="00405CA4">
        <w:t xml:space="preserve"> (Refers to PIs 13-16</w:t>
      </w:r>
      <w:r w:rsidR="00566865">
        <w:t>)</w:t>
      </w:r>
    </w:p>
    <w:p w14:paraId="595C3B71" w14:textId="77777777" w:rsidR="00BA43A9" w:rsidRDefault="00BA43A9" w:rsidP="00FC12BB">
      <w:pPr>
        <w:pStyle w:val="NoSpacing"/>
        <w:framePr w:wrap="around"/>
      </w:pPr>
    </w:p>
    <w:p w14:paraId="2224F67D" w14:textId="7F10EE27" w:rsidR="000E7A91" w:rsidRPr="00FC12BB" w:rsidRDefault="00C81ADB" w:rsidP="006420AD">
      <w:pPr>
        <w:spacing w:after="0"/>
        <w:contextualSpacing/>
        <w:rPr>
          <w:rFonts w:ascii="Arial" w:hAnsi="Arial" w:cs="Arial"/>
        </w:rPr>
      </w:pPr>
      <w:r w:rsidRPr="00FC12BB">
        <w:rPr>
          <w:rFonts w:ascii="Arial" w:hAnsi="Arial" w:cs="Arial"/>
        </w:rPr>
        <w:t xml:space="preserve">PERFORMANCE </w:t>
      </w:r>
      <w:r w:rsidR="006420AD" w:rsidRPr="00FC12BB">
        <w:rPr>
          <w:rFonts w:ascii="Arial" w:hAnsi="Arial" w:cs="Arial"/>
        </w:rPr>
        <w:t>INDICATORS</w:t>
      </w:r>
    </w:p>
    <w:p w14:paraId="4225BA63" w14:textId="77777777" w:rsidR="000E7A91" w:rsidRPr="006420AD" w:rsidRDefault="000E7A91" w:rsidP="006420AD">
      <w:pPr>
        <w:spacing w:after="0"/>
        <w:contextualSpacing/>
      </w:pPr>
    </w:p>
    <w:p w14:paraId="35F6C7B1" w14:textId="62DD6652" w:rsidR="0040317A" w:rsidRPr="0040317A" w:rsidRDefault="0040317A" w:rsidP="009166AC">
      <w:pPr>
        <w:pStyle w:val="Heading2"/>
        <w:framePr w:wrap="around"/>
      </w:pPr>
    </w:p>
    <w:tbl>
      <w:tblPr>
        <w:tblStyle w:val="TableGrid"/>
        <w:tblpPr w:leftFromText="180" w:rightFromText="180" w:vertAnchor="text" w:tblpY="1"/>
        <w:tblOverlap w:val="never"/>
        <w:tblW w:w="17856" w:type="dxa"/>
        <w:tblLook w:val="04A0" w:firstRow="1" w:lastRow="0" w:firstColumn="1" w:lastColumn="0" w:noHBand="0" w:noVBand="1"/>
      </w:tblPr>
      <w:tblGrid>
        <w:gridCol w:w="541"/>
        <w:gridCol w:w="1706"/>
        <w:gridCol w:w="2955"/>
        <w:gridCol w:w="1575"/>
        <w:gridCol w:w="1413"/>
        <w:gridCol w:w="1696"/>
        <w:gridCol w:w="2340"/>
        <w:gridCol w:w="1733"/>
        <w:gridCol w:w="1731"/>
        <w:gridCol w:w="2166"/>
      </w:tblGrid>
      <w:tr w:rsidR="00FC12BB" w:rsidRPr="00570179" w14:paraId="388C8965" w14:textId="77777777" w:rsidTr="00811DB7">
        <w:trPr>
          <w:tblHeader/>
        </w:trPr>
        <w:tc>
          <w:tcPr>
            <w:tcW w:w="541" w:type="dxa"/>
            <w:vMerge w:val="restart"/>
            <w:shd w:val="clear" w:color="auto" w:fill="D9D9D9" w:themeFill="background1" w:themeFillShade="D9"/>
          </w:tcPr>
          <w:p w14:paraId="0D227BF8" w14:textId="6C9E225A" w:rsidR="00E311B0" w:rsidRPr="00B851D6" w:rsidRDefault="00E311B0" w:rsidP="00FC12BB">
            <w:pPr>
              <w:pStyle w:val="NoSpacing"/>
              <w:framePr w:hSpace="0" w:wrap="auto" w:vAnchor="margin" w:yAlign="inline"/>
              <w:suppressOverlap w:val="0"/>
            </w:pPr>
            <w:r w:rsidRPr="00B851D6">
              <w:t>Ser</w:t>
            </w:r>
          </w:p>
        </w:tc>
        <w:tc>
          <w:tcPr>
            <w:tcW w:w="1706" w:type="dxa"/>
            <w:vMerge w:val="restart"/>
            <w:shd w:val="clear" w:color="auto" w:fill="D9D9D9" w:themeFill="background1" w:themeFillShade="D9"/>
          </w:tcPr>
          <w:p w14:paraId="7EFA8BAB" w14:textId="0D27EB94" w:rsidR="00E311B0" w:rsidRPr="00B851D6" w:rsidRDefault="00E311B0" w:rsidP="00FC12BB">
            <w:pPr>
              <w:pStyle w:val="NoSpacing"/>
              <w:framePr w:hSpace="0" w:wrap="auto" w:vAnchor="margin" w:yAlign="inline"/>
              <w:suppressOverlap w:val="0"/>
            </w:pPr>
            <w:r>
              <w:t xml:space="preserve">Key </w:t>
            </w:r>
            <w:r w:rsidRPr="00B851D6">
              <w:t xml:space="preserve">Performance Indicators </w:t>
            </w:r>
          </w:p>
        </w:tc>
        <w:tc>
          <w:tcPr>
            <w:tcW w:w="2955" w:type="dxa"/>
            <w:vMerge w:val="restart"/>
            <w:shd w:val="clear" w:color="auto" w:fill="D9D9D9" w:themeFill="background1" w:themeFillShade="D9"/>
          </w:tcPr>
          <w:p w14:paraId="6CCD1043" w14:textId="4F853A06" w:rsidR="00E311B0" w:rsidRPr="00B851D6" w:rsidRDefault="00E311B0" w:rsidP="00FC12BB">
            <w:pPr>
              <w:pStyle w:val="NoSpacing"/>
              <w:framePr w:hSpace="0" w:wrap="auto" w:vAnchor="margin" w:yAlign="inline"/>
              <w:suppressOverlap w:val="0"/>
            </w:pPr>
            <w:r w:rsidRPr="00B851D6">
              <w:t>Criteria</w:t>
            </w:r>
            <w:r w:rsidRPr="00B851D6" w:rsidDel="006930C7">
              <w:t xml:space="preserve"> </w:t>
            </w:r>
          </w:p>
        </w:tc>
        <w:tc>
          <w:tcPr>
            <w:tcW w:w="1575" w:type="dxa"/>
            <w:vMerge w:val="restart"/>
            <w:shd w:val="clear" w:color="auto" w:fill="D9D9D9" w:themeFill="background1" w:themeFillShade="D9"/>
          </w:tcPr>
          <w:p w14:paraId="11F5BEF9" w14:textId="450FC6EE" w:rsidR="00E311B0" w:rsidRPr="00B851D6" w:rsidDel="00C874C0" w:rsidRDefault="00E311B0" w:rsidP="00FC12BB">
            <w:pPr>
              <w:pStyle w:val="NoSpacing"/>
              <w:framePr w:hSpace="0" w:wrap="auto" w:vAnchor="margin" w:yAlign="inline"/>
              <w:suppressOverlap w:val="0"/>
            </w:pPr>
            <w:r w:rsidRPr="00B851D6">
              <w:t>Test Method</w:t>
            </w:r>
          </w:p>
        </w:tc>
        <w:tc>
          <w:tcPr>
            <w:tcW w:w="1413" w:type="dxa"/>
            <w:vMerge w:val="restart"/>
            <w:shd w:val="clear" w:color="auto" w:fill="D9D9D9" w:themeFill="background1" w:themeFillShade="D9"/>
          </w:tcPr>
          <w:p w14:paraId="1BAC07D6" w14:textId="0CCBF191" w:rsidR="00E311B0" w:rsidRPr="00B851D6" w:rsidRDefault="00E311B0" w:rsidP="00FC12BB">
            <w:pPr>
              <w:pStyle w:val="NoSpacing"/>
              <w:framePr w:hSpace="0" w:wrap="auto" w:vAnchor="margin" w:yAlign="inline"/>
              <w:suppressOverlap w:val="0"/>
            </w:pPr>
            <w:r w:rsidRPr="00B851D6">
              <w:t>Monitoring frequency</w:t>
            </w:r>
          </w:p>
        </w:tc>
        <w:tc>
          <w:tcPr>
            <w:tcW w:w="1696" w:type="dxa"/>
            <w:vMerge w:val="restart"/>
            <w:shd w:val="clear" w:color="auto" w:fill="D9D9D9" w:themeFill="background1" w:themeFillShade="D9"/>
          </w:tcPr>
          <w:p w14:paraId="31B56B1E" w14:textId="58CFB70B" w:rsidR="00E311B0" w:rsidRPr="00B851D6" w:rsidRDefault="00E311B0" w:rsidP="00FC12BB">
            <w:pPr>
              <w:pStyle w:val="NoSpacing"/>
              <w:framePr w:hSpace="0" w:wrap="auto" w:vAnchor="margin" w:yAlign="inline"/>
              <w:suppressOverlap w:val="0"/>
            </w:pPr>
            <w:r w:rsidRPr="00B851D6">
              <w:t>Reporting Frequency</w:t>
            </w:r>
          </w:p>
        </w:tc>
        <w:tc>
          <w:tcPr>
            <w:tcW w:w="5804" w:type="dxa"/>
            <w:gridSpan w:val="3"/>
            <w:shd w:val="clear" w:color="auto" w:fill="D9D9D9" w:themeFill="background1" w:themeFillShade="D9"/>
          </w:tcPr>
          <w:p w14:paraId="572F59E3" w14:textId="21A25AC2" w:rsidR="00E311B0" w:rsidRPr="00690609" w:rsidRDefault="00E311B0" w:rsidP="00FC12BB">
            <w:pPr>
              <w:pStyle w:val="NoSpacing"/>
              <w:framePr w:hSpace="0" w:wrap="auto" w:vAnchor="margin" w:yAlign="inline"/>
              <w:suppressOverlap w:val="0"/>
            </w:pPr>
            <w:r w:rsidRPr="00690609">
              <w:t>Measurement</w:t>
            </w:r>
            <w:r w:rsidR="002E6377">
              <w:t xml:space="preserve"> – Per Exercise</w:t>
            </w:r>
          </w:p>
        </w:tc>
        <w:tc>
          <w:tcPr>
            <w:tcW w:w="2166" w:type="dxa"/>
            <w:vMerge w:val="restart"/>
            <w:shd w:val="clear" w:color="auto" w:fill="D9D9D9" w:themeFill="background1" w:themeFillShade="D9"/>
          </w:tcPr>
          <w:p w14:paraId="3EE6D52A" w14:textId="295E6ACB" w:rsidR="00E311B0" w:rsidRPr="00B851D6" w:rsidRDefault="00E311B0" w:rsidP="00FC12BB">
            <w:pPr>
              <w:pStyle w:val="NoSpacing"/>
              <w:framePr w:hSpace="0" w:wrap="auto" w:vAnchor="margin" w:yAlign="inline"/>
              <w:suppressOverlap w:val="0"/>
            </w:pPr>
            <w:r w:rsidRPr="00B851D6">
              <w:t>Result of Shortfall</w:t>
            </w:r>
          </w:p>
        </w:tc>
      </w:tr>
      <w:tr w:rsidR="00FC12BB" w:rsidRPr="00570179" w14:paraId="3FB3E267" w14:textId="758FD700" w:rsidTr="00811DB7">
        <w:trPr>
          <w:tblHeader/>
        </w:trPr>
        <w:tc>
          <w:tcPr>
            <w:tcW w:w="541" w:type="dxa"/>
            <w:vMerge/>
          </w:tcPr>
          <w:p w14:paraId="6B769B2C" w14:textId="49C8BDAD" w:rsidR="00E311B0" w:rsidRPr="00875A11" w:rsidRDefault="00E311B0" w:rsidP="00FC12BB">
            <w:pPr>
              <w:pStyle w:val="NoSpacing"/>
              <w:framePr w:hSpace="0" w:wrap="auto" w:vAnchor="margin" w:yAlign="inline"/>
              <w:suppressOverlap w:val="0"/>
            </w:pPr>
          </w:p>
        </w:tc>
        <w:tc>
          <w:tcPr>
            <w:tcW w:w="1706" w:type="dxa"/>
            <w:vMerge/>
          </w:tcPr>
          <w:p w14:paraId="402BD14F" w14:textId="231CFFA5" w:rsidR="00E311B0" w:rsidRPr="00875A11" w:rsidRDefault="00E311B0" w:rsidP="00FC12BB">
            <w:pPr>
              <w:pStyle w:val="NoSpacing"/>
              <w:framePr w:hSpace="0" w:wrap="auto" w:vAnchor="margin" w:yAlign="inline"/>
              <w:suppressOverlap w:val="0"/>
            </w:pPr>
          </w:p>
        </w:tc>
        <w:tc>
          <w:tcPr>
            <w:tcW w:w="2955" w:type="dxa"/>
            <w:vMerge/>
          </w:tcPr>
          <w:p w14:paraId="6C0993F2" w14:textId="3DC8458D" w:rsidR="00E311B0" w:rsidRPr="00875A11" w:rsidRDefault="00E311B0" w:rsidP="00FC12BB">
            <w:pPr>
              <w:pStyle w:val="NoSpacing"/>
              <w:framePr w:hSpace="0" w:wrap="auto" w:vAnchor="margin" w:yAlign="inline"/>
              <w:suppressOverlap w:val="0"/>
            </w:pPr>
          </w:p>
        </w:tc>
        <w:tc>
          <w:tcPr>
            <w:tcW w:w="1575" w:type="dxa"/>
            <w:vMerge/>
          </w:tcPr>
          <w:p w14:paraId="467D995C" w14:textId="5B16C179" w:rsidR="00E311B0" w:rsidRPr="00875A11" w:rsidRDefault="00E311B0" w:rsidP="00FC12BB">
            <w:pPr>
              <w:pStyle w:val="NoSpacing"/>
              <w:framePr w:hSpace="0" w:wrap="auto" w:vAnchor="margin" w:yAlign="inline"/>
              <w:suppressOverlap w:val="0"/>
            </w:pPr>
          </w:p>
        </w:tc>
        <w:tc>
          <w:tcPr>
            <w:tcW w:w="1413" w:type="dxa"/>
            <w:vMerge/>
          </w:tcPr>
          <w:p w14:paraId="5B712E5E" w14:textId="333A5A1F" w:rsidR="00E311B0" w:rsidRPr="00875A11" w:rsidRDefault="00E311B0" w:rsidP="00FC12BB">
            <w:pPr>
              <w:pStyle w:val="NoSpacing"/>
              <w:framePr w:hSpace="0" w:wrap="auto" w:vAnchor="margin" w:yAlign="inline"/>
              <w:suppressOverlap w:val="0"/>
            </w:pPr>
          </w:p>
        </w:tc>
        <w:tc>
          <w:tcPr>
            <w:tcW w:w="1696" w:type="dxa"/>
            <w:vMerge/>
          </w:tcPr>
          <w:p w14:paraId="200CC516" w14:textId="188412F3" w:rsidR="00E311B0" w:rsidRPr="00875A11" w:rsidRDefault="00E311B0" w:rsidP="00FC12BB">
            <w:pPr>
              <w:pStyle w:val="NoSpacing"/>
              <w:framePr w:hSpace="0" w:wrap="auto" w:vAnchor="margin" w:yAlign="inline"/>
              <w:suppressOverlap w:val="0"/>
            </w:pPr>
          </w:p>
        </w:tc>
        <w:tc>
          <w:tcPr>
            <w:tcW w:w="2340" w:type="dxa"/>
            <w:shd w:val="clear" w:color="auto" w:fill="D9D9D9" w:themeFill="background1" w:themeFillShade="D9"/>
          </w:tcPr>
          <w:p w14:paraId="24F196EA" w14:textId="094F6EA2" w:rsidR="00E311B0" w:rsidRPr="00875A11" w:rsidRDefault="000B1D33" w:rsidP="00FC12BB">
            <w:pPr>
              <w:pStyle w:val="NoSpacing"/>
              <w:framePr w:hSpace="0" w:wrap="auto" w:vAnchor="margin" w:yAlign="inline"/>
              <w:suppressOverlap w:val="0"/>
            </w:pPr>
            <w:r w:rsidRPr="008A56FA">
              <w:rPr>
                <w:b/>
                <w:bCs/>
              </w:rPr>
              <w:t>Good</w:t>
            </w:r>
            <w:r>
              <w:t xml:space="preserve"> – Contractual Target </w:t>
            </w:r>
          </w:p>
        </w:tc>
        <w:tc>
          <w:tcPr>
            <w:tcW w:w="1733" w:type="dxa"/>
            <w:shd w:val="clear" w:color="auto" w:fill="D9D9D9" w:themeFill="background1" w:themeFillShade="D9"/>
          </w:tcPr>
          <w:p w14:paraId="232C471B" w14:textId="0BB67451" w:rsidR="00E311B0" w:rsidRDefault="00E311B0" w:rsidP="00FC12BB">
            <w:pPr>
              <w:pStyle w:val="NoSpacing"/>
              <w:framePr w:hSpace="0" w:wrap="auto" w:vAnchor="margin" w:yAlign="inline"/>
              <w:suppressOverlap w:val="0"/>
              <w:rPr>
                <w:b/>
                <w:bCs/>
              </w:rPr>
            </w:pPr>
            <w:r w:rsidRPr="00D44F0B">
              <w:rPr>
                <w:b/>
                <w:bCs/>
              </w:rPr>
              <w:t>Requires Improvement (RI)</w:t>
            </w:r>
            <w:r w:rsidR="000B1D33">
              <w:t xml:space="preserve"> – Interventions required</w:t>
            </w:r>
            <w:r>
              <w:t xml:space="preserve"> – Need to provide an improvement plan. </w:t>
            </w:r>
          </w:p>
        </w:tc>
        <w:tc>
          <w:tcPr>
            <w:tcW w:w="1731" w:type="dxa"/>
            <w:shd w:val="clear" w:color="auto" w:fill="D9D9D9" w:themeFill="background1" w:themeFillShade="D9"/>
          </w:tcPr>
          <w:p w14:paraId="3F703055" w14:textId="2AF6F6AE" w:rsidR="00E311B0" w:rsidRDefault="00E311B0" w:rsidP="00FC12BB">
            <w:pPr>
              <w:pStyle w:val="NoSpacing"/>
              <w:framePr w:hSpace="0" w:wrap="auto" w:vAnchor="margin" w:yAlign="inline"/>
              <w:suppressOverlap w:val="0"/>
            </w:pPr>
            <w:r w:rsidRPr="00D44F0B">
              <w:rPr>
                <w:b/>
                <w:bCs/>
              </w:rPr>
              <w:t>Inadequate Threshold (IT)</w:t>
            </w:r>
            <w:r w:rsidR="000B1D33">
              <w:t xml:space="preserve"> – </w:t>
            </w:r>
            <w:r>
              <w:t>Major interventions or contractual rectification plans required</w:t>
            </w:r>
          </w:p>
          <w:p w14:paraId="3CEE4FEE" w14:textId="1721F53E" w:rsidR="00E311B0" w:rsidRDefault="00E311B0" w:rsidP="00FC12BB">
            <w:pPr>
              <w:pStyle w:val="NoSpacing"/>
              <w:framePr w:hSpace="0" w:wrap="auto" w:vAnchor="margin" w:yAlign="inline"/>
              <w:suppressOverlap w:val="0"/>
            </w:pPr>
          </w:p>
        </w:tc>
        <w:tc>
          <w:tcPr>
            <w:tcW w:w="2166" w:type="dxa"/>
            <w:vMerge/>
          </w:tcPr>
          <w:p w14:paraId="2A381BCE" w14:textId="32104F8A" w:rsidR="00E311B0" w:rsidRPr="00875A11" w:rsidRDefault="00E311B0" w:rsidP="00FC12BB">
            <w:pPr>
              <w:pStyle w:val="NoSpacing"/>
              <w:framePr w:hSpace="0" w:wrap="auto" w:vAnchor="margin" w:yAlign="inline"/>
              <w:suppressOverlap w:val="0"/>
            </w:pPr>
          </w:p>
        </w:tc>
      </w:tr>
      <w:tr w:rsidR="00576904" w:rsidRPr="00985246" w14:paraId="16A393EF" w14:textId="77777777" w:rsidTr="006F5940">
        <w:tc>
          <w:tcPr>
            <w:tcW w:w="17856" w:type="dxa"/>
            <w:gridSpan w:val="10"/>
            <w:shd w:val="clear" w:color="auto" w:fill="D9D9D9" w:themeFill="background1" w:themeFillShade="D9"/>
          </w:tcPr>
          <w:p w14:paraId="3A602CCD" w14:textId="162D34B1" w:rsidR="00576904" w:rsidRPr="00E02373" w:rsidRDefault="00576904" w:rsidP="00FC12BB">
            <w:pPr>
              <w:pStyle w:val="NoSpacing"/>
              <w:framePr w:hSpace="0" w:wrap="auto" w:vAnchor="margin" w:yAlign="inline"/>
              <w:suppressOverlap w:val="0"/>
            </w:pPr>
            <w:r>
              <w:t>Requirements</w:t>
            </w:r>
          </w:p>
        </w:tc>
      </w:tr>
      <w:tr w:rsidR="00FC12BB" w:rsidRPr="00570179" w14:paraId="425D048A" w14:textId="458F6A9A" w:rsidTr="00811DB7">
        <w:tc>
          <w:tcPr>
            <w:tcW w:w="541" w:type="dxa"/>
            <w:shd w:val="clear" w:color="auto" w:fill="D9D9D9" w:themeFill="background1" w:themeFillShade="D9"/>
          </w:tcPr>
          <w:p w14:paraId="73014E0D" w14:textId="77777777" w:rsidR="00E311B0" w:rsidRPr="008D68E3" w:rsidRDefault="00E311B0" w:rsidP="00FC12BB">
            <w:pPr>
              <w:pStyle w:val="NoSpacing"/>
              <w:framePr w:hSpace="0" w:wrap="auto" w:vAnchor="margin" w:yAlign="inline"/>
              <w:suppressOverlap w:val="0"/>
            </w:pPr>
            <w:bookmarkStart w:id="3" w:name="_Hlk103173152"/>
            <w:r w:rsidRPr="008D68E3">
              <w:t>1</w:t>
            </w:r>
          </w:p>
        </w:tc>
        <w:tc>
          <w:tcPr>
            <w:tcW w:w="1706" w:type="dxa"/>
          </w:tcPr>
          <w:p w14:paraId="141C3140" w14:textId="77777777" w:rsidR="00E311B0" w:rsidRPr="008D68E3" w:rsidRDefault="00E311B0" w:rsidP="00FC12BB">
            <w:pPr>
              <w:pStyle w:val="NoSpacing"/>
              <w:framePr w:hSpace="0" w:wrap="auto" w:vAnchor="margin" w:yAlign="inline"/>
              <w:suppressOverlap w:val="0"/>
            </w:pPr>
            <w:r w:rsidRPr="008D68E3">
              <w:t>Air Service availability.</w:t>
            </w:r>
          </w:p>
          <w:p w14:paraId="189A26B7" w14:textId="77777777" w:rsidR="00E311B0" w:rsidRPr="008D68E3" w:rsidRDefault="00E311B0" w:rsidP="00FC12BB">
            <w:pPr>
              <w:pStyle w:val="NoSpacing"/>
              <w:framePr w:hSpace="0" w:wrap="auto" w:vAnchor="margin" w:yAlign="inline"/>
              <w:suppressOverlap w:val="0"/>
            </w:pPr>
          </w:p>
          <w:p w14:paraId="6CCBF260" w14:textId="77777777" w:rsidR="00E311B0" w:rsidRPr="008D68E3" w:rsidRDefault="00E311B0" w:rsidP="00FC12BB">
            <w:pPr>
              <w:pStyle w:val="NoSpacing"/>
              <w:framePr w:hSpace="0" w:wrap="auto" w:vAnchor="margin" w:yAlign="inline"/>
              <w:suppressOverlap w:val="0"/>
            </w:pPr>
          </w:p>
          <w:p w14:paraId="671E3A0B" w14:textId="77777777" w:rsidR="00E311B0" w:rsidRPr="008D68E3" w:rsidRDefault="00E311B0" w:rsidP="00FC12BB">
            <w:pPr>
              <w:pStyle w:val="NoSpacing"/>
              <w:framePr w:hSpace="0" w:wrap="auto" w:vAnchor="margin" w:yAlign="inline"/>
              <w:suppressOverlap w:val="0"/>
            </w:pPr>
          </w:p>
        </w:tc>
        <w:tc>
          <w:tcPr>
            <w:tcW w:w="2955" w:type="dxa"/>
          </w:tcPr>
          <w:p w14:paraId="0DA5AADD" w14:textId="1484618F" w:rsidR="00E311B0" w:rsidRPr="00156A43" w:rsidRDefault="00E311B0" w:rsidP="00FC12BB">
            <w:pPr>
              <w:pStyle w:val="NoSpacing"/>
              <w:framePr w:hSpace="0" w:wrap="auto" w:vAnchor="margin" w:yAlign="inline"/>
              <w:suppressOverlap w:val="0"/>
            </w:pPr>
            <w:r w:rsidRPr="00156A43">
              <w:t>Aircraft used to fulfil tasking is serviceable and able to support planned sorties</w:t>
            </w:r>
            <w:r w:rsidR="00ED6697" w:rsidRPr="00156A43">
              <w:t xml:space="preserve"> (excluding factors outside of the contractor</w:t>
            </w:r>
            <w:r w:rsidR="003B3D32" w:rsidRPr="00156A43">
              <w:t>’</w:t>
            </w:r>
            <w:r w:rsidR="00ED6697" w:rsidRPr="00156A43">
              <w:t xml:space="preserve">s control </w:t>
            </w:r>
            <w:r w:rsidR="00D44F0B" w:rsidRPr="00156A43">
              <w:t>e.g.,</w:t>
            </w:r>
            <w:r w:rsidR="00ED6697" w:rsidRPr="00156A43">
              <w:t xml:space="preserve"> weather)</w:t>
            </w:r>
            <w:r w:rsidRPr="00156A43">
              <w:t xml:space="preserve">. </w:t>
            </w:r>
          </w:p>
        </w:tc>
        <w:tc>
          <w:tcPr>
            <w:tcW w:w="1575" w:type="dxa"/>
          </w:tcPr>
          <w:p w14:paraId="2798A539" w14:textId="68ACE520" w:rsidR="00E311B0" w:rsidRPr="008D68E3" w:rsidRDefault="00E311B0" w:rsidP="00FC12BB">
            <w:pPr>
              <w:pStyle w:val="NoSpacing"/>
              <w:framePr w:hSpace="0" w:wrap="auto" w:vAnchor="margin" w:yAlign="inline"/>
              <w:suppressOverlap w:val="0"/>
            </w:pPr>
            <w:r>
              <w:t>Contractor self-monitoring</w:t>
            </w:r>
          </w:p>
        </w:tc>
        <w:tc>
          <w:tcPr>
            <w:tcW w:w="1413" w:type="dxa"/>
          </w:tcPr>
          <w:p w14:paraId="26073361" w14:textId="4BDEF2B6" w:rsidR="00E311B0" w:rsidRPr="008D68E3" w:rsidRDefault="00E311B0" w:rsidP="00FC12BB">
            <w:pPr>
              <w:pStyle w:val="NoSpacing"/>
              <w:framePr w:hSpace="0" w:wrap="auto" w:vAnchor="margin" w:yAlign="inline"/>
              <w:suppressOverlap w:val="0"/>
            </w:pPr>
            <w:r>
              <w:t>Continual monitoring during each Exercise</w:t>
            </w:r>
          </w:p>
        </w:tc>
        <w:tc>
          <w:tcPr>
            <w:tcW w:w="1696" w:type="dxa"/>
          </w:tcPr>
          <w:p w14:paraId="7D4AE880" w14:textId="77AAE092" w:rsidR="00E311B0" w:rsidRPr="008D68E3" w:rsidRDefault="00E311B0" w:rsidP="00FC12BB">
            <w:pPr>
              <w:pStyle w:val="NoSpacing"/>
              <w:framePr w:hSpace="0" w:wrap="auto" w:vAnchor="margin" w:yAlign="inline"/>
              <w:suppressOverlap w:val="0"/>
            </w:pPr>
            <w:r w:rsidRPr="009B3B24">
              <w:t>Contractor shall include such evidence within each Post Exercise Report (PXR)</w:t>
            </w:r>
          </w:p>
        </w:tc>
        <w:tc>
          <w:tcPr>
            <w:tcW w:w="2340" w:type="dxa"/>
          </w:tcPr>
          <w:p w14:paraId="4B877DE5" w14:textId="04494CAD" w:rsidR="00E311B0" w:rsidRPr="00985246" w:rsidRDefault="00E311B0" w:rsidP="00FC12BB">
            <w:pPr>
              <w:pStyle w:val="NoSpacing"/>
              <w:framePr w:hSpace="0" w:wrap="auto" w:vAnchor="margin" w:yAlign="inline"/>
              <w:suppressOverlap w:val="0"/>
              <w:rPr>
                <w:b/>
              </w:rPr>
            </w:pPr>
            <w:r w:rsidRPr="00985246">
              <w:rPr>
                <w:b/>
                <w:color w:val="00B050"/>
              </w:rPr>
              <w:t>Green</w:t>
            </w:r>
            <w:r w:rsidRPr="00985246">
              <w:t xml:space="preserve">– No instances of aircraft unavailability due to serviceability/all sorties </w:t>
            </w:r>
            <w:r>
              <w:t>flown on schedule.</w:t>
            </w:r>
          </w:p>
          <w:p w14:paraId="68BFB99A" w14:textId="75B32B93" w:rsidR="00E311B0" w:rsidRPr="008D68E3" w:rsidRDefault="00E311B0" w:rsidP="00FC12BB">
            <w:pPr>
              <w:pStyle w:val="NoSpacing"/>
              <w:framePr w:hSpace="0" w:wrap="auto" w:vAnchor="margin" w:yAlign="inline"/>
              <w:suppressOverlap w:val="0"/>
            </w:pPr>
          </w:p>
        </w:tc>
        <w:tc>
          <w:tcPr>
            <w:tcW w:w="1733" w:type="dxa"/>
          </w:tcPr>
          <w:p w14:paraId="4BDC0B1E" w14:textId="7D3F4D42" w:rsidR="00E311B0" w:rsidRPr="00D44F0B" w:rsidRDefault="00E311B0" w:rsidP="00FC12BB">
            <w:pPr>
              <w:pStyle w:val="NoSpacing"/>
              <w:framePr w:hSpace="0" w:wrap="auto" w:vAnchor="margin" w:yAlign="inline"/>
              <w:suppressOverlap w:val="0"/>
              <w:rPr>
                <w:b/>
              </w:rPr>
            </w:pPr>
            <w:r w:rsidRPr="00985246">
              <w:rPr>
                <w:b/>
                <w:color w:val="FFC000"/>
              </w:rPr>
              <w:t>Amber</w:t>
            </w:r>
            <w:r w:rsidRPr="00985246">
              <w:rPr>
                <w:b/>
              </w:rPr>
              <w:t xml:space="preserve">– </w:t>
            </w:r>
            <w:r w:rsidRPr="00985246">
              <w:t xml:space="preserve">1-2 instances of </w:t>
            </w:r>
            <w:r>
              <w:t xml:space="preserve">total </w:t>
            </w:r>
            <w:r w:rsidRPr="00985246">
              <w:t>aircraft unavailability</w:t>
            </w:r>
            <w:r>
              <w:t>,</w:t>
            </w:r>
            <w:r w:rsidRPr="00985246">
              <w:t xml:space="preserve"> or delay of </w:t>
            </w:r>
            <w:r>
              <w:t xml:space="preserve">up to </w:t>
            </w:r>
            <w:r w:rsidRPr="00985246">
              <w:t>1hr.</w:t>
            </w:r>
          </w:p>
        </w:tc>
        <w:tc>
          <w:tcPr>
            <w:tcW w:w="1731" w:type="dxa"/>
          </w:tcPr>
          <w:p w14:paraId="5C992D4E" w14:textId="5F8C4B14" w:rsidR="00E311B0" w:rsidRDefault="00E311B0" w:rsidP="00FC12BB">
            <w:pPr>
              <w:pStyle w:val="NoSpacing"/>
              <w:framePr w:hSpace="0" w:wrap="auto" w:vAnchor="margin" w:yAlign="inline"/>
              <w:suppressOverlap w:val="0"/>
            </w:pPr>
            <w:r w:rsidRPr="00985246">
              <w:rPr>
                <w:b/>
                <w:color w:val="FF0000"/>
              </w:rPr>
              <w:t>Red</w:t>
            </w:r>
            <w:r w:rsidRPr="00985246">
              <w:rPr>
                <w:b/>
              </w:rPr>
              <w:t xml:space="preserve">– </w:t>
            </w:r>
            <w:r>
              <w:t>3 or more</w:t>
            </w:r>
            <w:r w:rsidRPr="00985246">
              <w:t xml:space="preserve"> instances of </w:t>
            </w:r>
            <w:r>
              <w:t xml:space="preserve">total </w:t>
            </w:r>
            <w:r w:rsidRPr="00985246">
              <w:t>aircraft unavailability</w:t>
            </w:r>
            <w:r>
              <w:t>,</w:t>
            </w:r>
            <w:r w:rsidRPr="00985246">
              <w:t xml:space="preserve"> or delay of </w:t>
            </w:r>
            <w:r>
              <w:t xml:space="preserve">up to </w:t>
            </w:r>
            <w:r w:rsidRPr="00985246">
              <w:t>1hr.</w:t>
            </w:r>
          </w:p>
          <w:p w14:paraId="229A868E" w14:textId="261FD933" w:rsidR="00E311B0" w:rsidRDefault="00E311B0" w:rsidP="00FC12BB">
            <w:pPr>
              <w:pStyle w:val="NoSpacing"/>
              <w:framePr w:hSpace="0" w:wrap="auto" w:vAnchor="margin" w:yAlign="inline"/>
              <w:suppressOverlap w:val="0"/>
            </w:pPr>
            <w:r>
              <w:t>OR</w:t>
            </w:r>
          </w:p>
          <w:p w14:paraId="2EDC468E" w14:textId="6B936F0E" w:rsidR="00E311B0" w:rsidRDefault="00E311B0" w:rsidP="00FC12BB">
            <w:pPr>
              <w:pStyle w:val="NoSpacing"/>
              <w:framePr w:hSpace="0" w:wrap="auto" w:vAnchor="margin" w:yAlign="inline"/>
              <w:suppressOverlap w:val="0"/>
            </w:pPr>
            <w:r>
              <w:t>Any instance of aircraft unavailability for more than 1hr</w:t>
            </w:r>
          </w:p>
          <w:p w14:paraId="385A3C32" w14:textId="26647756" w:rsidR="00E311B0" w:rsidRPr="008A56FA" w:rsidRDefault="00E311B0" w:rsidP="00FC12BB">
            <w:pPr>
              <w:pStyle w:val="NoSpacing"/>
              <w:framePr w:hSpace="0" w:wrap="auto" w:vAnchor="margin" w:yAlign="inline"/>
              <w:suppressOverlap w:val="0"/>
            </w:pPr>
          </w:p>
        </w:tc>
        <w:tc>
          <w:tcPr>
            <w:tcW w:w="2166" w:type="dxa"/>
          </w:tcPr>
          <w:p w14:paraId="29F97BB3" w14:textId="409F979A" w:rsidR="00E311B0" w:rsidRPr="008A56FA" w:rsidRDefault="00E311B0" w:rsidP="00FC12BB">
            <w:pPr>
              <w:pStyle w:val="NoSpacing"/>
              <w:framePr w:hSpace="0" w:wrap="auto" w:vAnchor="margin" w:yAlign="inline"/>
              <w:suppressOverlap w:val="0"/>
            </w:pPr>
            <w:r>
              <w:t>Each Red results in a 3% payment deduction against the total cost of the exercise.</w:t>
            </w:r>
          </w:p>
        </w:tc>
      </w:tr>
      <w:bookmarkEnd w:id="3"/>
      <w:tr w:rsidR="00FC12BB" w:rsidRPr="00570179" w14:paraId="2D184EB6" w14:textId="630B4F20" w:rsidTr="00811DB7">
        <w:tc>
          <w:tcPr>
            <w:tcW w:w="541" w:type="dxa"/>
            <w:shd w:val="clear" w:color="auto" w:fill="D9D9D9" w:themeFill="background1" w:themeFillShade="D9"/>
          </w:tcPr>
          <w:p w14:paraId="0583E9D8" w14:textId="77777777" w:rsidR="00E311B0" w:rsidRPr="008D68E3" w:rsidRDefault="00E311B0" w:rsidP="00FC12BB">
            <w:pPr>
              <w:pStyle w:val="NoSpacing"/>
              <w:framePr w:hSpace="0" w:wrap="auto" w:vAnchor="margin" w:yAlign="inline"/>
              <w:suppressOverlap w:val="0"/>
            </w:pPr>
            <w:r w:rsidRPr="008D68E3">
              <w:t>2</w:t>
            </w:r>
          </w:p>
        </w:tc>
        <w:tc>
          <w:tcPr>
            <w:tcW w:w="1706" w:type="dxa"/>
          </w:tcPr>
          <w:p w14:paraId="30AEB06D" w14:textId="0C4CE80F" w:rsidR="00E311B0" w:rsidRPr="004116E9" w:rsidRDefault="00E311B0" w:rsidP="00FC12BB">
            <w:pPr>
              <w:pStyle w:val="NoSpacing"/>
              <w:framePr w:hSpace="0" w:wrap="auto" w:vAnchor="margin" w:yAlign="inline"/>
              <w:suppressOverlap w:val="0"/>
            </w:pPr>
            <w:r w:rsidRPr="004116E9">
              <w:t>Equipment availability.</w:t>
            </w:r>
          </w:p>
          <w:p w14:paraId="38B31ED7" w14:textId="77777777" w:rsidR="00E311B0" w:rsidRPr="004116E9" w:rsidRDefault="00E311B0" w:rsidP="00FC12BB">
            <w:pPr>
              <w:pStyle w:val="NoSpacing"/>
              <w:framePr w:hSpace="0" w:wrap="auto" w:vAnchor="margin" w:yAlign="inline"/>
              <w:suppressOverlap w:val="0"/>
            </w:pPr>
          </w:p>
          <w:p w14:paraId="4AB2DE65" w14:textId="77777777" w:rsidR="00E311B0" w:rsidRPr="004116E9" w:rsidRDefault="00E311B0" w:rsidP="00FC12BB">
            <w:pPr>
              <w:pStyle w:val="NoSpacing"/>
              <w:framePr w:hSpace="0" w:wrap="auto" w:vAnchor="margin" w:yAlign="inline"/>
              <w:suppressOverlap w:val="0"/>
            </w:pPr>
          </w:p>
        </w:tc>
        <w:tc>
          <w:tcPr>
            <w:tcW w:w="2955" w:type="dxa"/>
          </w:tcPr>
          <w:p w14:paraId="4B0A9CB0" w14:textId="14F8F637" w:rsidR="00E311B0" w:rsidRPr="004116E9" w:rsidRDefault="00E311B0" w:rsidP="00FC12BB">
            <w:pPr>
              <w:pStyle w:val="NoSpacing"/>
              <w:framePr w:hSpace="0" w:wrap="auto" w:vAnchor="margin" w:yAlign="inline"/>
              <w:suppressOverlap w:val="0"/>
            </w:pPr>
            <w:r w:rsidRPr="004116E9">
              <w:t xml:space="preserve">All equipment required to deliver the service </w:t>
            </w:r>
            <w:r w:rsidRPr="00CE456C">
              <w:t xml:space="preserve">is available, </w:t>
            </w:r>
            <w:proofErr w:type="gramStart"/>
            <w:r w:rsidRPr="00CE456C">
              <w:t>functional</w:t>
            </w:r>
            <w:proofErr w:type="gramEnd"/>
            <w:r w:rsidRPr="00CE456C">
              <w:t xml:space="preserve"> and serviceable</w:t>
            </w:r>
            <w:r w:rsidRPr="004116E9">
              <w:t xml:space="preserve">.  </w:t>
            </w:r>
          </w:p>
        </w:tc>
        <w:tc>
          <w:tcPr>
            <w:tcW w:w="1575" w:type="dxa"/>
          </w:tcPr>
          <w:p w14:paraId="7129D72A" w14:textId="0AF57505" w:rsidR="00E311B0" w:rsidRPr="004116E9" w:rsidRDefault="00E311B0" w:rsidP="00FC12BB">
            <w:pPr>
              <w:pStyle w:val="NoSpacing"/>
              <w:framePr w:hSpace="0" w:wrap="auto" w:vAnchor="margin" w:yAlign="inline"/>
              <w:suppressOverlap w:val="0"/>
            </w:pPr>
            <w:r w:rsidRPr="004116E9">
              <w:t>Contractor self-monitoring</w:t>
            </w:r>
            <w:r w:rsidR="00107852">
              <w:t xml:space="preserve"> and Authority </w:t>
            </w:r>
          </w:p>
        </w:tc>
        <w:tc>
          <w:tcPr>
            <w:tcW w:w="1413" w:type="dxa"/>
          </w:tcPr>
          <w:p w14:paraId="6D304E2E" w14:textId="59235ABB" w:rsidR="00E311B0" w:rsidRPr="004116E9" w:rsidRDefault="00E311B0" w:rsidP="00FC12BB">
            <w:pPr>
              <w:pStyle w:val="NoSpacing"/>
              <w:framePr w:hSpace="0" w:wrap="auto" w:vAnchor="margin" w:yAlign="inline"/>
              <w:suppressOverlap w:val="0"/>
            </w:pPr>
            <w:r w:rsidRPr="004116E9">
              <w:t>Per Exercise</w:t>
            </w:r>
          </w:p>
        </w:tc>
        <w:tc>
          <w:tcPr>
            <w:tcW w:w="1696" w:type="dxa"/>
          </w:tcPr>
          <w:p w14:paraId="71343883" w14:textId="7B6CA715" w:rsidR="00E311B0" w:rsidRPr="004116E9" w:rsidRDefault="00E311B0" w:rsidP="00FC12BB">
            <w:pPr>
              <w:pStyle w:val="NoSpacing"/>
              <w:framePr w:hSpace="0" w:wrap="auto" w:vAnchor="margin" w:yAlign="inline"/>
              <w:suppressOverlap w:val="0"/>
            </w:pPr>
            <w:r w:rsidRPr="004116E9">
              <w:t>Immediate Post Exercise</w:t>
            </w:r>
            <w:r w:rsidR="00107852">
              <w:t xml:space="preserve"> with Authority cross referencing against experience </w:t>
            </w:r>
          </w:p>
        </w:tc>
        <w:tc>
          <w:tcPr>
            <w:tcW w:w="2340" w:type="dxa"/>
          </w:tcPr>
          <w:p w14:paraId="65D67584" w14:textId="02CF65C7" w:rsidR="00E311B0" w:rsidRPr="00CE456C" w:rsidRDefault="00E311B0" w:rsidP="00FC12BB">
            <w:pPr>
              <w:pStyle w:val="NoSpacing"/>
              <w:framePr w:hSpace="0" w:wrap="auto" w:vAnchor="margin" w:yAlign="inline"/>
              <w:suppressOverlap w:val="0"/>
              <w:rPr>
                <w:highlight w:val="yellow"/>
              </w:rPr>
            </w:pPr>
            <w:r w:rsidRPr="00985246">
              <w:rPr>
                <w:b/>
                <w:color w:val="00B050"/>
              </w:rPr>
              <w:t>Green</w:t>
            </w:r>
            <w:r>
              <w:rPr>
                <w:b/>
                <w:color w:val="00B050"/>
              </w:rPr>
              <w:t xml:space="preserve"> </w:t>
            </w:r>
            <w:r w:rsidRPr="00CE456C">
              <w:rPr>
                <w:b/>
              </w:rPr>
              <w:t xml:space="preserve">– </w:t>
            </w:r>
            <w:r w:rsidRPr="00CE456C">
              <w:t>No instances of equipment unavailability.</w:t>
            </w:r>
            <w:r w:rsidRPr="00CE456C">
              <w:rPr>
                <w:b/>
              </w:rPr>
              <w:t xml:space="preserve"> </w:t>
            </w:r>
          </w:p>
        </w:tc>
        <w:tc>
          <w:tcPr>
            <w:tcW w:w="1733" w:type="dxa"/>
          </w:tcPr>
          <w:p w14:paraId="7039F8DC" w14:textId="12A46B35" w:rsidR="00E311B0" w:rsidRPr="00985246" w:rsidRDefault="00E311B0" w:rsidP="00FC12BB">
            <w:pPr>
              <w:pStyle w:val="NoSpacing"/>
              <w:framePr w:hSpace="0" w:wrap="auto" w:vAnchor="margin" w:yAlign="inline"/>
              <w:suppressOverlap w:val="0"/>
              <w:rPr>
                <w:b/>
              </w:rPr>
            </w:pPr>
            <w:r w:rsidRPr="00985246">
              <w:rPr>
                <w:b/>
                <w:color w:val="FFC000"/>
              </w:rPr>
              <w:t>Amber</w:t>
            </w:r>
            <w:r w:rsidRPr="00985246">
              <w:rPr>
                <w:b/>
              </w:rPr>
              <w:t xml:space="preserve"> – </w:t>
            </w:r>
            <w:r w:rsidRPr="00985246">
              <w:t xml:space="preserve">1-2 instances of equipment </w:t>
            </w:r>
            <w:r w:rsidRPr="005E5019">
              <w:rPr>
                <w:bCs/>
              </w:rPr>
              <w:t>unavailability</w:t>
            </w:r>
            <w:r>
              <w:t xml:space="preserve"> for more than 1hr</w:t>
            </w:r>
            <w:r w:rsidRPr="00985246">
              <w:t>.</w:t>
            </w:r>
          </w:p>
          <w:p w14:paraId="46DD9238" w14:textId="1DCDD29D" w:rsidR="00E311B0" w:rsidRPr="00CE456C" w:rsidRDefault="00E311B0" w:rsidP="00FC12BB">
            <w:pPr>
              <w:pStyle w:val="NoSpacing"/>
              <w:framePr w:hSpace="0" w:wrap="auto" w:vAnchor="margin" w:yAlign="inline"/>
              <w:suppressOverlap w:val="0"/>
              <w:rPr>
                <w:highlight w:val="yellow"/>
              </w:rPr>
            </w:pPr>
          </w:p>
        </w:tc>
        <w:tc>
          <w:tcPr>
            <w:tcW w:w="1731" w:type="dxa"/>
          </w:tcPr>
          <w:p w14:paraId="15ACB60A" w14:textId="5653B64B" w:rsidR="00E311B0" w:rsidRPr="00CE456C" w:rsidRDefault="00E311B0" w:rsidP="00FC12BB">
            <w:pPr>
              <w:pStyle w:val="NoSpacing"/>
              <w:framePr w:hSpace="0" w:wrap="auto" w:vAnchor="margin" w:yAlign="inline"/>
              <w:suppressOverlap w:val="0"/>
              <w:rPr>
                <w:highlight w:val="yellow"/>
              </w:rPr>
            </w:pPr>
            <w:r w:rsidRPr="00985246">
              <w:rPr>
                <w:b/>
                <w:color w:val="FF0000"/>
              </w:rPr>
              <w:t>Red</w:t>
            </w:r>
            <w:r w:rsidRPr="00985246">
              <w:rPr>
                <w:b/>
              </w:rPr>
              <w:t xml:space="preserve"> – </w:t>
            </w:r>
            <w:r w:rsidRPr="00985246">
              <w:t>3 or more instances of equipment</w:t>
            </w:r>
            <w:r>
              <w:t xml:space="preserve"> </w:t>
            </w:r>
            <w:r w:rsidRPr="005E5019">
              <w:rPr>
                <w:bCs/>
              </w:rPr>
              <w:t>unavailability</w:t>
            </w:r>
            <w:r>
              <w:t xml:space="preserve"> for more than 1hr</w:t>
            </w:r>
            <w:r w:rsidRPr="00985246">
              <w:t>.</w:t>
            </w:r>
          </w:p>
        </w:tc>
        <w:tc>
          <w:tcPr>
            <w:tcW w:w="2166" w:type="dxa"/>
          </w:tcPr>
          <w:p w14:paraId="43E77B4E" w14:textId="6F74057A" w:rsidR="00E311B0" w:rsidRPr="00CE456C" w:rsidRDefault="00E311B0" w:rsidP="00FC12BB">
            <w:pPr>
              <w:pStyle w:val="NoSpacing"/>
              <w:framePr w:hSpace="0" w:wrap="auto" w:vAnchor="margin" w:yAlign="inline"/>
              <w:suppressOverlap w:val="0"/>
              <w:rPr>
                <w:highlight w:val="yellow"/>
              </w:rPr>
            </w:pPr>
            <w:r w:rsidRPr="009F3BA1">
              <w:t>Each Red results in a 3% payment deduction against the total cost of the exercise.</w:t>
            </w:r>
          </w:p>
        </w:tc>
      </w:tr>
      <w:tr w:rsidR="00FC12BB" w:rsidRPr="00570179" w14:paraId="30475414" w14:textId="227242C5" w:rsidTr="00811DB7">
        <w:tc>
          <w:tcPr>
            <w:tcW w:w="541" w:type="dxa"/>
            <w:shd w:val="clear" w:color="auto" w:fill="D9D9D9" w:themeFill="background1" w:themeFillShade="D9"/>
          </w:tcPr>
          <w:p w14:paraId="1890555D" w14:textId="77777777" w:rsidR="00E311B0" w:rsidRPr="008D68E3" w:rsidRDefault="00E311B0" w:rsidP="00FC12BB">
            <w:pPr>
              <w:pStyle w:val="NoSpacing"/>
              <w:framePr w:hSpace="0" w:wrap="auto" w:vAnchor="margin" w:yAlign="inline"/>
              <w:suppressOverlap w:val="0"/>
            </w:pPr>
            <w:r w:rsidRPr="008D68E3">
              <w:t>3</w:t>
            </w:r>
          </w:p>
        </w:tc>
        <w:tc>
          <w:tcPr>
            <w:tcW w:w="1706" w:type="dxa"/>
          </w:tcPr>
          <w:p w14:paraId="7427A1EE" w14:textId="77777777" w:rsidR="00E311B0" w:rsidRPr="008D68E3" w:rsidRDefault="00E311B0" w:rsidP="00FC12BB">
            <w:pPr>
              <w:pStyle w:val="NoSpacing"/>
              <w:framePr w:hSpace="0" w:wrap="auto" w:vAnchor="margin" w:yAlign="inline"/>
              <w:suppressOverlap w:val="0"/>
            </w:pPr>
            <w:r w:rsidRPr="008D68E3">
              <w:t>Personnel.</w:t>
            </w:r>
          </w:p>
          <w:p w14:paraId="2F7C1CCD" w14:textId="77777777" w:rsidR="00E311B0" w:rsidRPr="008D68E3" w:rsidRDefault="00E311B0" w:rsidP="00FC12BB">
            <w:pPr>
              <w:pStyle w:val="NoSpacing"/>
              <w:framePr w:hSpace="0" w:wrap="auto" w:vAnchor="margin" w:yAlign="inline"/>
              <w:suppressOverlap w:val="0"/>
            </w:pPr>
          </w:p>
        </w:tc>
        <w:tc>
          <w:tcPr>
            <w:tcW w:w="2955" w:type="dxa"/>
          </w:tcPr>
          <w:p w14:paraId="4769A955" w14:textId="6537EC88" w:rsidR="00E311B0" w:rsidRPr="008D68E3" w:rsidRDefault="00E311B0" w:rsidP="00FC12BB">
            <w:pPr>
              <w:pStyle w:val="NoSpacing"/>
              <w:framePr w:hSpace="0" w:wrap="auto" w:vAnchor="margin" w:yAlign="inline"/>
              <w:suppressOverlap w:val="0"/>
            </w:pPr>
            <w:r w:rsidRPr="002E6377">
              <w:t xml:space="preserve">All contractor personnel (aircrew and Liaison Officers [ LOs]) are SQEP and available at designated location(s) at Start of Exercise (STARTEX) for the duration of each exercise, as defined in Schedule 2 (Statement </w:t>
            </w:r>
            <w:proofErr w:type="gramStart"/>
            <w:r w:rsidRPr="002E6377">
              <w:t>Of</w:t>
            </w:r>
            <w:proofErr w:type="gramEnd"/>
            <w:r w:rsidRPr="002E6377">
              <w:t xml:space="preserve"> Requirements).</w:t>
            </w:r>
          </w:p>
          <w:p w14:paraId="3B91F8F2" w14:textId="77777777" w:rsidR="00E311B0" w:rsidRPr="008D68E3" w:rsidRDefault="00E311B0" w:rsidP="00FC12BB">
            <w:pPr>
              <w:pStyle w:val="NoSpacing"/>
              <w:framePr w:hSpace="0" w:wrap="auto" w:vAnchor="margin" w:yAlign="inline"/>
              <w:suppressOverlap w:val="0"/>
            </w:pPr>
          </w:p>
          <w:p w14:paraId="6A08384C" w14:textId="77777777" w:rsidR="00E311B0" w:rsidRPr="008D68E3" w:rsidRDefault="00E311B0" w:rsidP="00FC12BB">
            <w:pPr>
              <w:pStyle w:val="NoSpacing"/>
              <w:framePr w:hSpace="0" w:wrap="auto" w:vAnchor="margin" w:yAlign="inline"/>
              <w:suppressOverlap w:val="0"/>
            </w:pPr>
          </w:p>
        </w:tc>
        <w:tc>
          <w:tcPr>
            <w:tcW w:w="1575" w:type="dxa"/>
          </w:tcPr>
          <w:p w14:paraId="5864BA63" w14:textId="2609E8E2" w:rsidR="00E311B0" w:rsidRPr="008D68E3" w:rsidRDefault="00E311B0" w:rsidP="00FC12BB">
            <w:pPr>
              <w:pStyle w:val="NoSpacing"/>
              <w:framePr w:hSpace="0" w:wrap="auto" w:vAnchor="margin" w:yAlign="inline"/>
              <w:suppressOverlap w:val="0"/>
            </w:pPr>
            <w:r>
              <w:t>Contractor self-monitoring</w:t>
            </w:r>
          </w:p>
        </w:tc>
        <w:tc>
          <w:tcPr>
            <w:tcW w:w="1413" w:type="dxa"/>
          </w:tcPr>
          <w:p w14:paraId="2B4F4EB1" w14:textId="7DCCEB47" w:rsidR="00E311B0" w:rsidRPr="008D68E3" w:rsidRDefault="00E311B0" w:rsidP="00FC12BB">
            <w:pPr>
              <w:pStyle w:val="NoSpacing"/>
              <w:framePr w:hSpace="0" w:wrap="auto" w:vAnchor="margin" w:yAlign="inline"/>
              <w:suppressOverlap w:val="0"/>
            </w:pPr>
            <w:r>
              <w:t>Per Exercise</w:t>
            </w:r>
          </w:p>
        </w:tc>
        <w:tc>
          <w:tcPr>
            <w:tcW w:w="1696" w:type="dxa"/>
          </w:tcPr>
          <w:p w14:paraId="1C8AB744" w14:textId="291A79F6" w:rsidR="00E311B0" w:rsidRPr="008D68E3" w:rsidRDefault="00E311B0" w:rsidP="00FC12BB">
            <w:pPr>
              <w:pStyle w:val="NoSpacing"/>
              <w:framePr w:hSpace="0" w:wrap="auto" w:vAnchor="margin" w:yAlign="inline"/>
              <w:suppressOverlap w:val="0"/>
            </w:pPr>
            <w:r w:rsidRPr="009B3B24">
              <w:t>Contractor shall include such evidence within each Post Exercise Report (PXR)</w:t>
            </w:r>
          </w:p>
        </w:tc>
        <w:tc>
          <w:tcPr>
            <w:tcW w:w="2340" w:type="dxa"/>
          </w:tcPr>
          <w:p w14:paraId="647C5283" w14:textId="77777777" w:rsidR="00E311B0" w:rsidRPr="00985246" w:rsidRDefault="00E311B0" w:rsidP="00FC12BB">
            <w:pPr>
              <w:pStyle w:val="NoSpacing"/>
              <w:framePr w:hSpace="0" w:wrap="auto" w:vAnchor="margin" w:yAlign="inline"/>
              <w:suppressOverlap w:val="0"/>
              <w:rPr>
                <w:b/>
              </w:rPr>
            </w:pPr>
            <w:r w:rsidRPr="00985246">
              <w:rPr>
                <w:b/>
                <w:color w:val="00B050"/>
              </w:rPr>
              <w:t>Green</w:t>
            </w:r>
            <w:r w:rsidRPr="00985246">
              <w:rPr>
                <w:b/>
              </w:rPr>
              <w:t xml:space="preserve"> </w:t>
            </w:r>
            <w:r w:rsidRPr="00985246">
              <w:t xml:space="preserve">– No instances of personnel being unavailable at STARTEX and for the duration of the exercise. </w:t>
            </w:r>
          </w:p>
          <w:p w14:paraId="44539D58" w14:textId="3303D7E2" w:rsidR="00E311B0" w:rsidRPr="008D68E3" w:rsidRDefault="00E311B0" w:rsidP="00FC12BB">
            <w:pPr>
              <w:pStyle w:val="NoSpacing"/>
              <w:framePr w:hSpace="0" w:wrap="auto" w:vAnchor="margin" w:yAlign="inline"/>
              <w:suppressOverlap w:val="0"/>
            </w:pPr>
          </w:p>
        </w:tc>
        <w:tc>
          <w:tcPr>
            <w:tcW w:w="1733" w:type="dxa"/>
          </w:tcPr>
          <w:p w14:paraId="709C3DA3" w14:textId="77777777" w:rsidR="00E311B0" w:rsidRPr="00985246" w:rsidRDefault="00E311B0" w:rsidP="00FC12BB">
            <w:pPr>
              <w:pStyle w:val="NoSpacing"/>
              <w:framePr w:hSpace="0" w:wrap="auto" w:vAnchor="margin" w:yAlign="inline"/>
              <w:suppressOverlap w:val="0"/>
            </w:pPr>
            <w:r w:rsidRPr="00985246">
              <w:rPr>
                <w:b/>
                <w:color w:val="FFC000"/>
              </w:rPr>
              <w:t>Amber</w:t>
            </w:r>
            <w:r w:rsidRPr="00985246">
              <w:rPr>
                <w:b/>
              </w:rPr>
              <w:t xml:space="preserve"> – </w:t>
            </w:r>
            <w:r w:rsidRPr="00985246">
              <w:t xml:space="preserve">1-2 instances of personnel being unavailable during the exercise. </w:t>
            </w:r>
          </w:p>
          <w:p w14:paraId="5B2367D6" w14:textId="16C6E37D" w:rsidR="00E311B0" w:rsidRPr="008A56FA" w:rsidRDefault="00E311B0" w:rsidP="00FC12BB">
            <w:pPr>
              <w:pStyle w:val="NoSpacing"/>
              <w:framePr w:hSpace="0" w:wrap="auto" w:vAnchor="margin" w:yAlign="inline"/>
              <w:suppressOverlap w:val="0"/>
            </w:pPr>
          </w:p>
        </w:tc>
        <w:tc>
          <w:tcPr>
            <w:tcW w:w="1731" w:type="dxa"/>
          </w:tcPr>
          <w:p w14:paraId="746B635B" w14:textId="27741533" w:rsidR="00E311B0" w:rsidRPr="008A56FA" w:rsidRDefault="00E311B0" w:rsidP="00FC12BB">
            <w:pPr>
              <w:pStyle w:val="NoSpacing"/>
              <w:framePr w:hSpace="0" w:wrap="auto" w:vAnchor="margin" w:yAlign="inline"/>
              <w:suppressOverlap w:val="0"/>
            </w:pPr>
            <w:r w:rsidRPr="00985246">
              <w:rPr>
                <w:b/>
                <w:color w:val="FF0000"/>
              </w:rPr>
              <w:t>Red</w:t>
            </w:r>
            <w:r w:rsidRPr="00985246">
              <w:rPr>
                <w:b/>
              </w:rPr>
              <w:t xml:space="preserve"> – </w:t>
            </w:r>
            <w:r w:rsidRPr="00985246">
              <w:t>3 or more instances of personnel being unavailable during the exercise.</w:t>
            </w:r>
          </w:p>
        </w:tc>
        <w:tc>
          <w:tcPr>
            <w:tcW w:w="2166" w:type="dxa"/>
          </w:tcPr>
          <w:p w14:paraId="14783478" w14:textId="510304B1" w:rsidR="00E311B0" w:rsidRPr="008A56FA" w:rsidRDefault="00E311B0" w:rsidP="00FC12BB">
            <w:pPr>
              <w:pStyle w:val="NoSpacing"/>
              <w:framePr w:hSpace="0" w:wrap="auto" w:vAnchor="margin" w:yAlign="inline"/>
              <w:suppressOverlap w:val="0"/>
            </w:pPr>
            <w:r w:rsidRPr="009F3BA1">
              <w:t>Each Red results in a 3% payment deduction against the total cost of the exercise.</w:t>
            </w:r>
          </w:p>
        </w:tc>
      </w:tr>
      <w:tr w:rsidR="00FC12BB" w:rsidRPr="00985246" w14:paraId="17018335" w14:textId="77777777" w:rsidTr="00811DB7">
        <w:tc>
          <w:tcPr>
            <w:tcW w:w="541" w:type="dxa"/>
            <w:shd w:val="clear" w:color="auto" w:fill="D9D9D9" w:themeFill="background1" w:themeFillShade="D9"/>
          </w:tcPr>
          <w:p w14:paraId="321F7289" w14:textId="301353A2" w:rsidR="00E311B0" w:rsidRDefault="00E311B0" w:rsidP="00FC12BB">
            <w:pPr>
              <w:pStyle w:val="NoSpacing"/>
              <w:framePr w:hSpace="0" w:wrap="auto" w:vAnchor="margin" w:yAlign="inline"/>
              <w:suppressOverlap w:val="0"/>
            </w:pPr>
            <w:bookmarkStart w:id="4" w:name="_Hlk104963983"/>
            <w:r>
              <w:t>4</w:t>
            </w:r>
          </w:p>
        </w:tc>
        <w:tc>
          <w:tcPr>
            <w:tcW w:w="1706" w:type="dxa"/>
          </w:tcPr>
          <w:p w14:paraId="7B79B0A2" w14:textId="2B5863C1" w:rsidR="00E311B0" w:rsidRPr="00A712E5" w:rsidRDefault="00E311B0" w:rsidP="00FC12BB">
            <w:pPr>
              <w:pStyle w:val="NoSpacing"/>
              <w:framePr w:hSpace="0" w:wrap="auto" w:vAnchor="margin" w:yAlign="inline"/>
              <w:suppressOverlap w:val="0"/>
            </w:pPr>
            <w:r>
              <w:t>Security</w:t>
            </w:r>
            <w:r w:rsidR="0090072E">
              <w:t>/Material Bre</w:t>
            </w:r>
            <w:r w:rsidR="002E71F2">
              <w:t>a</w:t>
            </w:r>
            <w:r w:rsidR="0090072E">
              <w:t>ches</w:t>
            </w:r>
          </w:p>
        </w:tc>
        <w:tc>
          <w:tcPr>
            <w:tcW w:w="2955" w:type="dxa"/>
          </w:tcPr>
          <w:p w14:paraId="067A1FE8" w14:textId="4381B944" w:rsidR="00E311B0" w:rsidRPr="00A712E5" w:rsidRDefault="00E311B0" w:rsidP="00FC12BB">
            <w:pPr>
              <w:pStyle w:val="NoSpacing"/>
              <w:framePr w:hSpace="0" w:wrap="auto" w:vAnchor="margin" w:yAlign="inline"/>
              <w:suppressOverlap w:val="0"/>
            </w:pPr>
            <w:r>
              <w:t>Compliance with MOD security and crypto regulations.</w:t>
            </w:r>
          </w:p>
        </w:tc>
        <w:tc>
          <w:tcPr>
            <w:tcW w:w="1575" w:type="dxa"/>
          </w:tcPr>
          <w:p w14:paraId="1626ADDF" w14:textId="62AD50A0" w:rsidR="00E311B0" w:rsidRPr="00A712E5" w:rsidRDefault="00E311B0" w:rsidP="00FC12BB">
            <w:pPr>
              <w:pStyle w:val="NoSpacing"/>
              <w:framePr w:hSpace="0" w:wrap="auto" w:vAnchor="margin" w:yAlign="inline"/>
              <w:suppressOverlap w:val="0"/>
            </w:pPr>
            <w:r w:rsidRPr="005E5019">
              <w:t>Contractor self-monitoring</w:t>
            </w:r>
          </w:p>
        </w:tc>
        <w:tc>
          <w:tcPr>
            <w:tcW w:w="1413" w:type="dxa"/>
          </w:tcPr>
          <w:p w14:paraId="64E90C64" w14:textId="2DFAEBAF" w:rsidR="00E311B0" w:rsidRPr="00A712E5" w:rsidRDefault="00E311B0" w:rsidP="00FC12BB">
            <w:pPr>
              <w:pStyle w:val="NoSpacing"/>
              <w:framePr w:hSpace="0" w:wrap="auto" w:vAnchor="margin" w:yAlign="inline"/>
              <w:suppressOverlap w:val="0"/>
            </w:pPr>
            <w:r w:rsidRPr="005E5019">
              <w:t>Per Exercise</w:t>
            </w:r>
          </w:p>
        </w:tc>
        <w:tc>
          <w:tcPr>
            <w:tcW w:w="1696" w:type="dxa"/>
          </w:tcPr>
          <w:p w14:paraId="5B8D4400" w14:textId="0E305F16" w:rsidR="00E311B0" w:rsidRPr="00A712E5" w:rsidRDefault="00E311B0" w:rsidP="00FC12BB">
            <w:pPr>
              <w:pStyle w:val="NoSpacing"/>
              <w:framePr w:hSpace="0" w:wrap="auto" w:vAnchor="margin" w:yAlign="inline"/>
              <w:suppressOverlap w:val="0"/>
            </w:pPr>
            <w:r w:rsidRPr="005E5019">
              <w:t>Contractor shall include such evidence within each Post Exercise Report (PXR)</w:t>
            </w:r>
          </w:p>
        </w:tc>
        <w:tc>
          <w:tcPr>
            <w:tcW w:w="2340" w:type="dxa"/>
          </w:tcPr>
          <w:p w14:paraId="55768E83" w14:textId="70BC7F8B" w:rsidR="00E311B0" w:rsidRPr="00300CBF" w:rsidDel="00B96150" w:rsidRDefault="00E311B0" w:rsidP="00FC12BB">
            <w:pPr>
              <w:pStyle w:val="NoSpacing"/>
              <w:framePr w:hSpace="0" w:wrap="auto" w:vAnchor="margin" w:yAlign="inline"/>
              <w:suppressOverlap w:val="0"/>
              <w:rPr>
                <w:b/>
                <w:bCs/>
                <w:highlight w:val="yellow"/>
              </w:rPr>
            </w:pPr>
            <w:r w:rsidRPr="005E5019">
              <w:rPr>
                <w:b/>
                <w:bCs/>
                <w:color w:val="00B050"/>
              </w:rPr>
              <w:t>Green</w:t>
            </w:r>
            <w:r w:rsidRPr="005E5019">
              <w:rPr>
                <w:color w:val="00B050"/>
              </w:rPr>
              <w:t xml:space="preserve"> </w:t>
            </w:r>
            <w:r>
              <w:t>– No instances of security breaches or deviations of the regulations.</w:t>
            </w:r>
          </w:p>
        </w:tc>
        <w:tc>
          <w:tcPr>
            <w:tcW w:w="1733" w:type="dxa"/>
          </w:tcPr>
          <w:p w14:paraId="5D845EB2" w14:textId="77777777" w:rsidR="00E311B0" w:rsidRPr="00985246" w:rsidRDefault="00E311B0" w:rsidP="00FC12BB">
            <w:pPr>
              <w:pStyle w:val="NoSpacing"/>
              <w:framePr w:hSpace="0" w:wrap="auto" w:vAnchor="margin" w:yAlign="inline"/>
              <w:suppressOverlap w:val="0"/>
            </w:pPr>
          </w:p>
        </w:tc>
        <w:tc>
          <w:tcPr>
            <w:tcW w:w="1731" w:type="dxa"/>
          </w:tcPr>
          <w:p w14:paraId="3A31CAA0" w14:textId="3F47E854" w:rsidR="00E311B0" w:rsidRPr="00985246" w:rsidRDefault="00E311B0" w:rsidP="00FC12BB">
            <w:pPr>
              <w:pStyle w:val="NoSpacing"/>
              <w:framePr w:hSpace="0" w:wrap="auto" w:vAnchor="margin" w:yAlign="inline"/>
              <w:suppressOverlap w:val="0"/>
              <w:rPr>
                <w:b/>
                <w:color w:val="FF0000"/>
              </w:rPr>
            </w:pPr>
            <w:r w:rsidRPr="005E5019">
              <w:rPr>
                <w:b/>
                <w:bCs/>
                <w:color w:val="FF0000"/>
              </w:rPr>
              <w:t>Red</w:t>
            </w:r>
            <w:r w:rsidRPr="005E5019">
              <w:rPr>
                <w:color w:val="FF0000"/>
              </w:rPr>
              <w:t xml:space="preserve"> </w:t>
            </w:r>
            <w:r>
              <w:t xml:space="preserve">– For </w:t>
            </w:r>
            <w:r w:rsidR="00CA3C8C" w:rsidRPr="002E6377">
              <w:t>an</w:t>
            </w:r>
            <w:r>
              <w:t xml:space="preserve"> instance of a security breach or deviation of the regulations.</w:t>
            </w:r>
          </w:p>
        </w:tc>
        <w:tc>
          <w:tcPr>
            <w:tcW w:w="2166" w:type="dxa"/>
          </w:tcPr>
          <w:p w14:paraId="23372E8C" w14:textId="4B504D32" w:rsidR="00E311B0" w:rsidRPr="00826AA0" w:rsidRDefault="0090072E" w:rsidP="00FC12BB">
            <w:pPr>
              <w:pStyle w:val="NoSpacing"/>
              <w:framePr w:hSpace="0" w:wrap="auto" w:vAnchor="margin" w:yAlign="inline"/>
              <w:suppressOverlap w:val="0"/>
            </w:pPr>
            <w:r w:rsidRPr="0090072E">
              <w:t xml:space="preserve">Failure to achieve green on this KPI may result in termination of the contract under DEFCON 514- Material Breach. Each case will be </w:t>
            </w:r>
            <w:r w:rsidRPr="0090072E">
              <w:lastRenderedPageBreak/>
              <w:t>reviewed on a case-by-case basis, however, due to sensitivity of this requirement, will likely result in the contract terminating. 20 days written notice may not be given under serious breaches</w:t>
            </w:r>
          </w:p>
        </w:tc>
      </w:tr>
      <w:bookmarkEnd w:id="4"/>
      <w:tr w:rsidR="00FC12BB" w:rsidRPr="00985246" w14:paraId="5BB58831" w14:textId="0AF5789A" w:rsidTr="00811DB7">
        <w:tc>
          <w:tcPr>
            <w:tcW w:w="541" w:type="dxa"/>
            <w:shd w:val="clear" w:color="auto" w:fill="D9D9D9" w:themeFill="background1" w:themeFillShade="D9"/>
          </w:tcPr>
          <w:p w14:paraId="68B45ED1" w14:textId="5D17DB56" w:rsidR="00E311B0" w:rsidRPr="00425E95" w:rsidRDefault="00E311B0" w:rsidP="00FC12BB">
            <w:pPr>
              <w:pStyle w:val="NoSpacing"/>
              <w:framePr w:hSpace="0" w:wrap="auto" w:vAnchor="margin" w:yAlign="inline"/>
              <w:suppressOverlap w:val="0"/>
            </w:pPr>
            <w:r>
              <w:lastRenderedPageBreak/>
              <w:t>5</w:t>
            </w:r>
          </w:p>
        </w:tc>
        <w:tc>
          <w:tcPr>
            <w:tcW w:w="1706" w:type="dxa"/>
          </w:tcPr>
          <w:p w14:paraId="6AA66FBC" w14:textId="700B54E2" w:rsidR="00E311B0" w:rsidRPr="00A712E5" w:rsidRDefault="00E311B0" w:rsidP="00FC12BB">
            <w:pPr>
              <w:pStyle w:val="NoSpacing"/>
              <w:framePr w:hSpace="0" w:wrap="auto" w:vAnchor="margin" w:yAlign="inline"/>
              <w:suppressOverlap w:val="0"/>
            </w:pPr>
            <w:r w:rsidRPr="00A712E5">
              <w:t>Contract management plan.</w:t>
            </w:r>
          </w:p>
        </w:tc>
        <w:tc>
          <w:tcPr>
            <w:tcW w:w="2955" w:type="dxa"/>
          </w:tcPr>
          <w:p w14:paraId="0E196A26" w14:textId="02966339" w:rsidR="00E311B0" w:rsidRPr="00A712E5" w:rsidRDefault="00E311B0" w:rsidP="00FC12BB">
            <w:pPr>
              <w:pStyle w:val="NoSpacing"/>
              <w:framePr w:hSpace="0" w:wrap="auto" w:vAnchor="margin" w:yAlign="inline"/>
              <w:suppressOverlap w:val="0"/>
            </w:pPr>
            <w:r w:rsidRPr="00A712E5">
              <w:t xml:space="preserve">The service </w:t>
            </w:r>
            <w:r>
              <w:t xml:space="preserve">shall be </w:t>
            </w:r>
            <w:r w:rsidRPr="00A712E5">
              <w:t>delivered i</w:t>
            </w:r>
            <w:r>
              <w:t xml:space="preserve">n </w:t>
            </w:r>
            <w:r w:rsidRPr="00A712E5">
              <w:t>a</w:t>
            </w:r>
            <w:r>
              <w:t xml:space="preserve">ccordance </w:t>
            </w:r>
            <w:r w:rsidRPr="00A712E5">
              <w:t>w</w:t>
            </w:r>
            <w:r>
              <w:t>ith (</w:t>
            </w:r>
            <w:proofErr w:type="spellStart"/>
            <w:r>
              <w:t>iaw</w:t>
            </w:r>
            <w:proofErr w:type="spellEnd"/>
            <w:r>
              <w:t>)</w:t>
            </w:r>
            <w:r w:rsidRPr="00A712E5">
              <w:t xml:space="preserve"> the contractor’s contract management plan.</w:t>
            </w:r>
          </w:p>
        </w:tc>
        <w:tc>
          <w:tcPr>
            <w:tcW w:w="1575" w:type="dxa"/>
          </w:tcPr>
          <w:p w14:paraId="0009E809" w14:textId="2459FB62" w:rsidR="00E311B0" w:rsidRPr="00A712E5" w:rsidRDefault="00E311B0" w:rsidP="00FC12BB">
            <w:pPr>
              <w:pStyle w:val="NoSpacing"/>
              <w:framePr w:hSpace="0" w:wrap="auto" w:vAnchor="margin" w:yAlign="inline"/>
              <w:suppressOverlap w:val="0"/>
            </w:pPr>
            <w:r w:rsidRPr="00A712E5">
              <w:t>Contractor self-monitoring</w:t>
            </w:r>
            <w:r w:rsidR="00811DB7">
              <w:t xml:space="preserve"> and Authority </w:t>
            </w:r>
          </w:p>
        </w:tc>
        <w:tc>
          <w:tcPr>
            <w:tcW w:w="1413" w:type="dxa"/>
          </w:tcPr>
          <w:p w14:paraId="1717458A" w14:textId="0F776BDF" w:rsidR="00E311B0" w:rsidRPr="00A712E5" w:rsidRDefault="00E311B0" w:rsidP="00FC12BB">
            <w:pPr>
              <w:pStyle w:val="NoSpacing"/>
              <w:framePr w:hSpace="0" w:wrap="auto" w:vAnchor="margin" w:yAlign="inline"/>
              <w:suppressOverlap w:val="0"/>
            </w:pPr>
            <w:r w:rsidRPr="00A712E5">
              <w:t>Per Exercise</w:t>
            </w:r>
          </w:p>
        </w:tc>
        <w:tc>
          <w:tcPr>
            <w:tcW w:w="1696" w:type="dxa"/>
          </w:tcPr>
          <w:p w14:paraId="72D36F4F" w14:textId="095694E4" w:rsidR="00E311B0" w:rsidRPr="00A712E5" w:rsidRDefault="00E311B0" w:rsidP="00FC12BB">
            <w:pPr>
              <w:pStyle w:val="NoSpacing"/>
              <w:framePr w:hSpace="0" w:wrap="auto" w:vAnchor="margin" w:yAlign="inline"/>
              <w:suppressOverlap w:val="0"/>
            </w:pPr>
            <w:r w:rsidRPr="00A712E5">
              <w:t>Contractor shall include such evidence within each Post Exercise Report (</w:t>
            </w:r>
            <w:proofErr w:type="gramStart"/>
            <w:r w:rsidRPr="00A712E5">
              <w:t>PXR)</w:t>
            </w:r>
            <w:r w:rsidR="00811DB7">
              <w:t xml:space="preserve">  </w:t>
            </w:r>
            <w:r w:rsidR="00811DB7">
              <w:t>and</w:t>
            </w:r>
            <w:proofErr w:type="gramEnd"/>
            <w:r w:rsidR="00811DB7">
              <w:t xml:space="preserve"> Authority will cross reference this against end user experience</w:t>
            </w:r>
          </w:p>
        </w:tc>
        <w:tc>
          <w:tcPr>
            <w:tcW w:w="2340" w:type="dxa"/>
          </w:tcPr>
          <w:p w14:paraId="078BB7E7" w14:textId="77777777" w:rsidR="00E311B0" w:rsidRPr="00985246" w:rsidRDefault="00E311B0" w:rsidP="00FC12BB">
            <w:pPr>
              <w:pStyle w:val="NoSpacing"/>
              <w:framePr w:hSpace="0" w:wrap="auto" w:vAnchor="margin" w:yAlign="inline"/>
              <w:suppressOverlap w:val="0"/>
            </w:pPr>
            <w:r w:rsidRPr="00985246">
              <w:rPr>
                <w:b/>
                <w:color w:val="00B050"/>
              </w:rPr>
              <w:t>Green</w:t>
            </w:r>
            <w:r w:rsidRPr="00985246">
              <w:rPr>
                <w:b/>
              </w:rPr>
              <w:t xml:space="preserve"> </w:t>
            </w:r>
            <w:r w:rsidRPr="00985246">
              <w:t xml:space="preserve">– </w:t>
            </w:r>
            <w:r>
              <w:t xml:space="preserve">Service fully delivered </w:t>
            </w:r>
            <w:proofErr w:type="spellStart"/>
            <w:r>
              <w:t>iaw</w:t>
            </w:r>
            <w:proofErr w:type="spellEnd"/>
            <w:r>
              <w:t xml:space="preserve"> the management plan. </w:t>
            </w:r>
            <w:r w:rsidRPr="00985246">
              <w:t xml:space="preserve">  </w:t>
            </w:r>
          </w:p>
          <w:p w14:paraId="34622FB1" w14:textId="1637992B" w:rsidR="00E311B0" w:rsidRPr="00CE456C" w:rsidRDefault="00E311B0" w:rsidP="00FC12BB">
            <w:pPr>
              <w:pStyle w:val="NoSpacing"/>
              <w:framePr w:hSpace="0" w:wrap="auto" w:vAnchor="margin" w:yAlign="inline"/>
              <w:suppressOverlap w:val="0"/>
              <w:rPr>
                <w:highlight w:val="yellow"/>
              </w:rPr>
            </w:pPr>
          </w:p>
        </w:tc>
        <w:tc>
          <w:tcPr>
            <w:tcW w:w="1733" w:type="dxa"/>
          </w:tcPr>
          <w:p w14:paraId="77F7170A" w14:textId="038BC05B" w:rsidR="00E311B0" w:rsidRPr="00985246" w:rsidRDefault="00E311B0" w:rsidP="00FC12BB">
            <w:pPr>
              <w:pStyle w:val="NoSpacing"/>
              <w:framePr w:hSpace="0" w:wrap="auto" w:vAnchor="margin" w:yAlign="inline"/>
              <w:suppressOverlap w:val="0"/>
            </w:pPr>
            <w:r w:rsidRPr="00985246">
              <w:rPr>
                <w:b/>
                <w:color w:val="FFC000"/>
              </w:rPr>
              <w:t>Amber</w:t>
            </w:r>
            <w:r w:rsidRPr="00985246">
              <w:rPr>
                <w:b/>
              </w:rPr>
              <w:t xml:space="preserve"> – </w:t>
            </w:r>
            <w:r>
              <w:t xml:space="preserve">1-2 deviations from the management plan (without prior consultation with the Authority).  </w:t>
            </w:r>
            <w:r w:rsidRPr="00985246">
              <w:t xml:space="preserve">  </w:t>
            </w:r>
          </w:p>
          <w:p w14:paraId="5A4C7128" w14:textId="6658D745" w:rsidR="00E311B0" w:rsidRPr="00CE456C" w:rsidRDefault="00E311B0" w:rsidP="00FC12BB">
            <w:pPr>
              <w:pStyle w:val="NoSpacing"/>
              <w:framePr w:hSpace="0" w:wrap="auto" w:vAnchor="margin" w:yAlign="inline"/>
              <w:suppressOverlap w:val="0"/>
              <w:rPr>
                <w:highlight w:val="yellow"/>
              </w:rPr>
            </w:pPr>
          </w:p>
        </w:tc>
        <w:tc>
          <w:tcPr>
            <w:tcW w:w="1731" w:type="dxa"/>
          </w:tcPr>
          <w:p w14:paraId="3DC1D22F" w14:textId="25EA7C25" w:rsidR="00E311B0" w:rsidRDefault="00E311B0" w:rsidP="00FC12BB">
            <w:pPr>
              <w:pStyle w:val="NoSpacing"/>
              <w:framePr w:hSpace="0" w:wrap="auto" w:vAnchor="margin" w:yAlign="inline"/>
              <w:suppressOverlap w:val="0"/>
            </w:pPr>
            <w:r w:rsidRPr="00985246">
              <w:rPr>
                <w:b/>
                <w:color w:val="FF0000"/>
              </w:rPr>
              <w:t>Red</w:t>
            </w:r>
            <w:r w:rsidRPr="00985246">
              <w:rPr>
                <w:b/>
              </w:rPr>
              <w:t xml:space="preserve"> – </w:t>
            </w:r>
            <w:r>
              <w:t xml:space="preserve">3 or </w:t>
            </w:r>
            <w:r w:rsidR="002E6377">
              <w:t>more deviations</w:t>
            </w:r>
            <w:r>
              <w:t xml:space="preserve"> from the management plan (without prior consultation with the Authority).  </w:t>
            </w:r>
            <w:r w:rsidRPr="00985246">
              <w:t xml:space="preserve">  </w:t>
            </w:r>
          </w:p>
          <w:p w14:paraId="41F8B925" w14:textId="77777777" w:rsidR="00E311B0" w:rsidRPr="00CE456C" w:rsidRDefault="00E311B0" w:rsidP="00FC12BB">
            <w:pPr>
              <w:pStyle w:val="NoSpacing"/>
              <w:framePr w:hSpace="0" w:wrap="auto" w:vAnchor="margin" w:yAlign="inline"/>
              <w:suppressOverlap w:val="0"/>
            </w:pPr>
          </w:p>
        </w:tc>
        <w:tc>
          <w:tcPr>
            <w:tcW w:w="2166" w:type="dxa"/>
          </w:tcPr>
          <w:p w14:paraId="06206CB0" w14:textId="38429D64" w:rsidR="00E311B0" w:rsidRPr="008A56FA" w:rsidRDefault="00E311B0" w:rsidP="00FC12BB">
            <w:pPr>
              <w:pStyle w:val="NoSpacing"/>
              <w:framePr w:hSpace="0" w:wrap="auto" w:vAnchor="margin" w:yAlign="inline"/>
              <w:suppressOverlap w:val="0"/>
            </w:pPr>
            <w:r w:rsidRPr="00826AA0">
              <w:t>Each Red results in a 3% payment deduction against the total cost of the exercise.</w:t>
            </w:r>
          </w:p>
        </w:tc>
      </w:tr>
      <w:tr w:rsidR="00FC12BB" w:rsidRPr="00985246" w14:paraId="75D4EFA2" w14:textId="24F64D04" w:rsidTr="00811DB7">
        <w:tc>
          <w:tcPr>
            <w:tcW w:w="541" w:type="dxa"/>
            <w:tcBorders>
              <w:bottom w:val="single" w:sz="4" w:space="0" w:color="auto"/>
            </w:tcBorders>
            <w:shd w:val="clear" w:color="auto" w:fill="D9D9D9" w:themeFill="background1" w:themeFillShade="D9"/>
          </w:tcPr>
          <w:p w14:paraId="24ED64C6" w14:textId="1B0ED162" w:rsidR="00E311B0" w:rsidRPr="00425E95" w:rsidRDefault="00E311B0" w:rsidP="00FC12BB">
            <w:pPr>
              <w:pStyle w:val="NoSpacing"/>
              <w:framePr w:hSpace="0" w:wrap="auto" w:vAnchor="margin" w:yAlign="inline"/>
              <w:suppressOverlap w:val="0"/>
            </w:pPr>
            <w:r>
              <w:t>6</w:t>
            </w:r>
          </w:p>
        </w:tc>
        <w:tc>
          <w:tcPr>
            <w:tcW w:w="1706" w:type="dxa"/>
            <w:tcBorders>
              <w:bottom w:val="single" w:sz="4" w:space="0" w:color="auto"/>
            </w:tcBorders>
          </w:tcPr>
          <w:p w14:paraId="423FC41D" w14:textId="6D885DAB" w:rsidR="00E311B0" w:rsidRPr="00EB24D2" w:rsidRDefault="00E311B0" w:rsidP="00FC12BB">
            <w:pPr>
              <w:pStyle w:val="NoSpacing"/>
              <w:framePr w:hSpace="0" w:wrap="auto" w:vAnchor="margin" w:yAlign="inline"/>
              <w:suppressOverlap w:val="0"/>
            </w:pPr>
            <w:r w:rsidRPr="00AB1B16">
              <w:t>P</w:t>
            </w:r>
            <w:r w:rsidRPr="00EB24D2">
              <w:t>re exercise briefings</w:t>
            </w:r>
            <w:r w:rsidRPr="00AB1B16">
              <w:t>.</w:t>
            </w:r>
          </w:p>
        </w:tc>
        <w:tc>
          <w:tcPr>
            <w:tcW w:w="2955" w:type="dxa"/>
            <w:tcBorders>
              <w:bottom w:val="single" w:sz="4" w:space="0" w:color="auto"/>
            </w:tcBorders>
          </w:tcPr>
          <w:p w14:paraId="2353719E" w14:textId="0F272D93" w:rsidR="00E311B0" w:rsidRPr="00EB24D2" w:rsidRDefault="00E311B0" w:rsidP="00FC12BB">
            <w:pPr>
              <w:pStyle w:val="NoSpacing"/>
              <w:framePr w:hSpace="0" w:wrap="auto" w:vAnchor="margin" w:yAlign="inline"/>
              <w:suppressOverlap w:val="0"/>
            </w:pPr>
            <w:r w:rsidRPr="00EB24D2">
              <w:t>Pre exercise briefing</w:t>
            </w:r>
            <w:r w:rsidRPr="00AB1B16">
              <w:t>s are delivered to the tr</w:t>
            </w:r>
            <w:r w:rsidRPr="00EB24D2">
              <w:t>ainin</w:t>
            </w:r>
            <w:r w:rsidRPr="00AB1B16">
              <w:t xml:space="preserve">g audience at the </w:t>
            </w:r>
            <w:r w:rsidRPr="00EB24D2">
              <w:t>Collective Training Exercise</w:t>
            </w:r>
            <w:r w:rsidRPr="00AB1B16">
              <w:t xml:space="preserve">, </w:t>
            </w:r>
            <w:proofErr w:type="spellStart"/>
            <w:r w:rsidRPr="00AB1B16">
              <w:t>iaw</w:t>
            </w:r>
            <w:proofErr w:type="spellEnd"/>
            <w:r w:rsidRPr="00AB1B16">
              <w:t xml:space="preserve"> the content and timing defined in Schedule 2. </w:t>
            </w:r>
          </w:p>
        </w:tc>
        <w:tc>
          <w:tcPr>
            <w:tcW w:w="1575" w:type="dxa"/>
            <w:tcBorders>
              <w:bottom w:val="single" w:sz="4" w:space="0" w:color="auto"/>
            </w:tcBorders>
          </w:tcPr>
          <w:p w14:paraId="533A6F26" w14:textId="3433BDA1" w:rsidR="00E311B0" w:rsidRPr="00EB24D2" w:rsidRDefault="00E311B0" w:rsidP="00FC12BB">
            <w:pPr>
              <w:pStyle w:val="NoSpacing"/>
              <w:framePr w:hSpace="0" w:wrap="auto" w:vAnchor="margin" w:yAlign="inline"/>
              <w:suppressOverlap w:val="0"/>
            </w:pPr>
            <w:r w:rsidRPr="00EB24D2">
              <w:t>Contractor self-monitoring</w:t>
            </w:r>
            <w:r w:rsidR="00811DB7">
              <w:t xml:space="preserve"> and Authority</w:t>
            </w:r>
          </w:p>
        </w:tc>
        <w:tc>
          <w:tcPr>
            <w:tcW w:w="1413" w:type="dxa"/>
            <w:tcBorders>
              <w:bottom w:val="single" w:sz="4" w:space="0" w:color="auto"/>
            </w:tcBorders>
          </w:tcPr>
          <w:p w14:paraId="03C6D9DA" w14:textId="4D4314D4" w:rsidR="00E311B0" w:rsidRPr="00EB24D2" w:rsidRDefault="00E311B0" w:rsidP="00FC12BB">
            <w:pPr>
              <w:pStyle w:val="NoSpacing"/>
              <w:framePr w:hSpace="0" w:wrap="auto" w:vAnchor="margin" w:yAlign="inline"/>
              <w:suppressOverlap w:val="0"/>
            </w:pPr>
            <w:r w:rsidRPr="00EB24D2">
              <w:t>Per Exercise</w:t>
            </w:r>
          </w:p>
        </w:tc>
        <w:tc>
          <w:tcPr>
            <w:tcW w:w="1696" w:type="dxa"/>
            <w:tcBorders>
              <w:bottom w:val="single" w:sz="4" w:space="0" w:color="auto"/>
            </w:tcBorders>
          </w:tcPr>
          <w:p w14:paraId="7EA039E3" w14:textId="12746724" w:rsidR="00E311B0" w:rsidRPr="00EB24D2" w:rsidRDefault="00E311B0" w:rsidP="00FC12BB">
            <w:pPr>
              <w:pStyle w:val="NoSpacing"/>
              <w:framePr w:hSpace="0" w:wrap="auto" w:vAnchor="margin" w:yAlign="inline"/>
              <w:suppressOverlap w:val="0"/>
            </w:pPr>
            <w:r w:rsidRPr="00EB24D2">
              <w:t>Contractor shall include such evidence within each Post Exercise Report (</w:t>
            </w:r>
            <w:proofErr w:type="gramStart"/>
            <w:r w:rsidRPr="00EB24D2">
              <w:t>PXR)</w:t>
            </w:r>
            <w:r w:rsidR="00811DB7">
              <w:t xml:space="preserve">  </w:t>
            </w:r>
            <w:r w:rsidR="00811DB7">
              <w:t>and</w:t>
            </w:r>
            <w:proofErr w:type="gramEnd"/>
            <w:r w:rsidR="00811DB7">
              <w:t xml:space="preserve"> Authority will cross reference this against end user experience</w:t>
            </w:r>
          </w:p>
        </w:tc>
        <w:tc>
          <w:tcPr>
            <w:tcW w:w="2340" w:type="dxa"/>
            <w:tcBorders>
              <w:bottom w:val="single" w:sz="4" w:space="0" w:color="auto"/>
            </w:tcBorders>
          </w:tcPr>
          <w:p w14:paraId="7D23E200" w14:textId="6AC11443" w:rsidR="00E311B0" w:rsidRPr="00ED6697" w:rsidRDefault="00E311B0" w:rsidP="00FC12BB">
            <w:pPr>
              <w:pStyle w:val="NoSpacing"/>
              <w:framePr w:hSpace="0" w:wrap="auto" w:vAnchor="margin" w:yAlign="inline"/>
              <w:suppressOverlap w:val="0"/>
            </w:pPr>
            <w:r w:rsidRPr="00ED6697">
              <w:rPr>
                <w:b/>
                <w:color w:val="00B050"/>
              </w:rPr>
              <w:t>Green</w:t>
            </w:r>
            <w:r w:rsidRPr="00ED6697">
              <w:rPr>
                <w:b/>
              </w:rPr>
              <w:t xml:space="preserve"> </w:t>
            </w:r>
            <w:r w:rsidRPr="002E6377">
              <w:t>– Brief</w:t>
            </w:r>
            <w:r w:rsidRPr="00EB24D2">
              <w:t>ings</w:t>
            </w:r>
            <w:r w:rsidRPr="00AB1B16">
              <w:t xml:space="preserve"> delivered covering </w:t>
            </w:r>
            <w:proofErr w:type="gramStart"/>
            <w:r w:rsidRPr="00AB1B16">
              <w:t>all of</w:t>
            </w:r>
            <w:proofErr w:type="gramEnd"/>
            <w:r w:rsidRPr="00AB1B16">
              <w:t xml:space="preserve"> the specified criteria.    </w:t>
            </w:r>
          </w:p>
          <w:p w14:paraId="63D9B46C" w14:textId="532F87C8" w:rsidR="00E311B0" w:rsidRPr="00EB24D2" w:rsidRDefault="00E311B0" w:rsidP="00FC12BB">
            <w:pPr>
              <w:pStyle w:val="NoSpacing"/>
              <w:framePr w:hSpace="0" w:wrap="auto" w:vAnchor="margin" w:yAlign="inline"/>
              <w:suppressOverlap w:val="0"/>
            </w:pPr>
          </w:p>
        </w:tc>
        <w:tc>
          <w:tcPr>
            <w:tcW w:w="1733" w:type="dxa"/>
            <w:tcBorders>
              <w:bottom w:val="single" w:sz="4" w:space="0" w:color="auto"/>
            </w:tcBorders>
          </w:tcPr>
          <w:p w14:paraId="21E837F8" w14:textId="39311210" w:rsidR="00E311B0" w:rsidRPr="00ED6697" w:rsidRDefault="00E311B0" w:rsidP="00FC12BB">
            <w:pPr>
              <w:pStyle w:val="NoSpacing"/>
              <w:framePr w:hSpace="0" w:wrap="auto" w:vAnchor="margin" w:yAlign="inline"/>
              <w:suppressOverlap w:val="0"/>
            </w:pPr>
            <w:r w:rsidRPr="00ED6697">
              <w:rPr>
                <w:b/>
                <w:color w:val="FFC000"/>
              </w:rPr>
              <w:t>Amber</w:t>
            </w:r>
            <w:r w:rsidRPr="00ED6697">
              <w:rPr>
                <w:b/>
              </w:rPr>
              <w:t xml:space="preserve"> – </w:t>
            </w:r>
            <w:r w:rsidRPr="002E6377">
              <w:t>Brief</w:t>
            </w:r>
            <w:r w:rsidRPr="00EB24D2">
              <w:t xml:space="preserve">ings </w:t>
            </w:r>
            <w:r w:rsidRPr="00AB1B16">
              <w:t xml:space="preserve">delivered but did not cover </w:t>
            </w:r>
            <w:r w:rsidRPr="00EB24D2">
              <w:t>all</w:t>
            </w:r>
            <w:r w:rsidRPr="00AB1B16">
              <w:t xml:space="preserve"> the specified criteria.      </w:t>
            </w:r>
          </w:p>
          <w:p w14:paraId="5DB3548A" w14:textId="2B96EE9E" w:rsidR="00E311B0" w:rsidRPr="00EB24D2" w:rsidRDefault="00E311B0" w:rsidP="00FC12BB">
            <w:pPr>
              <w:pStyle w:val="NoSpacing"/>
              <w:framePr w:hSpace="0" w:wrap="auto" w:vAnchor="margin" w:yAlign="inline"/>
              <w:suppressOverlap w:val="0"/>
            </w:pPr>
          </w:p>
        </w:tc>
        <w:tc>
          <w:tcPr>
            <w:tcW w:w="1731" w:type="dxa"/>
            <w:tcBorders>
              <w:bottom w:val="single" w:sz="4" w:space="0" w:color="auto"/>
            </w:tcBorders>
          </w:tcPr>
          <w:p w14:paraId="57264A95" w14:textId="6AEFFBC7" w:rsidR="00E311B0" w:rsidRPr="00EB24D2" w:rsidRDefault="00E311B0" w:rsidP="00FC12BB">
            <w:pPr>
              <w:pStyle w:val="NoSpacing"/>
              <w:framePr w:hSpace="0" w:wrap="auto" w:vAnchor="margin" w:yAlign="inline"/>
              <w:suppressOverlap w:val="0"/>
            </w:pPr>
            <w:r w:rsidRPr="00EB24D2">
              <w:rPr>
                <w:b/>
                <w:color w:val="FF0000"/>
              </w:rPr>
              <w:t>Red</w:t>
            </w:r>
            <w:r w:rsidRPr="00EB24D2">
              <w:rPr>
                <w:b/>
              </w:rPr>
              <w:t xml:space="preserve"> – </w:t>
            </w:r>
            <w:r w:rsidRPr="00EB24D2">
              <w:t>Briefings</w:t>
            </w:r>
            <w:r w:rsidRPr="00AB1B16">
              <w:t xml:space="preserve"> not delivered (unless not delivered </w:t>
            </w:r>
            <w:r w:rsidRPr="00EB24D2">
              <w:t>due to</w:t>
            </w:r>
            <w:r w:rsidRPr="00AB1B16">
              <w:t xml:space="preserve"> CTE/Tr</w:t>
            </w:r>
            <w:r w:rsidRPr="00EB24D2">
              <w:t>ainin</w:t>
            </w:r>
            <w:r w:rsidRPr="00AB1B16">
              <w:t xml:space="preserve">g audience restrictions beyond the contractor’s control).     </w:t>
            </w:r>
          </w:p>
        </w:tc>
        <w:tc>
          <w:tcPr>
            <w:tcW w:w="2166" w:type="dxa"/>
            <w:tcBorders>
              <w:bottom w:val="single" w:sz="4" w:space="0" w:color="auto"/>
            </w:tcBorders>
          </w:tcPr>
          <w:p w14:paraId="17F56B52" w14:textId="6E9CDD11" w:rsidR="00E311B0" w:rsidRPr="00EB24D2" w:rsidRDefault="00E311B0" w:rsidP="00FC12BB">
            <w:pPr>
              <w:pStyle w:val="NoSpacing"/>
              <w:framePr w:hSpace="0" w:wrap="auto" w:vAnchor="margin" w:yAlign="inline"/>
              <w:suppressOverlap w:val="0"/>
            </w:pPr>
            <w:r w:rsidRPr="00EB24D2">
              <w:t>Each Red results in a 3% payment deduction against the total cost of the exercise.</w:t>
            </w:r>
          </w:p>
        </w:tc>
      </w:tr>
      <w:tr w:rsidR="00FC12BB" w:rsidRPr="00985246" w14:paraId="26642860" w14:textId="77777777" w:rsidTr="00811DB7">
        <w:tc>
          <w:tcPr>
            <w:tcW w:w="541" w:type="dxa"/>
            <w:tcBorders>
              <w:bottom w:val="single" w:sz="4" w:space="0" w:color="auto"/>
            </w:tcBorders>
            <w:shd w:val="clear" w:color="auto" w:fill="D9D9D9" w:themeFill="background1" w:themeFillShade="D9"/>
          </w:tcPr>
          <w:p w14:paraId="70595E3E" w14:textId="06CA82F4" w:rsidR="00E311B0" w:rsidRDefault="00E311B0" w:rsidP="00FC12BB">
            <w:pPr>
              <w:pStyle w:val="NoSpacing"/>
              <w:framePr w:hSpace="0" w:wrap="auto" w:vAnchor="margin" w:yAlign="inline"/>
              <w:suppressOverlap w:val="0"/>
            </w:pPr>
            <w:r>
              <w:t>7</w:t>
            </w:r>
          </w:p>
        </w:tc>
        <w:tc>
          <w:tcPr>
            <w:tcW w:w="1706" w:type="dxa"/>
            <w:tcBorders>
              <w:bottom w:val="single" w:sz="4" w:space="0" w:color="auto"/>
            </w:tcBorders>
          </w:tcPr>
          <w:p w14:paraId="29EF5774" w14:textId="03A50E08" w:rsidR="00E311B0" w:rsidRPr="00667002" w:rsidRDefault="00E311B0" w:rsidP="00FC12BB">
            <w:pPr>
              <w:pStyle w:val="NoSpacing"/>
              <w:framePr w:hSpace="0" w:wrap="auto" w:vAnchor="margin" w:yAlign="inline"/>
              <w:suppressOverlap w:val="0"/>
            </w:pPr>
            <w:r w:rsidRPr="00300CBF">
              <w:t>FMV</w:t>
            </w:r>
            <w:r w:rsidRPr="00667002">
              <w:t xml:space="preserve"> </w:t>
            </w:r>
            <w:r w:rsidR="00811DB7">
              <w:t xml:space="preserve">(Full Motion Video) </w:t>
            </w:r>
            <w:r w:rsidRPr="00667002">
              <w:t>quality.</w:t>
            </w:r>
          </w:p>
          <w:p w14:paraId="5DFABEDA" w14:textId="77777777" w:rsidR="00E311B0" w:rsidRPr="00667002" w:rsidRDefault="00E311B0" w:rsidP="00FC12BB">
            <w:pPr>
              <w:pStyle w:val="NoSpacing"/>
              <w:framePr w:hSpace="0" w:wrap="auto" w:vAnchor="margin" w:yAlign="inline"/>
              <w:suppressOverlap w:val="0"/>
            </w:pPr>
          </w:p>
          <w:p w14:paraId="2F8156E0" w14:textId="77777777" w:rsidR="00E311B0" w:rsidRPr="00667002" w:rsidRDefault="00E311B0" w:rsidP="00FC12BB">
            <w:pPr>
              <w:pStyle w:val="NoSpacing"/>
              <w:framePr w:hSpace="0" w:wrap="auto" w:vAnchor="margin" w:yAlign="inline"/>
              <w:suppressOverlap w:val="0"/>
            </w:pPr>
          </w:p>
        </w:tc>
        <w:tc>
          <w:tcPr>
            <w:tcW w:w="2955" w:type="dxa"/>
            <w:tcBorders>
              <w:bottom w:val="single" w:sz="4" w:space="0" w:color="auto"/>
            </w:tcBorders>
          </w:tcPr>
          <w:p w14:paraId="0FEEAE03" w14:textId="428D5875" w:rsidR="00E311B0" w:rsidRPr="00667002" w:rsidRDefault="00E311B0" w:rsidP="00FC12BB">
            <w:pPr>
              <w:pStyle w:val="NoSpacing"/>
              <w:framePr w:hSpace="0" w:wrap="auto" w:vAnchor="margin" w:yAlign="inline"/>
              <w:suppressOverlap w:val="0"/>
            </w:pPr>
            <w:r w:rsidRPr="00667002">
              <w:t xml:space="preserve">All </w:t>
            </w:r>
            <w:r w:rsidRPr="00300CBF">
              <w:t>FMV</w:t>
            </w:r>
            <w:r w:rsidRPr="00667002">
              <w:t xml:space="preserve"> imagery and metadata (live datalink and screenshot/video captures) delivered in format/quality as defined in Schedule 2 (</w:t>
            </w:r>
            <w:r>
              <w:t xml:space="preserve">Statement </w:t>
            </w:r>
            <w:proofErr w:type="gramStart"/>
            <w:r>
              <w:t>Of</w:t>
            </w:r>
            <w:proofErr w:type="gramEnd"/>
            <w:r>
              <w:t xml:space="preserve"> Requirements</w:t>
            </w:r>
            <w:r w:rsidRPr="00667002">
              <w:t xml:space="preserve">). </w:t>
            </w:r>
          </w:p>
        </w:tc>
        <w:tc>
          <w:tcPr>
            <w:tcW w:w="1575" w:type="dxa"/>
            <w:tcBorders>
              <w:bottom w:val="single" w:sz="4" w:space="0" w:color="auto"/>
            </w:tcBorders>
          </w:tcPr>
          <w:p w14:paraId="52966C60" w14:textId="6BD50618" w:rsidR="00E311B0" w:rsidRDefault="00E311B0" w:rsidP="00FC12BB">
            <w:pPr>
              <w:pStyle w:val="NoSpacing"/>
              <w:framePr w:hSpace="0" w:wrap="auto" w:vAnchor="margin" w:yAlign="inline"/>
              <w:suppressOverlap w:val="0"/>
            </w:pPr>
            <w:r>
              <w:t>Contractor self-monitoring</w:t>
            </w:r>
          </w:p>
        </w:tc>
        <w:tc>
          <w:tcPr>
            <w:tcW w:w="1413" w:type="dxa"/>
            <w:tcBorders>
              <w:bottom w:val="single" w:sz="4" w:space="0" w:color="auto"/>
            </w:tcBorders>
          </w:tcPr>
          <w:p w14:paraId="6FC87D0F" w14:textId="72EBA549" w:rsidR="00E311B0" w:rsidRDefault="00E311B0" w:rsidP="00FC12BB">
            <w:pPr>
              <w:pStyle w:val="NoSpacing"/>
              <w:framePr w:hSpace="0" w:wrap="auto" w:vAnchor="margin" w:yAlign="inline"/>
              <w:suppressOverlap w:val="0"/>
            </w:pPr>
            <w:r>
              <w:t>Per Exercise</w:t>
            </w:r>
          </w:p>
        </w:tc>
        <w:tc>
          <w:tcPr>
            <w:tcW w:w="1696" w:type="dxa"/>
            <w:tcBorders>
              <w:bottom w:val="single" w:sz="4" w:space="0" w:color="auto"/>
            </w:tcBorders>
          </w:tcPr>
          <w:p w14:paraId="79728EA6" w14:textId="5530C9AB" w:rsidR="00E311B0" w:rsidRPr="009B3B24" w:rsidRDefault="00E311B0" w:rsidP="00FC12BB">
            <w:pPr>
              <w:pStyle w:val="NoSpacing"/>
              <w:framePr w:hSpace="0" w:wrap="auto" w:vAnchor="margin" w:yAlign="inline"/>
              <w:suppressOverlap w:val="0"/>
            </w:pPr>
            <w:r w:rsidRPr="009B3B24">
              <w:t>Contractor shall include such evidence within each Post Exercise Report (PXR)</w:t>
            </w:r>
          </w:p>
        </w:tc>
        <w:tc>
          <w:tcPr>
            <w:tcW w:w="2340" w:type="dxa"/>
            <w:tcBorders>
              <w:bottom w:val="single" w:sz="4" w:space="0" w:color="auto"/>
            </w:tcBorders>
          </w:tcPr>
          <w:p w14:paraId="5B3EE84F" w14:textId="45D818F3" w:rsidR="00E311B0" w:rsidRPr="00985246" w:rsidRDefault="00E311B0" w:rsidP="00FC12BB">
            <w:pPr>
              <w:pStyle w:val="NoSpacing"/>
              <w:framePr w:hSpace="0" w:wrap="auto" w:vAnchor="margin" w:yAlign="inline"/>
              <w:suppressOverlap w:val="0"/>
            </w:pPr>
            <w:r w:rsidRPr="00985246">
              <w:rPr>
                <w:b/>
                <w:color w:val="00B050"/>
              </w:rPr>
              <w:t>Green</w:t>
            </w:r>
            <w:r w:rsidRPr="00985246">
              <w:rPr>
                <w:b/>
              </w:rPr>
              <w:t xml:space="preserve"> </w:t>
            </w:r>
            <w:r w:rsidRPr="00985246">
              <w:t xml:space="preserve">– No instances of FMV </w:t>
            </w:r>
            <w:r>
              <w:t>falling below</w:t>
            </w:r>
            <w:r w:rsidRPr="00985246">
              <w:t xml:space="preserve"> defined standards. </w:t>
            </w:r>
          </w:p>
          <w:p w14:paraId="3AD76D37" w14:textId="22001652" w:rsidR="00E311B0" w:rsidRPr="008A56FA" w:rsidRDefault="00E311B0" w:rsidP="00FC12BB">
            <w:pPr>
              <w:pStyle w:val="NoSpacing"/>
              <w:framePr w:hSpace="0" w:wrap="auto" w:vAnchor="margin" w:yAlign="inline"/>
              <w:suppressOverlap w:val="0"/>
            </w:pPr>
          </w:p>
        </w:tc>
        <w:tc>
          <w:tcPr>
            <w:tcW w:w="1733" w:type="dxa"/>
            <w:tcBorders>
              <w:bottom w:val="single" w:sz="4" w:space="0" w:color="auto"/>
            </w:tcBorders>
          </w:tcPr>
          <w:p w14:paraId="2588C548" w14:textId="13696879" w:rsidR="00E311B0" w:rsidRPr="00985246" w:rsidRDefault="00E311B0" w:rsidP="00FC12BB">
            <w:pPr>
              <w:pStyle w:val="NoSpacing"/>
              <w:framePr w:hSpace="0" w:wrap="auto" w:vAnchor="margin" w:yAlign="inline"/>
              <w:suppressOverlap w:val="0"/>
            </w:pPr>
            <w:r w:rsidRPr="00985246">
              <w:rPr>
                <w:b/>
                <w:color w:val="FFC000"/>
              </w:rPr>
              <w:t>Amber</w:t>
            </w:r>
            <w:r w:rsidRPr="00985246">
              <w:rPr>
                <w:b/>
              </w:rPr>
              <w:t xml:space="preserve"> – </w:t>
            </w:r>
            <w:r w:rsidRPr="00985246">
              <w:t xml:space="preserve">1-2 instances of FMV </w:t>
            </w:r>
            <w:r>
              <w:t>falling below</w:t>
            </w:r>
            <w:r w:rsidRPr="00985246">
              <w:t xml:space="preserve"> </w:t>
            </w:r>
            <w:r>
              <w:t>defined standards</w:t>
            </w:r>
            <w:r w:rsidRPr="00985246">
              <w:t>.</w:t>
            </w:r>
          </w:p>
          <w:p w14:paraId="280292E5" w14:textId="28BC7C9D" w:rsidR="00E311B0" w:rsidRPr="008A56FA" w:rsidRDefault="00E311B0" w:rsidP="00FC12BB">
            <w:pPr>
              <w:pStyle w:val="NoSpacing"/>
              <w:framePr w:hSpace="0" w:wrap="auto" w:vAnchor="margin" w:yAlign="inline"/>
              <w:suppressOverlap w:val="0"/>
            </w:pPr>
          </w:p>
        </w:tc>
        <w:tc>
          <w:tcPr>
            <w:tcW w:w="1731" w:type="dxa"/>
            <w:tcBorders>
              <w:bottom w:val="single" w:sz="4" w:space="0" w:color="auto"/>
            </w:tcBorders>
          </w:tcPr>
          <w:p w14:paraId="62A866FB" w14:textId="2FBBC588" w:rsidR="00E311B0" w:rsidRPr="008A56FA" w:rsidRDefault="00E311B0" w:rsidP="00FC12BB">
            <w:pPr>
              <w:pStyle w:val="NoSpacing"/>
              <w:framePr w:hSpace="0" w:wrap="auto" w:vAnchor="margin" w:yAlign="inline"/>
              <w:suppressOverlap w:val="0"/>
            </w:pPr>
            <w:r w:rsidRPr="00985246">
              <w:rPr>
                <w:b/>
                <w:color w:val="FF0000"/>
              </w:rPr>
              <w:t>Red</w:t>
            </w:r>
            <w:r w:rsidRPr="00985246">
              <w:rPr>
                <w:b/>
              </w:rPr>
              <w:t xml:space="preserve"> – </w:t>
            </w:r>
            <w:r w:rsidRPr="00985246">
              <w:t xml:space="preserve">3 or more instances of FMV </w:t>
            </w:r>
            <w:r>
              <w:t>falling below</w:t>
            </w:r>
            <w:r w:rsidRPr="00985246">
              <w:t xml:space="preserve"> </w:t>
            </w:r>
            <w:r>
              <w:t>defined standards</w:t>
            </w:r>
            <w:r w:rsidRPr="00985246">
              <w:t>.</w:t>
            </w:r>
          </w:p>
        </w:tc>
        <w:tc>
          <w:tcPr>
            <w:tcW w:w="2166" w:type="dxa"/>
            <w:tcBorders>
              <w:bottom w:val="single" w:sz="4" w:space="0" w:color="auto"/>
            </w:tcBorders>
          </w:tcPr>
          <w:p w14:paraId="7585BB02" w14:textId="12D9C9EB" w:rsidR="00E311B0" w:rsidRPr="008A56FA" w:rsidRDefault="00E311B0" w:rsidP="00FC12BB">
            <w:pPr>
              <w:pStyle w:val="NoSpacing"/>
              <w:framePr w:hSpace="0" w:wrap="auto" w:vAnchor="margin" w:yAlign="inline"/>
              <w:suppressOverlap w:val="0"/>
            </w:pPr>
            <w:r w:rsidRPr="00826AA0">
              <w:t>Each Red results in a 3% payment deduction against the total cost of the exercise.</w:t>
            </w:r>
          </w:p>
        </w:tc>
      </w:tr>
      <w:tr w:rsidR="00FC12BB" w:rsidRPr="00985246" w14:paraId="694BEA1C" w14:textId="77777777" w:rsidTr="00811DB7">
        <w:tc>
          <w:tcPr>
            <w:tcW w:w="541" w:type="dxa"/>
            <w:tcBorders>
              <w:bottom w:val="single" w:sz="4" w:space="0" w:color="auto"/>
            </w:tcBorders>
            <w:shd w:val="clear" w:color="auto" w:fill="D9D9D9" w:themeFill="background1" w:themeFillShade="D9"/>
          </w:tcPr>
          <w:p w14:paraId="6CB7FBDC" w14:textId="7F732B84" w:rsidR="00E311B0" w:rsidRDefault="00E311B0" w:rsidP="00FC12BB">
            <w:pPr>
              <w:pStyle w:val="NoSpacing"/>
              <w:framePr w:hSpace="0" w:wrap="auto" w:vAnchor="margin" w:yAlign="inline"/>
              <w:suppressOverlap w:val="0"/>
            </w:pPr>
            <w:r>
              <w:t>8</w:t>
            </w:r>
          </w:p>
        </w:tc>
        <w:tc>
          <w:tcPr>
            <w:tcW w:w="1706" w:type="dxa"/>
            <w:tcBorders>
              <w:bottom w:val="single" w:sz="4" w:space="0" w:color="auto"/>
            </w:tcBorders>
          </w:tcPr>
          <w:p w14:paraId="2DF8C303" w14:textId="77777777" w:rsidR="00E311B0" w:rsidRPr="00667002" w:rsidRDefault="00E311B0" w:rsidP="00FC12BB">
            <w:pPr>
              <w:pStyle w:val="NoSpacing"/>
              <w:framePr w:hSpace="0" w:wrap="auto" w:vAnchor="margin" w:yAlign="inline"/>
              <w:suppressOverlap w:val="0"/>
            </w:pPr>
            <w:r w:rsidRPr="00667002">
              <w:t>Voice procedure.</w:t>
            </w:r>
          </w:p>
          <w:p w14:paraId="3B5E091B" w14:textId="77777777" w:rsidR="00E311B0" w:rsidRPr="00667002" w:rsidRDefault="00E311B0" w:rsidP="00FC12BB">
            <w:pPr>
              <w:pStyle w:val="NoSpacing"/>
              <w:framePr w:hSpace="0" w:wrap="auto" w:vAnchor="margin" w:yAlign="inline"/>
              <w:suppressOverlap w:val="0"/>
            </w:pPr>
          </w:p>
          <w:p w14:paraId="69462B3E" w14:textId="77777777" w:rsidR="00E311B0" w:rsidRPr="00667002" w:rsidRDefault="00E311B0" w:rsidP="00FC12BB">
            <w:pPr>
              <w:pStyle w:val="NoSpacing"/>
              <w:framePr w:hSpace="0" w:wrap="auto" w:vAnchor="margin" w:yAlign="inline"/>
              <w:suppressOverlap w:val="0"/>
            </w:pPr>
          </w:p>
        </w:tc>
        <w:tc>
          <w:tcPr>
            <w:tcW w:w="2955" w:type="dxa"/>
            <w:tcBorders>
              <w:bottom w:val="single" w:sz="4" w:space="0" w:color="auto"/>
            </w:tcBorders>
          </w:tcPr>
          <w:p w14:paraId="43F5E155" w14:textId="389C4AEC" w:rsidR="00E311B0" w:rsidRPr="00667002" w:rsidRDefault="00E311B0" w:rsidP="00FC12BB">
            <w:pPr>
              <w:pStyle w:val="NoSpacing"/>
              <w:framePr w:hSpace="0" w:wrap="auto" w:vAnchor="margin" w:yAlign="inline"/>
              <w:suppressOverlap w:val="0"/>
            </w:pPr>
            <w:r w:rsidRPr="00667002">
              <w:t>Voice procedure (VP) adheres to recognised CAS and ISR procedure as defined in Schedule 2 References (</w:t>
            </w:r>
            <w:r>
              <w:t xml:space="preserve">Statement </w:t>
            </w:r>
            <w:proofErr w:type="gramStart"/>
            <w:r>
              <w:t>Of</w:t>
            </w:r>
            <w:proofErr w:type="gramEnd"/>
            <w:r>
              <w:t xml:space="preserve"> Requirements</w:t>
            </w:r>
            <w:r w:rsidRPr="00667002">
              <w:t>).</w:t>
            </w:r>
          </w:p>
        </w:tc>
        <w:tc>
          <w:tcPr>
            <w:tcW w:w="1575" w:type="dxa"/>
            <w:tcBorders>
              <w:bottom w:val="single" w:sz="4" w:space="0" w:color="auto"/>
            </w:tcBorders>
          </w:tcPr>
          <w:p w14:paraId="4AD264BA" w14:textId="30F1799B" w:rsidR="00E311B0" w:rsidRDefault="00E311B0" w:rsidP="00FC12BB">
            <w:pPr>
              <w:pStyle w:val="NoSpacing"/>
              <w:framePr w:hSpace="0" w:wrap="auto" w:vAnchor="margin" w:yAlign="inline"/>
              <w:suppressOverlap w:val="0"/>
            </w:pPr>
            <w:r>
              <w:t>Contractor self-monitoring</w:t>
            </w:r>
          </w:p>
        </w:tc>
        <w:tc>
          <w:tcPr>
            <w:tcW w:w="1413" w:type="dxa"/>
            <w:tcBorders>
              <w:bottom w:val="single" w:sz="4" w:space="0" w:color="auto"/>
            </w:tcBorders>
          </w:tcPr>
          <w:p w14:paraId="046F0E2A" w14:textId="3387B6A9" w:rsidR="00E311B0" w:rsidRDefault="00E311B0" w:rsidP="00FC12BB">
            <w:pPr>
              <w:pStyle w:val="NoSpacing"/>
              <w:framePr w:hSpace="0" w:wrap="auto" w:vAnchor="margin" w:yAlign="inline"/>
              <w:suppressOverlap w:val="0"/>
            </w:pPr>
            <w:r>
              <w:t>Per Exercise</w:t>
            </w:r>
          </w:p>
        </w:tc>
        <w:tc>
          <w:tcPr>
            <w:tcW w:w="1696" w:type="dxa"/>
            <w:tcBorders>
              <w:bottom w:val="single" w:sz="4" w:space="0" w:color="auto"/>
            </w:tcBorders>
          </w:tcPr>
          <w:p w14:paraId="337F0586" w14:textId="787737E6" w:rsidR="00E311B0" w:rsidRPr="009B3B24" w:rsidRDefault="00E311B0" w:rsidP="00FC12BB">
            <w:pPr>
              <w:pStyle w:val="NoSpacing"/>
              <w:framePr w:hSpace="0" w:wrap="auto" w:vAnchor="margin" w:yAlign="inline"/>
              <w:suppressOverlap w:val="0"/>
            </w:pPr>
            <w:r w:rsidRPr="009B3B24">
              <w:t>Contractor shall include such evidence within each Post Exercise Report (PXR)</w:t>
            </w:r>
          </w:p>
        </w:tc>
        <w:tc>
          <w:tcPr>
            <w:tcW w:w="2340" w:type="dxa"/>
            <w:tcBorders>
              <w:bottom w:val="single" w:sz="4" w:space="0" w:color="auto"/>
            </w:tcBorders>
          </w:tcPr>
          <w:p w14:paraId="2B03BC39" w14:textId="4B340D14" w:rsidR="00E311B0" w:rsidRPr="0016302B" w:rsidRDefault="00E311B0" w:rsidP="00FC12BB">
            <w:pPr>
              <w:pStyle w:val="NoSpacing"/>
              <w:framePr w:hSpace="0" w:wrap="auto" w:vAnchor="margin" w:yAlign="inline"/>
              <w:suppressOverlap w:val="0"/>
            </w:pPr>
            <w:r w:rsidRPr="00985246">
              <w:rPr>
                <w:b/>
                <w:color w:val="00B050"/>
              </w:rPr>
              <w:t>Green</w:t>
            </w:r>
            <w:r w:rsidRPr="00985246">
              <w:rPr>
                <w:b/>
              </w:rPr>
              <w:t xml:space="preserve"> </w:t>
            </w:r>
            <w:r w:rsidRPr="00985246">
              <w:t>– No instances of VP not meeting the standards defined in Schedule 2.</w:t>
            </w:r>
          </w:p>
        </w:tc>
        <w:tc>
          <w:tcPr>
            <w:tcW w:w="1733" w:type="dxa"/>
            <w:tcBorders>
              <w:bottom w:val="single" w:sz="4" w:space="0" w:color="auto"/>
            </w:tcBorders>
          </w:tcPr>
          <w:p w14:paraId="5877620C" w14:textId="77777777" w:rsidR="00E311B0" w:rsidRPr="00985246" w:rsidRDefault="00E311B0" w:rsidP="00FC12BB">
            <w:pPr>
              <w:pStyle w:val="NoSpacing"/>
              <w:framePr w:hSpace="0" w:wrap="auto" w:vAnchor="margin" w:yAlign="inline"/>
              <w:suppressOverlap w:val="0"/>
            </w:pPr>
            <w:r w:rsidRPr="00985246">
              <w:rPr>
                <w:b/>
                <w:color w:val="FFC000"/>
              </w:rPr>
              <w:t>Amber</w:t>
            </w:r>
            <w:r w:rsidRPr="00985246">
              <w:rPr>
                <w:b/>
              </w:rPr>
              <w:t xml:space="preserve"> – </w:t>
            </w:r>
            <w:r w:rsidRPr="00985246">
              <w:t xml:space="preserve">1-2 instances of VP not meeting the standards defined in Schedule 2. </w:t>
            </w:r>
          </w:p>
          <w:p w14:paraId="0D021E9A" w14:textId="6493D8DE" w:rsidR="00E311B0" w:rsidRPr="00F20D18" w:rsidRDefault="00E311B0" w:rsidP="00FC12BB">
            <w:pPr>
              <w:pStyle w:val="NoSpacing"/>
              <w:framePr w:hSpace="0" w:wrap="auto" w:vAnchor="margin" w:yAlign="inline"/>
              <w:suppressOverlap w:val="0"/>
            </w:pPr>
          </w:p>
        </w:tc>
        <w:tc>
          <w:tcPr>
            <w:tcW w:w="1731" w:type="dxa"/>
            <w:tcBorders>
              <w:bottom w:val="single" w:sz="4" w:space="0" w:color="auto"/>
            </w:tcBorders>
          </w:tcPr>
          <w:p w14:paraId="072E2872" w14:textId="2A970429" w:rsidR="00E311B0" w:rsidRPr="00F20D18" w:rsidRDefault="00E311B0" w:rsidP="00FC12BB">
            <w:pPr>
              <w:pStyle w:val="NoSpacing"/>
              <w:framePr w:hSpace="0" w:wrap="auto" w:vAnchor="margin" w:yAlign="inline"/>
              <w:suppressOverlap w:val="0"/>
            </w:pPr>
            <w:r w:rsidRPr="00985246">
              <w:rPr>
                <w:b/>
                <w:color w:val="FF0000"/>
              </w:rPr>
              <w:t>Red</w:t>
            </w:r>
            <w:r w:rsidRPr="00985246">
              <w:rPr>
                <w:b/>
              </w:rPr>
              <w:t xml:space="preserve"> – </w:t>
            </w:r>
            <w:r w:rsidRPr="00985246">
              <w:t xml:space="preserve">3 or </w:t>
            </w:r>
            <w:r>
              <w:t xml:space="preserve">more </w:t>
            </w:r>
            <w:r w:rsidRPr="00985246">
              <w:t>instances of VP not meeting the standards defined in Schedule 2.</w:t>
            </w:r>
          </w:p>
        </w:tc>
        <w:tc>
          <w:tcPr>
            <w:tcW w:w="2166" w:type="dxa"/>
            <w:tcBorders>
              <w:bottom w:val="single" w:sz="4" w:space="0" w:color="auto"/>
            </w:tcBorders>
          </w:tcPr>
          <w:p w14:paraId="4958A8AE" w14:textId="4823EFD9" w:rsidR="00E311B0" w:rsidRPr="008A56FA" w:rsidRDefault="00E311B0" w:rsidP="00FC12BB">
            <w:pPr>
              <w:pStyle w:val="NoSpacing"/>
              <w:framePr w:hSpace="0" w:wrap="auto" w:vAnchor="margin" w:yAlign="inline"/>
              <w:suppressOverlap w:val="0"/>
            </w:pPr>
            <w:r w:rsidRPr="00826AA0">
              <w:t>Each Red results in a 3% payment deduction against the total cost of the exercise.</w:t>
            </w:r>
          </w:p>
        </w:tc>
      </w:tr>
      <w:tr w:rsidR="00FC12BB" w:rsidRPr="00985246" w14:paraId="4EBD8C36" w14:textId="77777777" w:rsidTr="00811DB7">
        <w:tc>
          <w:tcPr>
            <w:tcW w:w="541" w:type="dxa"/>
            <w:tcBorders>
              <w:bottom w:val="single" w:sz="4" w:space="0" w:color="auto"/>
            </w:tcBorders>
            <w:shd w:val="clear" w:color="auto" w:fill="D9D9D9" w:themeFill="background1" w:themeFillShade="D9"/>
          </w:tcPr>
          <w:p w14:paraId="7B49EDFB" w14:textId="00596583" w:rsidR="00E311B0" w:rsidRDefault="00E311B0" w:rsidP="00FC12BB">
            <w:pPr>
              <w:pStyle w:val="NoSpacing"/>
              <w:framePr w:hSpace="0" w:wrap="auto" w:vAnchor="margin" w:yAlign="inline"/>
              <w:suppressOverlap w:val="0"/>
            </w:pPr>
            <w:r>
              <w:t>9</w:t>
            </w:r>
          </w:p>
        </w:tc>
        <w:tc>
          <w:tcPr>
            <w:tcW w:w="1706" w:type="dxa"/>
            <w:tcBorders>
              <w:bottom w:val="single" w:sz="4" w:space="0" w:color="auto"/>
            </w:tcBorders>
          </w:tcPr>
          <w:p w14:paraId="5E3BA42D" w14:textId="6FE17817" w:rsidR="00E311B0" w:rsidRPr="00667002" w:rsidRDefault="00E311B0" w:rsidP="00FC12BB">
            <w:pPr>
              <w:pStyle w:val="NoSpacing"/>
              <w:framePr w:hSpace="0" w:wrap="auto" w:vAnchor="margin" w:yAlign="inline"/>
              <w:suppressOverlap w:val="0"/>
            </w:pPr>
            <w:r w:rsidRPr="00667002">
              <w:t xml:space="preserve">CAS tactics. </w:t>
            </w:r>
          </w:p>
        </w:tc>
        <w:tc>
          <w:tcPr>
            <w:tcW w:w="2955" w:type="dxa"/>
            <w:tcBorders>
              <w:bottom w:val="single" w:sz="4" w:space="0" w:color="auto"/>
            </w:tcBorders>
          </w:tcPr>
          <w:p w14:paraId="37C8F2E2" w14:textId="2C78A158" w:rsidR="00E311B0" w:rsidRPr="002E6377" w:rsidRDefault="00E311B0" w:rsidP="00FC12BB">
            <w:pPr>
              <w:pStyle w:val="NoSpacing"/>
              <w:framePr w:hSpace="0" w:wrap="auto" w:vAnchor="margin" w:yAlign="inline"/>
              <w:suppressOverlap w:val="0"/>
            </w:pPr>
            <w:r w:rsidRPr="002E6377">
              <w:t xml:space="preserve">CAS tactics are accurately replicated by the aircrew, </w:t>
            </w:r>
            <w:r w:rsidR="00ED6697" w:rsidRPr="002E6377">
              <w:t xml:space="preserve">including but not limited to </w:t>
            </w:r>
            <w:r w:rsidRPr="002E6377">
              <w:t>knowledge of</w:t>
            </w:r>
            <w:r w:rsidR="00EB24D2" w:rsidRPr="002E6377">
              <w:t xml:space="preserve"> the application of air to ground weapon systems, </w:t>
            </w:r>
            <w:r w:rsidRPr="002E6377">
              <w:t xml:space="preserve">suitable Final Attack Headings, knowledge of Rules </w:t>
            </w:r>
            <w:proofErr w:type="gramStart"/>
            <w:r w:rsidRPr="002E6377">
              <w:t>Of</w:t>
            </w:r>
            <w:proofErr w:type="gramEnd"/>
            <w:r w:rsidRPr="002E6377">
              <w:t xml:space="preserve"> Engagement (ROE)</w:t>
            </w:r>
            <w:r w:rsidR="00ED6697" w:rsidRPr="002E6377">
              <w:t xml:space="preserve">, </w:t>
            </w:r>
            <w:r w:rsidR="00736488" w:rsidRPr="002E6377">
              <w:t>routing/IPs, CDE, SEAD and Danger Close limitations</w:t>
            </w:r>
            <w:r w:rsidRPr="002E6377">
              <w:t xml:space="preserve">. </w:t>
            </w:r>
          </w:p>
          <w:p w14:paraId="331A8A90" w14:textId="77777777" w:rsidR="00E311B0" w:rsidRPr="002E6377" w:rsidRDefault="00E311B0" w:rsidP="00FC12BB">
            <w:pPr>
              <w:pStyle w:val="NoSpacing"/>
              <w:framePr w:hSpace="0" w:wrap="auto" w:vAnchor="margin" w:yAlign="inline"/>
              <w:suppressOverlap w:val="0"/>
            </w:pPr>
          </w:p>
          <w:p w14:paraId="31164510" w14:textId="45E10B76" w:rsidR="00E311B0" w:rsidRPr="002E6377" w:rsidRDefault="00E311B0" w:rsidP="00FC12BB">
            <w:pPr>
              <w:pStyle w:val="NoSpacing"/>
              <w:framePr w:hSpace="0" w:wrap="auto" w:vAnchor="margin" w:yAlign="inline"/>
              <w:suppressOverlap w:val="0"/>
            </w:pPr>
            <w:r w:rsidRPr="002E6377">
              <w:t xml:space="preserve">(In the opinion of a Certified JTAC, JTAC(I), JTAC(E), or observing CAS pilot/WSO). </w:t>
            </w:r>
          </w:p>
        </w:tc>
        <w:tc>
          <w:tcPr>
            <w:tcW w:w="1575" w:type="dxa"/>
            <w:tcBorders>
              <w:bottom w:val="single" w:sz="4" w:space="0" w:color="auto"/>
            </w:tcBorders>
          </w:tcPr>
          <w:p w14:paraId="3E64542C" w14:textId="60D3AD86" w:rsidR="00E311B0" w:rsidRDefault="00E311B0" w:rsidP="00FC12BB">
            <w:pPr>
              <w:pStyle w:val="NoSpacing"/>
              <w:framePr w:hSpace="0" w:wrap="auto" w:vAnchor="margin" w:yAlign="inline"/>
              <w:suppressOverlap w:val="0"/>
            </w:pPr>
            <w:r>
              <w:t>Contractor self-monitoring</w:t>
            </w:r>
          </w:p>
        </w:tc>
        <w:tc>
          <w:tcPr>
            <w:tcW w:w="1413" w:type="dxa"/>
            <w:tcBorders>
              <w:bottom w:val="single" w:sz="4" w:space="0" w:color="auto"/>
            </w:tcBorders>
          </w:tcPr>
          <w:p w14:paraId="29FE0243" w14:textId="64D7EE0B" w:rsidR="00E311B0" w:rsidRDefault="00E311B0" w:rsidP="00FC12BB">
            <w:pPr>
              <w:pStyle w:val="NoSpacing"/>
              <w:framePr w:hSpace="0" w:wrap="auto" w:vAnchor="margin" w:yAlign="inline"/>
              <w:suppressOverlap w:val="0"/>
            </w:pPr>
            <w:r>
              <w:t>Per Exercise</w:t>
            </w:r>
          </w:p>
        </w:tc>
        <w:tc>
          <w:tcPr>
            <w:tcW w:w="1696" w:type="dxa"/>
            <w:tcBorders>
              <w:bottom w:val="single" w:sz="4" w:space="0" w:color="auto"/>
            </w:tcBorders>
          </w:tcPr>
          <w:p w14:paraId="10A99BDC" w14:textId="4AD40053" w:rsidR="00E311B0" w:rsidRPr="009B3B24" w:rsidRDefault="00E311B0" w:rsidP="00FC12BB">
            <w:pPr>
              <w:pStyle w:val="NoSpacing"/>
              <w:framePr w:hSpace="0" w:wrap="auto" w:vAnchor="margin" w:yAlign="inline"/>
              <w:suppressOverlap w:val="0"/>
            </w:pPr>
            <w:r w:rsidRPr="009B3B24">
              <w:t>Contractor shall include such evidence within each Post Exercise Report (PXR)</w:t>
            </w:r>
          </w:p>
        </w:tc>
        <w:tc>
          <w:tcPr>
            <w:tcW w:w="2340" w:type="dxa"/>
            <w:tcBorders>
              <w:bottom w:val="single" w:sz="4" w:space="0" w:color="auto"/>
            </w:tcBorders>
          </w:tcPr>
          <w:p w14:paraId="2ACF11B8" w14:textId="77777777" w:rsidR="00E311B0" w:rsidRPr="00985246" w:rsidRDefault="00E311B0" w:rsidP="00FC12BB">
            <w:pPr>
              <w:pStyle w:val="NoSpacing"/>
              <w:framePr w:hSpace="0" w:wrap="auto" w:vAnchor="margin" w:yAlign="inline"/>
              <w:suppressOverlap w:val="0"/>
            </w:pPr>
            <w:r w:rsidRPr="00985246">
              <w:rPr>
                <w:b/>
                <w:color w:val="00B050"/>
              </w:rPr>
              <w:t>Green</w:t>
            </w:r>
            <w:r w:rsidRPr="00985246">
              <w:rPr>
                <w:b/>
              </w:rPr>
              <w:t xml:space="preserve"> </w:t>
            </w:r>
            <w:r w:rsidRPr="00985246">
              <w:t xml:space="preserve">– </w:t>
            </w:r>
            <w:r>
              <w:t>All CAS missions accurately replicated.</w:t>
            </w:r>
            <w:r w:rsidRPr="00985246">
              <w:t xml:space="preserve"> </w:t>
            </w:r>
          </w:p>
          <w:p w14:paraId="55CD0064" w14:textId="53DA9CD5" w:rsidR="00E311B0" w:rsidRPr="00F20D18" w:rsidRDefault="00E311B0" w:rsidP="00FC12BB">
            <w:pPr>
              <w:pStyle w:val="NoSpacing"/>
              <w:framePr w:hSpace="0" w:wrap="auto" w:vAnchor="margin" w:yAlign="inline"/>
              <w:suppressOverlap w:val="0"/>
            </w:pPr>
          </w:p>
        </w:tc>
        <w:tc>
          <w:tcPr>
            <w:tcW w:w="1733" w:type="dxa"/>
            <w:tcBorders>
              <w:bottom w:val="single" w:sz="4" w:space="0" w:color="auto"/>
            </w:tcBorders>
          </w:tcPr>
          <w:p w14:paraId="70883AC6" w14:textId="21450DB3" w:rsidR="00E311B0" w:rsidRPr="00985246" w:rsidRDefault="00E311B0" w:rsidP="00FC12BB">
            <w:pPr>
              <w:pStyle w:val="NoSpacing"/>
              <w:framePr w:hSpace="0" w:wrap="auto" w:vAnchor="margin" w:yAlign="inline"/>
              <w:suppressOverlap w:val="0"/>
            </w:pPr>
            <w:r w:rsidRPr="00985246">
              <w:rPr>
                <w:b/>
                <w:color w:val="FFC000"/>
              </w:rPr>
              <w:t>Amber</w:t>
            </w:r>
            <w:r w:rsidRPr="00985246">
              <w:rPr>
                <w:b/>
              </w:rPr>
              <w:t xml:space="preserve"> – </w:t>
            </w:r>
            <w:r w:rsidRPr="00985246">
              <w:t xml:space="preserve">1-2 instances </w:t>
            </w:r>
            <w:proofErr w:type="gramStart"/>
            <w:r w:rsidRPr="00985246">
              <w:t xml:space="preserve">of </w:t>
            </w:r>
            <w:r w:rsidRPr="00667002">
              <w:t xml:space="preserve"> CAS</w:t>
            </w:r>
            <w:proofErr w:type="gramEnd"/>
            <w:r w:rsidRPr="00667002">
              <w:t xml:space="preserve"> tactics </w:t>
            </w:r>
            <w:r w:rsidRPr="00985246">
              <w:t xml:space="preserve">not meeting the standards defined in Schedule 2. </w:t>
            </w:r>
          </w:p>
          <w:p w14:paraId="12B447BF" w14:textId="37BBA627" w:rsidR="00E311B0" w:rsidRPr="00F20D18" w:rsidRDefault="00E311B0" w:rsidP="00FC12BB">
            <w:pPr>
              <w:pStyle w:val="NoSpacing"/>
              <w:framePr w:hSpace="0" w:wrap="auto" w:vAnchor="margin" w:yAlign="inline"/>
              <w:suppressOverlap w:val="0"/>
            </w:pPr>
          </w:p>
        </w:tc>
        <w:tc>
          <w:tcPr>
            <w:tcW w:w="1731" w:type="dxa"/>
            <w:tcBorders>
              <w:bottom w:val="single" w:sz="4" w:space="0" w:color="auto"/>
            </w:tcBorders>
          </w:tcPr>
          <w:p w14:paraId="273A8D4B" w14:textId="60AE0D0A" w:rsidR="00E311B0" w:rsidRPr="00F20D18" w:rsidRDefault="00E311B0" w:rsidP="00FC12BB">
            <w:pPr>
              <w:pStyle w:val="NoSpacing"/>
              <w:framePr w:hSpace="0" w:wrap="auto" w:vAnchor="margin" w:yAlign="inline"/>
              <w:suppressOverlap w:val="0"/>
            </w:pPr>
            <w:r w:rsidRPr="00985246">
              <w:rPr>
                <w:b/>
                <w:color w:val="FF0000"/>
              </w:rPr>
              <w:t>Red</w:t>
            </w:r>
            <w:r w:rsidRPr="00985246">
              <w:rPr>
                <w:b/>
              </w:rPr>
              <w:t xml:space="preserve"> – </w:t>
            </w:r>
            <w:r w:rsidRPr="00985246">
              <w:t xml:space="preserve">3 or </w:t>
            </w:r>
            <w:r>
              <w:t xml:space="preserve">more </w:t>
            </w:r>
            <w:r w:rsidRPr="00985246">
              <w:t xml:space="preserve">instances </w:t>
            </w:r>
            <w:proofErr w:type="gramStart"/>
            <w:r w:rsidRPr="00985246">
              <w:t xml:space="preserve">of </w:t>
            </w:r>
            <w:r w:rsidRPr="00667002">
              <w:t xml:space="preserve"> CAS</w:t>
            </w:r>
            <w:proofErr w:type="gramEnd"/>
            <w:r w:rsidRPr="00667002">
              <w:t xml:space="preserve"> tactics </w:t>
            </w:r>
            <w:r w:rsidRPr="00985246">
              <w:t>not meeting the standards defined in Schedule 2.</w:t>
            </w:r>
          </w:p>
        </w:tc>
        <w:tc>
          <w:tcPr>
            <w:tcW w:w="2166" w:type="dxa"/>
            <w:tcBorders>
              <w:bottom w:val="single" w:sz="4" w:space="0" w:color="auto"/>
            </w:tcBorders>
          </w:tcPr>
          <w:p w14:paraId="3494E262" w14:textId="25B52981" w:rsidR="00E311B0" w:rsidRPr="008A56FA" w:rsidRDefault="00E311B0" w:rsidP="00FC12BB">
            <w:pPr>
              <w:pStyle w:val="NoSpacing"/>
              <w:framePr w:hSpace="0" w:wrap="auto" w:vAnchor="margin" w:yAlign="inline"/>
              <w:suppressOverlap w:val="0"/>
            </w:pPr>
            <w:r w:rsidRPr="00826AA0">
              <w:t>Each Red results in a 3% payment deduction against the total cost of the exercise.</w:t>
            </w:r>
          </w:p>
        </w:tc>
      </w:tr>
      <w:tr w:rsidR="00FC12BB" w:rsidRPr="00985246" w14:paraId="350ED17D" w14:textId="3D22EC9A" w:rsidTr="00811DB7">
        <w:tc>
          <w:tcPr>
            <w:tcW w:w="541" w:type="dxa"/>
            <w:shd w:val="clear" w:color="auto" w:fill="D9D9D9" w:themeFill="background1" w:themeFillShade="D9"/>
          </w:tcPr>
          <w:p w14:paraId="2AE68531" w14:textId="2287FB2E" w:rsidR="00E311B0" w:rsidRPr="00425E95" w:rsidRDefault="00E311B0" w:rsidP="00FC12BB">
            <w:pPr>
              <w:pStyle w:val="NoSpacing"/>
              <w:framePr w:hSpace="0" w:wrap="auto" w:vAnchor="margin" w:yAlign="inline"/>
              <w:suppressOverlap w:val="0"/>
            </w:pPr>
            <w:r w:rsidRPr="00425E95">
              <w:lastRenderedPageBreak/>
              <w:t>1</w:t>
            </w:r>
            <w:r>
              <w:t>0</w:t>
            </w:r>
          </w:p>
        </w:tc>
        <w:tc>
          <w:tcPr>
            <w:tcW w:w="1706" w:type="dxa"/>
          </w:tcPr>
          <w:p w14:paraId="689062B8" w14:textId="77777777" w:rsidR="00E311B0" w:rsidRPr="00DB22B2" w:rsidRDefault="00E311B0" w:rsidP="00FC12BB">
            <w:pPr>
              <w:pStyle w:val="NoSpacing"/>
              <w:framePr w:hSpace="0" w:wrap="auto" w:vAnchor="margin" w:yAlign="inline"/>
              <w:suppressOverlap w:val="0"/>
            </w:pPr>
            <w:r w:rsidRPr="00DB22B2">
              <w:t>Equipment issue and recovery.</w:t>
            </w:r>
          </w:p>
          <w:p w14:paraId="06281659" w14:textId="77777777" w:rsidR="00E311B0" w:rsidRPr="00672440" w:rsidRDefault="00E311B0" w:rsidP="00FC12BB">
            <w:pPr>
              <w:pStyle w:val="NoSpacing"/>
              <w:framePr w:hSpace="0" w:wrap="auto" w:vAnchor="margin" w:yAlign="inline"/>
              <w:suppressOverlap w:val="0"/>
              <w:rPr>
                <w:highlight w:val="yellow"/>
              </w:rPr>
            </w:pPr>
          </w:p>
        </w:tc>
        <w:tc>
          <w:tcPr>
            <w:tcW w:w="2955" w:type="dxa"/>
          </w:tcPr>
          <w:p w14:paraId="4AEDFE37" w14:textId="190D0BC9" w:rsidR="00E311B0" w:rsidRPr="00156A43" w:rsidRDefault="00E311B0" w:rsidP="00FC12BB">
            <w:pPr>
              <w:pStyle w:val="NoSpacing"/>
              <w:framePr w:hSpace="0" w:wrap="auto" w:vAnchor="margin" w:yAlign="inline"/>
              <w:suppressOverlap w:val="0"/>
            </w:pPr>
            <w:r w:rsidRPr="00156A43">
              <w:t xml:space="preserve">Equipment issued and recovered before </w:t>
            </w:r>
            <w:r w:rsidR="009166AC" w:rsidRPr="00156A43">
              <w:t>Start of Exercise (</w:t>
            </w:r>
            <w:r w:rsidRPr="00156A43">
              <w:t>STARTEX</w:t>
            </w:r>
            <w:r w:rsidR="009166AC" w:rsidRPr="00156A43">
              <w:t>)</w:t>
            </w:r>
            <w:r w:rsidRPr="00156A43">
              <w:t xml:space="preserve"> and after End of Exercise (ENDEX) without affecting exercise delivery or closedown. </w:t>
            </w:r>
          </w:p>
          <w:p w14:paraId="273E726D" w14:textId="77777777" w:rsidR="00E311B0" w:rsidRPr="00156A43" w:rsidRDefault="00E311B0" w:rsidP="00FC12BB">
            <w:pPr>
              <w:pStyle w:val="NoSpacing"/>
              <w:framePr w:hSpace="0" w:wrap="auto" w:vAnchor="margin" w:yAlign="inline"/>
              <w:suppressOverlap w:val="0"/>
            </w:pPr>
          </w:p>
          <w:p w14:paraId="21B88F66" w14:textId="38DE7875" w:rsidR="00E311B0" w:rsidRPr="00156A43" w:rsidRDefault="00E311B0" w:rsidP="00FC12BB">
            <w:pPr>
              <w:pStyle w:val="NoSpacing"/>
              <w:framePr w:hSpace="0" w:wrap="auto" w:vAnchor="margin" w:yAlign="inline"/>
              <w:suppressOverlap w:val="0"/>
            </w:pPr>
            <w:r w:rsidRPr="00156A43">
              <w:t>Schedule 2 defines issue/recovery timelines as: Issued 1-3 days prior to STARTEX</w:t>
            </w:r>
          </w:p>
          <w:p w14:paraId="406200B0" w14:textId="49BFE43D" w:rsidR="00E311B0" w:rsidRPr="00156A43" w:rsidRDefault="00E311B0" w:rsidP="00FC12BB">
            <w:pPr>
              <w:pStyle w:val="NoSpacing"/>
              <w:framePr w:hSpace="0" w:wrap="auto" w:vAnchor="margin" w:yAlign="inline"/>
              <w:suppressOverlap w:val="0"/>
            </w:pPr>
            <w:r w:rsidRPr="00156A43">
              <w:t>Recovered 1-2 days post ENDEX.</w:t>
            </w:r>
          </w:p>
          <w:p w14:paraId="0AC14877" w14:textId="77777777" w:rsidR="00E311B0" w:rsidRPr="00156A43" w:rsidRDefault="00E311B0" w:rsidP="00FC12BB">
            <w:pPr>
              <w:pStyle w:val="NoSpacing"/>
              <w:framePr w:hSpace="0" w:wrap="auto" w:vAnchor="margin" w:yAlign="inline"/>
              <w:suppressOverlap w:val="0"/>
            </w:pPr>
          </w:p>
        </w:tc>
        <w:tc>
          <w:tcPr>
            <w:tcW w:w="1575" w:type="dxa"/>
          </w:tcPr>
          <w:p w14:paraId="3405BF9E" w14:textId="0ABFA7E4" w:rsidR="00E311B0" w:rsidRPr="00156A43" w:rsidRDefault="00E311B0" w:rsidP="00FC12BB">
            <w:pPr>
              <w:pStyle w:val="NoSpacing"/>
              <w:framePr w:hSpace="0" w:wrap="auto" w:vAnchor="margin" w:yAlign="inline"/>
              <w:suppressOverlap w:val="0"/>
            </w:pPr>
            <w:r w:rsidRPr="00156A43">
              <w:t>Contractor self-monitoring</w:t>
            </w:r>
            <w:r w:rsidR="00811DB7">
              <w:t xml:space="preserve"> and Authority</w:t>
            </w:r>
          </w:p>
        </w:tc>
        <w:tc>
          <w:tcPr>
            <w:tcW w:w="1413" w:type="dxa"/>
          </w:tcPr>
          <w:p w14:paraId="5B94E7B0" w14:textId="2D5BB6F9" w:rsidR="00E311B0" w:rsidRPr="00156A43" w:rsidRDefault="00E311B0" w:rsidP="00FC12BB">
            <w:pPr>
              <w:pStyle w:val="NoSpacing"/>
              <w:framePr w:hSpace="0" w:wrap="auto" w:vAnchor="margin" w:yAlign="inline"/>
              <w:suppressOverlap w:val="0"/>
            </w:pPr>
            <w:r w:rsidRPr="00156A43">
              <w:t>Per Exercise</w:t>
            </w:r>
          </w:p>
        </w:tc>
        <w:tc>
          <w:tcPr>
            <w:tcW w:w="1696" w:type="dxa"/>
          </w:tcPr>
          <w:p w14:paraId="7A893C3A" w14:textId="468EE95F" w:rsidR="00E311B0" w:rsidRPr="00156A43" w:rsidRDefault="00E311B0" w:rsidP="00FC12BB">
            <w:pPr>
              <w:pStyle w:val="NoSpacing"/>
              <w:framePr w:hSpace="0" w:wrap="auto" w:vAnchor="margin" w:yAlign="inline"/>
              <w:suppressOverlap w:val="0"/>
            </w:pPr>
            <w:r w:rsidRPr="00156A43">
              <w:t>Contractor shall include such evidence within each Post Exercise Report (PXR)</w:t>
            </w:r>
            <w:r w:rsidR="00811DB7">
              <w:t xml:space="preserve"> and Authority will cross reference this against end user experience </w:t>
            </w:r>
          </w:p>
        </w:tc>
        <w:tc>
          <w:tcPr>
            <w:tcW w:w="2340" w:type="dxa"/>
          </w:tcPr>
          <w:p w14:paraId="0BEC5AE7" w14:textId="66A6F6D7" w:rsidR="00E311B0" w:rsidRPr="00156A43" w:rsidRDefault="00E311B0" w:rsidP="00FC12BB">
            <w:pPr>
              <w:pStyle w:val="NoSpacing"/>
              <w:framePr w:hSpace="0" w:wrap="auto" w:vAnchor="margin" w:yAlign="inline"/>
              <w:suppressOverlap w:val="0"/>
            </w:pPr>
            <w:r w:rsidRPr="00156A43">
              <w:rPr>
                <w:b/>
                <w:color w:val="00B050"/>
              </w:rPr>
              <w:t>Green</w:t>
            </w:r>
            <w:r w:rsidRPr="00156A43">
              <w:rPr>
                <w:b/>
              </w:rPr>
              <w:t xml:space="preserve"> </w:t>
            </w:r>
            <w:r w:rsidRPr="00156A43">
              <w:t xml:space="preserve">– All equipment loaned to the user issued prior to STARTEX and recovered post ENDEX as defined in Schedule 2, unless a different period is requested by the CTE. </w:t>
            </w:r>
          </w:p>
        </w:tc>
        <w:tc>
          <w:tcPr>
            <w:tcW w:w="1733" w:type="dxa"/>
          </w:tcPr>
          <w:p w14:paraId="72012D1C" w14:textId="77777777" w:rsidR="00E311B0" w:rsidRPr="00D44F0B" w:rsidRDefault="00E311B0" w:rsidP="00FC12BB">
            <w:pPr>
              <w:pStyle w:val="NoSpacing"/>
              <w:framePr w:hSpace="0" w:wrap="auto" w:vAnchor="margin" w:yAlign="inline"/>
              <w:suppressOverlap w:val="0"/>
            </w:pPr>
            <w:r w:rsidRPr="0090072E">
              <w:rPr>
                <w:b/>
                <w:color w:val="FFC000"/>
              </w:rPr>
              <w:t>Amber</w:t>
            </w:r>
            <w:r w:rsidRPr="0090072E">
              <w:rPr>
                <w:b/>
              </w:rPr>
              <w:t xml:space="preserve"> – </w:t>
            </w:r>
            <w:r w:rsidRPr="00D44F0B">
              <w:t>Equipment either not issued, or not recovered, in the timelines defined in Schedule 2.</w:t>
            </w:r>
          </w:p>
          <w:p w14:paraId="783497B7" w14:textId="00E61A07" w:rsidR="00E311B0" w:rsidRPr="00156A43" w:rsidRDefault="00E311B0" w:rsidP="00FC12BB">
            <w:pPr>
              <w:pStyle w:val="NoSpacing"/>
              <w:framePr w:hSpace="0" w:wrap="auto" w:vAnchor="margin" w:yAlign="inline"/>
              <w:suppressOverlap w:val="0"/>
            </w:pPr>
          </w:p>
        </w:tc>
        <w:tc>
          <w:tcPr>
            <w:tcW w:w="1731" w:type="dxa"/>
          </w:tcPr>
          <w:p w14:paraId="7F9A23A8" w14:textId="69360B5B" w:rsidR="00E311B0" w:rsidRPr="00156A43" w:rsidRDefault="00E311B0" w:rsidP="00FC12BB">
            <w:pPr>
              <w:pStyle w:val="NoSpacing"/>
              <w:framePr w:hSpace="0" w:wrap="auto" w:vAnchor="margin" w:yAlign="inline"/>
              <w:suppressOverlap w:val="0"/>
            </w:pPr>
            <w:r w:rsidRPr="00156A43">
              <w:rPr>
                <w:b/>
                <w:color w:val="FF0000"/>
              </w:rPr>
              <w:t>Red</w:t>
            </w:r>
            <w:r w:rsidRPr="00156A43">
              <w:rPr>
                <w:b/>
              </w:rPr>
              <w:t xml:space="preserve"> – </w:t>
            </w:r>
            <w:r w:rsidRPr="00156A43">
              <w:t>Equipment not issued or recovered in the timelines defined in Schedule 2</w:t>
            </w:r>
          </w:p>
        </w:tc>
        <w:tc>
          <w:tcPr>
            <w:tcW w:w="2166" w:type="dxa"/>
          </w:tcPr>
          <w:p w14:paraId="7FDB922E" w14:textId="192E8C56" w:rsidR="00E311B0" w:rsidRPr="00156A43" w:rsidRDefault="00E311B0" w:rsidP="00FC12BB">
            <w:pPr>
              <w:pStyle w:val="NoSpacing"/>
              <w:framePr w:hSpace="0" w:wrap="auto" w:vAnchor="margin" w:yAlign="inline"/>
              <w:suppressOverlap w:val="0"/>
            </w:pPr>
            <w:r w:rsidRPr="00156A43">
              <w:t>Each Red results in a 3% payment deduction against the total cost of the exercise.</w:t>
            </w:r>
          </w:p>
        </w:tc>
      </w:tr>
      <w:tr w:rsidR="00FC12BB" w:rsidRPr="00985246" w14:paraId="184509C5" w14:textId="2583DE6E" w:rsidTr="00811DB7">
        <w:tc>
          <w:tcPr>
            <w:tcW w:w="541" w:type="dxa"/>
            <w:shd w:val="clear" w:color="auto" w:fill="D9D9D9" w:themeFill="background1" w:themeFillShade="D9"/>
          </w:tcPr>
          <w:p w14:paraId="14877225" w14:textId="3AB5353C" w:rsidR="00E311B0" w:rsidRPr="00425E95" w:rsidRDefault="00E311B0" w:rsidP="00FC12BB">
            <w:pPr>
              <w:pStyle w:val="NoSpacing"/>
              <w:framePr w:hSpace="0" w:wrap="auto" w:vAnchor="margin" w:yAlign="inline"/>
              <w:suppressOverlap w:val="0"/>
            </w:pPr>
            <w:r>
              <w:t>11</w:t>
            </w:r>
          </w:p>
          <w:p w14:paraId="2B32B5BB" w14:textId="77777777" w:rsidR="00E311B0" w:rsidRPr="00425E95" w:rsidRDefault="00E311B0" w:rsidP="00FC12BB">
            <w:pPr>
              <w:pStyle w:val="NoSpacing"/>
              <w:framePr w:hSpace="0" w:wrap="auto" w:vAnchor="margin" w:yAlign="inline"/>
              <w:suppressOverlap w:val="0"/>
            </w:pPr>
          </w:p>
        </w:tc>
        <w:tc>
          <w:tcPr>
            <w:tcW w:w="1706" w:type="dxa"/>
          </w:tcPr>
          <w:p w14:paraId="53729AED" w14:textId="77777777" w:rsidR="00E311B0" w:rsidRPr="00672440" w:rsidRDefault="00E311B0" w:rsidP="00FC12BB">
            <w:pPr>
              <w:pStyle w:val="NoSpacing"/>
              <w:framePr w:hSpace="0" w:wrap="auto" w:vAnchor="margin" w:yAlign="inline"/>
              <w:suppressOverlap w:val="0"/>
              <w:rPr>
                <w:highlight w:val="yellow"/>
              </w:rPr>
            </w:pPr>
            <w:r w:rsidRPr="00B7708D">
              <w:t>Aircraft on-station efficiency.</w:t>
            </w:r>
          </w:p>
        </w:tc>
        <w:tc>
          <w:tcPr>
            <w:tcW w:w="2955" w:type="dxa"/>
          </w:tcPr>
          <w:p w14:paraId="6EAE67B0" w14:textId="2E588560" w:rsidR="00E311B0" w:rsidRPr="00B7708D" w:rsidRDefault="00E311B0" w:rsidP="00FC12BB">
            <w:pPr>
              <w:pStyle w:val="NoSpacing"/>
              <w:framePr w:hSpace="0" w:wrap="auto" w:vAnchor="margin" w:yAlign="inline"/>
              <w:suppressOverlap w:val="0"/>
            </w:pPr>
            <w:r w:rsidRPr="00B7708D">
              <w:t>Aircraft on station at the planned time</w:t>
            </w:r>
            <w:r w:rsidR="003B3D32" w:rsidRPr="002E6377">
              <w:t xml:space="preserve"> (excluding factors outside of the contractor’s control </w:t>
            </w:r>
            <w:proofErr w:type="gramStart"/>
            <w:r w:rsidR="003B3D32" w:rsidRPr="002E6377">
              <w:t>e.g.</w:t>
            </w:r>
            <w:proofErr w:type="gramEnd"/>
            <w:r w:rsidR="003B3D32" w:rsidRPr="002E6377">
              <w:t xml:space="preserve"> weather).</w:t>
            </w:r>
            <w:r w:rsidRPr="002E6377">
              <w:t xml:space="preserve"> </w:t>
            </w:r>
          </w:p>
          <w:p w14:paraId="4EF69FBA" w14:textId="77777777" w:rsidR="00E311B0" w:rsidRPr="00672440" w:rsidRDefault="00E311B0" w:rsidP="00FC12BB">
            <w:pPr>
              <w:pStyle w:val="NoSpacing"/>
              <w:framePr w:hSpace="0" w:wrap="auto" w:vAnchor="margin" w:yAlign="inline"/>
              <w:suppressOverlap w:val="0"/>
              <w:rPr>
                <w:highlight w:val="yellow"/>
              </w:rPr>
            </w:pPr>
          </w:p>
          <w:p w14:paraId="665A7B6F" w14:textId="77777777" w:rsidR="00E311B0" w:rsidRPr="00672440" w:rsidRDefault="00E311B0" w:rsidP="00FC12BB">
            <w:pPr>
              <w:pStyle w:val="NoSpacing"/>
              <w:framePr w:hSpace="0" w:wrap="auto" w:vAnchor="margin" w:yAlign="inline"/>
              <w:suppressOverlap w:val="0"/>
              <w:rPr>
                <w:highlight w:val="yellow"/>
              </w:rPr>
            </w:pPr>
          </w:p>
        </w:tc>
        <w:tc>
          <w:tcPr>
            <w:tcW w:w="1575" w:type="dxa"/>
          </w:tcPr>
          <w:p w14:paraId="383E3B80" w14:textId="0E84DE4B" w:rsidR="00E311B0" w:rsidRPr="00672440" w:rsidRDefault="00E311B0" w:rsidP="00FC12BB">
            <w:pPr>
              <w:pStyle w:val="NoSpacing"/>
              <w:framePr w:hSpace="0" w:wrap="auto" w:vAnchor="margin" w:yAlign="inline"/>
              <w:suppressOverlap w:val="0"/>
              <w:rPr>
                <w:highlight w:val="yellow"/>
              </w:rPr>
            </w:pPr>
            <w:r w:rsidRPr="00B7708D">
              <w:t>Contractor self-monitoring</w:t>
            </w:r>
            <w:r w:rsidR="00107852">
              <w:t xml:space="preserve"> and Authority </w:t>
            </w:r>
          </w:p>
        </w:tc>
        <w:tc>
          <w:tcPr>
            <w:tcW w:w="1413" w:type="dxa"/>
          </w:tcPr>
          <w:p w14:paraId="467D5FBD" w14:textId="5CC46A7B" w:rsidR="00E311B0" w:rsidRPr="00672440" w:rsidRDefault="00E311B0" w:rsidP="00FC12BB">
            <w:pPr>
              <w:pStyle w:val="NoSpacing"/>
              <w:framePr w:hSpace="0" w:wrap="auto" w:vAnchor="margin" w:yAlign="inline"/>
              <w:suppressOverlap w:val="0"/>
              <w:rPr>
                <w:highlight w:val="yellow"/>
              </w:rPr>
            </w:pPr>
            <w:r w:rsidRPr="00B7708D">
              <w:t>Per Exercise</w:t>
            </w:r>
          </w:p>
        </w:tc>
        <w:tc>
          <w:tcPr>
            <w:tcW w:w="1696" w:type="dxa"/>
          </w:tcPr>
          <w:p w14:paraId="52CE9F04" w14:textId="637FF0E7" w:rsidR="00E311B0" w:rsidRPr="00672440" w:rsidRDefault="00E311B0" w:rsidP="00FC12BB">
            <w:pPr>
              <w:pStyle w:val="NoSpacing"/>
              <w:framePr w:hSpace="0" w:wrap="auto" w:vAnchor="margin" w:yAlign="inline"/>
              <w:suppressOverlap w:val="0"/>
              <w:rPr>
                <w:highlight w:val="yellow"/>
              </w:rPr>
            </w:pPr>
            <w:r w:rsidRPr="00B7708D">
              <w:t>Contractor shall include such evidence within each Post Exercise Report (</w:t>
            </w:r>
            <w:proofErr w:type="gramStart"/>
            <w:r w:rsidRPr="00B7708D">
              <w:t>PXR)</w:t>
            </w:r>
            <w:r w:rsidR="00107852">
              <w:t xml:space="preserve">  </w:t>
            </w:r>
            <w:r w:rsidR="00107852">
              <w:t>and</w:t>
            </w:r>
            <w:proofErr w:type="gramEnd"/>
            <w:r w:rsidR="00107852">
              <w:t xml:space="preserve"> Authority will cross reference this against end user experience</w:t>
            </w:r>
          </w:p>
        </w:tc>
        <w:tc>
          <w:tcPr>
            <w:tcW w:w="2340" w:type="dxa"/>
          </w:tcPr>
          <w:p w14:paraId="6C82973F" w14:textId="77777777" w:rsidR="00E311B0" w:rsidRPr="00107852" w:rsidRDefault="00E311B0" w:rsidP="00672440">
            <w:pPr>
              <w:rPr>
                <w:rFonts w:ascii="Arial" w:hAnsi="Arial" w:cs="Arial"/>
                <w:sz w:val="20"/>
                <w:szCs w:val="20"/>
              </w:rPr>
            </w:pPr>
            <w:r w:rsidRPr="00985246">
              <w:rPr>
                <w:b/>
                <w:color w:val="00B050"/>
              </w:rPr>
              <w:t>Green</w:t>
            </w:r>
            <w:r w:rsidRPr="00985246">
              <w:rPr>
                <w:b/>
              </w:rPr>
              <w:t xml:space="preserve"> </w:t>
            </w:r>
            <w:r w:rsidRPr="00985246">
              <w:t xml:space="preserve">– </w:t>
            </w:r>
            <w:r w:rsidRPr="00107852">
              <w:rPr>
                <w:rFonts w:ascii="Arial" w:hAnsi="Arial" w:cs="Arial"/>
                <w:sz w:val="20"/>
                <w:szCs w:val="20"/>
              </w:rPr>
              <w:t xml:space="preserve">Aircraft on station at correct time, +/-20mins, for all sorties.  </w:t>
            </w:r>
          </w:p>
          <w:p w14:paraId="3E3DBC7E" w14:textId="537E89E9" w:rsidR="00E311B0" w:rsidRPr="00672440" w:rsidRDefault="00E311B0" w:rsidP="00FC12BB">
            <w:pPr>
              <w:pStyle w:val="NoSpacing"/>
              <w:framePr w:hSpace="0" w:wrap="auto" w:vAnchor="margin" w:yAlign="inline"/>
              <w:suppressOverlap w:val="0"/>
              <w:rPr>
                <w:highlight w:val="yellow"/>
              </w:rPr>
            </w:pPr>
          </w:p>
        </w:tc>
        <w:tc>
          <w:tcPr>
            <w:tcW w:w="1733" w:type="dxa"/>
          </w:tcPr>
          <w:p w14:paraId="22983C9E" w14:textId="77777777" w:rsidR="00E311B0" w:rsidRPr="00985246" w:rsidRDefault="00E311B0" w:rsidP="00672440">
            <w:r w:rsidRPr="00985246">
              <w:rPr>
                <w:b/>
                <w:color w:val="FFC000"/>
              </w:rPr>
              <w:t>Amber</w:t>
            </w:r>
            <w:r w:rsidRPr="00985246">
              <w:rPr>
                <w:b/>
              </w:rPr>
              <w:t xml:space="preserve"> – </w:t>
            </w:r>
            <w:r w:rsidRPr="00107852">
              <w:rPr>
                <w:rFonts w:ascii="Arial" w:hAnsi="Arial" w:cs="Arial"/>
                <w:sz w:val="20"/>
                <w:szCs w:val="20"/>
              </w:rPr>
              <w:t>Aircraft on station but between 20-40mins late for 1 or more sorties. The entire sortie is supported.</w:t>
            </w:r>
            <w:r w:rsidRPr="00107852">
              <w:rPr>
                <w:sz w:val="20"/>
                <w:szCs w:val="20"/>
              </w:rPr>
              <w:t xml:space="preserve">  </w:t>
            </w:r>
          </w:p>
          <w:p w14:paraId="7B924F30" w14:textId="5C0AE980" w:rsidR="00E311B0" w:rsidRPr="00672440" w:rsidRDefault="00E311B0" w:rsidP="00FC12BB">
            <w:pPr>
              <w:pStyle w:val="NoSpacing"/>
              <w:framePr w:hSpace="0" w:wrap="auto" w:vAnchor="margin" w:yAlign="inline"/>
              <w:suppressOverlap w:val="0"/>
              <w:rPr>
                <w:highlight w:val="yellow"/>
              </w:rPr>
            </w:pPr>
          </w:p>
        </w:tc>
        <w:tc>
          <w:tcPr>
            <w:tcW w:w="1731" w:type="dxa"/>
          </w:tcPr>
          <w:p w14:paraId="3D27CD0D" w14:textId="3034FA4C" w:rsidR="00E311B0" w:rsidRPr="00672440" w:rsidRDefault="00E311B0" w:rsidP="00FC12BB">
            <w:pPr>
              <w:pStyle w:val="NoSpacing"/>
              <w:framePr w:hSpace="0" w:wrap="auto" w:vAnchor="margin" w:yAlign="inline"/>
              <w:suppressOverlap w:val="0"/>
              <w:rPr>
                <w:highlight w:val="yellow"/>
              </w:rPr>
            </w:pPr>
            <w:r w:rsidRPr="00985246">
              <w:rPr>
                <w:b/>
                <w:color w:val="FF0000"/>
              </w:rPr>
              <w:t>Red</w:t>
            </w:r>
            <w:r w:rsidRPr="00985246">
              <w:rPr>
                <w:b/>
              </w:rPr>
              <w:t xml:space="preserve"> – </w:t>
            </w:r>
            <w:r w:rsidRPr="00985246">
              <w:t xml:space="preserve">Aircraft on station </w:t>
            </w:r>
            <w:r>
              <w:t>over 40</w:t>
            </w:r>
            <w:r w:rsidRPr="00985246">
              <w:t>mins late for 1 or more sorties</w:t>
            </w:r>
            <w:r>
              <w:t xml:space="preserve">, or the sortie </w:t>
            </w:r>
            <w:proofErr w:type="gramStart"/>
            <w:r>
              <w:t>has to</w:t>
            </w:r>
            <w:proofErr w:type="gramEnd"/>
            <w:r>
              <w:t xml:space="preserve"> be shortened because of delays. </w:t>
            </w:r>
            <w:r w:rsidRPr="00985246">
              <w:t xml:space="preserve"> </w:t>
            </w:r>
          </w:p>
        </w:tc>
        <w:tc>
          <w:tcPr>
            <w:tcW w:w="2166" w:type="dxa"/>
          </w:tcPr>
          <w:p w14:paraId="4EF8F535" w14:textId="636EF3DB" w:rsidR="00E311B0" w:rsidRPr="00672440" w:rsidRDefault="00E311B0" w:rsidP="00FC12BB">
            <w:pPr>
              <w:pStyle w:val="NoSpacing"/>
              <w:framePr w:hSpace="0" w:wrap="auto" w:vAnchor="margin" w:yAlign="inline"/>
              <w:suppressOverlap w:val="0"/>
              <w:rPr>
                <w:highlight w:val="yellow"/>
              </w:rPr>
            </w:pPr>
            <w:r w:rsidRPr="00416C3F">
              <w:t>Each Red results in a 3% payment deduction against the total cost of the exercise.</w:t>
            </w:r>
          </w:p>
        </w:tc>
      </w:tr>
      <w:tr w:rsidR="00FC12BB" w:rsidRPr="00985246" w14:paraId="66917FB4" w14:textId="3FE3C487" w:rsidTr="00811DB7">
        <w:tc>
          <w:tcPr>
            <w:tcW w:w="541" w:type="dxa"/>
            <w:tcBorders>
              <w:bottom w:val="single" w:sz="4" w:space="0" w:color="auto"/>
            </w:tcBorders>
            <w:shd w:val="clear" w:color="auto" w:fill="D9D9D9" w:themeFill="background1" w:themeFillShade="D9"/>
          </w:tcPr>
          <w:p w14:paraId="2B9477D3" w14:textId="35AA2117" w:rsidR="00E311B0" w:rsidRPr="00425E95" w:rsidRDefault="00E311B0" w:rsidP="00FC12BB">
            <w:pPr>
              <w:pStyle w:val="NoSpacing"/>
              <w:framePr w:hSpace="0" w:wrap="auto" w:vAnchor="margin" w:yAlign="inline"/>
              <w:suppressOverlap w:val="0"/>
            </w:pPr>
            <w:r>
              <w:t>12</w:t>
            </w:r>
          </w:p>
          <w:p w14:paraId="79C5A866" w14:textId="77777777" w:rsidR="00E311B0" w:rsidRPr="00425E95" w:rsidRDefault="00E311B0" w:rsidP="00FC12BB">
            <w:pPr>
              <w:pStyle w:val="NoSpacing"/>
              <w:framePr w:hSpace="0" w:wrap="auto" w:vAnchor="margin" w:yAlign="inline"/>
              <w:suppressOverlap w:val="0"/>
            </w:pPr>
          </w:p>
        </w:tc>
        <w:tc>
          <w:tcPr>
            <w:tcW w:w="1706" w:type="dxa"/>
            <w:tcBorders>
              <w:bottom w:val="single" w:sz="4" w:space="0" w:color="auto"/>
            </w:tcBorders>
          </w:tcPr>
          <w:p w14:paraId="2EDA4D96" w14:textId="77777777" w:rsidR="00E311B0" w:rsidRPr="00672440" w:rsidRDefault="00E311B0" w:rsidP="00FC12BB">
            <w:pPr>
              <w:pStyle w:val="NoSpacing"/>
              <w:framePr w:hSpace="0" w:wrap="auto" w:vAnchor="margin" w:yAlign="inline"/>
              <w:suppressOverlap w:val="0"/>
              <w:rPr>
                <w:highlight w:val="yellow"/>
              </w:rPr>
            </w:pPr>
            <w:r w:rsidRPr="00B7708D">
              <w:t>Post exercise reports.</w:t>
            </w:r>
          </w:p>
        </w:tc>
        <w:tc>
          <w:tcPr>
            <w:tcW w:w="2955" w:type="dxa"/>
            <w:tcBorders>
              <w:bottom w:val="single" w:sz="4" w:space="0" w:color="auto"/>
            </w:tcBorders>
          </w:tcPr>
          <w:p w14:paraId="07DF4924" w14:textId="6D870BAF" w:rsidR="00E311B0" w:rsidRPr="00672440" w:rsidRDefault="00E311B0" w:rsidP="00FC12BB">
            <w:pPr>
              <w:pStyle w:val="NoSpacing"/>
              <w:framePr w:hSpace="0" w:wrap="auto" w:vAnchor="margin" w:yAlign="inline"/>
              <w:suppressOverlap w:val="0"/>
              <w:rPr>
                <w:highlight w:val="yellow"/>
              </w:rPr>
            </w:pPr>
            <w:r w:rsidRPr="00B7708D">
              <w:t xml:space="preserve">PXRs submitted to the </w:t>
            </w:r>
            <w:r w:rsidRPr="00672440">
              <w:t>Authority</w:t>
            </w:r>
            <w:r w:rsidRPr="00B7708D">
              <w:t xml:space="preserve"> within 5 working days</w:t>
            </w:r>
            <w:r w:rsidRPr="00672440" w:rsidDel="0064391F">
              <w:t xml:space="preserve"> </w:t>
            </w:r>
            <w:r w:rsidRPr="00B7708D">
              <w:t>post ENDEX (as per Schedule 2</w:t>
            </w:r>
            <w:r w:rsidRPr="009166AC">
              <w:t xml:space="preserve">). </w:t>
            </w:r>
          </w:p>
        </w:tc>
        <w:tc>
          <w:tcPr>
            <w:tcW w:w="1575" w:type="dxa"/>
            <w:tcBorders>
              <w:bottom w:val="single" w:sz="4" w:space="0" w:color="auto"/>
            </w:tcBorders>
          </w:tcPr>
          <w:p w14:paraId="1C058ECC" w14:textId="59F523BF" w:rsidR="00E311B0" w:rsidRPr="00672440" w:rsidRDefault="00107852" w:rsidP="00FC12BB">
            <w:pPr>
              <w:pStyle w:val="NoSpacing"/>
              <w:framePr w:hSpace="0" w:wrap="auto" w:vAnchor="margin" w:yAlign="inline"/>
              <w:suppressOverlap w:val="0"/>
              <w:rPr>
                <w:highlight w:val="yellow"/>
              </w:rPr>
            </w:pPr>
            <w:r>
              <w:t xml:space="preserve">Authority </w:t>
            </w:r>
          </w:p>
        </w:tc>
        <w:tc>
          <w:tcPr>
            <w:tcW w:w="1413" w:type="dxa"/>
            <w:tcBorders>
              <w:bottom w:val="single" w:sz="4" w:space="0" w:color="auto"/>
            </w:tcBorders>
          </w:tcPr>
          <w:p w14:paraId="1C43DBBD" w14:textId="0996CB16" w:rsidR="00E311B0" w:rsidRPr="00B7708D" w:rsidRDefault="00E311B0" w:rsidP="00FC12BB">
            <w:pPr>
              <w:pStyle w:val="NoSpacing"/>
              <w:framePr w:hSpace="0" w:wrap="auto" w:vAnchor="margin" w:yAlign="inline"/>
              <w:suppressOverlap w:val="0"/>
            </w:pPr>
            <w:r w:rsidRPr="00B7708D">
              <w:t>Per Exercise</w:t>
            </w:r>
          </w:p>
        </w:tc>
        <w:tc>
          <w:tcPr>
            <w:tcW w:w="1696" w:type="dxa"/>
            <w:tcBorders>
              <w:bottom w:val="single" w:sz="4" w:space="0" w:color="auto"/>
            </w:tcBorders>
          </w:tcPr>
          <w:p w14:paraId="72519AE7" w14:textId="0C0B5F06" w:rsidR="00E311B0" w:rsidRPr="00B7708D" w:rsidRDefault="00E311B0" w:rsidP="00FC12BB">
            <w:pPr>
              <w:pStyle w:val="NoSpacing"/>
              <w:framePr w:hSpace="0" w:wrap="auto" w:vAnchor="margin" w:yAlign="inline"/>
              <w:suppressOverlap w:val="0"/>
            </w:pPr>
            <w:r w:rsidRPr="00B7708D">
              <w:t>Contractor shall include such evidence within each Post Exercise Report (PXR)</w:t>
            </w:r>
            <w:r w:rsidR="00107852">
              <w:t xml:space="preserve"> and Authority will monitor this based on the time this is delivered</w:t>
            </w:r>
          </w:p>
        </w:tc>
        <w:tc>
          <w:tcPr>
            <w:tcW w:w="2340" w:type="dxa"/>
            <w:tcBorders>
              <w:bottom w:val="single" w:sz="4" w:space="0" w:color="auto"/>
            </w:tcBorders>
          </w:tcPr>
          <w:p w14:paraId="6E1BCAC5" w14:textId="786763F6" w:rsidR="00E311B0" w:rsidRPr="00985246" w:rsidRDefault="00E311B0" w:rsidP="00FC12BB">
            <w:pPr>
              <w:pStyle w:val="NoSpacing"/>
              <w:framePr w:hSpace="0" w:wrap="auto" w:vAnchor="margin" w:yAlign="inline"/>
              <w:suppressOverlap w:val="0"/>
            </w:pPr>
            <w:r w:rsidRPr="00985246">
              <w:rPr>
                <w:b/>
                <w:color w:val="00B050"/>
              </w:rPr>
              <w:t>Green</w:t>
            </w:r>
            <w:r w:rsidRPr="00985246">
              <w:rPr>
                <w:b/>
              </w:rPr>
              <w:t xml:space="preserve"> </w:t>
            </w:r>
            <w:r w:rsidRPr="00985246">
              <w:t xml:space="preserve">– PXR submitted within </w:t>
            </w:r>
            <w:r w:rsidR="00AB1B16">
              <w:t>10</w:t>
            </w:r>
            <w:r w:rsidRPr="00985246">
              <w:t xml:space="preserve"> working days.  </w:t>
            </w:r>
          </w:p>
          <w:p w14:paraId="5C187CC4" w14:textId="6812BFF8" w:rsidR="00E311B0" w:rsidRPr="00672440" w:rsidRDefault="00E311B0" w:rsidP="00FC12BB">
            <w:pPr>
              <w:pStyle w:val="NoSpacing"/>
              <w:framePr w:hSpace="0" w:wrap="auto" w:vAnchor="margin" w:yAlign="inline"/>
              <w:suppressOverlap w:val="0"/>
              <w:rPr>
                <w:highlight w:val="yellow"/>
              </w:rPr>
            </w:pPr>
          </w:p>
        </w:tc>
        <w:tc>
          <w:tcPr>
            <w:tcW w:w="1733" w:type="dxa"/>
            <w:tcBorders>
              <w:bottom w:val="single" w:sz="4" w:space="0" w:color="auto"/>
            </w:tcBorders>
          </w:tcPr>
          <w:p w14:paraId="22EF2FE9" w14:textId="772EEDA0" w:rsidR="00E311B0" w:rsidRPr="00672440" w:rsidRDefault="00FC12BB" w:rsidP="00FC12BB">
            <w:pPr>
              <w:pStyle w:val="NoSpacing"/>
              <w:framePr w:hSpace="0" w:wrap="auto" w:vAnchor="margin" w:yAlign="inline"/>
              <w:suppressOverlap w:val="0"/>
              <w:rPr>
                <w:highlight w:val="yellow"/>
              </w:rPr>
            </w:pPr>
            <w:r w:rsidRPr="00985246">
              <w:rPr>
                <w:b/>
                <w:color w:val="FFC000"/>
              </w:rPr>
              <w:t>Amber</w:t>
            </w:r>
            <w:r w:rsidRPr="00985246">
              <w:rPr>
                <w:b/>
              </w:rPr>
              <w:t xml:space="preserve"> –</w:t>
            </w:r>
            <w:r>
              <w:rPr>
                <w:b/>
              </w:rPr>
              <w:t xml:space="preserve"> </w:t>
            </w:r>
            <w:r w:rsidRPr="00FC12BB">
              <w:rPr>
                <w:bCs/>
              </w:rPr>
              <w:t>there is no Amber for this KPI, just Red and Green</w:t>
            </w:r>
          </w:p>
        </w:tc>
        <w:tc>
          <w:tcPr>
            <w:tcW w:w="1731" w:type="dxa"/>
            <w:tcBorders>
              <w:bottom w:val="single" w:sz="4" w:space="0" w:color="auto"/>
            </w:tcBorders>
          </w:tcPr>
          <w:p w14:paraId="2B64ECA2" w14:textId="1009CA77" w:rsidR="00E311B0" w:rsidRPr="00672440" w:rsidRDefault="00E311B0" w:rsidP="00FC12BB">
            <w:pPr>
              <w:pStyle w:val="NoSpacing"/>
              <w:framePr w:hSpace="0" w:wrap="auto" w:vAnchor="margin" w:yAlign="inline"/>
              <w:suppressOverlap w:val="0"/>
              <w:rPr>
                <w:highlight w:val="yellow"/>
              </w:rPr>
            </w:pPr>
            <w:r w:rsidRPr="00985246">
              <w:rPr>
                <w:b/>
                <w:color w:val="FF0000"/>
              </w:rPr>
              <w:t>Red</w:t>
            </w:r>
            <w:r w:rsidRPr="00985246">
              <w:rPr>
                <w:b/>
              </w:rPr>
              <w:t xml:space="preserve"> – </w:t>
            </w:r>
            <w:r w:rsidRPr="00985246">
              <w:t xml:space="preserve">PXR submitted after </w:t>
            </w:r>
            <w:r>
              <w:t>11</w:t>
            </w:r>
            <w:r w:rsidRPr="00985246">
              <w:t>+ working days</w:t>
            </w:r>
          </w:p>
        </w:tc>
        <w:tc>
          <w:tcPr>
            <w:tcW w:w="2166" w:type="dxa"/>
            <w:tcBorders>
              <w:bottom w:val="single" w:sz="4" w:space="0" w:color="auto"/>
            </w:tcBorders>
          </w:tcPr>
          <w:p w14:paraId="1FF73374" w14:textId="69E7467F" w:rsidR="00E311B0" w:rsidRPr="00672440" w:rsidRDefault="00E311B0" w:rsidP="00FC12BB">
            <w:pPr>
              <w:pStyle w:val="NoSpacing"/>
              <w:framePr w:hSpace="0" w:wrap="auto" w:vAnchor="margin" w:yAlign="inline"/>
              <w:suppressOverlap w:val="0"/>
              <w:rPr>
                <w:highlight w:val="yellow"/>
              </w:rPr>
            </w:pPr>
            <w:r w:rsidRPr="00416C3F">
              <w:t>Each Red results in a 3% payment deduction against the total cost of the exercise.</w:t>
            </w:r>
          </w:p>
        </w:tc>
      </w:tr>
      <w:tr w:rsidR="008854E9" w:rsidRPr="00985246" w14:paraId="01327FCD" w14:textId="77777777" w:rsidTr="00240151">
        <w:tc>
          <w:tcPr>
            <w:tcW w:w="17856" w:type="dxa"/>
            <w:gridSpan w:val="10"/>
            <w:shd w:val="clear" w:color="auto" w:fill="D9D9D9" w:themeFill="background1" w:themeFillShade="D9"/>
          </w:tcPr>
          <w:p w14:paraId="4CA215FE" w14:textId="2568F95D" w:rsidR="008854E9" w:rsidRPr="00E02373" w:rsidRDefault="008854E9" w:rsidP="00FC12BB">
            <w:pPr>
              <w:pStyle w:val="NoSpacing"/>
              <w:framePr w:hSpace="0" w:wrap="auto" w:vAnchor="margin" w:yAlign="inline"/>
              <w:suppressOverlap w:val="0"/>
            </w:pPr>
            <w:bookmarkStart w:id="5" w:name="_Hlk105744463"/>
            <w:r w:rsidRPr="00E02373">
              <w:t>Social Value</w:t>
            </w:r>
          </w:p>
        </w:tc>
      </w:tr>
      <w:bookmarkEnd w:id="5"/>
      <w:tr w:rsidR="00FC12BB" w:rsidRPr="00985246" w14:paraId="4A5A69A0" w14:textId="697DBCC2" w:rsidTr="00811DB7">
        <w:tc>
          <w:tcPr>
            <w:tcW w:w="541" w:type="dxa"/>
            <w:shd w:val="clear" w:color="auto" w:fill="D9D9D9" w:themeFill="background1" w:themeFillShade="D9"/>
          </w:tcPr>
          <w:p w14:paraId="55BBA6B0" w14:textId="0FA9337F" w:rsidR="00E311B0" w:rsidRDefault="00E311B0" w:rsidP="00FC12BB">
            <w:pPr>
              <w:pStyle w:val="NoSpacing"/>
              <w:framePr w:hSpace="0" w:wrap="auto" w:vAnchor="margin" w:yAlign="inline"/>
              <w:suppressOverlap w:val="0"/>
            </w:pPr>
            <w:r>
              <w:t>13</w:t>
            </w:r>
          </w:p>
        </w:tc>
        <w:tc>
          <w:tcPr>
            <w:tcW w:w="1706" w:type="dxa"/>
          </w:tcPr>
          <w:p w14:paraId="1AF69737" w14:textId="6B37FAAD" w:rsidR="00E311B0" w:rsidRDefault="00E311B0" w:rsidP="00FC12BB">
            <w:pPr>
              <w:pStyle w:val="NoSpacing"/>
              <w:framePr w:hSpace="0" w:wrap="auto" w:vAnchor="margin" w:yAlign="inline"/>
              <w:suppressOverlap w:val="0"/>
            </w:pPr>
            <w:r>
              <w:t>Tackling Economic Inequality</w:t>
            </w:r>
          </w:p>
        </w:tc>
        <w:tc>
          <w:tcPr>
            <w:tcW w:w="2955" w:type="dxa"/>
          </w:tcPr>
          <w:p w14:paraId="0113D454" w14:textId="6C7B6551" w:rsidR="00E311B0" w:rsidRPr="00FB32DD" w:rsidRDefault="00E311B0" w:rsidP="00FC12BB">
            <w:pPr>
              <w:pStyle w:val="NoSpacing"/>
              <w:framePr w:hSpace="0" w:wrap="auto" w:vAnchor="margin" w:yAlign="inline"/>
              <w:suppressOverlap w:val="0"/>
            </w:pPr>
            <w:r w:rsidRPr="007040E3">
              <w:t>M</w:t>
            </w:r>
            <w:r>
              <w:t xml:space="preserve">odel </w:t>
            </w:r>
            <w:r w:rsidRPr="007040E3">
              <w:t>A</w:t>
            </w:r>
            <w:r>
              <w:t xml:space="preserve">ward </w:t>
            </w:r>
            <w:r w:rsidRPr="007040E3">
              <w:t>C</w:t>
            </w:r>
            <w:r>
              <w:t xml:space="preserve">riteria (MAC) </w:t>
            </w:r>
            <w:r w:rsidRPr="007040E3">
              <w:t xml:space="preserve">2.2 Create employment and training opportunities particularly for those who face barriers to employment and/or who </w:t>
            </w:r>
            <w:proofErr w:type="gramStart"/>
            <w:r w:rsidRPr="007040E3">
              <w:t>are located in</w:t>
            </w:r>
            <w:proofErr w:type="gramEnd"/>
            <w:r w:rsidRPr="007040E3">
              <w:t xml:space="preserve"> deprived areas, and for people in industries with known skills shortages or in high growth sectors. </w:t>
            </w:r>
          </w:p>
        </w:tc>
        <w:tc>
          <w:tcPr>
            <w:tcW w:w="1575" w:type="dxa"/>
          </w:tcPr>
          <w:p w14:paraId="70C54898" w14:textId="30606EFA" w:rsidR="00E311B0" w:rsidRPr="00667002" w:rsidRDefault="00E311B0" w:rsidP="00FC12BB">
            <w:pPr>
              <w:pStyle w:val="NoSpacing"/>
              <w:framePr w:hSpace="0" w:wrap="auto" w:vAnchor="margin" w:yAlign="inline"/>
              <w:suppressOverlap w:val="0"/>
            </w:pPr>
            <w:r>
              <w:t>Contractor self-monitoring</w:t>
            </w:r>
          </w:p>
        </w:tc>
        <w:tc>
          <w:tcPr>
            <w:tcW w:w="1413" w:type="dxa"/>
          </w:tcPr>
          <w:p w14:paraId="5B7EE442" w14:textId="4D91B477" w:rsidR="00E311B0" w:rsidRPr="00667002" w:rsidRDefault="00E311B0" w:rsidP="00FC12BB">
            <w:pPr>
              <w:pStyle w:val="NoSpacing"/>
              <w:framePr w:hSpace="0" w:wrap="auto" w:vAnchor="margin" w:yAlign="inline"/>
              <w:suppressOverlap w:val="0"/>
            </w:pPr>
            <w:r>
              <w:t>Annually</w:t>
            </w:r>
          </w:p>
        </w:tc>
        <w:tc>
          <w:tcPr>
            <w:tcW w:w="1696" w:type="dxa"/>
          </w:tcPr>
          <w:p w14:paraId="2E0792B7" w14:textId="0B9FD399" w:rsidR="00E311B0" w:rsidRPr="00667002" w:rsidRDefault="00E311B0" w:rsidP="00FC12BB">
            <w:pPr>
              <w:pStyle w:val="NoSpacing"/>
              <w:framePr w:hSpace="0" w:wrap="auto" w:vAnchor="margin" w:yAlign="inline"/>
              <w:suppressOverlap w:val="0"/>
            </w:pPr>
            <w:r>
              <w:t>Annually</w:t>
            </w:r>
          </w:p>
        </w:tc>
        <w:tc>
          <w:tcPr>
            <w:tcW w:w="2340" w:type="dxa"/>
          </w:tcPr>
          <w:p w14:paraId="57CC09BF" w14:textId="5FC61EEB" w:rsidR="00E311B0" w:rsidRDefault="00FC12BB" w:rsidP="00FC12BB">
            <w:pPr>
              <w:pStyle w:val="NoSpacing"/>
              <w:framePr w:hSpace="0" w:wrap="auto" w:vAnchor="margin" w:yAlign="inline"/>
              <w:suppressOverlap w:val="0"/>
            </w:pPr>
            <w:r w:rsidRPr="00985246">
              <w:rPr>
                <w:b/>
                <w:color w:val="00B050"/>
              </w:rPr>
              <w:t>Green</w:t>
            </w:r>
            <w:r w:rsidRPr="00985246">
              <w:rPr>
                <w:b/>
              </w:rPr>
              <w:t xml:space="preserve"> </w:t>
            </w:r>
            <w:proofErr w:type="gramStart"/>
            <w:r w:rsidRPr="00985246">
              <w:t xml:space="preserve">– </w:t>
            </w:r>
            <w:r>
              <w:t xml:space="preserve"> A</w:t>
            </w:r>
            <w:proofErr w:type="gramEnd"/>
            <w:r>
              <w:t xml:space="preserve"> </w:t>
            </w:r>
            <w:r w:rsidR="00E311B0">
              <w:t xml:space="preserve">Number of apprenticeship opportunities (Level 2, 3, and 4+) created or retained under the contract, by UK region. </w:t>
            </w:r>
          </w:p>
          <w:p w14:paraId="73944F0B" w14:textId="77777777" w:rsidR="00E311B0" w:rsidRPr="00667002" w:rsidRDefault="00E311B0" w:rsidP="00FC12BB">
            <w:pPr>
              <w:pStyle w:val="NoSpacing"/>
              <w:framePr w:hSpace="0" w:wrap="auto" w:vAnchor="margin" w:yAlign="inline"/>
              <w:suppressOverlap w:val="0"/>
            </w:pPr>
          </w:p>
        </w:tc>
        <w:tc>
          <w:tcPr>
            <w:tcW w:w="1733" w:type="dxa"/>
          </w:tcPr>
          <w:p w14:paraId="4DAE673C" w14:textId="3165188E" w:rsidR="00E311B0" w:rsidRDefault="00FC12BB" w:rsidP="00FC12BB">
            <w:pPr>
              <w:pStyle w:val="NoSpacing"/>
              <w:framePr w:hSpace="0" w:wrap="auto" w:vAnchor="margin" w:yAlign="inline"/>
              <w:suppressOverlap w:val="0"/>
            </w:pPr>
            <w:r w:rsidRPr="00985246">
              <w:rPr>
                <w:b/>
                <w:color w:val="FFC000"/>
              </w:rPr>
              <w:t>Amber</w:t>
            </w:r>
            <w:r w:rsidRPr="00985246">
              <w:rPr>
                <w:b/>
              </w:rPr>
              <w:t xml:space="preserve"> –</w:t>
            </w:r>
            <w:r>
              <w:rPr>
                <w:b/>
              </w:rPr>
              <w:t xml:space="preserve"> </w:t>
            </w:r>
            <w:r w:rsidRPr="00FC12BB">
              <w:t>No apprenticeship opportunities created or retained</w:t>
            </w:r>
            <w:r>
              <w:rPr>
                <w:b/>
              </w:rPr>
              <w:t xml:space="preserve"> </w:t>
            </w:r>
          </w:p>
        </w:tc>
        <w:tc>
          <w:tcPr>
            <w:tcW w:w="1731" w:type="dxa"/>
          </w:tcPr>
          <w:p w14:paraId="26DC519E" w14:textId="514C9A5F" w:rsidR="00E311B0" w:rsidRPr="00FC12BB" w:rsidRDefault="00FC12BB" w:rsidP="00FC12BB">
            <w:pPr>
              <w:pStyle w:val="NoSpacing"/>
              <w:framePr w:hSpace="0" w:wrap="auto" w:vAnchor="margin" w:yAlign="inline"/>
              <w:suppressOverlap w:val="0"/>
            </w:pPr>
            <w:r w:rsidRPr="00FC12BB">
              <w:rPr>
                <w:color w:val="FF0000"/>
              </w:rPr>
              <w:t>Red</w:t>
            </w:r>
            <w:r w:rsidRPr="00FC12BB">
              <w:t xml:space="preserve"> – No apprenticeship opportunities, created or retained, or in development. </w:t>
            </w:r>
          </w:p>
        </w:tc>
        <w:tc>
          <w:tcPr>
            <w:tcW w:w="2166" w:type="dxa"/>
          </w:tcPr>
          <w:p w14:paraId="17BF5398" w14:textId="6086D346" w:rsidR="00E311B0" w:rsidRDefault="00FC12BB" w:rsidP="00FC12BB">
            <w:pPr>
              <w:pStyle w:val="NoSpacing"/>
              <w:framePr w:hSpace="0" w:wrap="auto" w:vAnchor="margin" w:yAlign="inline"/>
              <w:suppressOverlap w:val="0"/>
            </w:pPr>
            <w:r>
              <w:t xml:space="preserve">There will be no deductions relating to this KPI, however, failure to achieve any apprenticeships may result in an improvement plan </w:t>
            </w:r>
          </w:p>
        </w:tc>
      </w:tr>
    </w:tbl>
    <w:p w14:paraId="31B6BB98" w14:textId="0812B884" w:rsidR="00A107E2" w:rsidRPr="00F74A6F" w:rsidRDefault="00A107E2" w:rsidP="009166AC">
      <w:pPr>
        <w:pStyle w:val="Heading2"/>
        <w:framePr w:wrap="around"/>
      </w:pPr>
    </w:p>
    <w:sectPr w:rsidR="00A107E2" w:rsidRPr="00F74A6F" w:rsidSect="00FC12BB">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8005F" w14:textId="77777777" w:rsidR="00217883" w:rsidRDefault="00217883" w:rsidP="007E528E">
      <w:pPr>
        <w:spacing w:after="0" w:line="240" w:lineRule="auto"/>
      </w:pPr>
      <w:r>
        <w:separator/>
      </w:r>
    </w:p>
  </w:endnote>
  <w:endnote w:type="continuationSeparator" w:id="0">
    <w:p w14:paraId="4CD74629" w14:textId="77777777" w:rsidR="00217883" w:rsidRDefault="00217883" w:rsidP="007E5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4B781" w14:textId="7FAEDE1B" w:rsidR="00511859" w:rsidRDefault="00511859">
    <w:pPr>
      <w:pStyle w:val="Footer"/>
    </w:pPr>
    <w:r>
      <w:rPr>
        <w:noProof/>
      </w:rPr>
      <mc:AlternateContent>
        <mc:Choice Requires="wps">
          <w:drawing>
            <wp:anchor distT="0" distB="0" distL="0" distR="0" simplePos="0" relativeHeight="251658752" behindDoc="0" locked="0" layoutInCell="1" allowOverlap="1" wp14:anchorId="728BAC04" wp14:editId="20B93B96">
              <wp:simplePos x="635" y="635"/>
              <wp:positionH relativeFrom="column">
                <wp:align>center</wp:align>
              </wp:positionH>
              <wp:positionV relativeFrom="paragraph">
                <wp:posOffset>635</wp:posOffset>
              </wp:positionV>
              <wp:extent cx="443865" cy="443865"/>
              <wp:effectExtent l="0" t="0" r="1270" b="14605"/>
              <wp:wrapSquare wrapText="bothSides"/>
              <wp:docPr id="5" name="Text Box 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E34745" w14:textId="42322497" w:rsidR="00511859" w:rsidRPr="00511859" w:rsidRDefault="00511859">
                          <w:pPr>
                            <w:rPr>
                              <w:rFonts w:ascii="Arial" w:eastAsia="Arial" w:hAnsi="Arial" w:cs="Arial"/>
                              <w:color w:val="000000"/>
                              <w:sz w:val="24"/>
                              <w:szCs w:val="24"/>
                            </w:rPr>
                          </w:pPr>
                          <w:r w:rsidRPr="00511859">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28BAC04" id="_x0000_t202" coordsize="21600,21600" o:spt="202" path="m,l,21600r21600,l21600,xe">
              <v:stroke joinstyle="miter"/>
              <v:path gradientshapeok="t" o:connecttype="rect"/>
            </v:shapetype>
            <v:shape id="Text Box 5" o:spid="_x0000_s1028" type="#_x0000_t202" alt="OFFICIAL-SENSITIVE COMMERCIAL" style="position:absolute;margin-left:0;margin-top:.05pt;width:34.95pt;height:34.95pt;z-index:2516587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JHl1i04AgAAYgQAAA4AAAAAAAAAAAAAAAAALgIA&#10;AGRycy9lMm9Eb2MueG1sUEsBAi0AFAAGAAgAAAAhAISw0yjWAAAAAwEAAA8AAAAAAAAAAAAAAAAA&#10;kgQAAGRycy9kb3ducmV2LnhtbFBLBQYAAAAABAAEAPMAAACVBQAAAAA=&#10;" filled="f" stroked="f">
              <v:textbox style="mso-fit-shape-to-text:t" inset="0,0,0,0">
                <w:txbxContent>
                  <w:p w14:paraId="78E34745" w14:textId="42322497" w:rsidR="00511859" w:rsidRPr="00511859" w:rsidRDefault="00511859">
                    <w:pPr>
                      <w:rPr>
                        <w:rFonts w:ascii="Arial" w:eastAsia="Arial" w:hAnsi="Arial" w:cs="Arial"/>
                        <w:color w:val="000000"/>
                        <w:sz w:val="24"/>
                        <w:szCs w:val="24"/>
                      </w:rPr>
                    </w:pPr>
                    <w:r w:rsidRPr="00511859">
                      <w:rPr>
                        <w:rFonts w:ascii="Arial" w:eastAsia="Arial" w:hAnsi="Arial" w:cs="Arial"/>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161A1" w14:textId="2AD8B766" w:rsidR="00B7708D" w:rsidRDefault="00511859" w:rsidP="00821405">
    <w:pPr>
      <w:pStyle w:val="Footer"/>
      <w:jc w:val="center"/>
      <w:rPr>
        <w:rFonts w:ascii="Arial" w:hAnsi="Arial" w:cs="Arial"/>
        <w:sz w:val="24"/>
      </w:rPr>
    </w:pPr>
    <w:r>
      <w:rPr>
        <w:rFonts w:ascii="Arial" w:hAnsi="Arial" w:cs="Arial"/>
        <w:noProof/>
        <w:sz w:val="24"/>
      </w:rPr>
      <mc:AlternateContent>
        <mc:Choice Requires="wps">
          <w:drawing>
            <wp:anchor distT="0" distB="0" distL="0" distR="0" simplePos="0" relativeHeight="251659776" behindDoc="0" locked="0" layoutInCell="1" allowOverlap="1" wp14:anchorId="570096B3" wp14:editId="617B0C2C">
              <wp:simplePos x="914400" y="9712770"/>
              <wp:positionH relativeFrom="column">
                <wp:align>center</wp:align>
              </wp:positionH>
              <wp:positionV relativeFrom="paragraph">
                <wp:posOffset>635</wp:posOffset>
              </wp:positionV>
              <wp:extent cx="443865" cy="443865"/>
              <wp:effectExtent l="0" t="0" r="1270" b="14605"/>
              <wp:wrapSquare wrapText="bothSides"/>
              <wp:docPr id="6" name="Text Box 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AC259C" w14:textId="122B963C" w:rsidR="00511859" w:rsidRPr="00511859" w:rsidRDefault="00511859">
                          <w:pPr>
                            <w:rPr>
                              <w:rFonts w:ascii="Arial" w:eastAsia="Arial" w:hAnsi="Arial" w:cs="Arial"/>
                              <w:color w:val="000000"/>
                              <w:sz w:val="24"/>
                              <w:szCs w:val="24"/>
                            </w:rPr>
                          </w:pPr>
                          <w:r w:rsidRPr="00511859">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70096B3" id="_x0000_t202" coordsize="21600,21600" o:spt="202" path="m,l,21600r21600,l21600,xe">
              <v:stroke joinstyle="miter"/>
              <v:path gradientshapeok="t" o:connecttype="rect"/>
            </v:shapetype>
            <v:shape id="Text Box 6" o:spid="_x0000_s1029" type="#_x0000_t202" alt="OFFICIAL-SENSITIVE COMMERCIAL" style="position:absolute;left:0;text-align:left;margin-left:0;margin-top:.05pt;width:34.95pt;height:34.95pt;z-index:2516597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OPgeqQ4AgAAYgQAAA4AAAAAAAAAAAAAAAAALgIA&#10;AGRycy9lMm9Eb2MueG1sUEsBAi0AFAAGAAgAAAAhAISw0yjWAAAAAwEAAA8AAAAAAAAAAAAAAAAA&#10;kgQAAGRycy9kb3ducmV2LnhtbFBLBQYAAAAABAAEAPMAAACVBQAAAAA=&#10;" filled="f" stroked="f">
              <v:textbox style="mso-fit-shape-to-text:t" inset="0,0,0,0">
                <w:txbxContent>
                  <w:p w14:paraId="27AC259C" w14:textId="122B963C" w:rsidR="00511859" w:rsidRPr="00511859" w:rsidRDefault="00511859">
                    <w:pPr>
                      <w:rPr>
                        <w:rFonts w:ascii="Arial" w:eastAsia="Arial" w:hAnsi="Arial" w:cs="Arial"/>
                        <w:color w:val="000000"/>
                        <w:sz w:val="24"/>
                        <w:szCs w:val="24"/>
                      </w:rPr>
                    </w:pPr>
                    <w:r w:rsidRPr="00511859">
                      <w:rPr>
                        <w:rFonts w:ascii="Arial" w:eastAsia="Arial" w:hAnsi="Arial" w:cs="Arial"/>
                        <w:color w:val="000000"/>
                        <w:sz w:val="24"/>
                        <w:szCs w:val="24"/>
                      </w:rPr>
                      <w:t>OFFICIAL-SENSITIVE COMMERCIAL</w:t>
                    </w:r>
                  </w:p>
                </w:txbxContent>
              </v:textbox>
              <w10:wrap type="square"/>
            </v:shape>
          </w:pict>
        </mc:Fallback>
      </mc:AlternateContent>
    </w:r>
  </w:p>
  <w:p w14:paraId="30745B6A" w14:textId="3E08F951" w:rsidR="00B7708D" w:rsidRPr="00FA6858" w:rsidRDefault="00B7708D" w:rsidP="00821405">
    <w:pPr>
      <w:pStyle w:val="Footer"/>
      <w:jc w:val="center"/>
      <w:rPr>
        <w:rFonts w:ascii="Arial" w:hAnsi="Arial" w:cs="Arial"/>
        <w:sz w:val="24"/>
      </w:rPr>
    </w:pPr>
    <w:r w:rsidRPr="00FA6858">
      <w:rPr>
        <w:rFonts w:ascii="Arial" w:hAnsi="Arial" w:cs="Arial"/>
        <w:sz w:val="24"/>
      </w:rPr>
      <w:t xml:space="preserve">Page </w:t>
    </w:r>
    <w:sdt>
      <w:sdtPr>
        <w:rPr>
          <w:rFonts w:ascii="Arial" w:hAnsi="Arial" w:cs="Arial"/>
          <w:noProof/>
          <w:sz w:val="24"/>
        </w:rPr>
        <w:id w:val="1745685506"/>
        <w:docPartObj>
          <w:docPartGallery w:val="Page Numbers (Bottom of Page)"/>
          <w:docPartUnique/>
        </w:docPartObj>
      </w:sdtPr>
      <w:sdtEndPr/>
      <w:sdtContent>
        <w:r w:rsidRPr="00FA6858">
          <w:rPr>
            <w:rFonts w:ascii="Arial" w:hAnsi="Arial" w:cs="Arial"/>
            <w:sz w:val="24"/>
          </w:rPr>
          <w:fldChar w:fldCharType="begin"/>
        </w:r>
        <w:r w:rsidRPr="00FA6858">
          <w:rPr>
            <w:rFonts w:ascii="Arial" w:hAnsi="Arial" w:cs="Arial"/>
            <w:sz w:val="24"/>
          </w:rPr>
          <w:instrText xml:space="preserve"> PAGE   \* MERGEFORMAT </w:instrText>
        </w:r>
        <w:r w:rsidRPr="00FA6858">
          <w:rPr>
            <w:rFonts w:ascii="Arial" w:hAnsi="Arial" w:cs="Arial"/>
            <w:sz w:val="24"/>
          </w:rPr>
          <w:fldChar w:fldCharType="separate"/>
        </w:r>
        <w:r>
          <w:rPr>
            <w:rFonts w:ascii="Arial" w:hAnsi="Arial" w:cs="Arial"/>
            <w:sz w:val="24"/>
          </w:rPr>
          <w:t>1</w:t>
        </w:r>
        <w:r w:rsidRPr="00FA6858">
          <w:rPr>
            <w:rFonts w:ascii="Arial" w:hAnsi="Arial" w:cs="Arial"/>
            <w:noProof/>
            <w:sz w:val="24"/>
          </w:rPr>
          <w:fldChar w:fldCharType="end"/>
        </w:r>
        <w:r w:rsidRPr="00FA6858">
          <w:rPr>
            <w:rFonts w:ascii="Arial" w:hAnsi="Arial" w:cs="Arial"/>
            <w:noProof/>
            <w:sz w:val="24"/>
          </w:rPr>
          <w:t xml:space="preserve"> of </w:t>
        </w:r>
        <w:r>
          <w:rPr>
            <w:rFonts w:ascii="Arial" w:hAnsi="Arial" w:cs="Arial"/>
            <w:noProof/>
            <w:sz w:val="24"/>
          </w:rPr>
          <w:fldChar w:fldCharType="begin"/>
        </w:r>
        <w:r>
          <w:rPr>
            <w:rFonts w:ascii="Arial" w:hAnsi="Arial" w:cs="Arial"/>
            <w:noProof/>
            <w:sz w:val="24"/>
          </w:rPr>
          <w:instrText xml:space="preserve"> NUMPAGES   \* MERGEFORMAT </w:instrText>
        </w:r>
        <w:r>
          <w:rPr>
            <w:rFonts w:ascii="Arial" w:hAnsi="Arial" w:cs="Arial"/>
            <w:noProof/>
            <w:sz w:val="24"/>
          </w:rPr>
          <w:fldChar w:fldCharType="separate"/>
        </w:r>
        <w:r>
          <w:rPr>
            <w:rFonts w:ascii="Arial" w:hAnsi="Arial" w:cs="Arial"/>
            <w:noProof/>
            <w:sz w:val="24"/>
          </w:rPr>
          <w:t>34</w:t>
        </w:r>
        <w:r>
          <w:rPr>
            <w:rFonts w:ascii="Arial" w:hAnsi="Arial" w:cs="Arial"/>
            <w:noProof/>
            <w:sz w:val="24"/>
          </w:rPr>
          <w:fldChar w:fldCharType="end"/>
        </w:r>
      </w:sdtContent>
    </w:sdt>
  </w:p>
  <w:p w14:paraId="0BDE3BE8" w14:textId="57E809EA" w:rsidR="00B7708D" w:rsidRPr="00821405" w:rsidRDefault="00B7708D" w:rsidP="00821405">
    <w:pPr>
      <w:pStyle w:val="Header"/>
      <w:jc w:val="center"/>
      <w:rPr>
        <w:rFonts w:ascii="Arial" w:hAnsi="Arial" w:cs="Arial"/>
        <w:sz w:val="24"/>
      </w:rPr>
    </w:pPr>
    <w:r w:rsidRPr="00FA6858">
      <w:rPr>
        <w:rFonts w:ascii="Arial" w:hAnsi="Arial" w:cs="Arial"/>
        <w:sz w:val="24"/>
      </w:rPr>
      <w:t>OFFICIAL - SENSITIVE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9DB29" w14:textId="58415A0A" w:rsidR="00511859" w:rsidRDefault="00511859">
    <w:pPr>
      <w:pStyle w:val="Footer"/>
    </w:pPr>
    <w:r>
      <w:rPr>
        <w:noProof/>
      </w:rPr>
      <mc:AlternateContent>
        <mc:Choice Requires="wps">
          <w:drawing>
            <wp:anchor distT="0" distB="0" distL="0" distR="0" simplePos="0" relativeHeight="251657728" behindDoc="0" locked="0" layoutInCell="1" allowOverlap="1" wp14:anchorId="5E282060" wp14:editId="00D69B56">
              <wp:simplePos x="635" y="635"/>
              <wp:positionH relativeFrom="column">
                <wp:align>center</wp:align>
              </wp:positionH>
              <wp:positionV relativeFrom="paragraph">
                <wp:posOffset>635</wp:posOffset>
              </wp:positionV>
              <wp:extent cx="443865" cy="443865"/>
              <wp:effectExtent l="0" t="0" r="1270" b="14605"/>
              <wp:wrapSquare wrapText="bothSides"/>
              <wp:docPr id="4" name="Text Box 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D26589" w14:textId="588E1382" w:rsidR="00511859" w:rsidRPr="00511859" w:rsidRDefault="00511859">
                          <w:pPr>
                            <w:rPr>
                              <w:rFonts w:ascii="Arial" w:eastAsia="Arial" w:hAnsi="Arial" w:cs="Arial"/>
                              <w:color w:val="000000"/>
                              <w:sz w:val="24"/>
                              <w:szCs w:val="24"/>
                            </w:rPr>
                          </w:pPr>
                          <w:r w:rsidRPr="00511859">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E282060" id="_x0000_t202" coordsize="21600,21600" o:spt="202" path="m,l,21600r21600,l21600,xe">
              <v:stroke joinstyle="miter"/>
              <v:path gradientshapeok="t" o:connecttype="rect"/>
            </v:shapetype>
            <v:shape id="Text Box 4" o:spid="_x0000_s1031" type="#_x0000_t202" alt="OFFICIAL-SENSITIVE COMMERCIAL" style="position:absolute;margin-left:0;margin-top:.05pt;width:34.95pt;height:34.95pt;z-index:2516577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OaHpvQ4AgAAYgQAAA4AAAAAAAAAAAAAAAAALgIA&#10;AGRycy9lMm9Eb2MueG1sUEsBAi0AFAAGAAgAAAAhAISw0yjWAAAAAwEAAA8AAAAAAAAAAAAAAAAA&#10;kgQAAGRycy9kb3ducmV2LnhtbFBLBQYAAAAABAAEAPMAAACVBQAAAAA=&#10;" filled="f" stroked="f">
              <v:textbox style="mso-fit-shape-to-text:t" inset="0,0,0,0">
                <w:txbxContent>
                  <w:p w14:paraId="2ED26589" w14:textId="588E1382" w:rsidR="00511859" w:rsidRPr="00511859" w:rsidRDefault="00511859">
                    <w:pPr>
                      <w:rPr>
                        <w:rFonts w:ascii="Arial" w:eastAsia="Arial" w:hAnsi="Arial" w:cs="Arial"/>
                        <w:color w:val="000000"/>
                        <w:sz w:val="24"/>
                        <w:szCs w:val="24"/>
                      </w:rPr>
                    </w:pPr>
                    <w:r w:rsidRPr="00511859">
                      <w:rPr>
                        <w:rFonts w:ascii="Arial" w:eastAsia="Arial" w:hAnsi="Arial" w:cs="Arial"/>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6705F" w14:textId="77777777" w:rsidR="00217883" w:rsidRDefault="00217883" w:rsidP="007E528E">
      <w:pPr>
        <w:spacing w:after="0" w:line="240" w:lineRule="auto"/>
      </w:pPr>
      <w:r>
        <w:separator/>
      </w:r>
    </w:p>
  </w:footnote>
  <w:footnote w:type="continuationSeparator" w:id="0">
    <w:p w14:paraId="4771D7C9" w14:textId="77777777" w:rsidR="00217883" w:rsidRDefault="00217883" w:rsidP="007E528E">
      <w:pPr>
        <w:spacing w:after="0" w:line="240" w:lineRule="auto"/>
      </w:pPr>
      <w:r>
        <w:continuationSeparator/>
      </w:r>
    </w:p>
  </w:footnote>
  <w:footnote w:id="1">
    <w:p w14:paraId="10BFF390" w14:textId="77777777" w:rsidR="00B7708D" w:rsidRDefault="00B7708D" w:rsidP="005A1A3C">
      <w:pPr>
        <w:pStyle w:val="FootnoteText"/>
      </w:pPr>
      <w:r>
        <w:rPr>
          <w:rStyle w:val="FootnoteReference"/>
        </w:rPr>
        <w:footnoteRef/>
      </w:r>
      <w:r>
        <w:t xml:space="preserve"> </w:t>
      </w:r>
      <w:r w:rsidRPr="001A4139">
        <w:rPr>
          <w:rFonts w:ascii="Arial" w:hAnsi="Arial" w:cs="Arial"/>
          <w:sz w:val="16"/>
          <w:szCs w:val="16"/>
        </w:rPr>
        <w:t>Shortfall - an instance where the Contractor is non-compliant against the criteria.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50EA" w14:textId="3C171CEB" w:rsidR="00511859" w:rsidRDefault="00511859">
    <w:pPr>
      <w:pStyle w:val="Header"/>
    </w:pPr>
    <w:r>
      <w:rPr>
        <w:noProof/>
      </w:rPr>
      <mc:AlternateContent>
        <mc:Choice Requires="wps">
          <w:drawing>
            <wp:anchor distT="0" distB="0" distL="0" distR="0" simplePos="0" relativeHeight="251655680" behindDoc="0" locked="0" layoutInCell="1" allowOverlap="1" wp14:anchorId="5DBD3A10" wp14:editId="3C6550A2">
              <wp:simplePos x="635" y="635"/>
              <wp:positionH relativeFrom="column">
                <wp:align>center</wp:align>
              </wp:positionH>
              <wp:positionV relativeFrom="paragraph">
                <wp:posOffset>635</wp:posOffset>
              </wp:positionV>
              <wp:extent cx="443865" cy="443865"/>
              <wp:effectExtent l="0" t="0" r="1270" b="14605"/>
              <wp:wrapSquare wrapText="bothSides"/>
              <wp:docPr id="2" name="Text Box 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AE7523" w14:textId="06D0AC4A" w:rsidR="00511859" w:rsidRPr="00511859" w:rsidRDefault="00511859">
                          <w:pPr>
                            <w:rPr>
                              <w:rFonts w:ascii="Arial" w:eastAsia="Arial" w:hAnsi="Arial" w:cs="Arial"/>
                              <w:color w:val="000000"/>
                              <w:sz w:val="24"/>
                              <w:szCs w:val="24"/>
                            </w:rPr>
                          </w:pPr>
                          <w:r w:rsidRPr="00511859">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DBD3A10" id="_x0000_t202" coordsize="21600,21600" o:spt="202" path="m,l,21600r21600,l21600,xe">
              <v:stroke joinstyle="miter"/>
              <v:path gradientshapeok="t" o:connecttype="rect"/>
            </v:shapetype>
            <v:shape id="Text Box 2" o:spid="_x0000_s1026" type="#_x0000_t202" alt="OFFICIAL-SENSITIVE COMMERCIAL" style="position:absolute;margin-left:0;margin-top:.05pt;width:34.95pt;height:34.95pt;z-index:2516556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" filled="f" stroked="f">
              <v:textbox style="mso-fit-shape-to-text:t" inset="0,0,0,0">
                <w:txbxContent>
                  <w:p w14:paraId="73AE7523" w14:textId="06D0AC4A" w:rsidR="00511859" w:rsidRPr="00511859" w:rsidRDefault="00511859">
                    <w:pPr>
                      <w:rPr>
                        <w:rFonts w:ascii="Arial" w:eastAsia="Arial" w:hAnsi="Arial" w:cs="Arial"/>
                        <w:color w:val="000000"/>
                        <w:sz w:val="24"/>
                        <w:szCs w:val="24"/>
                      </w:rPr>
                    </w:pPr>
                    <w:r w:rsidRPr="00511859">
                      <w:rPr>
                        <w:rFonts w:ascii="Arial" w:eastAsia="Arial" w:hAnsi="Arial" w:cs="Arial"/>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9A738" w14:textId="62F13D1C" w:rsidR="009F6003" w:rsidRDefault="00511859" w:rsidP="009F6003">
    <w:pPr>
      <w:pStyle w:val="Header"/>
      <w:jc w:val="center"/>
      <w:rPr>
        <w:rFonts w:ascii="Arial" w:hAnsi="Arial" w:cs="Arial"/>
        <w:sz w:val="24"/>
      </w:rPr>
    </w:pPr>
    <w:r>
      <w:rPr>
        <w:rFonts w:ascii="Arial" w:hAnsi="Arial" w:cs="Arial"/>
        <w:noProof/>
        <w:sz w:val="24"/>
      </w:rPr>
      <mc:AlternateContent>
        <mc:Choice Requires="wps">
          <w:drawing>
            <wp:anchor distT="0" distB="0" distL="0" distR="0" simplePos="0" relativeHeight="251656704" behindDoc="0" locked="0" layoutInCell="1" allowOverlap="1" wp14:anchorId="5BC233A9" wp14:editId="7D34A29A">
              <wp:simplePos x="914400" y="459588"/>
              <wp:positionH relativeFrom="column">
                <wp:align>center</wp:align>
              </wp:positionH>
              <wp:positionV relativeFrom="paragraph">
                <wp:posOffset>635</wp:posOffset>
              </wp:positionV>
              <wp:extent cx="443865" cy="443865"/>
              <wp:effectExtent l="0" t="0" r="1270" b="14605"/>
              <wp:wrapSquare wrapText="bothSides"/>
              <wp:docPr id="3" name="Text Box 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7DF902" w14:textId="1FC6A682" w:rsidR="00511859" w:rsidRPr="00511859" w:rsidRDefault="00511859">
                          <w:pPr>
                            <w:rPr>
                              <w:rFonts w:ascii="Arial" w:eastAsia="Arial" w:hAnsi="Arial" w:cs="Arial"/>
                              <w:color w:val="000000"/>
                              <w:sz w:val="24"/>
                              <w:szCs w:val="24"/>
                            </w:rPr>
                          </w:pPr>
                          <w:r w:rsidRPr="00511859">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BC233A9" id="_x0000_t202" coordsize="21600,21600" o:spt="202" path="m,l,21600r21600,l21600,xe">
              <v:stroke joinstyle="miter"/>
              <v:path gradientshapeok="t" o:connecttype="rect"/>
            </v:shapetype>
            <v:shape id="Text Box 3" o:spid="_x0000_s1027" type="#_x0000_t202" alt="OFFICIAL-SENSITIVE COMMERCIAL" style="position:absolute;left:0;text-align:left;margin-left:0;margin-top:.05pt;width:34.95pt;height:34.95pt;z-index:2516567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BEcCpQ4AgAAYgQAAA4AAAAAAAAAAAAAAAAALgIA&#10;AGRycy9lMm9Eb2MueG1sUEsBAi0AFAAGAAgAAAAhAISw0yjWAAAAAwEAAA8AAAAAAAAAAAAAAAAA&#10;kgQAAGRycy9kb3ducmV2LnhtbFBLBQYAAAAABAAEAPMAAACVBQAAAAA=&#10;" filled="f" stroked="f">
              <v:textbox style="mso-fit-shape-to-text:t" inset="0,0,0,0">
                <w:txbxContent>
                  <w:p w14:paraId="747DF902" w14:textId="1FC6A682" w:rsidR="00511859" w:rsidRPr="00511859" w:rsidRDefault="00511859">
                    <w:pPr>
                      <w:rPr>
                        <w:rFonts w:ascii="Arial" w:eastAsia="Arial" w:hAnsi="Arial" w:cs="Arial"/>
                        <w:color w:val="000000"/>
                        <w:sz w:val="24"/>
                        <w:szCs w:val="24"/>
                      </w:rPr>
                    </w:pPr>
                    <w:r w:rsidRPr="00511859">
                      <w:rPr>
                        <w:rFonts w:ascii="Arial" w:eastAsia="Arial" w:hAnsi="Arial" w:cs="Arial"/>
                        <w:color w:val="000000"/>
                        <w:sz w:val="24"/>
                        <w:szCs w:val="24"/>
                      </w:rPr>
                      <w:t>OFFICIAL-SENSITIVE COMMERCIAL</w:t>
                    </w:r>
                  </w:p>
                </w:txbxContent>
              </v:textbox>
              <w10:wrap type="square"/>
            </v:shape>
          </w:pict>
        </mc:Fallback>
      </mc:AlternateContent>
    </w:r>
  </w:p>
  <w:p w14:paraId="78F20304" w14:textId="33A4624A" w:rsidR="00B7708D" w:rsidRPr="00821405" w:rsidRDefault="00B7708D" w:rsidP="00821405">
    <w:pPr>
      <w:pStyle w:val="Header"/>
      <w:jc w:val="right"/>
      <w:rPr>
        <w:rFonts w:ascii="Arial" w:hAnsi="Arial" w:cs="Arial"/>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6120F" w14:textId="0257FEA9" w:rsidR="00511859" w:rsidRDefault="00511859">
    <w:pPr>
      <w:pStyle w:val="Header"/>
    </w:pPr>
    <w:r>
      <w:rPr>
        <w:noProof/>
      </w:rPr>
      <mc:AlternateContent>
        <mc:Choice Requires="wps">
          <w:drawing>
            <wp:anchor distT="0" distB="0" distL="0" distR="0" simplePos="0" relativeHeight="251654656" behindDoc="0" locked="0" layoutInCell="1" allowOverlap="1" wp14:anchorId="04D15B56" wp14:editId="0BEC1CEE">
              <wp:simplePos x="635" y="635"/>
              <wp:positionH relativeFrom="column">
                <wp:align>center</wp:align>
              </wp:positionH>
              <wp:positionV relativeFrom="paragraph">
                <wp:posOffset>635</wp:posOffset>
              </wp:positionV>
              <wp:extent cx="443865" cy="443865"/>
              <wp:effectExtent l="0" t="0" r="1270" b="14605"/>
              <wp:wrapSquare wrapText="bothSides"/>
              <wp:docPr id="1" name="Text Box 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198773" w14:textId="686E2329" w:rsidR="00511859" w:rsidRPr="00511859" w:rsidRDefault="00511859">
                          <w:pPr>
                            <w:rPr>
                              <w:rFonts w:ascii="Arial" w:eastAsia="Arial" w:hAnsi="Arial" w:cs="Arial"/>
                              <w:color w:val="000000"/>
                              <w:sz w:val="24"/>
                              <w:szCs w:val="24"/>
                            </w:rPr>
                          </w:pPr>
                          <w:r w:rsidRPr="00511859">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4D15B56" id="_x0000_t202" coordsize="21600,21600" o:spt="202" path="m,l,21600r21600,l21600,xe">
              <v:stroke joinstyle="miter"/>
              <v:path gradientshapeok="t" o:connecttype="rect"/>
            </v:shapetype>
            <v:shape id="Text Box 1" o:spid="_x0000_s1030" type="#_x0000_t202" alt="OFFICIAL-SENSITIVE COMMERCIAL" style="position:absolute;margin-left:0;margin-top:.05pt;width:34.95pt;height:34.95pt;z-index:2516546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HtkyFY4AgAAYgQAAA4AAAAAAAAAAAAAAAAALgIA&#10;AGRycy9lMm9Eb2MueG1sUEsBAi0AFAAGAAgAAAAhAISw0yjWAAAAAwEAAA8AAAAAAAAAAAAAAAAA&#10;kgQAAGRycy9kb3ducmV2LnhtbFBLBQYAAAAABAAEAPMAAACVBQAAAAA=&#10;" filled="f" stroked="f">
              <v:textbox style="mso-fit-shape-to-text:t" inset="0,0,0,0">
                <w:txbxContent>
                  <w:p w14:paraId="42198773" w14:textId="686E2329" w:rsidR="00511859" w:rsidRPr="00511859" w:rsidRDefault="00511859">
                    <w:pPr>
                      <w:rPr>
                        <w:rFonts w:ascii="Arial" w:eastAsia="Arial" w:hAnsi="Arial" w:cs="Arial"/>
                        <w:color w:val="000000"/>
                        <w:sz w:val="24"/>
                        <w:szCs w:val="24"/>
                      </w:rPr>
                    </w:pPr>
                    <w:r w:rsidRPr="00511859">
                      <w:rPr>
                        <w:rFonts w:ascii="Arial" w:eastAsia="Arial" w:hAnsi="Arial" w:cs="Arial"/>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C60A5"/>
    <w:multiLevelType w:val="hybridMultilevel"/>
    <w:tmpl w:val="8EE805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9C466D"/>
    <w:multiLevelType w:val="hybridMultilevel"/>
    <w:tmpl w:val="F39ADB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A27087"/>
    <w:multiLevelType w:val="hybridMultilevel"/>
    <w:tmpl w:val="7882B2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2B040A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9617599"/>
    <w:multiLevelType w:val="hybridMultilevel"/>
    <w:tmpl w:val="7690EB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E77132"/>
    <w:rsid w:val="000153E5"/>
    <w:rsid w:val="00023EAD"/>
    <w:rsid w:val="00030981"/>
    <w:rsid w:val="00065CE7"/>
    <w:rsid w:val="000812CD"/>
    <w:rsid w:val="0008578A"/>
    <w:rsid w:val="00092AF5"/>
    <w:rsid w:val="000B1D33"/>
    <w:rsid w:val="000B7FAA"/>
    <w:rsid w:val="000E2D73"/>
    <w:rsid w:val="000E3E6C"/>
    <w:rsid w:val="000E7A91"/>
    <w:rsid w:val="00101D4C"/>
    <w:rsid w:val="00101E73"/>
    <w:rsid w:val="00103AFD"/>
    <w:rsid w:val="00107852"/>
    <w:rsid w:val="00113B8E"/>
    <w:rsid w:val="0011470B"/>
    <w:rsid w:val="00132D07"/>
    <w:rsid w:val="00156A43"/>
    <w:rsid w:val="00161103"/>
    <w:rsid w:val="0016302B"/>
    <w:rsid w:val="00164587"/>
    <w:rsid w:val="00183763"/>
    <w:rsid w:val="001849C2"/>
    <w:rsid w:val="001A4139"/>
    <w:rsid w:val="001A5D0B"/>
    <w:rsid w:val="001B18E9"/>
    <w:rsid w:val="001B6F55"/>
    <w:rsid w:val="001C1C11"/>
    <w:rsid w:val="001D610F"/>
    <w:rsid w:val="001E7813"/>
    <w:rsid w:val="001F3289"/>
    <w:rsid w:val="001F5BE9"/>
    <w:rsid w:val="00206C44"/>
    <w:rsid w:val="00214DBE"/>
    <w:rsid w:val="00217883"/>
    <w:rsid w:val="002211E5"/>
    <w:rsid w:val="00223BF7"/>
    <w:rsid w:val="002266D3"/>
    <w:rsid w:val="00233940"/>
    <w:rsid w:val="00240151"/>
    <w:rsid w:val="00242E49"/>
    <w:rsid w:val="00252495"/>
    <w:rsid w:val="0027343F"/>
    <w:rsid w:val="00273A38"/>
    <w:rsid w:val="00282028"/>
    <w:rsid w:val="00283912"/>
    <w:rsid w:val="00290BD6"/>
    <w:rsid w:val="002C4570"/>
    <w:rsid w:val="002D05ED"/>
    <w:rsid w:val="002D2C58"/>
    <w:rsid w:val="002E6377"/>
    <w:rsid w:val="002E71F2"/>
    <w:rsid w:val="002F2E80"/>
    <w:rsid w:val="00300CBF"/>
    <w:rsid w:val="0030454D"/>
    <w:rsid w:val="00325178"/>
    <w:rsid w:val="00325A46"/>
    <w:rsid w:val="00333C1D"/>
    <w:rsid w:val="003420C5"/>
    <w:rsid w:val="003733C6"/>
    <w:rsid w:val="00373754"/>
    <w:rsid w:val="003848F6"/>
    <w:rsid w:val="003B2051"/>
    <w:rsid w:val="003B3D32"/>
    <w:rsid w:val="003B49F6"/>
    <w:rsid w:val="003B5815"/>
    <w:rsid w:val="003B7B5E"/>
    <w:rsid w:val="003E5991"/>
    <w:rsid w:val="003F231B"/>
    <w:rsid w:val="003F40C0"/>
    <w:rsid w:val="0040317A"/>
    <w:rsid w:val="00405CA4"/>
    <w:rsid w:val="00410FB0"/>
    <w:rsid w:val="004116E9"/>
    <w:rsid w:val="00411CDE"/>
    <w:rsid w:val="004139A9"/>
    <w:rsid w:val="004150D7"/>
    <w:rsid w:val="00420C17"/>
    <w:rsid w:val="00425E95"/>
    <w:rsid w:val="004428BD"/>
    <w:rsid w:val="00450A2F"/>
    <w:rsid w:val="00455AD0"/>
    <w:rsid w:val="0047095C"/>
    <w:rsid w:val="00470F7A"/>
    <w:rsid w:val="00475D3D"/>
    <w:rsid w:val="004A2816"/>
    <w:rsid w:val="004A4382"/>
    <w:rsid w:val="004B0E93"/>
    <w:rsid w:val="004C09CA"/>
    <w:rsid w:val="004C1C3D"/>
    <w:rsid w:val="004F0693"/>
    <w:rsid w:val="00504BCB"/>
    <w:rsid w:val="00504FB2"/>
    <w:rsid w:val="00511859"/>
    <w:rsid w:val="00517801"/>
    <w:rsid w:val="00522A60"/>
    <w:rsid w:val="00527926"/>
    <w:rsid w:val="00531B67"/>
    <w:rsid w:val="005435B8"/>
    <w:rsid w:val="00566865"/>
    <w:rsid w:val="00570179"/>
    <w:rsid w:val="00576904"/>
    <w:rsid w:val="00587B56"/>
    <w:rsid w:val="00592F09"/>
    <w:rsid w:val="0059581A"/>
    <w:rsid w:val="005A1A3C"/>
    <w:rsid w:val="005A5E44"/>
    <w:rsid w:val="005B34D8"/>
    <w:rsid w:val="005D6A90"/>
    <w:rsid w:val="005E259C"/>
    <w:rsid w:val="00602FCE"/>
    <w:rsid w:val="006265EF"/>
    <w:rsid w:val="00630845"/>
    <w:rsid w:val="006420AD"/>
    <w:rsid w:val="0064391F"/>
    <w:rsid w:val="006534D0"/>
    <w:rsid w:val="006630D4"/>
    <w:rsid w:val="00667002"/>
    <w:rsid w:val="00672440"/>
    <w:rsid w:val="0068027F"/>
    <w:rsid w:val="00681F92"/>
    <w:rsid w:val="006864EC"/>
    <w:rsid w:val="00690609"/>
    <w:rsid w:val="00691E98"/>
    <w:rsid w:val="006930C7"/>
    <w:rsid w:val="006A3D10"/>
    <w:rsid w:val="006B6A89"/>
    <w:rsid w:val="006C2DCB"/>
    <w:rsid w:val="006D0816"/>
    <w:rsid w:val="006D0924"/>
    <w:rsid w:val="006F3B74"/>
    <w:rsid w:val="007040E3"/>
    <w:rsid w:val="00705E2D"/>
    <w:rsid w:val="007216CF"/>
    <w:rsid w:val="00736488"/>
    <w:rsid w:val="0074058E"/>
    <w:rsid w:val="00783315"/>
    <w:rsid w:val="007A0554"/>
    <w:rsid w:val="007A7DF4"/>
    <w:rsid w:val="007B7437"/>
    <w:rsid w:val="007E528E"/>
    <w:rsid w:val="007F40BB"/>
    <w:rsid w:val="007F7869"/>
    <w:rsid w:val="00807355"/>
    <w:rsid w:val="00811DB7"/>
    <w:rsid w:val="00814E03"/>
    <w:rsid w:val="00816181"/>
    <w:rsid w:val="00820DEB"/>
    <w:rsid w:val="00821405"/>
    <w:rsid w:val="00821F53"/>
    <w:rsid w:val="008276F1"/>
    <w:rsid w:val="008467BF"/>
    <w:rsid w:val="00862DAA"/>
    <w:rsid w:val="00864F3E"/>
    <w:rsid w:val="00870185"/>
    <w:rsid w:val="00875A11"/>
    <w:rsid w:val="008854E9"/>
    <w:rsid w:val="008950BF"/>
    <w:rsid w:val="00897D15"/>
    <w:rsid w:val="008A18E3"/>
    <w:rsid w:val="008A51FE"/>
    <w:rsid w:val="008B32D0"/>
    <w:rsid w:val="008B4832"/>
    <w:rsid w:val="008C2CA3"/>
    <w:rsid w:val="008C3E2E"/>
    <w:rsid w:val="008C75E5"/>
    <w:rsid w:val="008D15EF"/>
    <w:rsid w:val="008D68E3"/>
    <w:rsid w:val="008D7B15"/>
    <w:rsid w:val="008F3AFD"/>
    <w:rsid w:val="0090072E"/>
    <w:rsid w:val="00910076"/>
    <w:rsid w:val="00910D9C"/>
    <w:rsid w:val="00912FAD"/>
    <w:rsid w:val="009166AC"/>
    <w:rsid w:val="00937CD7"/>
    <w:rsid w:val="009410D5"/>
    <w:rsid w:val="00960C8A"/>
    <w:rsid w:val="00962010"/>
    <w:rsid w:val="009655CA"/>
    <w:rsid w:val="009963B4"/>
    <w:rsid w:val="009B3B24"/>
    <w:rsid w:val="009B5851"/>
    <w:rsid w:val="009B6B28"/>
    <w:rsid w:val="009C1F99"/>
    <w:rsid w:val="009C4289"/>
    <w:rsid w:val="009E0851"/>
    <w:rsid w:val="009E1390"/>
    <w:rsid w:val="009F1376"/>
    <w:rsid w:val="009F6003"/>
    <w:rsid w:val="00A107E2"/>
    <w:rsid w:val="00A116C7"/>
    <w:rsid w:val="00A13493"/>
    <w:rsid w:val="00A17940"/>
    <w:rsid w:val="00A209AA"/>
    <w:rsid w:val="00A413E1"/>
    <w:rsid w:val="00A61808"/>
    <w:rsid w:val="00A710BB"/>
    <w:rsid w:val="00A712E5"/>
    <w:rsid w:val="00A92F16"/>
    <w:rsid w:val="00AA3A26"/>
    <w:rsid w:val="00AA57E7"/>
    <w:rsid w:val="00AB1B16"/>
    <w:rsid w:val="00AB63FD"/>
    <w:rsid w:val="00AE4DCB"/>
    <w:rsid w:val="00AE5BCE"/>
    <w:rsid w:val="00B11441"/>
    <w:rsid w:val="00B306D4"/>
    <w:rsid w:val="00B42E7A"/>
    <w:rsid w:val="00B54890"/>
    <w:rsid w:val="00B57D38"/>
    <w:rsid w:val="00B7708D"/>
    <w:rsid w:val="00B851D6"/>
    <w:rsid w:val="00B864D2"/>
    <w:rsid w:val="00B93226"/>
    <w:rsid w:val="00B96150"/>
    <w:rsid w:val="00BA43A9"/>
    <w:rsid w:val="00BA7965"/>
    <w:rsid w:val="00BE1801"/>
    <w:rsid w:val="00C1002E"/>
    <w:rsid w:val="00C272A6"/>
    <w:rsid w:val="00C3198E"/>
    <w:rsid w:val="00C36352"/>
    <w:rsid w:val="00C44618"/>
    <w:rsid w:val="00C72FBF"/>
    <w:rsid w:val="00C75DF0"/>
    <w:rsid w:val="00C80B11"/>
    <w:rsid w:val="00C81ADB"/>
    <w:rsid w:val="00C874C0"/>
    <w:rsid w:val="00C9159D"/>
    <w:rsid w:val="00C944AD"/>
    <w:rsid w:val="00CA3C8C"/>
    <w:rsid w:val="00CA7A0D"/>
    <w:rsid w:val="00CB633C"/>
    <w:rsid w:val="00CE456C"/>
    <w:rsid w:val="00D124D1"/>
    <w:rsid w:val="00D31A51"/>
    <w:rsid w:val="00D34DBD"/>
    <w:rsid w:val="00D44F0B"/>
    <w:rsid w:val="00D71B60"/>
    <w:rsid w:val="00D83D62"/>
    <w:rsid w:val="00DB22B2"/>
    <w:rsid w:val="00DC0204"/>
    <w:rsid w:val="00DC6129"/>
    <w:rsid w:val="00DF3556"/>
    <w:rsid w:val="00E01E5E"/>
    <w:rsid w:val="00E02373"/>
    <w:rsid w:val="00E053D5"/>
    <w:rsid w:val="00E1365F"/>
    <w:rsid w:val="00E13A8E"/>
    <w:rsid w:val="00E311B0"/>
    <w:rsid w:val="00E32B66"/>
    <w:rsid w:val="00E57A52"/>
    <w:rsid w:val="00E64119"/>
    <w:rsid w:val="00E74E69"/>
    <w:rsid w:val="00E97729"/>
    <w:rsid w:val="00EB24D2"/>
    <w:rsid w:val="00EB33AF"/>
    <w:rsid w:val="00EB6B97"/>
    <w:rsid w:val="00EC2CDB"/>
    <w:rsid w:val="00ED38B6"/>
    <w:rsid w:val="00ED5365"/>
    <w:rsid w:val="00ED6697"/>
    <w:rsid w:val="00EE1886"/>
    <w:rsid w:val="00EF7EBA"/>
    <w:rsid w:val="00F005A8"/>
    <w:rsid w:val="00F11C58"/>
    <w:rsid w:val="00F14439"/>
    <w:rsid w:val="00F20D18"/>
    <w:rsid w:val="00F2507C"/>
    <w:rsid w:val="00F4091D"/>
    <w:rsid w:val="00F433B1"/>
    <w:rsid w:val="00F51ABA"/>
    <w:rsid w:val="00F520BA"/>
    <w:rsid w:val="00F74A6F"/>
    <w:rsid w:val="00F90D63"/>
    <w:rsid w:val="00F94A19"/>
    <w:rsid w:val="00FB32DD"/>
    <w:rsid w:val="00FB76D9"/>
    <w:rsid w:val="00FC12BB"/>
    <w:rsid w:val="00FC79B3"/>
    <w:rsid w:val="00FE4162"/>
    <w:rsid w:val="00FE4BB0"/>
    <w:rsid w:val="0CE771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77132"/>
  <w15:chartTrackingRefBased/>
  <w15:docId w15:val="{DD03961D-62C8-47CA-AEC9-715AB615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924"/>
    <w:pPr>
      <w:spacing w:after="200" w:line="276" w:lineRule="auto"/>
    </w:pPr>
  </w:style>
  <w:style w:type="paragraph" w:styleId="Heading1">
    <w:name w:val="heading 1"/>
    <w:basedOn w:val="Normal"/>
    <w:next w:val="Normal"/>
    <w:link w:val="Heading1Char"/>
    <w:autoRedefine/>
    <w:uiPriority w:val="9"/>
    <w:qFormat/>
    <w:rsid w:val="00D83D62"/>
    <w:pPr>
      <w:keepNext/>
      <w:keepLines/>
      <w:spacing w:after="0"/>
      <w:contextualSpacing/>
      <w:outlineLvl w:val="0"/>
    </w:pPr>
    <w:rPr>
      <w:rFonts w:ascii="Arial" w:eastAsiaTheme="majorEastAsia" w:hAnsi="Arial" w:cstheme="majorBidi"/>
      <w:b/>
      <w:sz w:val="24"/>
      <w:szCs w:val="32"/>
      <w:u w:val="single"/>
    </w:rPr>
  </w:style>
  <w:style w:type="paragraph" w:styleId="Heading2">
    <w:name w:val="heading 2"/>
    <w:basedOn w:val="Normal"/>
    <w:next w:val="Normal"/>
    <w:link w:val="Heading2Char"/>
    <w:autoRedefine/>
    <w:uiPriority w:val="9"/>
    <w:unhideWhenUsed/>
    <w:qFormat/>
    <w:rsid w:val="009166AC"/>
    <w:pPr>
      <w:keepNext/>
      <w:keepLines/>
      <w:framePr w:hSpace="180" w:wrap="around" w:vAnchor="text" w:hAnchor="text" w:y="1"/>
      <w:spacing w:after="0"/>
      <w:ind w:right="461"/>
      <w:contextualSpacing/>
      <w:suppressOverlap/>
      <w:outlineLvl w:val="1"/>
    </w:pPr>
    <w:rPr>
      <w:rFonts w:ascii="Arial" w:eastAsia="Segoe UI" w:hAnsi="Arial" w:cstheme="maj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34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493"/>
    <w:rPr>
      <w:rFonts w:ascii="Segoe UI" w:hAnsi="Segoe UI" w:cs="Segoe UI"/>
      <w:sz w:val="18"/>
      <w:szCs w:val="18"/>
    </w:rPr>
  </w:style>
  <w:style w:type="character" w:customStyle="1" w:styleId="Heading1Char">
    <w:name w:val="Heading 1 Char"/>
    <w:basedOn w:val="DefaultParagraphFont"/>
    <w:link w:val="Heading1"/>
    <w:uiPriority w:val="9"/>
    <w:rsid w:val="00D83D62"/>
    <w:rPr>
      <w:rFonts w:ascii="Arial" w:eastAsiaTheme="majorEastAsia" w:hAnsi="Arial" w:cstheme="majorBidi"/>
      <w:b/>
      <w:sz w:val="24"/>
      <w:szCs w:val="32"/>
      <w:u w:val="single"/>
    </w:rPr>
  </w:style>
  <w:style w:type="paragraph" w:styleId="NoSpacing">
    <w:name w:val="No Spacing"/>
    <w:autoRedefine/>
    <w:uiPriority w:val="1"/>
    <w:qFormat/>
    <w:rsid w:val="00FC12BB"/>
    <w:pPr>
      <w:framePr w:hSpace="180" w:wrap="around" w:vAnchor="text" w:hAnchor="text" w:y="1"/>
      <w:spacing w:after="0" w:line="240" w:lineRule="auto"/>
      <w:contextualSpacing/>
      <w:suppressOverlap/>
    </w:pPr>
    <w:rPr>
      <w:rFonts w:ascii="Arial" w:hAnsi="Arial"/>
      <w:sz w:val="20"/>
      <w:szCs w:val="20"/>
    </w:rPr>
  </w:style>
  <w:style w:type="character" w:customStyle="1" w:styleId="Heading2Char">
    <w:name w:val="Heading 2 Char"/>
    <w:basedOn w:val="DefaultParagraphFont"/>
    <w:link w:val="Heading2"/>
    <w:uiPriority w:val="9"/>
    <w:rsid w:val="009166AC"/>
    <w:rPr>
      <w:rFonts w:ascii="Arial" w:eastAsia="Segoe UI" w:hAnsi="Arial" w:cstheme="majorBidi"/>
      <w:b/>
      <w:bCs/>
      <w:sz w:val="20"/>
      <w:szCs w:val="20"/>
    </w:rPr>
  </w:style>
  <w:style w:type="table" w:styleId="TableGrid">
    <w:name w:val="Table Grid"/>
    <w:basedOn w:val="TableNormal"/>
    <w:uiPriority w:val="59"/>
    <w:rsid w:val="00570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570179"/>
    <w:pPr>
      <w:spacing w:line="240" w:lineRule="auto"/>
    </w:pPr>
    <w:rPr>
      <w:sz w:val="20"/>
      <w:szCs w:val="20"/>
    </w:rPr>
  </w:style>
  <w:style w:type="character" w:customStyle="1" w:styleId="CommentTextChar">
    <w:name w:val="Comment Text Char"/>
    <w:basedOn w:val="DefaultParagraphFont"/>
    <w:link w:val="CommentText"/>
    <w:uiPriority w:val="99"/>
    <w:rsid w:val="00570179"/>
    <w:rPr>
      <w:sz w:val="20"/>
      <w:szCs w:val="20"/>
    </w:rPr>
  </w:style>
  <w:style w:type="character" w:styleId="CommentReference">
    <w:name w:val="annotation reference"/>
    <w:basedOn w:val="DefaultParagraphFont"/>
    <w:uiPriority w:val="99"/>
    <w:semiHidden/>
    <w:unhideWhenUsed/>
    <w:rsid w:val="00570179"/>
    <w:rPr>
      <w:sz w:val="16"/>
      <w:szCs w:val="16"/>
    </w:rPr>
  </w:style>
  <w:style w:type="paragraph" w:styleId="ListParagraph">
    <w:name w:val="List Paragraph"/>
    <w:basedOn w:val="Normal"/>
    <w:uiPriority w:val="34"/>
    <w:qFormat/>
    <w:rsid w:val="008C75E5"/>
    <w:pPr>
      <w:spacing w:after="0" w:line="240" w:lineRule="auto"/>
      <w:ind w:left="720"/>
    </w:pPr>
    <w:rPr>
      <w:rFonts w:ascii="Calibri" w:hAnsi="Calibri" w:cs="Calibri"/>
    </w:rPr>
  </w:style>
  <w:style w:type="paragraph" w:styleId="CommentSubject">
    <w:name w:val="annotation subject"/>
    <w:basedOn w:val="CommentText"/>
    <w:next w:val="CommentText"/>
    <w:link w:val="CommentSubjectChar"/>
    <w:uiPriority w:val="99"/>
    <w:semiHidden/>
    <w:unhideWhenUsed/>
    <w:rsid w:val="00F14439"/>
    <w:rPr>
      <w:b/>
      <w:bCs/>
    </w:rPr>
  </w:style>
  <w:style w:type="character" w:customStyle="1" w:styleId="CommentSubjectChar">
    <w:name w:val="Comment Subject Char"/>
    <w:basedOn w:val="CommentTextChar"/>
    <w:link w:val="CommentSubject"/>
    <w:uiPriority w:val="99"/>
    <w:semiHidden/>
    <w:rsid w:val="00F14439"/>
    <w:rPr>
      <w:b/>
      <w:bCs/>
      <w:sz w:val="20"/>
      <w:szCs w:val="20"/>
    </w:rPr>
  </w:style>
  <w:style w:type="paragraph" w:customStyle="1" w:styleId="Default">
    <w:name w:val="Default"/>
    <w:rsid w:val="00F14439"/>
    <w:pPr>
      <w:autoSpaceDE w:val="0"/>
      <w:autoSpaceDN w:val="0"/>
      <w:adjustRightInd w:val="0"/>
      <w:spacing w:after="0" w:line="240" w:lineRule="auto"/>
    </w:pPr>
    <w:rPr>
      <w:rFonts w:ascii="Verdana" w:hAnsi="Verdana" w:cs="Verdana"/>
      <w:color w:val="000000"/>
      <w:sz w:val="24"/>
      <w:szCs w:val="24"/>
    </w:rPr>
  </w:style>
  <w:style w:type="paragraph" w:styleId="Header">
    <w:name w:val="header"/>
    <w:aliases w:val="h"/>
    <w:basedOn w:val="Normal"/>
    <w:link w:val="HeaderChar"/>
    <w:uiPriority w:val="99"/>
    <w:unhideWhenUsed/>
    <w:rsid w:val="007E528E"/>
    <w:pPr>
      <w:tabs>
        <w:tab w:val="center" w:pos="4513"/>
        <w:tab w:val="right" w:pos="9026"/>
      </w:tabs>
      <w:spacing w:after="0" w:line="240" w:lineRule="auto"/>
    </w:pPr>
  </w:style>
  <w:style w:type="character" w:customStyle="1" w:styleId="HeaderChar">
    <w:name w:val="Header Char"/>
    <w:aliases w:val="h Char"/>
    <w:basedOn w:val="DefaultParagraphFont"/>
    <w:link w:val="Header"/>
    <w:uiPriority w:val="99"/>
    <w:rsid w:val="007E528E"/>
  </w:style>
  <w:style w:type="paragraph" w:styleId="Footer">
    <w:name w:val="footer"/>
    <w:basedOn w:val="Normal"/>
    <w:link w:val="FooterChar"/>
    <w:uiPriority w:val="99"/>
    <w:unhideWhenUsed/>
    <w:rsid w:val="007E52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28E"/>
  </w:style>
  <w:style w:type="paragraph" w:styleId="BodyText">
    <w:name w:val="Body Text"/>
    <w:basedOn w:val="Normal"/>
    <w:link w:val="BodyTextChar"/>
    <w:unhideWhenUsed/>
    <w:rsid w:val="00821405"/>
    <w:pPr>
      <w:spacing w:before="200" w:after="60" w:line="36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21405"/>
    <w:rPr>
      <w:rFonts w:ascii="Times New Roman" w:eastAsia="Times New Roman" w:hAnsi="Times New Roman" w:cs="Times New Roman"/>
      <w:sz w:val="24"/>
      <w:szCs w:val="20"/>
    </w:rPr>
  </w:style>
  <w:style w:type="paragraph" w:styleId="Title">
    <w:name w:val="Title"/>
    <w:basedOn w:val="Normal"/>
    <w:link w:val="TitleChar"/>
    <w:qFormat/>
    <w:rsid w:val="00821405"/>
    <w:pPr>
      <w:spacing w:after="0" w:line="240" w:lineRule="auto"/>
      <w:ind w:left="4320" w:right="1260" w:hanging="3240"/>
      <w:jc w:val="center"/>
    </w:pPr>
    <w:rPr>
      <w:rFonts w:ascii="Times New Roman" w:eastAsia="Times New Roman" w:hAnsi="Times New Roman" w:cs="Times New Roman"/>
      <w:b/>
      <w:smallCaps/>
      <w:sz w:val="24"/>
      <w:szCs w:val="20"/>
    </w:rPr>
  </w:style>
  <w:style w:type="character" w:customStyle="1" w:styleId="TitleChar">
    <w:name w:val="Title Char"/>
    <w:basedOn w:val="DefaultParagraphFont"/>
    <w:link w:val="Title"/>
    <w:rsid w:val="00821405"/>
    <w:rPr>
      <w:rFonts w:ascii="Times New Roman" w:eastAsia="Times New Roman" w:hAnsi="Times New Roman" w:cs="Times New Roman"/>
      <w:b/>
      <w:smallCaps/>
      <w:sz w:val="24"/>
      <w:szCs w:val="20"/>
    </w:rPr>
  </w:style>
  <w:style w:type="paragraph" w:styleId="FootnoteText">
    <w:name w:val="footnote text"/>
    <w:basedOn w:val="Normal"/>
    <w:link w:val="FootnoteTextChar"/>
    <w:semiHidden/>
    <w:unhideWhenUsed/>
    <w:rsid w:val="001A4139"/>
    <w:pPr>
      <w:spacing w:before="240" w:after="60" w:line="36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A4139"/>
    <w:rPr>
      <w:rFonts w:ascii="Times New Roman" w:eastAsia="Times New Roman" w:hAnsi="Times New Roman" w:cs="Times New Roman"/>
      <w:sz w:val="20"/>
      <w:szCs w:val="20"/>
    </w:rPr>
  </w:style>
  <w:style w:type="character" w:styleId="FootnoteReference">
    <w:name w:val="footnote reference"/>
    <w:semiHidden/>
    <w:unhideWhenUsed/>
    <w:rsid w:val="001A4139"/>
    <w:rPr>
      <w:vertAlign w:val="superscript"/>
    </w:rPr>
  </w:style>
  <w:style w:type="paragraph" w:styleId="BodyText2">
    <w:name w:val="Body Text 2"/>
    <w:basedOn w:val="Normal"/>
    <w:link w:val="BodyText2Char"/>
    <w:uiPriority w:val="99"/>
    <w:semiHidden/>
    <w:unhideWhenUsed/>
    <w:rsid w:val="009B3B24"/>
    <w:pPr>
      <w:spacing w:after="120" w:line="480" w:lineRule="auto"/>
    </w:pPr>
  </w:style>
  <w:style w:type="character" w:customStyle="1" w:styleId="BodyText2Char">
    <w:name w:val="Body Text 2 Char"/>
    <w:basedOn w:val="DefaultParagraphFont"/>
    <w:link w:val="BodyText2"/>
    <w:uiPriority w:val="99"/>
    <w:semiHidden/>
    <w:rsid w:val="009B3B24"/>
  </w:style>
  <w:style w:type="paragraph" w:styleId="Revision">
    <w:name w:val="Revision"/>
    <w:hidden/>
    <w:uiPriority w:val="99"/>
    <w:semiHidden/>
    <w:rsid w:val="009166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13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27AEC3C9303E4DA3BBD234B42193D9" ma:contentTypeVersion="14" ma:contentTypeDescription="Create a new document." ma:contentTypeScope="" ma:versionID="7f03f65e3f3e72b9c0d9c8cc5e0daee6">
  <xsd:schema xmlns:xsd="http://www.w3.org/2001/XMLSchema" xmlns:xs="http://www.w3.org/2001/XMLSchema" xmlns:p="http://schemas.microsoft.com/office/2006/metadata/properties" xmlns:ns3="87ca022c-d862-45b5-813e-35705aede404" xmlns:ns4="50624784-4aa1-4f80-9787-f4eb4bc96e92" targetNamespace="http://schemas.microsoft.com/office/2006/metadata/properties" ma:root="true" ma:fieldsID="ff5cfda7a0e3b9c17010b65151b4a2bd" ns3:_="" ns4:_="">
    <xsd:import namespace="87ca022c-d862-45b5-813e-35705aede404"/>
    <xsd:import namespace="50624784-4aa1-4f80-9787-f4eb4bc96e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ca022c-d862-45b5-813e-35705aede4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624784-4aa1-4f80-9787-f4eb4bc96e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A3A264-7B18-45F3-80FB-D030E83CF365}">
  <ds:schemaRefs>
    <ds:schemaRef ds:uri="http://schemas.microsoft.com/sharepoint/v3/contenttype/forms"/>
  </ds:schemaRefs>
</ds:datastoreItem>
</file>

<file path=customXml/itemProps2.xml><?xml version="1.0" encoding="utf-8"?>
<ds:datastoreItem xmlns:ds="http://schemas.openxmlformats.org/officeDocument/2006/customXml" ds:itemID="{A4095BE4-F67A-450D-AF38-C82D4B34F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ca022c-d862-45b5-813e-35705aede404"/>
    <ds:schemaRef ds:uri="50624784-4aa1-4f80-9787-f4eb4bc96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9F47A9-2A27-4B34-88B7-605DC25F822C}">
  <ds:schemaRefs>
    <ds:schemaRef ds:uri="http://schemas.openxmlformats.org/officeDocument/2006/bibliography"/>
  </ds:schemaRefs>
</ds:datastoreItem>
</file>

<file path=customXml/itemProps4.xml><?xml version="1.0" encoding="utf-8"?>
<ds:datastoreItem xmlns:ds="http://schemas.openxmlformats.org/officeDocument/2006/customXml" ds:itemID="{0ABC42DA-A258-4ECA-A009-6E8D6FFE44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2019</Words>
  <Characters>11511</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Michael C2 (LWC-Progs-PM-SO2P)</dc:creator>
  <cp:keywords/>
  <dc:description/>
  <cp:lastModifiedBy>Whyte, Katie C2 (Army StratCen-Comrcl-Proj-1)</cp:lastModifiedBy>
  <cp:revision>4</cp:revision>
  <dcterms:created xsi:type="dcterms:W3CDTF">2022-09-30T07:41:00Z</dcterms:created>
  <dcterms:modified xsi:type="dcterms:W3CDTF">2022-09-30T09:52:00Z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0x010100A527AEC3C9303E4DA3BBD234B42193D9</vt:lpwstr>
  </property>
  <property fmtid="{D5CDD505-2E9C-101B-9397-08002B2CF9AE}" pid="3" name="ClassificationContentMarkingHeaderShapeIds">
    <vt:lpwstr>1,2,3</vt:lpwstr>
  </property>
  <property fmtid="{D5CDD505-2E9C-101B-9397-08002B2CF9AE}" pid="4" name="ClassificationContentMarkingHeaderFontProps">
    <vt:lpwstr>#000000,12,Arial</vt:lpwstr>
  </property>
  <property fmtid="{D5CDD505-2E9C-101B-9397-08002B2CF9AE}" pid="5" name="ClassificationContentMarkingHeaderText">
    <vt:lpwstr>OFFICIAL-SENSITIVE COMMERCIAL</vt:lpwstr>
  </property>
  <property fmtid="{D5CDD505-2E9C-101B-9397-08002B2CF9AE}" pid="6" name="ClassificationContentMarkingFooterShapeIds">
    <vt:lpwstr>4,5,6</vt:lpwstr>
  </property>
  <property fmtid="{D5CDD505-2E9C-101B-9397-08002B2CF9AE}" pid="7" name="ClassificationContentMarkingFooterFontProps">
    <vt:lpwstr>#000000,12,Arial</vt:lpwstr>
  </property>
  <property fmtid="{D5CDD505-2E9C-101B-9397-08002B2CF9AE}" pid="8" name="ClassificationContentMarkingFooterText">
    <vt:lpwstr>OFFICIAL-SENSITIVE COMMERCIAL</vt:lpwstr>
  </property>
  <property fmtid="{D5CDD505-2E9C-101B-9397-08002B2CF9AE}" pid="9" name="MSIP_Label_5e992740-1f89-4ed6-b51b-95a6d0136ac8_Enabled">
    <vt:lpwstr>true</vt:lpwstr>
  </property>
  <property fmtid="{D5CDD505-2E9C-101B-9397-08002B2CF9AE}" pid="10" name="MSIP_Label_5e992740-1f89-4ed6-b51b-95a6d0136ac8_SetDate">
    <vt:lpwstr>2022-09-28T07:03:21Z</vt:lpwstr>
  </property>
  <property fmtid="{D5CDD505-2E9C-101B-9397-08002B2CF9AE}" pid="11" name="MSIP_Label_5e992740-1f89-4ed6-b51b-95a6d0136ac8_Method">
    <vt:lpwstr>Privileged</vt:lpwstr>
  </property>
  <property fmtid="{D5CDD505-2E9C-101B-9397-08002B2CF9AE}" pid="12" name="MSIP_Label_5e992740-1f89-4ed6-b51b-95a6d0136ac8_Name">
    <vt:lpwstr>MOD-2-OSL-OFFICIAL-SENSITIVE-COMMERCIAL</vt:lpwstr>
  </property>
  <property fmtid="{D5CDD505-2E9C-101B-9397-08002B2CF9AE}" pid="13" name="MSIP_Label_5e992740-1f89-4ed6-b51b-95a6d0136ac8_SiteId">
    <vt:lpwstr>be7760ed-5953-484b-ae95-d0a16dfa09e5</vt:lpwstr>
  </property>
  <property fmtid="{D5CDD505-2E9C-101B-9397-08002B2CF9AE}" pid="14" name="MSIP_Label_5e992740-1f89-4ed6-b51b-95a6d0136ac8_ActionId">
    <vt:lpwstr>5348c1ab-f725-49c7-b3a7-2fe270abac59</vt:lpwstr>
  </property>
  <property fmtid="{D5CDD505-2E9C-101B-9397-08002B2CF9AE}" pid="15" name="MSIP_Label_5e992740-1f89-4ed6-b51b-95a6d0136ac8_ContentBits">
    <vt:lpwstr>3</vt:lpwstr>
  </property>
</Properties>
</file>