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8A5" w:rsidRDefault="001C59B0">
      <w:pPr>
        <w:spacing w:after="897" w:line="256" w:lineRule="auto"/>
        <w:ind w:left="1134" w:firstLine="0"/>
      </w:pPr>
      <w:r>
        <w:rPr>
          <w:noProof/>
        </w:rPr>
        <w:drawing>
          <wp:inline distT="0" distB="0" distL="0" distR="0">
            <wp:extent cx="1609728" cy="134302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9728" cy="1343025"/>
                    </a:xfrm>
                    <a:prstGeom prst="rect">
                      <a:avLst/>
                    </a:prstGeom>
                    <a:ln/>
                  </pic:spPr>
                </pic:pic>
              </a:graphicData>
            </a:graphic>
          </wp:inline>
        </w:drawing>
      </w:r>
      <w:r>
        <w:t xml:space="preserve"> </w:t>
      </w:r>
    </w:p>
    <w:p w:rsidR="004168A5" w:rsidRDefault="001C59B0">
      <w:pPr>
        <w:pStyle w:val="Heading1"/>
        <w:spacing w:after="600" w:line="256" w:lineRule="auto"/>
        <w:ind w:left="1133" w:firstLine="0"/>
      </w:pPr>
      <w:r>
        <w:rPr>
          <w:sz w:val="36"/>
          <w:szCs w:val="36"/>
        </w:rPr>
        <w:t xml:space="preserve">G-Cloud 13 Call-Off Contract </w:t>
      </w:r>
    </w:p>
    <w:p w:rsidR="004168A5" w:rsidRDefault="001C59B0">
      <w:pPr>
        <w:spacing w:after="172"/>
        <w:ind w:right="14"/>
      </w:pPr>
      <w:r>
        <w:t xml:space="preserve">This Call-Off Contract for the G-Cloud 13 Framework Agreement (RM1557.13) includes: </w:t>
      </w:r>
    </w:p>
    <w:p w:rsidR="004168A5" w:rsidRDefault="001C59B0">
      <w:pPr>
        <w:spacing w:after="172"/>
        <w:ind w:right="14"/>
        <w:rPr>
          <w:b/>
          <w:sz w:val="24"/>
          <w:szCs w:val="24"/>
        </w:rPr>
      </w:pPr>
      <w:r>
        <w:rPr>
          <w:b/>
          <w:sz w:val="24"/>
          <w:szCs w:val="24"/>
        </w:rPr>
        <w:t>G-Cloud 13 Call-Off Contract</w:t>
      </w:r>
    </w:p>
    <w:p w:rsidR="004168A5" w:rsidRDefault="001C59B0">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rsidR="004168A5" w:rsidRDefault="001C59B0">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rsidR="004168A5" w:rsidRDefault="001C59B0">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rsidR="004168A5" w:rsidRDefault="001C59B0">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rsidR="004168A5" w:rsidRDefault="001C59B0">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rsidR="004168A5" w:rsidRDefault="001C59B0">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rsidR="004168A5" w:rsidRDefault="001C59B0">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rsidR="004168A5" w:rsidRDefault="001C59B0">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rsidR="004168A5" w:rsidRDefault="001C59B0">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rsidR="004168A5" w:rsidRDefault="001C59B0">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rsidR="004168A5" w:rsidRDefault="001C59B0">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rsidR="004168A5" w:rsidRDefault="004168A5">
      <w:pPr>
        <w:pStyle w:val="Heading1"/>
        <w:spacing w:after="83"/>
        <w:ind w:left="0" w:firstLine="0"/>
      </w:pPr>
    </w:p>
    <w:p w:rsidR="004168A5" w:rsidRDefault="004168A5">
      <w:pPr>
        <w:pStyle w:val="Heading1"/>
        <w:spacing w:after="83"/>
        <w:ind w:left="1113" w:firstLine="1118"/>
      </w:pPr>
    </w:p>
    <w:p w:rsidR="004168A5" w:rsidRDefault="004168A5">
      <w:pPr>
        <w:pStyle w:val="Heading1"/>
        <w:spacing w:after="83"/>
        <w:ind w:left="1113" w:firstLine="1118"/>
      </w:pPr>
    </w:p>
    <w:p w:rsidR="004168A5" w:rsidRDefault="004168A5">
      <w:pPr>
        <w:pStyle w:val="Heading1"/>
        <w:spacing w:after="83"/>
        <w:ind w:left="0" w:firstLine="0"/>
      </w:pPr>
    </w:p>
    <w:p w:rsidR="004168A5" w:rsidRDefault="004168A5"/>
    <w:p w:rsidR="004168A5" w:rsidRDefault="004168A5">
      <w:pPr>
        <w:pStyle w:val="Heading1"/>
        <w:spacing w:after="83"/>
        <w:ind w:left="1113" w:firstLine="1118"/>
      </w:pPr>
    </w:p>
    <w:p w:rsidR="004168A5" w:rsidRDefault="001C59B0">
      <w:pPr>
        <w:pStyle w:val="Heading1"/>
        <w:spacing w:after="83"/>
        <w:ind w:left="1113" w:firstLine="1118"/>
      </w:pPr>
      <w:r>
        <w:t xml:space="preserve">Part A: Order Form </w:t>
      </w:r>
    </w:p>
    <w:p w:rsidR="004168A5" w:rsidRDefault="001C59B0">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
        <w:tblW w:w="8901" w:type="dxa"/>
        <w:tblInd w:w="1039" w:type="dxa"/>
        <w:tblLayout w:type="fixed"/>
        <w:tblLook w:val="0400" w:firstRow="0" w:lastRow="0" w:firstColumn="0" w:lastColumn="0" w:noHBand="0" w:noVBand="1"/>
      </w:tblPr>
      <w:tblGrid>
        <w:gridCol w:w="4520"/>
        <w:gridCol w:w="4381"/>
      </w:tblGrid>
      <w:tr w:rsidR="004168A5">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4168A5" w:rsidRDefault="004168A5">
            <w:pPr>
              <w:spacing w:line="256" w:lineRule="auto"/>
              <w:ind w:left="0" w:firstLine="0"/>
              <w:rPr>
                <w:b/>
              </w:rPr>
            </w:pPr>
          </w:p>
          <w:p w:rsidR="004168A5" w:rsidRDefault="001C59B0">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4168A5">
            <w:pPr>
              <w:rPr>
                <w:rFonts w:ascii="Calibri" w:eastAsia="Calibri" w:hAnsi="Calibri" w:cs="Calibri"/>
                <w:color w:val="0000FF"/>
                <w:u w:val="single"/>
              </w:rPr>
            </w:pPr>
          </w:p>
          <w:p w:rsidR="004168A5" w:rsidRDefault="001C59B0">
            <w:pPr>
              <w:ind w:left="0" w:firstLine="0"/>
              <w:rPr>
                <w:color w:val="0000FF"/>
              </w:rPr>
            </w:pPr>
            <w:r>
              <w:rPr>
                <w:color w:val="0B0C0C"/>
                <w:highlight w:val="white"/>
              </w:rPr>
              <w:t>260198898252496</w:t>
            </w:r>
          </w:p>
        </w:tc>
      </w:tr>
      <w:tr w:rsidR="004168A5">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10" w:firstLine="0"/>
            </w:pPr>
            <w:r>
              <w:t>CCIT23B01</w:t>
            </w:r>
          </w:p>
        </w:tc>
      </w:tr>
      <w:tr w:rsidR="004168A5">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10" w:firstLine="0"/>
            </w:pPr>
            <w:r>
              <w:t>PROVISION OF DOMAIN DATA FEEDS</w:t>
            </w:r>
          </w:p>
        </w:tc>
      </w:tr>
      <w:tr w:rsidR="004168A5">
        <w:trPr>
          <w:trHeight w:val="165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10" w:firstLine="0"/>
            </w:pPr>
            <w:r>
              <w:t xml:space="preserve">The Buyer requires access to a data feed containing DNS and domain-related hygiene issues and vulnerabilities. There is a specific set of issues that have been identified that expose public sector domains to the risk of hijacking. </w:t>
            </w:r>
          </w:p>
        </w:tc>
      </w:tr>
      <w:tr w:rsidR="004168A5">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10" w:firstLine="0"/>
            </w:pPr>
            <w:r>
              <w:t>01</w:t>
            </w:r>
            <w:r>
              <w:rPr>
                <w:vertAlign w:val="superscript"/>
              </w:rPr>
              <w:t>st</w:t>
            </w:r>
            <w:r>
              <w:t xml:space="preserve"> November 2023 </w:t>
            </w:r>
          </w:p>
        </w:tc>
      </w:tr>
      <w:tr w:rsidR="004168A5">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10" w:firstLine="0"/>
            </w:pPr>
            <w:r>
              <w:t>31st October 2024</w:t>
            </w:r>
          </w:p>
        </w:tc>
      </w:tr>
      <w:tr w:rsidR="004168A5">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10" w:firstLine="0"/>
            </w:pPr>
            <w:r>
              <w:t>£524,118.00 (</w:t>
            </w:r>
            <w:proofErr w:type="spellStart"/>
            <w:r>
              <w:t>Exc</w:t>
            </w:r>
            <w:proofErr w:type="spellEnd"/>
            <w:r>
              <w:t xml:space="preserve"> VAT)</w:t>
            </w:r>
          </w:p>
        </w:tc>
      </w:tr>
      <w:tr w:rsidR="004168A5">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10" w:firstLine="0"/>
            </w:pPr>
            <w:r>
              <w:t>BACS</w:t>
            </w:r>
          </w:p>
        </w:tc>
      </w:tr>
      <w:tr w:rsidR="004168A5">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4168A5" w:rsidRDefault="001C59B0">
            <w:pPr>
              <w:spacing w:line="256" w:lineRule="auto"/>
              <w:ind w:left="10" w:firstLine="0"/>
            </w:pPr>
            <w:r>
              <w:t>TBC</w:t>
            </w:r>
          </w:p>
        </w:tc>
      </w:tr>
    </w:tbl>
    <w:p w:rsidR="004168A5" w:rsidRDefault="004168A5">
      <w:pPr>
        <w:spacing w:after="237"/>
        <w:ind w:right="14"/>
      </w:pPr>
    </w:p>
    <w:p w:rsidR="004168A5" w:rsidRDefault="001C59B0">
      <w:pPr>
        <w:spacing w:after="237"/>
        <w:ind w:right="14"/>
      </w:pPr>
      <w:r>
        <w:t xml:space="preserve">This Order Form is issued under the G-Cloud 13 Framework Agreement (RM1557.13). </w:t>
      </w:r>
    </w:p>
    <w:p w:rsidR="004168A5" w:rsidRDefault="001C59B0">
      <w:pPr>
        <w:spacing w:after="227"/>
        <w:ind w:right="14"/>
      </w:pPr>
      <w:r>
        <w:lastRenderedPageBreak/>
        <w:t xml:space="preserve">Buyers can use this Order Form to specify their G-Cloud service requirements when placing an Order. </w:t>
      </w:r>
    </w:p>
    <w:p w:rsidR="004168A5" w:rsidRDefault="001C59B0">
      <w:pPr>
        <w:spacing w:after="228"/>
        <w:ind w:right="14"/>
      </w:pPr>
      <w:r>
        <w:t xml:space="preserve">The Order Form cannot be used to alter existing terms or add any extra terms that materially change the Services offered by the Supplier and defined in the Application. </w:t>
      </w:r>
    </w:p>
    <w:p w:rsidR="004168A5" w:rsidRDefault="001C59B0">
      <w:pPr>
        <w:spacing w:after="0"/>
        <w:ind w:right="14"/>
      </w:pPr>
      <w:r>
        <w:t xml:space="preserve">There are terms in the Call-Off Contract that may be defined in the Order Form. These are identified in the contract with square brackets. </w:t>
      </w:r>
    </w:p>
    <w:tbl>
      <w:tblPr>
        <w:tblStyle w:val="a0"/>
        <w:tblW w:w="8882" w:type="dxa"/>
        <w:tblInd w:w="1039" w:type="dxa"/>
        <w:tblLayout w:type="fixed"/>
        <w:tblLook w:val="0400" w:firstRow="0" w:lastRow="0" w:firstColumn="0" w:lastColumn="0" w:noHBand="0" w:noVBand="1"/>
      </w:tblPr>
      <w:tblGrid>
        <w:gridCol w:w="2060"/>
        <w:gridCol w:w="6822"/>
      </w:tblGrid>
      <w:tr w:rsidR="004168A5">
        <w:trPr>
          <w:trHeight w:val="273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4168A5" w:rsidRDefault="004168A5">
            <w:pPr>
              <w:spacing w:after="0" w:line="256" w:lineRule="auto"/>
              <w:ind w:left="5" w:firstLine="0"/>
              <w:rPr>
                <w:b/>
              </w:rPr>
            </w:pPr>
          </w:p>
          <w:p w:rsidR="004168A5" w:rsidRDefault="004168A5">
            <w:pPr>
              <w:spacing w:after="0" w:line="256" w:lineRule="auto"/>
              <w:ind w:left="5" w:firstLine="0"/>
              <w:rPr>
                <w:b/>
              </w:rPr>
            </w:pPr>
          </w:p>
          <w:p w:rsidR="004168A5" w:rsidRDefault="004168A5">
            <w:pPr>
              <w:spacing w:after="0" w:line="256" w:lineRule="auto"/>
              <w:ind w:left="5" w:firstLine="0"/>
              <w:rPr>
                <w:b/>
              </w:rPr>
            </w:pPr>
          </w:p>
          <w:p w:rsidR="004168A5" w:rsidRDefault="001C59B0">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rsidR="004168A5" w:rsidRDefault="001C59B0">
            <w:pPr>
              <w:spacing w:after="304" w:line="256" w:lineRule="auto"/>
              <w:ind w:left="0" w:firstLine="0"/>
            </w:pPr>
            <w:r>
              <w:t>Cabinet Office, Central Digital and Data Office</w:t>
            </w:r>
          </w:p>
          <w:p w:rsidR="004168A5" w:rsidRDefault="00874851">
            <w:pPr>
              <w:spacing w:after="266" w:line="256" w:lineRule="auto"/>
              <w:ind w:left="0" w:firstLine="0"/>
            </w:pPr>
            <w:r w:rsidRPr="00CE3DCF">
              <w:rPr>
                <w:color w:val="FF0000"/>
              </w:rPr>
              <w:t>REDACTED TEXT under FOIA Section 40, Personal Information</w:t>
            </w:r>
            <w:r w:rsidRPr="00CE3DCF">
              <w:t>.</w:t>
            </w:r>
          </w:p>
        </w:tc>
      </w:tr>
      <w:tr w:rsidR="004168A5">
        <w:trPr>
          <w:trHeight w:val="450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4168A5" w:rsidRDefault="004168A5">
            <w:pPr>
              <w:spacing w:after="0" w:line="256" w:lineRule="auto"/>
              <w:ind w:left="5" w:firstLine="0"/>
              <w:rPr>
                <w:b/>
              </w:rPr>
            </w:pPr>
          </w:p>
          <w:p w:rsidR="004168A5" w:rsidRDefault="004168A5">
            <w:pPr>
              <w:spacing w:after="0" w:line="256" w:lineRule="auto"/>
              <w:ind w:left="5" w:firstLine="0"/>
              <w:rPr>
                <w:b/>
              </w:rPr>
            </w:pPr>
          </w:p>
          <w:p w:rsidR="004168A5" w:rsidRDefault="004168A5">
            <w:pPr>
              <w:spacing w:after="0" w:line="256" w:lineRule="auto"/>
              <w:ind w:left="5" w:firstLine="0"/>
              <w:rPr>
                <w:b/>
              </w:rPr>
            </w:pPr>
          </w:p>
          <w:p w:rsidR="004168A5" w:rsidRDefault="001C59B0">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rsidR="004168A5" w:rsidRDefault="001C59B0">
            <w:pPr>
              <w:spacing w:after="304" w:line="480" w:lineRule="auto"/>
              <w:ind w:left="0" w:firstLine="0"/>
            </w:pPr>
            <w:proofErr w:type="spellStart"/>
            <w:r>
              <w:t>Hardenize</w:t>
            </w:r>
            <w:proofErr w:type="spellEnd"/>
            <w:r>
              <w:t xml:space="preserve"> Limited</w:t>
            </w:r>
          </w:p>
          <w:p w:rsidR="004168A5" w:rsidRDefault="00144B5E">
            <w:pPr>
              <w:spacing w:after="0" w:line="480" w:lineRule="auto"/>
              <w:ind w:left="0" w:firstLine="0"/>
            </w:pPr>
            <w:r w:rsidRPr="00CE3DCF">
              <w:rPr>
                <w:color w:val="FF0000"/>
              </w:rPr>
              <w:t>REDACTED TEXT under FOIA Section 40, Personal Information</w:t>
            </w:r>
            <w:r w:rsidRPr="00CE3DCF">
              <w:t>.</w:t>
            </w:r>
          </w:p>
        </w:tc>
      </w:tr>
      <w:tr w:rsidR="004168A5">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4168A5" w:rsidRDefault="001C59B0">
            <w:pPr>
              <w:spacing w:after="0" w:line="256" w:lineRule="auto"/>
              <w:ind w:left="5" w:firstLine="0"/>
            </w:pPr>
            <w:r>
              <w:rPr>
                <w:b/>
              </w:rPr>
              <w:t>Together the ‘Parties’</w:t>
            </w:r>
            <w:r>
              <w:t xml:space="preserve"> </w:t>
            </w:r>
          </w:p>
        </w:tc>
      </w:tr>
    </w:tbl>
    <w:p w:rsidR="004168A5" w:rsidRDefault="004168A5">
      <w:pPr>
        <w:pStyle w:val="Heading3"/>
        <w:spacing w:after="312"/>
        <w:ind w:left="1113" w:firstLine="1118"/>
      </w:pPr>
    </w:p>
    <w:p w:rsidR="004168A5" w:rsidRDefault="001C59B0">
      <w:pPr>
        <w:pStyle w:val="Heading3"/>
        <w:spacing w:after="312"/>
        <w:ind w:left="0" w:firstLine="0"/>
      </w:pPr>
      <w:r>
        <w:t xml:space="preserve">              Principal contact details </w:t>
      </w:r>
    </w:p>
    <w:p w:rsidR="004168A5" w:rsidRDefault="001C59B0">
      <w:pPr>
        <w:spacing w:after="373" w:line="259" w:lineRule="auto"/>
        <w:ind w:left="1123" w:right="3672" w:firstLine="0"/>
      </w:pPr>
      <w:r>
        <w:rPr>
          <w:b/>
        </w:rPr>
        <w:t>For the Buyer:</w:t>
      </w:r>
      <w:r>
        <w:t xml:space="preserve"> </w:t>
      </w:r>
    </w:p>
    <w:p w:rsidR="004168A5" w:rsidRDefault="001C59B0">
      <w:pPr>
        <w:spacing w:after="117"/>
        <w:ind w:right="14"/>
      </w:pPr>
      <w:r>
        <w:t xml:space="preserve">Title: </w:t>
      </w:r>
    </w:p>
    <w:p w:rsidR="00144B5E" w:rsidRDefault="001C59B0" w:rsidP="00144B5E">
      <w:pPr>
        <w:spacing w:after="86"/>
        <w:ind w:right="14"/>
      </w:pPr>
      <w:r>
        <w:lastRenderedPageBreak/>
        <w:t xml:space="preserve">Name: </w:t>
      </w:r>
      <w:r w:rsidR="00144B5E" w:rsidRPr="00CE3DCF">
        <w:rPr>
          <w:color w:val="FF0000"/>
        </w:rPr>
        <w:t>REDACTED TEXT under FOIA Section 40, Personal Information</w:t>
      </w:r>
      <w:r w:rsidR="00144B5E" w:rsidRPr="00CE3DCF">
        <w:t>.</w:t>
      </w:r>
    </w:p>
    <w:p w:rsidR="004168A5" w:rsidRDefault="001C59B0" w:rsidP="00144B5E">
      <w:pPr>
        <w:spacing w:after="86"/>
        <w:ind w:right="14"/>
      </w:pPr>
      <w:r>
        <w:t xml:space="preserve">Email: </w:t>
      </w:r>
    </w:p>
    <w:p w:rsidR="004168A5" w:rsidRDefault="001C59B0" w:rsidP="00144B5E">
      <w:pPr>
        <w:spacing w:after="1" w:line="240" w:lineRule="auto"/>
        <w:ind w:right="6350"/>
      </w:pPr>
      <w:r>
        <w:t xml:space="preserve">Phone: </w:t>
      </w:r>
    </w:p>
    <w:p w:rsidR="00144B5E" w:rsidRDefault="00144B5E" w:rsidP="00144B5E">
      <w:pPr>
        <w:spacing w:after="1" w:line="240" w:lineRule="auto"/>
        <w:ind w:right="6350"/>
      </w:pPr>
    </w:p>
    <w:p w:rsidR="004168A5" w:rsidRDefault="001C59B0">
      <w:pPr>
        <w:spacing w:after="1" w:line="765" w:lineRule="auto"/>
        <w:ind w:right="6350"/>
      </w:pPr>
      <w:r>
        <w:rPr>
          <w:b/>
        </w:rPr>
        <w:t>For the Supplier:</w:t>
      </w:r>
      <w:r>
        <w:t xml:space="preserve"> </w:t>
      </w:r>
    </w:p>
    <w:p w:rsidR="004168A5" w:rsidRDefault="001C59B0">
      <w:pPr>
        <w:spacing w:after="83"/>
        <w:ind w:right="14"/>
      </w:pPr>
      <w:r>
        <w:t xml:space="preserve">Title: </w:t>
      </w:r>
      <w:r w:rsidR="00144B5E" w:rsidRPr="00CE3DCF">
        <w:rPr>
          <w:color w:val="FF0000"/>
        </w:rPr>
        <w:t>REDACTED TEXT under FOIA Section 40, Personal Information</w:t>
      </w:r>
      <w:r w:rsidR="00144B5E" w:rsidRPr="00CE3DCF">
        <w:t>.</w:t>
      </w:r>
    </w:p>
    <w:p w:rsidR="004168A5" w:rsidRDefault="001C59B0">
      <w:pPr>
        <w:spacing w:after="86"/>
        <w:ind w:right="14"/>
      </w:pPr>
      <w:r>
        <w:t xml:space="preserve">Name: </w:t>
      </w:r>
    </w:p>
    <w:p w:rsidR="004168A5" w:rsidRDefault="001C59B0">
      <w:pPr>
        <w:spacing w:after="81"/>
        <w:ind w:right="14"/>
      </w:pPr>
      <w:r>
        <w:t xml:space="preserve">Email: </w:t>
      </w:r>
    </w:p>
    <w:p w:rsidR="004168A5" w:rsidRDefault="001C59B0">
      <w:pPr>
        <w:ind w:right="14"/>
      </w:pPr>
      <w:r>
        <w:t xml:space="preserve">Phone: </w:t>
      </w:r>
    </w:p>
    <w:p w:rsidR="004168A5" w:rsidRDefault="001C59B0">
      <w:pPr>
        <w:pStyle w:val="Heading3"/>
        <w:spacing w:after="0"/>
        <w:ind w:left="1113" w:firstLine="1118"/>
      </w:pPr>
      <w:r>
        <w:t xml:space="preserve">Call-Off Contract term </w:t>
      </w:r>
    </w:p>
    <w:tbl>
      <w:tblPr>
        <w:tblStyle w:val="a1"/>
        <w:tblW w:w="9605" w:type="dxa"/>
        <w:tblInd w:w="1039" w:type="dxa"/>
        <w:tblLayout w:type="fixed"/>
        <w:tblLook w:val="0400" w:firstRow="0" w:lastRow="0" w:firstColumn="0" w:lastColumn="0" w:noHBand="0" w:noVBand="1"/>
      </w:tblPr>
      <w:tblGrid>
        <w:gridCol w:w="2829"/>
        <w:gridCol w:w="6776"/>
      </w:tblGrid>
      <w:tr w:rsidR="004168A5">
        <w:trPr>
          <w:trHeight w:val="945"/>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4168A5" w:rsidRDefault="001C59B0">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4168A5" w:rsidRDefault="001C59B0">
            <w:pPr>
              <w:spacing w:after="0" w:line="256" w:lineRule="auto"/>
              <w:ind w:left="2" w:firstLine="0"/>
            </w:pPr>
            <w:r>
              <w:t xml:space="preserve">This Call-Off Contract Starts on </w:t>
            </w:r>
            <w:r>
              <w:rPr>
                <w:b/>
              </w:rPr>
              <w:t xml:space="preserve">01st November 2023 </w:t>
            </w:r>
            <w:r>
              <w:t xml:space="preserve">and is valid for </w:t>
            </w:r>
            <w:r>
              <w:rPr>
                <w:b/>
              </w:rPr>
              <w:t xml:space="preserve">12 months </w:t>
            </w:r>
            <w:r>
              <w:t>(with an option to extend for 12 months)</w:t>
            </w:r>
          </w:p>
        </w:tc>
      </w:tr>
      <w:tr w:rsidR="004168A5">
        <w:trPr>
          <w:trHeight w:val="2535"/>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4168A5" w:rsidRDefault="004168A5">
            <w:pPr>
              <w:spacing w:after="28" w:line="256" w:lineRule="auto"/>
              <w:ind w:left="0" w:firstLine="0"/>
              <w:rPr>
                <w:b/>
              </w:rPr>
            </w:pPr>
          </w:p>
          <w:p w:rsidR="004168A5" w:rsidRDefault="001C59B0">
            <w:pPr>
              <w:spacing w:after="28" w:line="256" w:lineRule="auto"/>
              <w:ind w:left="0" w:firstLine="0"/>
            </w:pPr>
            <w:r>
              <w:rPr>
                <w:b/>
              </w:rPr>
              <w:t>Ending</w:t>
            </w:r>
            <w:r>
              <w:t xml:space="preserve"> </w:t>
            </w:r>
          </w:p>
          <w:p w:rsidR="004168A5" w:rsidRDefault="001C59B0">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4168A5" w:rsidRDefault="001C59B0">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rsidR="004168A5" w:rsidRDefault="001C59B0">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4168A5">
        <w:trPr>
          <w:trHeight w:val="4845"/>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4168A5" w:rsidRDefault="001C59B0">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4168A5" w:rsidRDefault="001C59B0">
            <w:pPr>
              <w:spacing w:after="225" w:line="240" w:lineRule="auto"/>
              <w:ind w:left="2" w:firstLine="0"/>
            </w:pPr>
            <w:r>
              <w:t xml:space="preserve">This Call-Off Contract can be extended by the Buyer for </w:t>
            </w:r>
            <w:r>
              <w:rPr>
                <w:b/>
              </w:rPr>
              <w:t xml:space="preserve">one </w:t>
            </w:r>
            <w:r>
              <w:t>period of up to 12 months, by giving the supplier 30 days</w:t>
            </w:r>
            <w:r>
              <w:rPr>
                <w:b/>
              </w:rPr>
              <w:t xml:space="preserve"> </w:t>
            </w:r>
            <w:r>
              <w:t xml:space="preserve">written notice before its expiry. The extension period is subject to clauses 1.3 and 1.4 in Part B below. </w:t>
            </w:r>
          </w:p>
          <w:p w:rsidR="004168A5" w:rsidRDefault="001C59B0">
            <w:pPr>
              <w:spacing w:after="242" w:line="283" w:lineRule="auto"/>
              <w:ind w:left="2" w:firstLine="0"/>
            </w:pPr>
            <w:r>
              <w:t xml:space="preserve">Extensions which extend the Term beyond 36 months are only permitted if the Supplier complies with the additional exit plan requirements at clauses 21.3 to 21.8. </w:t>
            </w:r>
          </w:p>
          <w:p w:rsidR="004168A5" w:rsidRDefault="001C59B0">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rsidR="004168A5" w:rsidRDefault="00124370">
            <w:pPr>
              <w:spacing w:after="0" w:line="256" w:lineRule="auto"/>
              <w:ind w:left="2" w:firstLine="0"/>
            </w:pPr>
            <w:hyperlink r:id="rId9">
              <w:r w:rsidR="001C59B0">
                <w:rPr>
                  <w:color w:val="0000FF"/>
                  <w:u w:val="single"/>
                </w:rPr>
                <w:t>https://www.gov.uk/service-manual/agile-delivery/spend-controls-check-if-you-need-approval-to-spend-money-on-a-service</w:t>
              </w:r>
            </w:hyperlink>
            <w:hyperlink r:id="rId10">
              <w:r w:rsidR="001C59B0">
                <w:t xml:space="preserve"> </w:t>
              </w:r>
            </w:hyperlink>
          </w:p>
        </w:tc>
      </w:tr>
    </w:tbl>
    <w:p w:rsidR="004168A5" w:rsidRDefault="004168A5">
      <w:pPr>
        <w:ind w:left="0" w:firstLine="0"/>
      </w:pPr>
    </w:p>
    <w:p w:rsidR="004168A5" w:rsidRDefault="001C59B0">
      <w:pPr>
        <w:pStyle w:val="Heading3"/>
        <w:spacing w:after="165"/>
        <w:ind w:left="1113" w:firstLine="1118"/>
      </w:pPr>
      <w:r>
        <w:lastRenderedPageBreak/>
        <w:t xml:space="preserve">Buyer contractual details </w:t>
      </w:r>
    </w:p>
    <w:p w:rsidR="004168A5" w:rsidRDefault="001C59B0">
      <w:pPr>
        <w:spacing w:after="0"/>
        <w:ind w:right="14"/>
      </w:pPr>
      <w:r>
        <w:t xml:space="preserve">This Order is for the G-Cloud Services outlined below. It is acknowledged by the Parties that the volume of the G-Cloud Services used by the Buyer may vary during this Call-Off Contract. </w:t>
      </w:r>
    </w:p>
    <w:p w:rsidR="004168A5" w:rsidRDefault="004168A5">
      <w:pPr>
        <w:spacing w:after="0"/>
        <w:ind w:right="14"/>
      </w:pPr>
    </w:p>
    <w:p w:rsidR="004168A5" w:rsidRDefault="004168A5">
      <w:pPr>
        <w:widowControl w:val="0"/>
        <w:spacing w:before="190" w:after="0" w:line="283" w:lineRule="auto"/>
        <w:ind w:left="116" w:right="322" w:hanging="8"/>
      </w:pPr>
    </w:p>
    <w:tbl>
      <w:tblPr>
        <w:tblStyle w:val="a2"/>
        <w:tblW w:w="9615" w:type="dxa"/>
        <w:tblInd w:w="1001" w:type="dxa"/>
        <w:tblLayout w:type="fixed"/>
        <w:tblLook w:val="0400" w:firstRow="0" w:lastRow="0" w:firstColumn="0" w:lastColumn="0" w:noHBand="0" w:noVBand="1"/>
      </w:tblPr>
      <w:tblGrid>
        <w:gridCol w:w="3247"/>
        <w:gridCol w:w="6368"/>
      </w:tblGrid>
      <w:tr w:rsidR="004168A5">
        <w:trPr>
          <w:trHeight w:val="1125"/>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pPr>
            <w:r>
              <w:t>This Call-Off Contract is for the provision of Services Under:</w:t>
            </w:r>
          </w:p>
          <w:p w:rsidR="004168A5" w:rsidRDefault="001C59B0">
            <w:pPr>
              <w:widowControl w:val="0"/>
              <w:numPr>
                <w:ilvl w:val="0"/>
                <w:numId w:val="22"/>
              </w:numPr>
              <w:spacing w:after="0" w:line="283" w:lineRule="auto"/>
              <w:ind w:right="322"/>
            </w:pPr>
            <w:r>
              <w:t xml:space="preserve">Lot 2: Cloud software </w:t>
            </w:r>
          </w:p>
          <w:p w:rsidR="004168A5" w:rsidRDefault="004168A5">
            <w:pPr>
              <w:widowControl w:val="0"/>
              <w:spacing w:after="0" w:line="283" w:lineRule="auto"/>
              <w:ind w:left="720" w:right="322" w:firstLine="0"/>
            </w:pPr>
          </w:p>
        </w:tc>
      </w:tr>
      <w:tr w:rsidR="004168A5">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pPr>
            <w:r>
              <w:t>The Services to be provided by the Supplier under the above Lot are listed in Framework Schedule 4 and outlined below:</w:t>
            </w:r>
          </w:p>
          <w:p w:rsidR="004168A5" w:rsidRDefault="001C59B0">
            <w:pPr>
              <w:numPr>
                <w:ilvl w:val="0"/>
                <w:numId w:val="6"/>
              </w:numPr>
              <w:pBdr>
                <w:top w:val="nil"/>
                <w:left w:val="nil"/>
                <w:bottom w:val="nil"/>
                <w:right w:val="nil"/>
                <w:between w:val="nil"/>
              </w:pBdr>
              <w:spacing w:after="0" w:line="240" w:lineRule="auto"/>
              <w:jc w:val="both"/>
            </w:pPr>
            <w:r>
              <w:t>Procure data feeds containing DNS and domain-related data, hygiene issues, and vulnerabilities.</w:t>
            </w:r>
          </w:p>
          <w:p w:rsidR="004168A5" w:rsidRDefault="004168A5">
            <w:pPr>
              <w:pBdr>
                <w:top w:val="nil"/>
                <w:left w:val="nil"/>
                <w:bottom w:val="nil"/>
                <w:right w:val="nil"/>
                <w:between w:val="nil"/>
              </w:pBdr>
              <w:spacing w:after="0" w:line="240" w:lineRule="auto"/>
              <w:ind w:left="720" w:firstLine="0"/>
              <w:jc w:val="both"/>
            </w:pPr>
          </w:p>
          <w:p w:rsidR="004168A5" w:rsidRDefault="001C59B0">
            <w:pPr>
              <w:numPr>
                <w:ilvl w:val="0"/>
                <w:numId w:val="6"/>
              </w:numPr>
              <w:spacing w:after="240" w:line="240" w:lineRule="auto"/>
              <w:jc w:val="both"/>
            </w:pPr>
            <w:r>
              <w:t>Capability to identify issues at scale. Specifically across 54,000</w:t>
            </w:r>
            <w:proofErr w:type="gramStart"/>
            <w:r>
              <w:t>+ .</w:t>
            </w:r>
            <w:proofErr w:type="gramEnd"/>
            <w:r>
              <w:t>gov.uk domains and subdomains on a daily basis, and 340,000+ wider public sector domains and subdomains on a weekly basis.</w:t>
            </w:r>
          </w:p>
          <w:p w:rsidR="004168A5" w:rsidRDefault="001C59B0">
            <w:pPr>
              <w:numPr>
                <w:ilvl w:val="0"/>
                <w:numId w:val="6"/>
              </w:numPr>
              <w:spacing w:after="240" w:line="240" w:lineRule="auto"/>
              <w:jc w:val="both"/>
            </w:pPr>
            <w:r>
              <w:t>Subdomain discovery - take an existing set of domains and find through external data sets any subdomains that are created underneath them. This ensures we can identify issues across an entire domain, not just at the top level.</w:t>
            </w:r>
          </w:p>
          <w:p w:rsidR="004168A5" w:rsidRDefault="001C59B0">
            <w:pPr>
              <w:numPr>
                <w:ilvl w:val="0"/>
                <w:numId w:val="6"/>
              </w:numPr>
              <w:spacing w:after="240" w:line="240" w:lineRule="auto"/>
              <w:jc w:val="both"/>
            </w:pPr>
            <w:r>
              <w:t>Provide a human accessible web portal and an API to allow us to collect issue data in bulk.</w:t>
            </w:r>
          </w:p>
        </w:tc>
      </w:tr>
      <w:tr w:rsidR="004168A5">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pPr>
            <w:r>
              <w:t>None</w:t>
            </w:r>
          </w:p>
        </w:tc>
      </w:tr>
      <w:tr w:rsidR="004168A5">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4168A5">
            <w:pPr>
              <w:widowControl w:val="0"/>
              <w:spacing w:before="190" w:after="0" w:line="283" w:lineRule="auto"/>
              <w:ind w:left="0" w:right="322" w:firstLine="0"/>
              <w:rPr>
                <w:b/>
              </w:rPr>
            </w:pPr>
          </w:p>
          <w:p w:rsidR="004168A5" w:rsidRDefault="001C59B0">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pPr>
            <w:r>
              <w:rPr>
                <w:sz w:val="24"/>
                <w:szCs w:val="24"/>
              </w:rPr>
              <w:t>The Services will be carried out at the Supplier’s own premises</w:t>
            </w:r>
          </w:p>
        </w:tc>
      </w:tr>
      <w:tr w:rsidR="004168A5">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pPr>
            <w:r>
              <w:t xml:space="preserve">The quality standards required for this Call-Off Contract are Service Definition of as per </w:t>
            </w:r>
            <w:proofErr w:type="spellStart"/>
            <w:r>
              <w:t>GCloud</w:t>
            </w:r>
            <w:proofErr w:type="spellEnd"/>
            <w:r>
              <w:t xml:space="preserve"> 13 ID 298378501690695. </w:t>
            </w:r>
          </w:p>
        </w:tc>
      </w:tr>
      <w:tr w:rsidR="004168A5">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pPr>
            <w:r>
              <w:t xml:space="preserve">The technical standards used as a requirement for this Call-Off Contract are Service Definition of as per </w:t>
            </w:r>
            <w:proofErr w:type="spellStart"/>
            <w:r>
              <w:t>GCloud</w:t>
            </w:r>
            <w:proofErr w:type="spellEnd"/>
            <w:r>
              <w:t xml:space="preserve"> 13 ID 298378501690695. </w:t>
            </w:r>
          </w:p>
        </w:tc>
      </w:tr>
      <w:tr w:rsidR="004168A5">
        <w:trPr>
          <w:trHeight w:val="30369"/>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rPr>
                <w:b/>
              </w:rPr>
            </w:pPr>
            <w:r>
              <w:rPr>
                <w:b/>
              </w:rPr>
              <w:lastRenderedPageBreak/>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4168A5">
            <w:pPr>
              <w:widowControl w:val="0"/>
              <w:pBdr>
                <w:top w:val="nil"/>
                <w:left w:val="nil"/>
                <w:bottom w:val="nil"/>
                <w:right w:val="nil"/>
                <w:between w:val="nil"/>
              </w:pBdr>
              <w:spacing w:after="0" w:line="276" w:lineRule="auto"/>
              <w:ind w:left="0" w:firstLine="0"/>
              <w:rPr>
                <w:b/>
              </w:rPr>
            </w:pPr>
          </w:p>
          <w:tbl>
            <w:tblPr>
              <w:tblStyle w:val="a3"/>
              <w:tblW w:w="6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2400"/>
            </w:tblGrid>
            <w:tr w:rsidR="004168A5">
              <w:tc>
                <w:tcPr>
                  <w:tcW w:w="3750" w:type="dxa"/>
                  <w:shd w:val="clear" w:color="auto" w:fill="B4C6E7"/>
                </w:tcPr>
                <w:p w:rsidR="004168A5" w:rsidRDefault="001C59B0">
                  <w:pPr>
                    <w:pStyle w:val="Heading2"/>
                    <w:jc w:val="left"/>
                    <w:outlineLvl w:val="1"/>
                    <w:rPr>
                      <w:b/>
                      <w:sz w:val="20"/>
                    </w:rPr>
                  </w:pPr>
                  <w:r>
                    <w:rPr>
                      <w:b/>
                      <w:sz w:val="20"/>
                    </w:rPr>
                    <w:t>KPI/SLA description</w:t>
                  </w:r>
                </w:p>
              </w:tc>
              <w:tc>
                <w:tcPr>
                  <w:tcW w:w="2400" w:type="dxa"/>
                  <w:shd w:val="clear" w:color="auto" w:fill="B4C6E7"/>
                </w:tcPr>
                <w:p w:rsidR="004168A5" w:rsidRDefault="001C59B0">
                  <w:pPr>
                    <w:pStyle w:val="Heading2"/>
                    <w:jc w:val="left"/>
                    <w:outlineLvl w:val="1"/>
                    <w:rPr>
                      <w:b/>
                      <w:sz w:val="20"/>
                    </w:rPr>
                  </w:pPr>
                  <w:r>
                    <w:rPr>
                      <w:b/>
                      <w:sz w:val="20"/>
                    </w:rPr>
                    <w:t>Target</w:t>
                  </w:r>
                </w:p>
              </w:tc>
            </w:tr>
            <w:tr w:rsidR="004168A5">
              <w:tc>
                <w:tcPr>
                  <w:tcW w:w="3750" w:type="dxa"/>
                </w:tcPr>
                <w:p w:rsidR="004168A5" w:rsidRDefault="001C59B0">
                  <w:pPr>
                    <w:jc w:val="left"/>
                    <w:rPr>
                      <w:rFonts w:ascii="Calibri" w:eastAsia="Calibri" w:hAnsi="Calibri" w:cs="Calibri"/>
                    </w:rPr>
                  </w:pPr>
                  <w:r>
                    <w:rPr>
                      <w:rFonts w:ascii="Calibri" w:eastAsia="Calibri" w:hAnsi="Calibri" w:cs="Calibri"/>
                    </w:rPr>
                    <w:t xml:space="preserve">Supplier will scan the entire set </w:t>
                  </w:r>
                  <w:proofErr w:type="gramStart"/>
                  <w:r>
                    <w:rPr>
                      <w:rFonts w:ascii="Calibri" w:eastAsia="Calibri" w:hAnsi="Calibri" w:cs="Calibri"/>
                    </w:rPr>
                    <w:t>of .</w:t>
                  </w:r>
                  <w:proofErr w:type="gramEnd"/>
                  <w:r>
                    <w:rPr>
                      <w:rFonts w:ascii="Calibri" w:eastAsia="Calibri" w:hAnsi="Calibri" w:cs="Calibri"/>
                    </w:rPr>
                    <w:t>gov.uk third level domains discovered and/or supplied by the Buyer, and .gov.uk subdomains discovered (approximately 54,000), at least daily and make the Findings available via their API and the UI.</w:t>
                  </w:r>
                </w:p>
                <w:p w:rsidR="004168A5" w:rsidRDefault="001C59B0">
                  <w:pPr>
                    <w:jc w:val="left"/>
                    <w:rPr>
                      <w:rFonts w:ascii="Calibri" w:eastAsia="Calibri" w:hAnsi="Calibri" w:cs="Calibri"/>
                    </w:rPr>
                  </w:pPr>
                  <w:r>
                    <w:rPr>
                      <w:rFonts w:ascii="Calibri" w:eastAsia="Calibri" w:hAnsi="Calibri" w:cs="Calibri"/>
                    </w:rPr>
                    <w:t>Supplier will scan the entire set of public sector domains (approximately 340,000) discovered and/or supplied by the Buyer, and subdomains discovered, at least weekly and make the Findings available via their API and the UI.</w:t>
                  </w:r>
                </w:p>
                <w:p w:rsidR="004168A5" w:rsidRDefault="004168A5">
                  <w:pPr>
                    <w:jc w:val="left"/>
                    <w:rPr>
                      <w:rFonts w:ascii="Calibri" w:eastAsia="Calibri" w:hAnsi="Calibri" w:cs="Calibri"/>
                    </w:rPr>
                  </w:pPr>
                </w:p>
                <w:p w:rsidR="004168A5" w:rsidRDefault="001C59B0">
                  <w:pPr>
                    <w:jc w:val="left"/>
                    <w:rPr>
                      <w:rFonts w:ascii="Calibri" w:eastAsia="Calibri" w:hAnsi="Calibri" w:cs="Calibri"/>
                    </w:rPr>
                  </w:pPr>
                  <w:r>
                    <w:rPr>
                      <w:rFonts w:ascii="Calibri" w:eastAsia="Calibri" w:hAnsi="Calibri" w:cs="Calibri"/>
                    </w:rPr>
                    <w:t>Supplier will make reasonable efforts to provide accurate data and replace/remove inaccurate data in good time.</w:t>
                  </w:r>
                </w:p>
                <w:p w:rsidR="004168A5" w:rsidRDefault="004168A5">
                  <w:pPr>
                    <w:rPr>
                      <w:rFonts w:ascii="Calibri" w:eastAsia="Calibri" w:hAnsi="Calibri" w:cs="Calibri"/>
                    </w:rPr>
                  </w:pPr>
                </w:p>
              </w:tc>
              <w:tc>
                <w:tcPr>
                  <w:tcW w:w="2400" w:type="dxa"/>
                </w:tcPr>
                <w:p w:rsidR="004168A5" w:rsidRDefault="001C59B0">
                  <w:pPr>
                    <w:rPr>
                      <w:rFonts w:ascii="Calibri" w:eastAsia="Calibri" w:hAnsi="Calibri" w:cs="Calibri"/>
                    </w:rPr>
                  </w:pPr>
                  <w:r>
                    <w:rPr>
                      <w:rFonts w:ascii="Calibri" w:eastAsia="Calibri" w:hAnsi="Calibri" w:cs="Calibri"/>
                    </w:rPr>
                    <w:t>54,000</w:t>
                  </w:r>
                  <w:proofErr w:type="gramStart"/>
                  <w:r>
                    <w:rPr>
                      <w:rFonts w:ascii="Calibri" w:eastAsia="Calibri" w:hAnsi="Calibri" w:cs="Calibri"/>
                    </w:rPr>
                    <w:t>+ .</w:t>
                  </w:r>
                  <w:proofErr w:type="gramEnd"/>
                  <w:r>
                    <w:rPr>
                      <w:rFonts w:ascii="Calibri" w:eastAsia="Calibri" w:hAnsi="Calibri" w:cs="Calibri"/>
                    </w:rPr>
                    <w:t>gov.uk subdomains scanned daily</w:t>
                  </w:r>
                  <w:r>
                    <w:rPr>
                      <w:rFonts w:ascii="Calibri" w:eastAsia="Calibri" w:hAnsi="Calibri" w:cs="Calibri"/>
                    </w:rPr>
                    <w:br/>
                  </w:r>
                  <w:r>
                    <w:rPr>
                      <w:rFonts w:ascii="Calibri" w:eastAsia="Calibri" w:hAnsi="Calibri" w:cs="Calibri"/>
                    </w:rPr>
                    <w:br/>
                    <w:t>340,000 other public sector domains scanned weekly</w:t>
                  </w:r>
                </w:p>
              </w:tc>
            </w:tr>
            <w:tr w:rsidR="004168A5">
              <w:tc>
                <w:tcPr>
                  <w:tcW w:w="3750" w:type="dxa"/>
                </w:tcPr>
                <w:p w:rsidR="004168A5" w:rsidRDefault="001C59B0">
                  <w:pPr>
                    <w:jc w:val="left"/>
                    <w:rPr>
                      <w:rFonts w:ascii="Calibri" w:eastAsia="Calibri" w:hAnsi="Calibri" w:cs="Calibri"/>
                    </w:rPr>
                  </w:pPr>
                  <w:r>
                    <w:rPr>
                      <w:rFonts w:ascii="Calibri" w:eastAsia="Calibri" w:hAnsi="Calibri" w:cs="Calibri"/>
                    </w:rPr>
                    <w:t>Supplier provides 99% availability 24/7/365 calculated on a rolling one-month period as:</w:t>
                  </w:r>
                </w:p>
                <w:p w:rsidR="004168A5" w:rsidRDefault="001C59B0">
                  <w:pPr>
                    <w:jc w:val="left"/>
                    <w:rPr>
                      <w:rFonts w:ascii="Calibri" w:eastAsia="Calibri" w:hAnsi="Calibri" w:cs="Calibri"/>
                    </w:rPr>
                  </w:pPr>
                  <w:r>
                    <w:rPr>
                      <w:rFonts w:ascii="Calibri" w:eastAsia="Calibri" w:hAnsi="Calibri" w:cs="Calibri"/>
                    </w:rPr>
                    <w:t>Minutes in period minus minutes unavailable, divided by</w:t>
                  </w:r>
                </w:p>
                <w:p w:rsidR="004168A5" w:rsidRDefault="001C59B0">
                  <w:pPr>
                    <w:jc w:val="left"/>
                    <w:rPr>
                      <w:rFonts w:ascii="Calibri" w:eastAsia="Calibri" w:hAnsi="Calibri" w:cs="Calibri"/>
                    </w:rPr>
                  </w:pPr>
                  <w:r>
                    <w:rPr>
                      <w:rFonts w:ascii="Calibri" w:eastAsia="Calibri" w:hAnsi="Calibri" w:cs="Calibri"/>
                    </w:rPr>
                    <w:t>minutes in period, multiplied by 100. For example, if the service is unavailable for 60 min in a month - ((43200 -</w:t>
                  </w:r>
                </w:p>
                <w:p w:rsidR="004168A5" w:rsidRDefault="001C59B0">
                  <w:pPr>
                    <w:jc w:val="left"/>
                    <w:rPr>
                      <w:rFonts w:ascii="Calibri" w:eastAsia="Calibri" w:hAnsi="Calibri" w:cs="Calibri"/>
                    </w:rPr>
                  </w:pPr>
                  <w:r>
                    <w:rPr>
                      <w:rFonts w:ascii="Calibri" w:eastAsia="Calibri" w:hAnsi="Calibri" w:cs="Calibri"/>
                    </w:rPr>
                    <w:t>60)/43200) x 100 = 99.8%.</w:t>
                  </w:r>
                </w:p>
                <w:p w:rsidR="004168A5" w:rsidRDefault="001C59B0">
                  <w:pPr>
                    <w:jc w:val="left"/>
                    <w:rPr>
                      <w:rFonts w:ascii="Calibri" w:eastAsia="Calibri" w:hAnsi="Calibri" w:cs="Calibri"/>
                    </w:rPr>
                  </w:pPr>
                  <w:r>
                    <w:rPr>
                      <w:rFonts w:ascii="Calibri" w:eastAsia="Calibri" w:hAnsi="Calibri" w:cs="Calibri"/>
                    </w:rPr>
                    <w:t>Service is considered unavailable if:</w:t>
                  </w:r>
                </w:p>
                <w:p w:rsidR="004168A5" w:rsidRDefault="001C59B0">
                  <w:pPr>
                    <w:numPr>
                      <w:ilvl w:val="0"/>
                      <w:numId w:val="10"/>
                    </w:numPr>
                    <w:ind w:left="0" w:firstLine="0"/>
                    <w:jc w:val="left"/>
                    <w:rPr>
                      <w:rFonts w:ascii="Calibri" w:eastAsia="Calibri" w:hAnsi="Calibri" w:cs="Calibri"/>
                    </w:rPr>
                  </w:pPr>
                  <w:proofErr w:type="spellStart"/>
                  <w:r>
                    <w:rPr>
                      <w:rFonts w:ascii="Calibri" w:eastAsia="Calibri" w:hAnsi="Calibri" w:cs="Calibri"/>
                    </w:rPr>
                    <w:t>Hardenize</w:t>
                  </w:r>
                  <w:proofErr w:type="spellEnd"/>
                  <w:r>
                    <w:rPr>
                      <w:rFonts w:ascii="Calibri" w:eastAsia="Calibri" w:hAnsi="Calibri" w:cs="Calibri"/>
                    </w:rPr>
                    <w:t xml:space="preserve"> UI OR API not available, contains no data, contains substantial inaccurate data</w:t>
                  </w:r>
                  <w:r>
                    <w:rPr>
                      <w:rFonts w:ascii="Calibri" w:eastAsia="Calibri" w:hAnsi="Calibri" w:cs="Calibri"/>
                    </w:rPr>
                    <w:br/>
                  </w:r>
                  <w:r>
                    <w:rPr>
                      <w:rFonts w:ascii="Calibri" w:eastAsia="Calibri" w:hAnsi="Calibri" w:cs="Calibri"/>
                    </w:rPr>
                    <w:br/>
                    <w:t>excluding:</w:t>
                  </w:r>
                  <w:r>
                    <w:rPr>
                      <w:rFonts w:ascii="Calibri" w:eastAsia="Calibri" w:hAnsi="Calibri" w:cs="Calibri"/>
                    </w:rPr>
                    <w:br/>
                  </w:r>
                </w:p>
                <w:p w:rsidR="004168A5" w:rsidRDefault="001C59B0">
                  <w:pPr>
                    <w:numPr>
                      <w:ilvl w:val="0"/>
                      <w:numId w:val="10"/>
                    </w:numPr>
                    <w:ind w:left="0" w:firstLine="0"/>
                    <w:jc w:val="left"/>
                    <w:rPr>
                      <w:rFonts w:ascii="Calibri" w:eastAsia="Calibri" w:hAnsi="Calibri" w:cs="Calibri"/>
                    </w:rPr>
                  </w:pPr>
                  <w:r>
                    <w:rPr>
                      <w:rFonts w:ascii="Calibri" w:eastAsia="Calibri" w:hAnsi="Calibri" w:cs="Calibri"/>
                    </w:rPr>
                    <w:t>limited scheduled maintenance of which Buyer has been notified in advance</w:t>
                  </w:r>
                  <w:r>
                    <w:rPr>
                      <w:rFonts w:ascii="Calibri" w:eastAsia="Calibri" w:hAnsi="Calibri" w:cs="Calibri"/>
                    </w:rPr>
                    <w:br/>
                  </w:r>
                </w:p>
                <w:p w:rsidR="004168A5" w:rsidRDefault="001C59B0">
                  <w:pPr>
                    <w:numPr>
                      <w:ilvl w:val="0"/>
                      <w:numId w:val="10"/>
                    </w:numPr>
                    <w:spacing w:after="120"/>
                    <w:ind w:left="0" w:firstLine="0"/>
                    <w:jc w:val="left"/>
                    <w:rPr>
                      <w:rFonts w:ascii="Calibri" w:eastAsia="Calibri" w:hAnsi="Calibri" w:cs="Calibri"/>
                    </w:rPr>
                  </w:pPr>
                  <w:r>
                    <w:rPr>
                      <w:rFonts w:ascii="Calibri" w:eastAsia="Calibri" w:hAnsi="Calibri" w:cs="Calibri"/>
                    </w:rPr>
                    <w:t xml:space="preserve">failures in Buyer's systems or Buyer's </w:t>
                  </w:r>
                  <w:proofErr w:type="gramStart"/>
                  <w:r>
                    <w:rPr>
                      <w:rFonts w:ascii="Calibri" w:eastAsia="Calibri" w:hAnsi="Calibri" w:cs="Calibri"/>
                    </w:rPr>
                    <w:t>third party</w:t>
                  </w:r>
                  <w:proofErr w:type="gramEnd"/>
                  <w:r>
                    <w:rPr>
                      <w:rFonts w:ascii="Calibri" w:eastAsia="Calibri" w:hAnsi="Calibri" w:cs="Calibri"/>
                    </w:rPr>
                    <w:t xml:space="preserve"> systems</w:t>
                  </w:r>
                </w:p>
                <w:p w:rsidR="004168A5" w:rsidRDefault="001C59B0">
                  <w:pPr>
                    <w:jc w:val="left"/>
                    <w:rPr>
                      <w:rFonts w:ascii="Calibri" w:eastAsia="Calibri" w:hAnsi="Calibri" w:cs="Calibri"/>
                    </w:rPr>
                  </w:pPr>
                  <w:r>
                    <w:rPr>
                      <w:rFonts w:ascii="Calibri" w:eastAsia="Calibri" w:hAnsi="Calibri" w:cs="Calibri"/>
                    </w:rPr>
                    <w:t>If the service fails to meet this service level the Supplier will credit the Buyer with additional service period equal to or greater than the period of the outage.</w:t>
                  </w:r>
                </w:p>
                <w:p w:rsidR="004168A5" w:rsidRDefault="001C59B0">
                  <w:pPr>
                    <w:jc w:val="left"/>
                    <w:rPr>
                      <w:rFonts w:ascii="Calibri" w:eastAsia="Calibri" w:hAnsi="Calibri" w:cs="Calibri"/>
                    </w:rPr>
                  </w:pPr>
                  <w:r>
                    <w:rPr>
                      <w:rFonts w:ascii="Calibri" w:eastAsia="Calibri" w:hAnsi="Calibri" w:cs="Calibri"/>
                    </w:rPr>
                    <w:t>If Supplier service consistently falls below the availability above the Buyer may terminate the contract without further cause.</w:t>
                  </w:r>
                </w:p>
              </w:tc>
              <w:tc>
                <w:tcPr>
                  <w:tcW w:w="2400" w:type="dxa"/>
                </w:tcPr>
                <w:p w:rsidR="004168A5" w:rsidRDefault="001C59B0">
                  <w:pPr>
                    <w:rPr>
                      <w:rFonts w:ascii="Calibri" w:eastAsia="Calibri" w:hAnsi="Calibri" w:cs="Calibri"/>
                    </w:rPr>
                  </w:pPr>
                  <w:r>
                    <w:rPr>
                      <w:rFonts w:ascii="Calibri" w:eastAsia="Calibri" w:hAnsi="Calibri" w:cs="Calibri"/>
                    </w:rPr>
                    <w:t>99% availability</w:t>
                  </w:r>
                </w:p>
              </w:tc>
            </w:tr>
            <w:tr w:rsidR="004168A5">
              <w:tc>
                <w:tcPr>
                  <w:tcW w:w="3750" w:type="dxa"/>
                </w:tcPr>
                <w:p w:rsidR="004168A5" w:rsidRDefault="001C59B0">
                  <w:pPr>
                    <w:jc w:val="left"/>
                    <w:rPr>
                      <w:rFonts w:ascii="Calibri" w:eastAsia="Calibri" w:hAnsi="Calibri" w:cs="Calibri"/>
                    </w:rPr>
                  </w:pPr>
                  <w:r>
                    <w:rPr>
                      <w:rFonts w:ascii="Calibri" w:eastAsia="Calibri" w:hAnsi="Calibri" w:cs="Calibri"/>
                    </w:rPr>
                    <w:t>Supplier will make reasonable efforts to respond to support queries via email, or by pre-arranged video call within the following timescales:</w:t>
                  </w:r>
                </w:p>
                <w:p w:rsidR="004168A5" w:rsidRDefault="001C59B0">
                  <w:pPr>
                    <w:jc w:val="left"/>
                    <w:rPr>
                      <w:rFonts w:ascii="Calibri" w:eastAsia="Calibri" w:hAnsi="Calibri" w:cs="Calibri"/>
                    </w:rPr>
                  </w:pPr>
                  <w:r>
                    <w:rPr>
                      <w:rFonts w:ascii="Calibri" w:eastAsia="Calibri" w:hAnsi="Calibri" w:cs="Calibri"/>
                    </w:rPr>
                    <w:t>● Supplier will respond to urgent support queries (service unavailable, inaccessible, or majority of data missing or inaccurate) within one working day</w:t>
                  </w:r>
                </w:p>
                <w:p w:rsidR="004168A5" w:rsidRDefault="001C59B0">
                  <w:pPr>
                    <w:jc w:val="left"/>
                    <w:rPr>
                      <w:rFonts w:ascii="Calibri" w:eastAsia="Calibri" w:hAnsi="Calibri" w:cs="Calibri"/>
                    </w:rPr>
                  </w:pPr>
                  <w:r>
                    <w:rPr>
                      <w:rFonts w:ascii="Calibri" w:eastAsia="Calibri" w:hAnsi="Calibri" w:cs="Calibri"/>
                    </w:rPr>
                    <w:lastRenderedPageBreak/>
                    <w:t>● Supplier will respond to lower priority support queries (some elements of service unavailable, inaccessible, or some data missing or inaccurate) within 3 working days.</w:t>
                  </w:r>
                </w:p>
                <w:p w:rsidR="004168A5" w:rsidRDefault="001C59B0">
                  <w:pPr>
                    <w:rPr>
                      <w:rFonts w:ascii="Calibri" w:eastAsia="Calibri" w:hAnsi="Calibri" w:cs="Calibri"/>
                    </w:rPr>
                  </w:pPr>
                  <w:r>
                    <w:rPr>
                      <w:rFonts w:ascii="Calibri" w:eastAsia="Calibri" w:hAnsi="Calibri" w:cs="Calibri"/>
                    </w:rPr>
                    <w:t>● Supplier will respond to feature requests (with queries or roadmap plans, not implementation) within 5 working days</w:t>
                  </w:r>
                </w:p>
              </w:tc>
              <w:tc>
                <w:tcPr>
                  <w:tcW w:w="2400" w:type="dxa"/>
                </w:tcPr>
                <w:p w:rsidR="004168A5" w:rsidRDefault="001C59B0">
                  <w:pPr>
                    <w:rPr>
                      <w:rFonts w:ascii="Calibri" w:eastAsia="Calibri" w:hAnsi="Calibri" w:cs="Calibri"/>
                    </w:rPr>
                  </w:pPr>
                  <w:r>
                    <w:rPr>
                      <w:rFonts w:ascii="Calibri" w:eastAsia="Calibri" w:hAnsi="Calibri" w:cs="Calibri"/>
                    </w:rPr>
                    <w:lastRenderedPageBreak/>
                    <w:t>Urgent issues = 1 working day</w:t>
                  </w:r>
                </w:p>
                <w:p w:rsidR="004168A5" w:rsidRDefault="001C59B0">
                  <w:pPr>
                    <w:rPr>
                      <w:rFonts w:ascii="Calibri" w:eastAsia="Calibri" w:hAnsi="Calibri" w:cs="Calibri"/>
                    </w:rPr>
                  </w:pPr>
                  <w:r>
                    <w:rPr>
                      <w:rFonts w:ascii="Calibri" w:eastAsia="Calibri" w:hAnsi="Calibri" w:cs="Calibri"/>
                    </w:rPr>
                    <w:t>Low priority issues = 3 working days</w:t>
                  </w:r>
                </w:p>
                <w:p w:rsidR="004168A5" w:rsidRDefault="004168A5">
                  <w:pPr>
                    <w:rPr>
                      <w:rFonts w:ascii="Calibri" w:eastAsia="Calibri" w:hAnsi="Calibri" w:cs="Calibri"/>
                    </w:rPr>
                  </w:pPr>
                </w:p>
                <w:p w:rsidR="004168A5" w:rsidRDefault="001C59B0">
                  <w:pPr>
                    <w:rPr>
                      <w:rFonts w:ascii="Calibri" w:eastAsia="Calibri" w:hAnsi="Calibri" w:cs="Calibri"/>
                    </w:rPr>
                  </w:pPr>
                  <w:r>
                    <w:rPr>
                      <w:rFonts w:ascii="Calibri" w:eastAsia="Calibri" w:hAnsi="Calibri" w:cs="Calibri"/>
                    </w:rPr>
                    <w:t>Feature requests = 5 working days</w:t>
                  </w:r>
                </w:p>
              </w:tc>
            </w:tr>
            <w:tr w:rsidR="004168A5">
              <w:tc>
                <w:tcPr>
                  <w:tcW w:w="3750" w:type="dxa"/>
                </w:tcPr>
                <w:p w:rsidR="004168A5" w:rsidRDefault="001C59B0">
                  <w:pPr>
                    <w:jc w:val="left"/>
                    <w:rPr>
                      <w:rFonts w:ascii="Arial" w:eastAsia="Arial" w:hAnsi="Arial" w:cs="Arial"/>
                    </w:rPr>
                  </w:pPr>
                  <w:r>
                    <w:rPr>
                      <w:rFonts w:ascii="Arial" w:eastAsia="Arial" w:hAnsi="Arial" w:cs="Arial"/>
                    </w:rPr>
                    <w:t xml:space="preserve">Supplier provides 99% availability 24/7/365 calculated on a rolling </w:t>
                  </w:r>
                  <w:proofErr w:type="gramStart"/>
                  <w:r>
                    <w:rPr>
                      <w:rFonts w:ascii="Arial" w:eastAsia="Arial" w:hAnsi="Arial" w:cs="Arial"/>
                    </w:rPr>
                    <w:t>one month</w:t>
                  </w:r>
                  <w:proofErr w:type="gramEnd"/>
                  <w:r>
                    <w:rPr>
                      <w:rFonts w:ascii="Arial" w:eastAsia="Arial" w:hAnsi="Arial" w:cs="Arial"/>
                    </w:rPr>
                    <w:t xml:space="preserve"> period as:</w:t>
                  </w:r>
                </w:p>
                <w:p w:rsidR="004168A5" w:rsidRDefault="001C59B0">
                  <w:pPr>
                    <w:jc w:val="left"/>
                    <w:rPr>
                      <w:rFonts w:ascii="Arial" w:eastAsia="Arial" w:hAnsi="Arial" w:cs="Arial"/>
                    </w:rPr>
                  </w:pPr>
                  <w:r>
                    <w:rPr>
                      <w:rFonts w:ascii="Arial" w:eastAsia="Arial" w:hAnsi="Arial" w:cs="Arial"/>
                    </w:rPr>
                    <w:t xml:space="preserve">Minutes in period minus minutes unavailable, divided by minutes in period, multiplied by 100. For </w:t>
                  </w:r>
                  <w:proofErr w:type="gramStart"/>
                  <w:r>
                    <w:rPr>
                      <w:rFonts w:ascii="Arial" w:eastAsia="Arial" w:hAnsi="Arial" w:cs="Arial"/>
                    </w:rPr>
                    <w:t>example</w:t>
                  </w:r>
                  <w:proofErr w:type="gramEnd"/>
                  <w:r>
                    <w:rPr>
                      <w:rFonts w:ascii="Arial" w:eastAsia="Arial" w:hAnsi="Arial" w:cs="Arial"/>
                    </w:rPr>
                    <w:t xml:space="preserve"> if the service is unavailable for 60 min in a month - ((43200 -</w:t>
                  </w:r>
                </w:p>
                <w:p w:rsidR="004168A5" w:rsidRDefault="001C59B0">
                  <w:pPr>
                    <w:jc w:val="left"/>
                    <w:rPr>
                      <w:rFonts w:ascii="Arial" w:eastAsia="Arial" w:hAnsi="Arial" w:cs="Arial"/>
                    </w:rPr>
                  </w:pPr>
                  <w:r>
                    <w:rPr>
                      <w:rFonts w:ascii="Arial" w:eastAsia="Arial" w:hAnsi="Arial" w:cs="Arial"/>
                    </w:rPr>
                    <w:t>60)/43200) x 100 = 99.8%.</w:t>
                  </w:r>
                </w:p>
                <w:p w:rsidR="004168A5" w:rsidRDefault="001C59B0">
                  <w:pPr>
                    <w:jc w:val="left"/>
                    <w:rPr>
                      <w:rFonts w:ascii="Arial" w:eastAsia="Arial" w:hAnsi="Arial" w:cs="Arial"/>
                    </w:rPr>
                  </w:pPr>
                  <w:r>
                    <w:rPr>
                      <w:rFonts w:ascii="Arial" w:eastAsia="Arial" w:hAnsi="Arial" w:cs="Arial"/>
                    </w:rPr>
                    <w:t>Service is considered unavailable if:</w:t>
                  </w:r>
                </w:p>
                <w:p w:rsidR="004168A5" w:rsidRDefault="001C59B0">
                  <w:pPr>
                    <w:numPr>
                      <w:ilvl w:val="0"/>
                      <w:numId w:val="10"/>
                    </w:numPr>
                    <w:jc w:val="left"/>
                    <w:rPr>
                      <w:rFonts w:ascii="Arial" w:eastAsia="Arial" w:hAnsi="Arial" w:cs="Arial"/>
                    </w:rPr>
                  </w:pPr>
                  <w:proofErr w:type="spellStart"/>
                  <w:r>
                    <w:rPr>
                      <w:rFonts w:ascii="Arial" w:eastAsia="Arial" w:hAnsi="Arial" w:cs="Arial"/>
                    </w:rPr>
                    <w:t>Hardenize</w:t>
                  </w:r>
                  <w:proofErr w:type="spellEnd"/>
                  <w:r>
                    <w:rPr>
                      <w:rFonts w:ascii="Arial" w:eastAsia="Arial" w:hAnsi="Arial" w:cs="Arial"/>
                    </w:rPr>
                    <w:t xml:space="preserve"> UI OR API not available, contains no data, contains substantial inaccurate data</w:t>
                  </w:r>
                  <w:r>
                    <w:rPr>
                      <w:rFonts w:ascii="Arial" w:eastAsia="Arial" w:hAnsi="Arial" w:cs="Arial"/>
                    </w:rPr>
                    <w:br/>
                  </w:r>
                  <w:r>
                    <w:rPr>
                      <w:rFonts w:ascii="Arial" w:eastAsia="Arial" w:hAnsi="Arial" w:cs="Arial"/>
                    </w:rPr>
                    <w:br/>
                    <w:t>excluding:</w:t>
                  </w:r>
                  <w:r>
                    <w:rPr>
                      <w:rFonts w:ascii="Arial" w:eastAsia="Arial" w:hAnsi="Arial" w:cs="Arial"/>
                    </w:rPr>
                    <w:br/>
                  </w:r>
                </w:p>
                <w:p w:rsidR="004168A5" w:rsidRDefault="001C59B0">
                  <w:pPr>
                    <w:numPr>
                      <w:ilvl w:val="0"/>
                      <w:numId w:val="10"/>
                    </w:numPr>
                    <w:jc w:val="left"/>
                    <w:rPr>
                      <w:rFonts w:ascii="Arial" w:eastAsia="Arial" w:hAnsi="Arial" w:cs="Arial"/>
                    </w:rPr>
                  </w:pPr>
                  <w:r>
                    <w:rPr>
                      <w:rFonts w:ascii="Arial" w:eastAsia="Arial" w:hAnsi="Arial" w:cs="Arial"/>
                    </w:rPr>
                    <w:t>limited scheduled maintenance of which Buyer has been notified in advance</w:t>
                  </w:r>
                  <w:r>
                    <w:rPr>
                      <w:rFonts w:ascii="Arial" w:eastAsia="Arial" w:hAnsi="Arial" w:cs="Arial"/>
                    </w:rPr>
                    <w:br/>
                  </w:r>
                </w:p>
                <w:p w:rsidR="004168A5" w:rsidRDefault="001C59B0">
                  <w:pPr>
                    <w:numPr>
                      <w:ilvl w:val="0"/>
                      <w:numId w:val="10"/>
                    </w:numPr>
                    <w:spacing w:after="120"/>
                    <w:jc w:val="left"/>
                    <w:rPr>
                      <w:rFonts w:ascii="Arial" w:eastAsia="Arial" w:hAnsi="Arial" w:cs="Arial"/>
                    </w:rPr>
                  </w:pPr>
                  <w:r>
                    <w:rPr>
                      <w:rFonts w:ascii="Arial" w:eastAsia="Arial" w:hAnsi="Arial" w:cs="Arial"/>
                    </w:rPr>
                    <w:t xml:space="preserve">failures in Buyer's systems or Buyer's </w:t>
                  </w:r>
                  <w:proofErr w:type="gramStart"/>
                  <w:r>
                    <w:rPr>
                      <w:rFonts w:ascii="Arial" w:eastAsia="Arial" w:hAnsi="Arial" w:cs="Arial"/>
                    </w:rPr>
                    <w:t>third party</w:t>
                  </w:r>
                  <w:proofErr w:type="gramEnd"/>
                  <w:r>
                    <w:rPr>
                      <w:rFonts w:ascii="Arial" w:eastAsia="Arial" w:hAnsi="Arial" w:cs="Arial"/>
                    </w:rPr>
                    <w:t xml:space="preserve"> systems</w:t>
                  </w:r>
                </w:p>
                <w:p w:rsidR="004168A5" w:rsidRDefault="001C59B0">
                  <w:pPr>
                    <w:jc w:val="left"/>
                    <w:rPr>
                      <w:rFonts w:ascii="Arial" w:eastAsia="Arial" w:hAnsi="Arial" w:cs="Arial"/>
                    </w:rPr>
                  </w:pPr>
                  <w:r>
                    <w:rPr>
                      <w:rFonts w:ascii="Arial" w:eastAsia="Arial" w:hAnsi="Arial" w:cs="Arial"/>
                    </w:rPr>
                    <w:t>If the service fails to meet this service level the Supplier will credit the Buyer with additional service period equal to or greater than the period of the outage.</w:t>
                  </w:r>
                </w:p>
                <w:p w:rsidR="004168A5" w:rsidRDefault="001C59B0">
                  <w:pPr>
                    <w:jc w:val="left"/>
                    <w:rPr>
                      <w:rFonts w:ascii="Arial" w:eastAsia="Arial" w:hAnsi="Arial" w:cs="Arial"/>
                    </w:rPr>
                  </w:pPr>
                  <w:r>
                    <w:rPr>
                      <w:rFonts w:ascii="Arial" w:eastAsia="Arial" w:hAnsi="Arial" w:cs="Arial"/>
                    </w:rPr>
                    <w:t>If Supplier service consistently falls below the availability above the Buyer may terminate the contract without further cause.</w:t>
                  </w:r>
                </w:p>
              </w:tc>
              <w:tc>
                <w:tcPr>
                  <w:tcW w:w="2400" w:type="dxa"/>
                </w:tcPr>
                <w:p w:rsidR="004168A5" w:rsidRDefault="001C59B0">
                  <w:pPr>
                    <w:pStyle w:val="Heading2"/>
                    <w:outlineLvl w:val="1"/>
                    <w:rPr>
                      <w:sz w:val="20"/>
                    </w:rPr>
                  </w:pPr>
                  <w:bookmarkStart w:id="0" w:name="_heading=h.9v84t4mji6ey" w:colFirst="0" w:colLast="0"/>
                  <w:bookmarkEnd w:id="0"/>
                  <w:r>
                    <w:rPr>
                      <w:sz w:val="20"/>
                    </w:rPr>
                    <w:t>99% availability</w:t>
                  </w:r>
                </w:p>
              </w:tc>
            </w:tr>
          </w:tbl>
          <w:p w:rsidR="004168A5" w:rsidRDefault="004168A5">
            <w:pPr>
              <w:widowControl w:val="0"/>
              <w:spacing w:before="190" w:after="0" w:line="283" w:lineRule="auto"/>
              <w:ind w:left="0" w:right="322" w:firstLine="0"/>
              <w:rPr>
                <w:sz w:val="12"/>
                <w:szCs w:val="12"/>
              </w:rPr>
            </w:pPr>
          </w:p>
        </w:tc>
      </w:tr>
      <w:tr w:rsidR="004168A5">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rPr>
                <w:b/>
              </w:rPr>
            </w:pPr>
            <w:r>
              <w:rPr>
                <w:b/>
              </w:rPr>
              <w:lastRenderedPageBreak/>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168A5" w:rsidRDefault="001C59B0">
            <w:pPr>
              <w:widowControl w:val="0"/>
              <w:spacing w:before="190" w:after="0" w:line="283" w:lineRule="auto"/>
              <w:ind w:left="0" w:right="322" w:firstLine="0"/>
            </w:pPr>
            <w:r>
              <w:t>The onboarding plan for this Call-Off Contract is to be confirmed between the contracting authority and supplier.</w:t>
            </w:r>
          </w:p>
        </w:tc>
      </w:tr>
    </w:tbl>
    <w:p w:rsidR="004168A5" w:rsidRDefault="004168A5">
      <w:pPr>
        <w:spacing w:after="0" w:line="256" w:lineRule="auto"/>
        <w:ind w:left="0" w:right="110" w:firstLine="0"/>
      </w:pPr>
    </w:p>
    <w:tbl>
      <w:tblPr>
        <w:tblStyle w:val="a4"/>
        <w:tblW w:w="9639" w:type="dxa"/>
        <w:tblInd w:w="983" w:type="dxa"/>
        <w:tblLayout w:type="fixed"/>
        <w:tblLook w:val="0400" w:firstRow="0" w:lastRow="0" w:firstColumn="0" w:lastColumn="0" w:noHBand="0" w:noVBand="1"/>
      </w:tblPr>
      <w:tblGrid>
        <w:gridCol w:w="3256"/>
        <w:gridCol w:w="6383"/>
      </w:tblGrid>
      <w:tr w:rsidR="004168A5">
        <w:trPr>
          <w:trHeight w:val="700"/>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0" w:line="256" w:lineRule="auto"/>
              <w:ind w:left="10" w:firstLine="0"/>
            </w:pPr>
            <w:r>
              <w:t>The offboarding plan for this Call-Off Contract is to be</w:t>
            </w:r>
          </w:p>
          <w:p w:rsidR="004168A5" w:rsidRDefault="001C59B0">
            <w:pPr>
              <w:spacing w:after="0" w:line="256" w:lineRule="auto"/>
              <w:ind w:left="10" w:firstLine="0"/>
            </w:pPr>
            <w:r>
              <w:t>confirmed between the contracting authority and supplier.</w:t>
            </w:r>
          </w:p>
        </w:tc>
      </w:tr>
      <w:tr w:rsidR="004168A5">
        <w:trPr>
          <w:trHeight w:val="27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0" w:line="256" w:lineRule="auto"/>
              <w:ind w:left="10" w:firstLine="0"/>
            </w:pPr>
            <w:r>
              <w:t>N/A</w:t>
            </w:r>
          </w:p>
        </w:tc>
      </w:tr>
      <w:tr w:rsidR="004168A5">
        <w:trPr>
          <w:trHeight w:val="376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233" w:line="288" w:lineRule="auto"/>
              <w:ind w:left="0" w:firstLine="0"/>
            </w:pPr>
            <w:r>
              <w:t xml:space="preserve">Defaults by either party resulting in direct loss to the property (including technical infrastructure, assets or equipment but excluding any loss or damage to Buyer Data) of the other Party will not exceed £1,000,000.00 per year. </w:t>
            </w:r>
          </w:p>
          <w:p w:rsidR="004168A5" w:rsidRDefault="001C59B0">
            <w:pPr>
              <w:spacing w:after="232" w:line="291" w:lineRule="auto"/>
              <w:ind w:left="10" w:right="43" w:firstLine="0"/>
            </w:pPr>
            <w:r>
              <w:t>The annual total liability of the Supplier for Buyer Data Defaults resulting in direct loss, destruction, corruption, degradation or damage to any Buyer Data will not exceed £1,000,000.00 or 125%</w:t>
            </w:r>
            <w:r>
              <w:rPr>
                <w:b/>
              </w:rPr>
              <w:t xml:space="preserve"> </w:t>
            </w:r>
            <w:r>
              <w:t xml:space="preserve">of the Charges payable by the Buyer to the Supplier during the Call-Off Contract Term (whichever is the greater). </w:t>
            </w:r>
          </w:p>
          <w:p w:rsidR="004168A5" w:rsidRDefault="001C59B0">
            <w:pPr>
              <w:spacing w:after="0" w:line="256" w:lineRule="auto"/>
              <w:ind w:left="10" w:firstLine="0"/>
            </w:pPr>
            <w:r>
              <w:t xml:space="preserve">The annual total liability of the Supplier for all other Defaults will </w:t>
            </w:r>
          </w:p>
          <w:p w:rsidR="004168A5" w:rsidRDefault="001C59B0">
            <w:pPr>
              <w:spacing w:after="0" w:line="256" w:lineRule="auto"/>
              <w:ind w:left="10" w:firstLine="0"/>
            </w:pPr>
            <w:r>
              <w:t xml:space="preserve">not exceed the greater of £500,000.00 or 100% of the Charges payable by the Buyer to the Supplier during the Call-Off Contract Term (whichever is the greater). </w:t>
            </w:r>
          </w:p>
        </w:tc>
      </w:tr>
      <w:tr w:rsidR="004168A5">
        <w:trPr>
          <w:trHeight w:val="4200"/>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48" w:line="256" w:lineRule="auto"/>
              <w:ind w:left="10" w:firstLine="0"/>
            </w:pPr>
            <w:r>
              <w:t xml:space="preserve">The Supplier insurance(s) required will be: </w:t>
            </w:r>
          </w:p>
          <w:p w:rsidR="004168A5" w:rsidRDefault="001C59B0">
            <w:pPr>
              <w:numPr>
                <w:ilvl w:val="0"/>
                <w:numId w:val="23"/>
              </w:numPr>
              <w:spacing w:after="22" w:line="285" w:lineRule="auto"/>
              <w:ind w:hanging="398"/>
            </w:pPr>
            <w:r>
              <w:t xml:space="preserve">a minimum insurance period of [6 years] following the expiration or Ending of this Call-Off Contract </w:t>
            </w:r>
          </w:p>
          <w:p w:rsidR="004168A5" w:rsidRDefault="001C59B0">
            <w:pPr>
              <w:numPr>
                <w:ilvl w:val="0"/>
                <w:numId w:val="23"/>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4168A5" w:rsidRDefault="001C59B0">
            <w:pPr>
              <w:numPr>
                <w:ilvl w:val="0"/>
                <w:numId w:val="23"/>
              </w:numPr>
              <w:spacing w:after="43" w:line="256" w:lineRule="auto"/>
              <w:ind w:hanging="398"/>
            </w:pPr>
            <w:r>
              <w:t xml:space="preserve">employers' liability insurance with a minimum limit of </w:t>
            </w:r>
          </w:p>
          <w:p w:rsidR="004168A5" w:rsidRDefault="001C59B0">
            <w:pPr>
              <w:spacing w:after="0" w:line="256" w:lineRule="auto"/>
              <w:ind w:left="0" w:right="65" w:firstLine="0"/>
              <w:jc w:val="right"/>
            </w:pPr>
            <w:r>
              <w:t xml:space="preserve">£5,000,000 or any higher minimum limit required by Law </w:t>
            </w:r>
          </w:p>
        </w:tc>
      </w:tr>
      <w:tr w:rsidR="004168A5">
        <w:trPr>
          <w:trHeight w:val="609"/>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0" w:line="256" w:lineRule="auto"/>
              <w:ind w:left="10" w:firstLine="0"/>
            </w:pPr>
            <w:r>
              <w:t>The Buyer is responsible for providing access to staff and</w:t>
            </w:r>
          </w:p>
          <w:p w:rsidR="004168A5" w:rsidRDefault="001C59B0">
            <w:pPr>
              <w:spacing w:after="0" w:line="256" w:lineRule="auto"/>
              <w:ind w:left="10" w:firstLine="0"/>
            </w:pPr>
            <w:r>
              <w:t>buildings where appropriate.</w:t>
            </w:r>
          </w:p>
          <w:p w:rsidR="004168A5" w:rsidRDefault="004168A5">
            <w:pPr>
              <w:spacing w:after="0" w:line="256" w:lineRule="auto"/>
              <w:ind w:left="0" w:firstLine="0"/>
            </w:pPr>
          </w:p>
        </w:tc>
      </w:tr>
      <w:tr w:rsidR="004168A5">
        <w:trPr>
          <w:trHeight w:val="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0" w:line="256" w:lineRule="auto"/>
              <w:ind w:left="0" w:firstLine="0"/>
            </w:pPr>
            <w:r>
              <w:rPr>
                <w:b/>
              </w:rPr>
              <w:lastRenderedPageBreak/>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4168A5" w:rsidRDefault="001C59B0">
            <w:pPr>
              <w:spacing w:after="0" w:line="256" w:lineRule="auto"/>
              <w:ind w:left="10" w:firstLine="0"/>
            </w:pPr>
            <w:r>
              <w:t>N/A</w:t>
            </w:r>
          </w:p>
        </w:tc>
      </w:tr>
    </w:tbl>
    <w:p w:rsidR="004168A5" w:rsidRDefault="004168A5">
      <w:pPr>
        <w:pStyle w:val="Heading3"/>
        <w:spacing w:after="0"/>
        <w:ind w:left="1113" w:firstLine="1118"/>
      </w:pPr>
    </w:p>
    <w:p w:rsidR="004168A5" w:rsidRDefault="001C59B0">
      <w:pPr>
        <w:pStyle w:val="Heading3"/>
        <w:spacing w:after="0"/>
        <w:ind w:left="720" w:firstLine="720"/>
      </w:pPr>
      <w:r>
        <w:t xml:space="preserve">Supplier’s information </w:t>
      </w:r>
    </w:p>
    <w:tbl>
      <w:tblPr>
        <w:tblStyle w:val="a5"/>
        <w:tblW w:w="9622" w:type="dxa"/>
        <w:tblInd w:w="1039" w:type="dxa"/>
        <w:tblLayout w:type="fixed"/>
        <w:tblLook w:val="0400" w:firstRow="0" w:lastRow="0" w:firstColumn="0" w:lastColumn="0" w:noHBand="0" w:noVBand="1"/>
      </w:tblPr>
      <w:tblGrid>
        <w:gridCol w:w="2600"/>
        <w:gridCol w:w="7022"/>
      </w:tblGrid>
      <w:tr w:rsidR="004168A5">
        <w:trPr>
          <w:trHeight w:val="2703"/>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rsidR="004168A5" w:rsidRDefault="001C59B0">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rsidR="004168A5" w:rsidRDefault="001C59B0">
            <w:pPr>
              <w:spacing w:after="0" w:line="256" w:lineRule="auto"/>
              <w:ind w:left="10" w:firstLine="0"/>
              <w:rPr>
                <w:b/>
              </w:rPr>
            </w:pPr>
            <w:r>
              <w:t xml:space="preserve">The following is a list of the Supplier’s Subcontractors or Partners </w:t>
            </w:r>
          </w:p>
          <w:p w:rsidR="004168A5" w:rsidRDefault="004168A5">
            <w:pPr>
              <w:spacing w:after="0" w:line="256" w:lineRule="auto"/>
              <w:ind w:left="10" w:firstLine="0"/>
            </w:pPr>
          </w:p>
          <w:p w:rsidR="004168A5" w:rsidRDefault="001C59B0">
            <w:pPr>
              <w:spacing w:after="0" w:line="256" w:lineRule="auto"/>
              <w:ind w:left="10" w:firstLine="0"/>
            </w:pPr>
            <w:r>
              <w:t>Amazon Web Services, Inc.</w:t>
            </w:r>
          </w:p>
          <w:p w:rsidR="004168A5" w:rsidRDefault="001C59B0">
            <w:pPr>
              <w:spacing w:after="0" w:line="256" w:lineRule="auto"/>
              <w:ind w:left="10" w:firstLine="0"/>
            </w:pPr>
            <w:r>
              <w:t>Cloudflare Inc.</w:t>
            </w:r>
          </w:p>
          <w:p w:rsidR="004168A5" w:rsidRDefault="001C59B0">
            <w:pPr>
              <w:spacing w:after="0" w:line="256" w:lineRule="auto"/>
              <w:ind w:left="10" w:firstLine="0"/>
            </w:pPr>
            <w:r>
              <w:t>Datadog, Inc.</w:t>
            </w:r>
          </w:p>
          <w:p w:rsidR="004168A5" w:rsidRDefault="001C59B0">
            <w:pPr>
              <w:spacing w:after="0" w:line="256" w:lineRule="auto"/>
              <w:ind w:left="10" w:firstLine="0"/>
            </w:pPr>
            <w:r>
              <w:t>Functional Software, Inc. (Sentry)</w:t>
            </w:r>
          </w:p>
          <w:p w:rsidR="004168A5" w:rsidRDefault="001C59B0">
            <w:pPr>
              <w:spacing w:after="0" w:line="256" w:lineRule="auto"/>
              <w:ind w:left="10" w:firstLine="0"/>
            </w:pPr>
            <w:r>
              <w:t>Google Cloud Platform</w:t>
            </w:r>
          </w:p>
          <w:p w:rsidR="004168A5" w:rsidRDefault="001C59B0">
            <w:pPr>
              <w:spacing w:after="0" w:line="256" w:lineRule="auto"/>
              <w:ind w:left="10" w:firstLine="0"/>
            </w:pPr>
            <w:r>
              <w:t>Google Workspace</w:t>
            </w:r>
          </w:p>
          <w:p w:rsidR="004168A5" w:rsidRDefault="001C59B0">
            <w:pPr>
              <w:spacing w:after="0" w:line="256" w:lineRule="auto"/>
              <w:ind w:left="10" w:firstLine="0"/>
            </w:pPr>
            <w:proofErr w:type="spellStart"/>
            <w:r>
              <w:t>Mailgun</w:t>
            </w:r>
            <w:proofErr w:type="spellEnd"/>
            <w:r>
              <w:t xml:space="preserve"> Technologies Inc.</w:t>
            </w:r>
          </w:p>
          <w:p w:rsidR="004168A5" w:rsidRDefault="001C59B0">
            <w:pPr>
              <w:spacing w:after="0" w:line="256" w:lineRule="auto"/>
              <w:ind w:left="10" w:firstLine="0"/>
            </w:pPr>
            <w:proofErr w:type="spellStart"/>
            <w:r>
              <w:t>Wildbit</w:t>
            </w:r>
            <w:proofErr w:type="spellEnd"/>
            <w:r>
              <w:t xml:space="preserve"> LLC (Postmark)</w:t>
            </w:r>
          </w:p>
          <w:p w:rsidR="004168A5" w:rsidRDefault="004168A5">
            <w:pPr>
              <w:spacing w:after="0" w:line="256" w:lineRule="auto"/>
              <w:ind w:left="10" w:firstLine="0"/>
            </w:pPr>
          </w:p>
        </w:tc>
      </w:tr>
    </w:tbl>
    <w:p w:rsidR="004168A5" w:rsidRDefault="004168A5">
      <w:pPr>
        <w:pStyle w:val="Heading3"/>
        <w:spacing w:after="158"/>
        <w:ind w:left="1113" w:firstLine="1118"/>
      </w:pPr>
    </w:p>
    <w:p w:rsidR="004168A5" w:rsidRDefault="001C59B0">
      <w:pPr>
        <w:pStyle w:val="Heading3"/>
        <w:spacing w:after="158"/>
        <w:ind w:left="1113" w:firstLine="1118"/>
      </w:pPr>
      <w:r>
        <w:t xml:space="preserve">Call-Off Contract charges and payment </w:t>
      </w:r>
    </w:p>
    <w:p w:rsidR="004168A5" w:rsidRDefault="001C59B0">
      <w:pPr>
        <w:spacing w:after="0"/>
        <w:ind w:right="14"/>
      </w:pPr>
      <w:r>
        <w:t xml:space="preserve">The Call-Off Contract charges and payment details are in the table below. See Schedule 2 for a full breakdown. </w:t>
      </w:r>
    </w:p>
    <w:p w:rsidR="004168A5" w:rsidRDefault="004168A5">
      <w:pPr>
        <w:spacing w:after="0" w:line="256" w:lineRule="auto"/>
        <w:ind w:left="0" w:right="110" w:firstLine="0"/>
      </w:pPr>
    </w:p>
    <w:tbl>
      <w:tblPr>
        <w:tblStyle w:val="a6"/>
        <w:tblW w:w="9622" w:type="dxa"/>
        <w:tblInd w:w="1039" w:type="dxa"/>
        <w:tblLayout w:type="fixed"/>
        <w:tblLook w:val="0400" w:firstRow="0" w:lastRow="0" w:firstColumn="0" w:lastColumn="0" w:noHBand="0" w:noVBand="1"/>
      </w:tblPr>
      <w:tblGrid>
        <w:gridCol w:w="2502"/>
        <w:gridCol w:w="7120"/>
      </w:tblGrid>
      <w:tr w:rsidR="004168A5">
        <w:trPr>
          <w:trHeight w:val="87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2" w:firstLine="0"/>
            </w:pPr>
            <w:r>
              <w:t>The payment method for this Call-Off Contract is invoice and BACS.</w:t>
            </w:r>
          </w:p>
          <w:p w:rsidR="004168A5" w:rsidRDefault="004168A5">
            <w:pPr>
              <w:spacing w:after="0" w:line="256" w:lineRule="auto"/>
              <w:ind w:left="2" w:firstLine="0"/>
            </w:pPr>
          </w:p>
        </w:tc>
      </w:tr>
      <w:tr w:rsidR="004168A5">
        <w:trPr>
          <w:trHeight w:val="9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2" w:firstLine="0"/>
            </w:pPr>
            <w:r>
              <w:t>The payment profile for this Call-Off Contract is monthly in arrears.</w:t>
            </w:r>
          </w:p>
          <w:p w:rsidR="004168A5" w:rsidRDefault="004168A5">
            <w:pPr>
              <w:spacing w:after="0" w:line="256" w:lineRule="auto"/>
              <w:ind w:left="2" w:firstLine="0"/>
            </w:pPr>
          </w:p>
        </w:tc>
      </w:tr>
      <w:tr w:rsidR="004168A5">
        <w:trPr>
          <w:trHeight w:val="145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0" w:firstLine="0"/>
            </w:pPr>
            <w:r>
              <w:t xml:space="preserve">The Supplier will issue an electronic invoice monthly in </w:t>
            </w:r>
            <w:proofErr w:type="spellStart"/>
            <w:proofErr w:type="gramStart"/>
            <w:r>
              <w:t>arrears.The</w:t>
            </w:r>
            <w:proofErr w:type="spellEnd"/>
            <w:proofErr w:type="gramEnd"/>
            <w:r>
              <w:t xml:space="preserve"> Buyer will pay the Supplier within 30 days of</w:t>
            </w:r>
          </w:p>
          <w:p w:rsidR="004168A5" w:rsidRDefault="001C59B0">
            <w:pPr>
              <w:spacing w:after="0" w:line="256" w:lineRule="auto"/>
              <w:ind w:left="2" w:firstLine="0"/>
            </w:pPr>
            <w:r>
              <w:t>receipt of a valid undisputed invoice.</w:t>
            </w:r>
          </w:p>
        </w:tc>
      </w:tr>
      <w:tr w:rsidR="004168A5">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2" w:firstLine="0"/>
            </w:pPr>
            <w:r>
              <w:t>Invoices will be sent to:</w:t>
            </w:r>
          </w:p>
          <w:p w:rsidR="004168A5" w:rsidRDefault="00144B5E" w:rsidP="00144B5E">
            <w:pPr>
              <w:spacing w:after="0" w:line="256" w:lineRule="auto"/>
              <w:ind w:left="2" w:firstLine="0"/>
            </w:pPr>
            <w:r w:rsidRPr="00CE3DCF">
              <w:rPr>
                <w:color w:val="FF0000"/>
              </w:rPr>
              <w:t>REDACTED TEXT under FOIA Section 40, Personal Information</w:t>
            </w:r>
            <w:r w:rsidRPr="00CE3DCF">
              <w:t>.</w:t>
            </w:r>
          </w:p>
          <w:p w:rsidR="004168A5" w:rsidRDefault="004168A5">
            <w:pPr>
              <w:spacing w:after="0" w:line="256" w:lineRule="auto"/>
              <w:ind w:left="2" w:firstLine="0"/>
            </w:pPr>
          </w:p>
          <w:p w:rsidR="004168A5" w:rsidRDefault="004168A5" w:rsidP="00144B5E">
            <w:pPr>
              <w:spacing w:after="0" w:line="256" w:lineRule="auto"/>
              <w:ind w:left="2" w:firstLine="0"/>
            </w:pPr>
          </w:p>
        </w:tc>
      </w:tr>
      <w:tr w:rsidR="004168A5">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0" w:firstLine="0"/>
            </w:pPr>
            <w:r>
              <w:rPr>
                <w:b/>
              </w:rPr>
              <w:lastRenderedPageBreak/>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2" w:firstLine="0"/>
            </w:pPr>
            <w:r>
              <w:t>All invoices must include:</w:t>
            </w:r>
          </w:p>
          <w:p w:rsidR="004168A5" w:rsidRDefault="001C59B0">
            <w:pPr>
              <w:spacing w:after="0" w:line="256" w:lineRule="auto"/>
              <w:ind w:left="2" w:firstLine="0"/>
            </w:pPr>
            <w:r>
              <w:t>● The Purchase Order number</w:t>
            </w:r>
          </w:p>
          <w:p w:rsidR="004168A5" w:rsidRDefault="001C59B0">
            <w:pPr>
              <w:spacing w:after="0" w:line="256" w:lineRule="auto"/>
              <w:ind w:left="2" w:firstLine="0"/>
            </w:pPr>
            <w:r>
              <w:t>● Contract reference</w:t>
            </w:r>
          </w:p>
          <w:p w:rsidR="004168A5" w:rsidRDefault="001C59B0">
            <w:pPr>
              <w:spacing w:after="0" w:line="256" w:lineRule="auto"/>
              <w:ind w:left="2" w:firstLine="0"/>
            </w:pPr>
            <w:r>
              <w:t>● Date</w:t>
            </w:r>
          </w:p>
          <w:p w:rsidR="004168A5" w:rsidRDefault="001C59B0">
            <w:pPr>
              <w:spacing w:after="0" w:line="256" w:lineRule="auto"/>
              <w:ind w:left="2" w:firstLine="0"/>
            </w:pPr>
            <w:r>
              <w:t>● Address (Buyer and Supplier)</w:t>
            </w:r>
          </w:p>
          <w:p w:rsidR="004168A5" w:rsidRDefault="001C59B0">
            <w:pPr>
              <w:spacing w:after="0" w:line="256" w:lineRule="auto"/>
              <w:ind w:left="2" w:firstLine="0"/>
            </w:pPr>
            <w:r>
              <w:t>● Supplier name and contact details</w:t>
            </w:r>
          </w:p>
          <w:p w:rsidR="004168A5" w:rsidRDefault="001C59B0">
            <w:pPr>
              <w:spacing w:after="0" w:line="256" w:lineRule="auto"/>
              <w:ind w:left="2" w:firstLine="0"/>
            </w:pPr>
            <w:r>
              <w:t>● Remittance and payment bank account details</w:t>
            </w:r>
          </w:p>
          <w:p w:rsidR="004168A5" w:rsidRDefault="001C59B0">
            <w:pPr>
              <w:spacing w:after="0" w:line="256" w:lineRule="auto"/>
              <w:ind w:left="2" w:firstLine="0"/>
            </w:pPr>
            <w:r>
              <w:t>● Description of the charges</w:t>
            </w:r>
          </w:p>
          <w:p w:rsidR="004168A5" w:rsidRDefault="001C59B0">
            <w:pPr>
              <w:spacing w:after="0" w:line="256" w:lineRule="auto"/>
              <w:ind w:left="2" w:firstLine="0"/>
            </w:pPr>
            <w:r>
              <w:t>● Volume of the charges</w:t>
            </w:r>
          </w:p>
          <w:p w:rsidR="004168A5" w:rsidRDefault="001C59B0">
            <w:pPr>
              <w:spacing w:after="0" w:line="256" w:lineRule="auto"/>
              <w:ind w:left="2" w:firstLine="0"/>
            </w:pPr>
            <w:r>
              <w:t>● Unit cost of the charges</w:t>
            </w:r>
          </w:p>
        </w:tc>
      </w:tr>
      <w:tr w:rsidR="004168A5">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2" w:firstLine="0"/>
            </w:pPr>
            <w:r>
              <w:t xml:space="preserve">Invoice will be sent to the Buyer monthly. </w:t>
            </w:r>
          </w:p>
        </w:tc>
      </w:tr>
      <w:tr w:rsidR="004168A5">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2" w:firstLine="0"/>
            </w:pPr>
            <w:r>
              <w:t>The total value of this Call-Off Contract is £524,118.00 (</w:t>
            </w:r>
            <w:proofErr w:type="spellStart"/>
            <w:r>
              <w:t>exc</w:t>
            </w:r>
            <w:proofErr w:type="spellEnd"/>
            <w:r>
              <w:t xml:space="preserve"> VAT) £628,941.60 (</w:t>
            </w:r>
            <w:proofErr w:type="spellStart"/>
            <w:r>
              <w:t>inc</w:t>
            </w:r>
            <w:proofErr w:type="spellEnd"/>
            <w:r>
              <w:t xml:space="preserve"> VAT) As per PPN 10/21</w:t>
            </w:r>
          </w:p>
        </w:tc>
      </w:tr>
      <w:tr w:rsidR="004168A5">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4168A5" w:rsidRDefault="001C59B0">
            <w:pPr>
              <w:spacing w:after="0" w:line="256" w:lineRule="auto"/>
              <w:ind w:left="2" w:firstLine="0"/>
            </w:pPr>
            <w:r>
              <w:t xml:space="preserve">The breakdown of the Charges is: </w:t>
            </w:r>
          </w:p>
          <w:p w:rsidR="00144B5E" w:rsidRDefault="00144B5E" w:rsidP="00144B5E">
            <w:pPr>
              <w:spacing w:after="0" w:line="256" w:lineRule="auto"/>
              <w:ind w:left="2" w:firstLine="0"/>
            </w:pPr>
            <w:r w:rsidRPr="00135BD3">
              <w:rPr>
                <w:color w:val="FF0000"/>
              </w:rPr>
              <w:t>REDACTED TEXT under FOIA Section 43 Commercial Interests.</w:t>
            </w:r>
          </w:p>
          <w:p w:rsidR="00144B5E" w:rsidRDefault="00144B5E">
            <w:pPr>
              <w:spacing w:after="0" w:line="256" w:lineRule="auto"/>
              <w:ind w:left="2" w:firstLine="0"/>
            </w:pPr>
          </w:p>
          <w:p w:rsidR="004168A5" w:rsidRDefault="004168A5">
            <w:pPr>
              <w:spacing w:after="0" w:line="256" w:lineRule="auto"/>
              <w:ind w:left="2" w:firstLine="0"/>
            </w:pPr>
          </w:p>
          <w:p w:rsidR="004168A5" w:rsidRDefault="004168A5">
            <w:pPr>
              <w:spacing w:after="0" w:line="256" w:lineRule="auto"/>
              <w:ind w:left="2" w:firstLine="0"/>
            </w:pPr>
          </w:p>
        </w:tc>
      </w:tr>
    </w:tbl>
    <w:p w:rsidR="004168A5" w:rsidRDefault="001C59B0">
      <w:pPr>
        <w:pStyle w:val="Heading3"/>
        <w:spacing w:after="0"/>
        <w:ind w:left="1113" w:firstLine="1118"/>
      </w:pPr>
      <w:r>
        <w:t xml:space="preserve">Additional Buyer terms </w:t>
      </w:r>
    </w:p>
    <w:tbl>
      <w:tblPr>
        <w:tblStyle w:val="a7"/>
        <w:tblW w:w="9583" w:type="dxa"/>
        <w:tblInd w:w="1039" w:type="dxa"/>
        <w:tblLayout w:type="fixed"/>
        <w:tblLook w:val="0400" w:firstRow="0" w:lastRow="0" w:firstColumn="0" w:lastColumn="0" w:noHBand="0" w:noVBand="1"/>
      </w:tblPr>
      <w:tblGrid>
        <w:gridCol w:w="2622"/>
        <w:gridCol w:w="6961"/>
      </w:tblGrid>
      <w:tr w:rsidR="004168A5">
        <w:trPr>
          <w:trHeight w:val="8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268" w:line="283" w:lineRule="auto"/>
              <w:ind w:left="2" w:firstLine="0"/>
            </w:pPr>
            <w:r>
              <w:t xml:space="preserve">As per Service Definition of </w:t>
            </w:r>
            <w:proofErr w:type="spellStart"/>
            <w:r>
              <w:t>GCloud</w:t>
            </w:r>
            <w:proofErr w:type="spellEnd"/>
            <w:r>
              <w:t xml:space="preserve"> 13 Service ID: 260198898252496.</w:t>
            </w:r>
          </w:p>
        </w:tc>
      </w:tr>
      <w:tr w:rsidR="004168A5">
        <w:trPr>
          <w:trHeight w:val="8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0" w:firstLine="0"/>
            </w:pPr>
            <w:r>
              <w:t>N/A</w:t>
            </w:r>
          </w:p>
        </w:tc>
      </w:tr>
      <w:tr w:rsidR="004168A5">
        <w:trPr>
          <w:trHeight w:val="1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2" w:firstLine="0"/>
            </w:pPr>
            <w:r>
              <w:t xml:space="preserve">Service Definition of </w:t>
            </w:r>
            <w:proofErr w:type="spellStart"/>
            <w:r>
              <w:t>GCloud</w:t>
            </w:r>
            <w:proofErr w:type="spellEnd"/>
            <w:r>
              <w:t xml:space="preserve"> 13 ID 298378501690695. </w:t>
            </w:r>
          </w:p>
        </w:tc>
      </w:tr>
      <w:tr w:rsidR="004168A5">
        <w:trPr>
          <w:trHeight w:val="17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0" w:firstLine="0"/>
            </w:pPr>
            <w:r>
              <w:rPr>
                <w:b/>
              </w:rPr>
              <w:lastRenderedPageBreak/>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2" w:firstLine="0"/>
            </w:pPr>
            <w:r>
              <w:t>Within the scope of the Call-Off Contract, the Supplier will provide Priority support for data, UI, and API, and respond to</w:t>
            </w:r>
          </w:p>
          <w:p w:rsidR="004168A5" w:rsidRDefault="001C59B0">
            <w:pPr>
              <w:spacing w:after="0" w:line="256" w:lineRule="auto"/>
              <w:ind w:left="2" w:firstLine="0"/>
            </w:pPr>
            <w:r>
              <w:t>development feature requests to improve the product.</w:t>
            </w:r>
          </w:p>
          <w:p w:rsidR="004168A5" w:rsidRDefault="004168A5">
            <w:pPr>
              <w:spacing w:after="0" w:line="256" w:lineRule="auto"/>
              <w:ind w:left="2" w:firstLine="0"/>
            </w:pPr>
          </w:p>
        </w:tc>
      </w:tr>
      <w:tr w:rsidR="004168A5">
        <w:trPr>
          <w:trHeight w:val="8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2" w:firstLine="0"/>
            </w:pPr>
            <w:r>
              <w:t>N/A</w:t>
            </w:r>
          </w:p>
        </w:tc>
      </w:tr>
      <w:tr w:rsidR="004168A5">
        <w:trPr>
          <w:trHeight w:val="9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26" w:line="256" w:lineRule="auto"/>
              <w:ind w:left="0" w:firstLine="0"/>
            </w:pPr>
            <w:r>
              <w:rPr>
                <w:b/>
              </w:rPr>
              <w:t xml:space="preserve">Buyer specific </w:t>
            </w:r>
          </w:p>
          <w:p w:rsidR="004168A5" w:rsidRDefault="001C59B0">
            <w:pPr>
              <w:spacing w:after="28" w:line="256" w:lineRule="auto"/>
              <w:ind w:left="0" w:firstLine="0"/>
            </w:pPr>
            <w:r>
              <w:rPr>
                <w:b/>
              </w:rPr>
              <w:t>amendments</w:t>
            </w:r>
            <w:r>
              <w:t xml:space="preserve"> </w:t>
            </w:r>
          </w:p>
          <w:p w:rsidR="004168A5" w:rsidRDefault="001C59B0">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2" w:firstLine="0"/>
            </w:pPr>
            <w:r>
              <w:t>N/A</w:t>
            </w:r>
          </w:p>
        </w:tc>
      </w:tr>
      <w:tr w:rsidR="004168A5">
        <w:trPr>
          <w:trHeight w:val="7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2" w:firstLine="0"/>
            </w:pPr>
            <w:r>
              <w:t xml:space="preserve">Schedule 7 is being used: Annex 1 </w:t>
            </w:r>
          </w:p>
        </w:tc>
      </w:tr>
      <w:tr w:rsidR="004168A5">
        <w:trPr>
          <w:trHeight w:val="4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2" w:firstLine="0"/>
            </w:pPr>
            <w:r>
              <w:t>None</w:t>
            </w:r>
          </w:p>
        </w:tc>
      </w:tr>
      <w:tr w:rsidR="004168A5">
        <w:trPr>
          <w:trHeight w:val="9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4168A5" w:rsidRDefault="001C59B0">
            <w:pPr>
              <w:spacing w:after="0" w:line="256" w:lineRule="auto"/>
              <w:ind w:left="2" w:firstLine="0"/>
            </w:pPr>
            <w:r>
              <w:t xml:space="preserve">As per the Social Value section of </w:t>
            </w:r>
            <w:proofErr w:type="spellStart"/>
            <w:r>
              <w:t>GCloud</w:t>
            </w:r>
            <w:proofErr w:type="spellEnd"/>
            <w:r>
              <w:t xml:space="preserve"> 13 Service ID 260198898252496.</w:t>
            </w:r>
          </w:p>
        </w:tc>
      </w:tr>
    </w:tbl>
    <w:p w:rsidR="004168A5" w:rsidRDefault="001C59B0">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rsidR="004168A5" w:rsidRDefault="001C59B0">
      <w:pPr>
        <w:pStyle w:val="Heading3"/>
        <w:tabs>
          <w:tab w:val="center" w:pos="1235"/>
          <w:tab w:val="center" w:pos="3177"/>
        </w:tabs>
        <w:ind w:left="0" w:firstLine="0"/>
      </w:pPr>
      <w:r>
        <w:tab/>
        <w:t xml:space="preserve">1. </w:t>
      </w:r>
      <w:r>
        <w:tab/>
        <w:t xml:space="preserve">Formation of contract </w:t>
      </w:r>
    </w:p>
    <w:p w:rsidR="004168A5" w:rsidRDefault="001C59B0">
      <w:pPr>
        <w:ind w:left="1838" w:right="14" w:hanging="720"/>
      </w:pPr>
      <w:r>
        <w:t xml:space="preserve">1.1       By signing and returning this Order Form (Part A), the Supplier agrees to enter into a Call-Off Contract with the Buyer. </w:t>
      </w:r>
    </w:p>
    <w:p w:rsidR="004168A5" w:rsidRDefault="001C59B0">
      <w:pPr>
        <w:ind w:left="1838" w:right="14" w:hanging="720"/>
      </w:pPr>
      <w:r>
        <w:t xml:space="preserve">1.2 </w:t>
      </w:r>
      <w:r>
        <w:tab/>
        <w:t xml:space="preserve">The Parties agree that they have read the Order Form (Part A) and the Call-Off Contract terms and by signing below agree to be bound by this Call-Off Contract. </w:t>
      </w:r>
    </w:p>
    <w:p w:rsidR="004168A5" w:rsidRDefault="001C59B0">
      <w:pPr>
        <w:ind w:left="1838" w:right="14" w:hanging="720"/>
      </w:pPr>
      <w:r>
        <w:t xml:space="preserve">1.3 </w:t>
      </w:r>
      <w:r>
        <w:tab/>
        <w:t xml:space="preserve">This Call-Off Contract will be formed when the Buyer acknowledges receipt of the signed copy of the Order Form from the Supplier. </w:t>
      </w:r>
    </w:p>
    <w:p w:rsidR="004168A5" w:rsidRDefault="001C59B0">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4168A5" w:rsidRDefault="001C59B0">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 xml:space="preserve">Background to the agreement </w:t>
      </w:r>
    </w:p>
    <w:p w:rsidR="004168A5" w:rsidRDefault="001C59B0">
      <w:pPr>
        <w:ind w:left="1776" w:right="14" w:hanging="658"/>
      </w:pPr>
      <w:r>
        <w:t xml:space="preserve">2.1 </w:t>
      </w:r>
      <w:r>
        <w:tab/>
        <w:t>The Supplier is a provider of G-Cloud Services and agreed to provide the Services under the terms of Framework Agreement number RM1557.13.</w:t>
      </w:r>
    </w:p>
    <w:tbl>
      <w:tblPr>
        <w:tblStyle w:val="a8"/>
        <w:tblW w:w="9720" w:type="dxa"/>
        <w:tblInd w:w="1039" w:type="dxa"/>
        <w:tblLayout w:type="fixed"/>
        <w:tblLook w:val="0400" w:firstRow="0" w:lastRow="0" w:firstColumn="0" w:lastColumn="0" w:noHBand="0" w:noVBand="1"/>
      </w:tblPr>
      <w:tblGrid>
        <w:gridCol w:w="1801"/>
        <w:gridCol w:w="3699"/>
        <w:gridCol w:w="4220"/>
      </w:tblGrid>
      <w:tr w:rsidR="00144B5E" w:rsidTr="00144B5E">
        <w:trPr>
          <w:trHeight w:val="917"/>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144B5E" w:rsidRDefault="00144B5E" w:rsidP="00144B5E">
            <w:pPr>
              <w:spacing w:after="0" w:line="256" w:lineRule="auto"/>
              <w:ind w:left="0" w:firstLine="0"/>
            </w:pPr>
            <w:r>
              <w:rPr>
                <w:b/>
              </w:rPr>
              <w:t>Signed</w:t>
            </w:r>
            <w:r>
              <w:t xml:space="preserve"> </w:t>
            </w:r>
          </w:p>
        </w:tc>
        <w:tc>
          <w:tcPr>
            <w:tcW w:w="3699"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144B5E" w:rsidRDefault="00144B5E" w:rsidP="00144B5E">
            <w:r w:rsidRPr="005A731B">
              <w:rPr>
                <w:color w:val="FF0000"/>
              </w:rPr>
              <w:t>REDACTED TEXT under FOIA Section 40, Personal Information</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144B5E" w:rsidRDefault="00144B5E" w:rsidP="00144B5E">
            <w:r w:rsidRPr="005A731B">
              <w:rPr>
                <w:color w:val="FF0000"/>
              </w:rPr>
              <w:t>REDACTED TEXT under FOIA Section 40, Personal Information</w:t>
            </w:r>
          </w:p>
        </w:tc>
      </w:tr>
      <w:tr w:rsidR="00144B5E" w:rsidTr="00144B5E">
        <w:trPr>
          <w:trHeight w:val="938"/>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144B5E" w:rsidRDefault="00144B5E" w:rsidP="00144B5E">
            <w:pPr>
              <w:spacing w:after="0" w:line="256" w:lineRule="auto"/>
              <w:ind w:left="0" w:firstLine="0"/>
            </w:pPr>
            <w:r>
              <w:rPr>
                <w:b/>
              </w:rPr>
              <w:t>Name</w:t>
            </w:r>
            <w:r>
              <w:t xml:space="preserve"> </w:t>
            </w:r>
          </w:p>
        </w:tc>
        <w:tc>
          <w:tcPr>
            <w:tcW w:w="3699"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144B5E" w:rsidRDefault="00144B5E" w:rsidP="00144B5E">
            <w:r w:rsidRPr="005A731B">
              <w:rPr>
                <w:color w:val="FF0000"/>
              </w:rPr>
              <w:t>REDACTED TEXT under FOIA Section 40, Personal Information</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144B5E" w:rsidRDefault="00144B5E" w:rsidP="00144B5E">
            <w:r w:rsidRPr="005A731B">
              <w:rPr>
                <w:color w:val="FF0000"/>
              </w:rPr>
              <w:t>REDACTED TEXT under FOIA Section 40, Personal Information</w:t>
            </w:r>
          </w:p>
        </w:tc>
      </w:tr>
      <w:tr w:rsidR="00144B5E" w:rsidTr="00144B5E">
        <w:trPr>
          <w:trHeight w:val="917"/>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144B5E" w:rsidRDefault="00144B5E" w:rsidP="00144B5E">
            <w:pPr>
              <w:spacing w:after="0" w:line="256" w:lineRule="auto"/>
              <w:ind w:left="0" w:firstLine="0"/>
            </w:pPr>
            <w:r>
              <w:rPr>
                <w:b/>
              </w:rPr>
              <w:t>Title</w:t>
            </w:r>
            <w:r>
              <w:t xml:space="preserve"> </w:t>
            </w:r>
          </w:p>
        </w:tc>
        <w:tc>
          <w:tcPr>
            <w:tcW w:w="3699"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144B5E" w:rsidRDefault="00144B5E" w:rsidP="00144B5E">
            <w:r w:rsidRPr="005A731B">
              <w:rPr>
                <w:color w:val="FF0000"/>
              </w:rPr>
              <w:t>REDACTED TEXT under FOIA Section 40, Personal Information</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144B5E" w:rsidRDefault="00144B5E" w:rsidP="00144B5E">
            <w:r w:rsidRPr="005A731B">
              <w:rPr>
                <w:color w:val="FF0000"/>
              </w:rPr>
              <w:t>REDACTED TEXT under FOIA Section 40, Personal Information</w:t>
            </w:r>
          </w:p>
        </w:tc>
      </w:tr>
      <w:tr w:rsidR="00144B5E" w:rsidTr="00144B5E">
        <w:trPr>
          <w:trHeight w:val="1020"/>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144B5E" w:rsidRDefault="00144B5E" w:rsidP="00144B5E">
            <w:pPr>
              <w:spacing w:after="0" w:line="256" w:lineRule="auto"/>
              <w:ind w:left="0" w:firstLine="0"/>
            </w:pPr>
            <w:r>
              <w:rPr>
                <w:b/>
              </w:rPr>
              <w:t>Signature</w:t>
            </w:r>
            <w:r>
              <w:t xml:space="preserve"> </w:t>
            </w:r>
          </w:p>
        </w:tc>
        <w:tc>
          <w:tcPr>
            <w:tcW w:w="3699"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144B5E" w:rsidRDefault="00144B5E" w:rsidP="00144B5E">
            <w:r w:rsidRPr="005A731B">
              <w:rPr>
                <w:color w:val="FF0000"/>
              </w:rPr>
              <w:t>REDACTED TEXT under FOIA Section 40, Personal Information</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144B5E" w:rsidRDefault="00144B5E" w:rsidP="00144B5E">
            <w:r w:rsidRPr="005A731B">
              <w:rPr>
                <w:color w:val="FF0000"/>
              </w:rPr>
              <w:t>REDACTED TEXT under FOIA Section 40, Personal Information</w:t>
            </w:r>
          </w:p>
        </w:tc>
      </w:tr>
      <w:tr w:rsidR="00144B5E" w:rsidTr="00144B5E">
        <w:trPr>
          <w:trHeight w:val="41"/>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144B5E" w:rsidRDefault="00144B5E" w:rsidP="00144B5E">
            <w:pPr>
              <w:spacing w:after="0" w:line="256" w:lineRule="auto"/>
              <w:ind w:left="0" w:firstLine="0"/>
            </w:pPr>
            <w:r>
              <w:rPr>
                <w:b/>
              </w:rPr>
              <w:t>Date</w:t>
            </w:r>
            <w:r>
              <w:t xml:space="preserve"> </w:t>
            </w:r>
          </w:p>
        </w:tc>
        <w:tc>
          <w:tcPr>
            <w:tcW w:w="3699"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144B5E" w:rsidRDefault="00144B5E" w:rsidP="00144B5E">
            <w:r w:rsidRPr="005A731B">
              <w:rPr>
                <w:color w:val="FF0000"/>
              </w:rPr>
              <w:t>REDACTED TEXT under FOIA Section 40, Personal Information</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144B5E" w:rsidRDefault="00144B5E" w:rsidP="00144B5E">
            <w:r w:rsidRPr="005A731B">
              <w:rPr>
                <w:color w:val="FF0000"/>
              </w:rPr>
              <w:t>REDACTED TEXT under FOIA Section 40, Personal Information</w:t>
            </w:r>
          </w:p>
        </w:tc>
      </w:tr>
    </w:tbl>
    <w:p w:rsidR="004168A5" w:rsidRDefault="001C59B0">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rsidR="004168A5" w:rsidRDefault="001C59B0">
      <w:pPr>
        <w:tabs>
          <w:tab w:val="center" w:pos="1272"/>
          <w:tab w:val="center" w:pos="4937"/>
          <w:tab w:val="center" w:pos="10915"/>
        </w:tabs>
        <w:spacing w:after="0"/>
        <w:ind w:left="0" w:firstLine="0"/>
      </w:pPr>
      <w:r>
        <w:tab/>
        <w:t xml:space="preserve">2.2 </w:t>
      </w:r>
      <w:r>
        <w:tab/>
        <w:t xml:space="preserve">The Buyer provided an Order Form for Services to the Supplier. </w:t>
      </w:r>
    </w:p>
    <w:p w:rsidR="004168A5" w:rsidRDefault="004168A5">
      <w:pPr>
        <w:tabs>
          <w:tab w:val="center" w:pos="1272"/>
          <w:tab w:val="center" w:pos="4937"/>
          <w:tab w:val="center" w:pos="10915"/>
        </w:tabs>
        <w:spacing w:after="0"/>
        <w:ind w:left="0" w:firstLine="0"/>
      </w:pPr>
    </w:p>
    <w:p w:rsidR="004168A5" w:rsidRDefault="001C59B0">
      <w:pPr>
        <w:pStyle w:val="Heading1"/>
        <w:tabs>
          <w:tab w:val="center" w:pos="1272"/>
          <w:tab w:val="center" w:pos="4937"/>
          <w:tab w:val="center" w:pos="10915"/>
        </w:tabs>
        <w:ind w:left="0" w:firstLine="0"/>
      </w:pPr>
      <w:bookmarkStart w:id="1" w:name="_heading=h.7ltpg1r5uu8g" w:colFirst="0" w:colLast="0"/>
      <w:bookmarkEnd w:id="1"/>
      <w:r>
        <w:tab/>
        <w:t xml:space="preserve">          Customer Benefits</w:t>
      </w:r>
      <w:r>
        <w:rPr>
          <w:vertAlign w:val="subscript"/>
        </w:rPr>
        <w:t xml:space="preserve"> </w:t>
      </w:r>
    </w:p>
    <w:p w:rsidR="004168A5" w:rsidRDefault="001C59B0">
      <w:pPr>
        <w:ind w:right="14"/>
      </w:pPr>
      <w:r>
        <w:t xml:space="preserve">For each Call-Off Contract please complete a customer benefits record, by following this link: </w:t>
      </w:r>
    </w:p>
    <w:p w:rsidR="004168A5" w:rsidRDefault="001C59B0">
      <w:pPr>
        <w:tabs>
          <w:tab w:val="center" w:pos="3002"/>
          <w:tab w:val="center" w:pos="7765"/>
        </w:tabs>
        <w:spacing w:after="344" w:line="256" w:lineRule="auto"/>
        <w:ind w:left="0" w:firstLine="0"/>
      </w:pPr>
      <w:r>
        <w:rPr>
          <w:rFonts w:ascii="Calibri" w:eastAsia="Calibri" w:hAnsi="Calibri" w:cs="Calibri"/>
        </w:rPr>
        <w:t xml:space="preserve">                      </w:t>
      </w:r>
      <w:r>
        <w:t> </w:t>
      </w:r>
      <w:hyperlink r:id="rId11">
        <w:r>
          <w:rPr>
            <w:color w:val="1155CC"/>
            <w:u w:val="single"/>
          </w:rPr>
          <w:t>G-Cloud 13 Customer Benefit Record</w:t>
        </w:r>
      </w:hyperlink>
      <w:r>
        <w:tab/>
        <w:t xml:space="preserve"> </w:t>
      </w:r>
    </w:p>
    <w:p w:rsidR="004168A5" w:rsidRDefault="001C59B0">
      <w:pPr>
        <w:pStyle w:val="Heading1"/>
        <w:tabs>
          <w:tab w:val="center" w:pos="3002"/>
          <w:tab w:val="center" w:pos="7765"/>
        </w:tabs>
        <w:spacing w:after="344" w:line="256" w:lineRule="auto"/>
        <w:ind w:left="0" w:firstLine="0"/>
      </w:pPr>
      <w:bookmarkStart w:id="2" w:name="_heading=h.l45d2lzg8en9" w:colFirst="0" w:colLast="0"/>
      <w:bookmarkEnd w:id="2"/>
      <w:r>
        <w:tab/>
        <w:t xml:space="preserve">Part B: Terms and conditions </w:t>
      </w:r>
    </w:p>
    <w:p w:rsidR="004168A5" w:rsidRDefault="001C59B0">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rsidR="004168A5" w:rsidRDefault="001C59B0">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rsidR="004168A5" w:rsidRDefault="001C59B0">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rsidR="004168A5" w:rsidRDefault="001C59B0">
      <w:pPr>
        <w:ind w:left="1838" w:right="14" w:hanging="720"/>
      </w:pPr>
      <w:r>
        <w:lastRenderedPageBreak/>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rsidR="004168A5" w:rsidRDefault="001C59B0">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rsidR="004168A5" w:rsidRDefault="001C59B0">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rsidR="004168A5" w:rsidRDefault="001C59B0">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4168A5" w:rsidRDefault="001C59B0">
      <w:pPr>
        <w:numPr>
          <w:ilvl w:val="0"/>
          <w:numId w:val="1"/>
        </w:numPr>
        <w:spacing w:after="28"/>
        <w:ind w:left="1891" w:right="14" w:hanging="397"/>
      </w:pPr>
      <w:r>
        <w:t xml:space="preserve">2.3 (Warranties and representations) </w:t>
      </w:r>
    </w:p>
    <w:p w:rsidR="004168A5" w:rsidRDefault="001C59B0">
      <w:pPr>
        <w:numPr>
          <w:ilvl w:val="0"/>
          <w:numId w:val="1"/>
        </w:numPr>
        <w:spacing w:after="31"/>
        <w:ind w:left="1891" w:right="14" w:hanging="397"/>
      </w:pPr>
      <w:r>
        <w:t xml:space="preserve">4.1 to 4.6 (Liability) </w:t>
      </w:r>
    </w:p>
    <w:p w:rsidR="004168A5" w:rsidRDefault="001C59B0">
      <w:pPr>
        <w:numPr>
          <w:ilvl w:val="0"/>
          <w:numId w:val="1"/>
        </w:numPr>
        <w:spacing w:after="31"/>
        <w:ind w:left="1891" w:right="14" w:hanging="397"/>
      </w:pPr>
      <w:r>
        <w:t xml:space="preserve">4.10 to 4.11 (IR35) </w:t>
      </w:r>
    </w:p>
    <w:p w:rsidR="004168A5" w:rsidRDefault="001C59B0">
      <w:pPr>
        <w:numPr>
          <w:ilvl w:val="0"/>
          <w:numId w:val="1"/>
        </w:numPr>
        <w:spacing w:after="30"/>
        <w:ind w:left="1891" w:right="14" w:hanging="397"/>
      </w:pPr>
      <w:r>
        <w:t xml:space="preserve">10 (Force majeure) </w:t>
      </w:r>
    </w:p>
    <w:p w:rsidR="004168A5" w:rsidRDefault="001C59B0">
      <w:pPr>
        <w:numPr>
          <w:ilvl w:val="0"/>
          <w:numId w:val="1"/>
        </w:numPr>
        <w:spacing w:after="30"/>
        <w:ind w:left="1891" w:right="14" w:hanging="397"/>
      </w:pPr>
      <w:r>
        <w:t xml:space="preserve">5.3 (Continuing rights) </w:t>
      </w:r>
    </w:p>
    <w:p w:rsidR="004168A5" w:rsidRDefault="001C59B0">
      <w:pPr>
        <w:numPr>
          <w:ilvl w:val="0"/>
          <w:numId w:val="1"/>
        </w:numPr>
        <w:spacing w:after="32"/>
        <w:ind w:left="1891" w:right="14" w:hanging="397"/>
      </w:pPr>
      <w:r>
        <w:t xml:space="preserve">5.4 to 5.6 (Change of control) </w:t>
      </w:r>
    </w:p>
    <w:p w:rsidR="004168A5" w:rsidRDefault="001C59B0">
      <w:pPr>
        <w:numPr>
          <w:ilvl w:val="0"/>
          <w:numId w:val="1"/>
        </w:numPr>
        <w:spacing w:after="31"/>
        <w:ind w:left="1891" w:right="14" w:hanging="397"/>
      </w:pPr>
      <w:r>
        <w:t xml:space="preserve">5.7 (Fraud) </w:t>
      </w:r>
    </w:p>
    <w:p w:rsidR="004168A5" w:rsidRDefault="001C59B0">
      <w:pPr>
        <w:numPr>
          <w:ilvl w:val="0"/>
          <w:numId w:val="1"/>
        </w:numPr>
        <w:spacing w:after="28"/>
        <w:ind w:left="1891" w:right="14" w:hanging="397"/>
      </w:pPr>
      <w:r>
        <w:t xml:space="preserve">5.8 (Notice of fraud) </w:t>
      </w:r>
    </w:p>
    <w:p w:rsidR="004168A5" w:rsidRDefault="001C59B0">
      <w:pPr>
        <w:numPr>
          <w:ilvl w:val="0"/>
          <w:numId w:val="1"/>
        </w:numPr>
        <w:spacing w:after="31"/>
        <w:ind w:left="1891" w:right="14" w:hanging="397"/>
      </w:pPr>
      <w:r>
        <w:t xml:space="preserve">7 (Transparency and Audit) </w:t>
      </w:r>
    </w:p>
    <w:p w:rsidR="004168A5" w:rsidRDefault="001C59B0">
      <w:pPr>
        <w:numPr>
          <w:ilvl w:val="0"/>
          <w:numId w:val="1"/>
        </w:numPr>
        <w:spacing w:after="31"/>
        <w:ind w:left="1891" w:right="14" w:hanging="397"/>
      </w:pPr>
      <w:r>
        <w:t xml:space="preserve">8.3 (Order of precedence) </w:t>
      </w:r>
    </w:p>
    <w:p w:rsidR="004168A5" w:rsidRDefault="001C59B0">
      <w:pPr>
        <w:numPr>
          <w:ilvl w:val="0"/>
          <w:numId w:val="1"/>
        </w:numPr>
        <w:spacing w:after="30"/>
        <w:ind w:left="1891" w:right="14" w:hanging="397"/>
      </w:pPr>
      <w:r>
        <w:t xml:space="preserve">11 (Relationship) </w:t>
      </w:r>
    </w:p>
    <w:p w:rsidR="004168A5" w:rsidRDefault="001C59B0">
      <w:pPr>
        <w:numPr>
          <w:ilvl w:val="0"/>
          <w:numId w:val="1"/>
        </w:numPr>
        <w:spacing w:after="30"/>
        <w:ind w:left="1891" w:right="14" w:hanging="397"/>
      </w:pPr>
      <w:r>
        <w:t xml:space="preserve">14 (Entire agreement) </w:t>
      </w:r>
    </w:p>
    <w:p w:rsidR="004168A5" w:rsidRDefault="001C59B0">
      <w:pPr>
        <w:numPr>
          <w:ilvl w:val="0"/>
          <w:numId w:val="1"/>
        </w:numPr>
        <w:spacing w:after="30"/>
        <w:ind w:left="1891" w:right="14" w:hanging="397"/>
      </w:pPr>
      <w:r>
        <w:t xml:space="preserve">15 (Law and jurisdiction) </w:t>
      </w:r>
    </w:p>
    <w:p w:rsidR="004168A5" w:rsidRDefault="001C59B0">
      <w:pPr>
        <w:numPr>
          <w:ilvl w:val="0"/>
          <w:numId w:val="1"/>
        </w:numPr>
        <w:spacing w:after="30"/>
        <w:ind w:left="1891" w:right="14" w:hanging="397"/>
      </w:pPr>
      <w:r>
        <w:t xml:space="preserve">16 (Legislative change) </w:t>
      </w:r>
    </w:p>
    <w:p w:rsidR="004168A5" w:rsidRDefault="001C59B0">
      <w:pPr>
        <w:numPr>
          <w:ilvl w:val="0"/>
          <w:numId w:val="1"/>
        </w:numPr>
        <w:spacing w:after="27"/>
        <w:ind w:left="1891" w:right="14" w:hanging="397"/>
      </w:pPr>
      <w:r>
        <w:t xml:space="preserve">17 (Bribery and corruption) </w:t>
      </w:r>
    </w:p>
    <w:p w:rsidR="004168A5" w:rsidRDefault="001C59B0">
      <w:pPr>
        <w:numPr>
          <w:ilvl w:val="0"/>
          <w:numId w:val="1"/>
        </w:numPr>
        <w:spacing w:after="30"/>
        <w:ind w:left="1891" w:right="14" w:hanging="397"/>
      </w:pPr>
      <w:r>
        <w:t xml:space="preserve">18 (Freedom of Information Act) </w:t>
      </w:r>
    </w:p>
    <w:p w:rsidR="004168A5" w:rsidRDefault="001C59B0">
      <w:pPr>
        <w:numPr>
          <w:ilvl w:val="0"/>
          <w:numId w:val="1"/>
        </w:numPr>
        <w:spacing w:after="30"/>
        <w:ind w:left="1891" w:right="14" w:hanging="397"/>
      </w:pPr>
      <w:r>
        <w:t xml:space="preserve">19 (Promoting tax compliance) </w:t>
      </w:r>
    </w:p>
    <w:p w:rsidR="004168A5" w:rsidRDefault="001C59B0">
      <w:pPr>
        <w:numPr>
          <w:ilvl w:val="0"/>
          <w:numId w:val="1"/>
        </w:numPr>
        <w:spacing w:after="30"/>
        <w:ind w:left="1891" w:right="14" w:hanging="397"/>
      </w:pPr>
      <w:r>
        <w:t xml:space="preserve">20 (Official Secrets Act) </w:t>
      </w:r>
    </w:p>
    <w:p w:rsidR="004168A5" w:rsidRDefault="001C59B0">
      <w:pPr>
        <w:numPr>
          <w:ilvl w:val="0"/>
          <w:numId w:val="1"/>
        </w:numPr>
        <w:spacing w:after="29"/>
        <w:ind w:left="1891" w:right="14" w:hanging="397"/>
      </w:pPr>
      <w:r>
        <w:t xml:space="preserve">21 (Transfer and subcontracting) </w:t>
      </w:r>
    </w:p>
    <w:p w:rsidR="004168A5" w:rsidRDefault="001C59B0">
      <w:pPr>
        <w:numPr>
          <w:ilvl w:val="0"/>
          <w:numId w:val="1"/>
        </w:numPr>
        <w:spacing w:after="0"/>
        <w:ind w:left="1891" w:right="14" w:hanging="397"/>
      </w:pPr>
      <w:r>
        <w:t xml:space="preserve">23 (Complaints handling and resolution) </w:t>
      </w:r>
    </w:p>
    <w:p w:rsidR="004168A5" w:rsidRDefault="001C59B0">
      <w:pPr>
        <w:numPr>
          <w:ilvl w:val="0"/>
          <w:numId w:val="1"/>
        </w:numPr>
        <w:spacing w:after="0"/>
        <w:ind w:left="1891" w:right="14" w:hanging="397"/>
      </w:pPr>
      <w:r>
        <w:t xml:space="preserve">24 (Conflicts of interest and ethical walls) </w:t>
      </w:r>
    </w:p>
    <w:p w:rsidR="004168A5" w:rsidRDefault="001C59B0">
      <w:pPr>
        <w:numPr>
          <w:ilvl w:val="0"/>
          <w:numId w:val="1"/>
        </w:numPr>
        <w:spacing w:after="0"/>
        <w:ind w:left="1891" w:right="14" w:hanging="397"/>
      </w:pPr>
      <w:r>
        <w:t xml:space="preserve">25 (Publicity and branding) </w:t>
      </w:r>
    </w:p>
    <w:p w:rsidR="004168A5" w:rsidRDefault="001C59B0">
      <w:pPr>
        <w:numPr>
          <w:ilvl w:val="0"/>
          <w:numId w:val="1"/>
        </w:numPr>
        <w:spacing w:after="0"/>
        <w:ind w:left="1891" w:right="14" w:hanging="397"/>
      </w:pPr>
      <w:r>
        <w:t xml:space="preserve">26 (Equality and diversity) </w:t>
      </w:r>
    </w:p>
    <w:p w:rsidR="004168A5" w:rsidRDefault="001C59B0">
      <w:pPr>
        <w:numPr>
          <w:ilvl w:val="0"/>
          <w:numId w:val="1"/>
        </w:numPr>
        <w:spacing w:after="29"/>
        <w:ind w:left="1891" w:right="14" w:hanging="397"/>
      </w:pPr>
      <w:r>
        <w:t xml:space="preserve">28 (Data protection) </w:t>
      </w:r>
    </w:p>
    <w:p w:rsidR="004168A5" w:rsidRDefault="001C59B0">
      <w:pPr>
        <w:numPr>
          <w:ilvl w:val="0"/>
          <w:numId w:val="1"/>
        </w:numPr>
        <w:spacing w:after="29"/>
        <w:ind w:left="1891" w:right="14" w:hanging="397"/>
      </w:pPr>
      <w:r>
        <w:t xml:space="preserve">31 (Severability) </w:t>
      </w:r>
    </w:p>
    <w:p w:rsidR="004168A5" w:rsidRDefault="001C59B0">
      <w:pPr>
        <w:numPr>
          <w:ilvl w:val="0"/>
          <w:numId w:val="1"/>
        </w:numPr>
        <w:spacing w:after="31"/>
        <w:ind w:left="1891" w:right="14" w:hanging="397"/>
      </w:pPr>
      <w:r>
        <w:t xml:space="preserve">32 and 33 (Managing disputes and Mediation) </w:t>
      </w:r>
    </w:p>
    <w:p w:rsidR="004168A5" w:rsidRDefault="001C59B0">
      <w:pPr>
        <w:numPr>
          <w:ilvl w:val="0"/>
          <w:numId w:val="1"/>
        </w:numPr>
        <w:spacing w:after="30"/>
        <w:ind w:left="1891" w:right="14" w:hanging="397"/>
      </w:pPr>
      <w:r>
        <w:t xml:space="preserve">34 (Confidentiality) </w:t>
      </w:r>
    </w:p>
    <w:p w:rsidR="004168A5" w:rsidRDefault="001C59B0">
      <w:pPr>
        <w:numPr>
          <w:ilvl w:val="0"/>
          <w:numId w:val="1"/>
        </w:numPr>
        <w:spacing w:after="30"/>
        <w:ind w:left="1891" w:right="14" w:hanging="397"/>
      </w:pPr>
      <w:r>
        <w:t xml:space="preserve">35 (Waiver and cumulative remedies) </w:t>
      </w:r>
    </w:p>
    <w:p w:rsidR="004168A5" w:rsidRDefault="001C59B0">
      <w:pPr>
        <w:numPr>
          <w:ilvl w:val="0"/>
          <w:numId w:val="1"/>
        </w:numPr>
        <w:spacing w:after="27"/>
        <w:ind w:left="1891" w:right="14" w:hanging="397"/>
      </w:pPr>
      <w:r>
        <w:t xml:space="preserve">36 (Corporate Social Responsibility) </w:t>
      </w:r>
    </w:p>
    <w:p w:rsidR="004168A5" w:rsidRDefault="001C59B0">
      <w:pPr>
        <w:numPr>
          <w:ilvl w:val="0"/>
          <w:numId w:val="1"/>
        </w:numPr>
        <w:ind w:left="1891" w:right="14" w:hanging="397"/>
      </w:pPr>
      <w:r>
        <w:lastRenderedPageBreak/>
        <w:t xml:space="preserve">paragraphs 1 to 10 of the Framework Agreement Schedule 3 </w:t>
      </w:r>
    </w:p>
    <w:p w:rsidR="004168A5" w:rsidRDefault="001C59B0">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rsidR="004168A5" w:rsidRDefault="001C59B0">
      <w:pPr>
        <w:numPr>
          <w:ilvl w:val="2"/>
          <w:numId w:val="2"/>
        </w:numPr>
        <w:spacing w:after="41"/>
        <w:ind w:right="14" w:hanging="720"/>
      </w:pPr>
      <w:r>
        <w:t xml:space="preserve">a reference to the ‘Framework Agreement’ will be a reference to the ‘Call-Off Contract’ </w:t>
      </w:r>
    </w:p>
    <w:p w:rsidR="004168A5" w:rsidRDefault="001C59B0">
      <w:pPr>
        <w:numPr>
          <w:ilvl w:val="2"/>
          <w:numId w:val="2"/>
        </w:numPr>
        <w:spacing w:after="55"/>
        <w:ind w:right="14" w:hanging="720"/>
      </w:pPr>
      <w:r>
        <w:t xml:space="preserve">a reference to ‘CCS’ or to ‘CCS and/or the Buyer’ will be a reference to ‘the Buyer’ </w:t>
      </w:r>
    </w:p>
    <w:p w:rsidR="004168A5" w:rsidRDefault="001C59B0">
      <w:pPr>
        <w:numPr>
          <w:ilvl w:val="2"/>
          <w:numId w:val="2"/>
        </w:numPr>
        <w:ind w:right="14" w:hanging="720"/>
      </w:pPr>
      <w:r>
        <w:t xml:space="preserve">a reference to the ‘Parties’ and a ‘Party’ will be a reference to the Buyer and Supplier as Parties under this Call-Off Contract </w:t>
      </w:r>
    </w:p>
    <w:p w:rsidR="004168A5" w:rsidRDefault="001C59B0">
      <w:pPr>
        <w:numPr>
          <w:ilvl w:val="1"/>
          <w:numId w:val="4"/>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4168A5" w:rsidRDefault="001C59B0">
      <w:pPr>
        <w:numPr>
          <w:ilvl w:val="1"/>
          <w:numId w:val="4"/>
        </w:numPr>
        <w:ind w:right="14" w:hanging="720"/>
      </w:pPr>
      <w:r>
        <w:t xml:space="preserve">The Framework Agreement incorporated clauses will be referred to as incorporated Framework clause ‘XX’, where ‘XX’ is the Framework Agreement clause number. </w:t>
      </w:r>
    </w:p>
    <w:p w:rsidR="004168A5" w:rsidRDefault="001C59B0">
      <w:pPr>
        <w:numPr>
          <w:ilvl w:val="1"/>
          <w:numId w:val="4"/>
        </w:numPr>
        <w:spacing w:after="740"/>
        <w:ind w:right="14" w:hanging="720"/>
      </w:pPr>
      <w:r>
        <w:t xml:space="preserve">When an Order Form is signed, the terms and conditions agreed in it will be incorporated into this Call-Off Contract. </w:t>
      </w:r>
    </w:p>
    <w:p w:rsidR="004168A5" w:rsidRDefault="001C59B0">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rsidR="004168A5" w:rsidRDefault="001C59B0">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rsidR="004168A5" w:rsidRDefault="001C59B0">
      <w:pPr>
        <w:spacing w:after="741"/>
        <w:ind w:left="1838" w:right="14" w:hanging="720"/>
      </w:pPr>
      <w:r>
        <w:t xml:space="preserve">3.2 </w:t>
      </w:r>
      <w:r>
        <w:tab/>
        <w:t xml:space="preserve">The Supplier undertakes that each G-Cloud Service will meet the Buyer’s acceptance criteria, as defined in the Order Form. </w:t>
      </w:r>
    </w:p>
    <w:p w:rsidR="004168A5" w:rsidRDefault="001C59B0">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rsidR="004168A5" w:rsidRDefault="001C59B0">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rsidR="004168A5" w:rsidRDefault="001C59B0">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rsidR="004168A5" w:rsidRDefault="001C59B0">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rsidR="004168A5" w:rsidRDefault="001C59B0">
      <w:pPr>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rsidR="004168A5" w:rsidRDefault="001C59B0">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rsidR="004168A5" w:rsidRDefault="001C59B0">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rsidR="004168A5" w:rsidRDefault="001C59B0">
      <w:pPr>
        <w:ind w:left="1838" w:right="14" w:hanging="720"/>
      </w:pPr>
      <w:r>
        <w:lastRenderedPageBreak/>
        <w:t xml:space="preserve">4.2 </w:t>
      </w:r>
      <w:r>
        <w:tab/>
        <w:t xml:space="preserve">The Supplier must retain overall control of the Supplier Staff so that they are not considered to be employees, workers, agents or contractors of the Buyer. </w:t>
      </w:r>
    </w:p>
    <w:p w:rsidR="004168A5" w:rsidRDefault="001C59B0">
      <w:pPr>
        <w:ind w:left="1838" w:right="14" w:hanging="720"/>
      </w:pPr>
      <w:r>
        <w:t xml:space="preserve">4.3 </w:t>
      </w:r>
      <w:r>
        <w:tab/>
        <w:t xml:space="preserve">The Supplier may substitute any Supplier Staff as long as they have the equivalent experience and qualifications to the substituted staff member. </w:t>
      </w:r>
    </w:p>
    <w:p w:rsidR="004168A5" w:rsidRDefault="001C59B0">
      <w:pPr>
        <w:ind w:left="1838" w:right="14" w:hanging="720"/>
      </w:pPr>
      <w:r>
        <w:t xml:space="preserve">4.4 </w:t>
      </w:r>
      <w:r>
        <w:tab/>
        <w:t xml:space="preserve">The Buyer may conduct IR35 Assessments using the ESI tool to assess whether the Supplier’s engagement under the Call-Off Contract is Inside or Outside IR35. </w:t>
      </w:r>
    </w:p>
    <w:p w:rsidR="004168A5" w:rsidRDefault="001C59B0">
      <w:pPr>
        <w:ind w:left="1838" w:right="14" w:hanging="720"/>
      </w:pPr>
      <w:r>
        <w:t xml:space="preserve">4.5 </w:t>
      </w:r>
      <w:r>
        <w:tab/>
        <w:t xml:space="preserve">The Buyer may End this Call-Off Contract for Material Breach as per clause 18.5 hereunder if the Supplier is delivering the Services Inside IR35. </w:t>
      </w:r>
    </w:p>
    <w:p w:rsidR="004168A5" w:rsidRDefault="001C59B0">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4168A5" w:rsidRDefault="001C59B0">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4168A5" w:rsidRDefault="001C59B0">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rsidR="004168A5" w:rsidRDefault="001C59B0">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rsidR="004168A5" w:rsidRDefault="001C59B0">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rsidR="004168A5" w:rsidRDefault="001C59B0">
      <w:pPr>
        <w:spacing w:after="127"/>
        <w:ind w:left="2573" w:right="14" w:hanging="720"/>
      </w:pPr>
      <w:r>
        <w:t xml:space="preserve">5.1.1 have made their own enquiries and are satisfied by the accuracy of any information supplied by the other Party </w:t>
      </w:r>
    </w:p>
    <w:p w:rsidR="004168A5" w:rsidRDefault="001C59B0">
      <w:pPr>
        <w:spacing w:after="128"/>
        <w:ind w:left="2573" w:right="14" w:hanging="720"/>
      </w:pPr>
      <w:r>
        <w:t>5.1.2 are confident that they can fulfil their obligations according to the Call-Off Contract terms</w:t>
      </w:r>
    </w:p>
    <w:p w:rsidR="004168A5" w:rsidRDefault="001C59B0">
      <w:pPr>
        <w:spacing w:after="128"/>
        <w:ind w:left="2573" w:right="14" w:hanging="720"/>
      </w:pPr>
      <w:r>
        <w:t xml:space="preserve">5.1.3 have raised all due diligence questions before signing the Call-Off Contract </w:t>
      </w:r>
    </w:p>
    <w:p w:rsidR="004168A5" w:rsidRDefault="001C59B0">
      <w:pPr>
        <w:spacing w:after="128"/>
        <w:ind w:left="2573" w:right="14" w:hanging="720"/>
      </w:pPr>
      <w:r>
        <w:t xml:space="preserve">5.1.4 have entered into the Call-Off Contract relying on their own due diligence </w:t>
      </w:r>
    </w:p>
    <w:p w:rsidR="004168A5" w:rsidRDefault="001C59B0">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rsidR="004168A5" w:rsidRDefault="001C59B0">
      <w:pPr>
        <w:spacing w:after="349"/>
        <w:ind w:left="1838" w:right="14" w:hanging="720"/>
      </w:pPr>
      <w:r>
        <w:t xml:space="preserve">6.1 </w:t>
      </w:r>
      <w:r>
        <w:tab/>
        <w:t xml:space="preserve">The Supplier will have a clear business continuity and disaster recovery plan in their Service Descriptions. </w:t>
      </w:r>
    </w:p>
    <w:p w:rsidR="004168A5" w:rsidRDefault="001C59B0">
      <w:pPr>
        <w:ind w:left="1838" w:right="14" w:hanging="720"/>
      </w:pPr>
      <w:r>
        <w:t xml:space="preserve">6.2 </w:t>
      </w:r>
      <w:r>
        <w:tab/>
        <w:t xml:space="preserve">The Supplier’s business continuity and disaster recovery services are part of the Services and will be performed by the Supplier when required. </w:t>
      </w:r>
    </w:p>
    <w:p w:rsidR="004168A5" w:rsidRDefault="001C59B0">
      <w:pPr>
        <w:spacing w:after="741"/>
        <w:ind w:left="1838" w:right="14" w:hanging="720"/>
      </w:pPr>
      <w:r>
        <w:lastRenderedPageBreak/>
        <w:t xml:space="preserve">6.3 </w:t>
      </w:r>
      <w:r>
        <w:tab/>
        <w:t xml:space="preserve">If requested by the Buyer prior to entering into this Call-Off Contract, the Supplier must ensure that its business continuity and disaster recovery plan is consistent with the Buyer’s own plans. </w:t>
      </w:r>
    </w:p>
    <w:p w:rsidR="004168A5" w:rsidRDefault="001C59B0">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rsidR="004168A5" w:rsidRDefault="001C59B0">
      <w:pPr>
        <w:spacing w:after="129"/>
        <w:ind w:left="1838" w:right="14" w:hanging="720"/>
      </w:pPr>
      <w:r>
        <w:t xml:space="preserve">7.1 </w:t>
      </w:r>
      <w:r>
        <w:tab/>
        <w:t xml:space="preserve">The Buyer must pay the Charges following clauses 7.2 to 7.11 for the Supplier’s delivery of the Services. </w:t>
      </w:r>
    </w:p>
    <w:p w:rsidR="004168A5" w:rsidRDefault="001C59B0">
      <w:pPr>
        <w:spacing w:after="126"/>
        <w:ind w:left="1838" w:right="14" w:hanging="720"/>
      </w:pPr>
      <w:r>
        <w:t xml:space="preserve">7.2 </w:t>
      </w:r>
      <w:r>
        <w:tab/>
        <w:t xml:space="preserve">The Buyer will pay the Supplier within the number of days specified in the Order Form on receipt of a valid invoice. </w:t>
      </w:r>
    </w:p>
    <w:p w:rsidR="004168A5" w:rsidRDefault="001C59B0">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rsidR="004168A5" w:rsidRDefault="001C59B0">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4168A5" w:rsidRDefault="001C59B0">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4168A5" w:rsidRDefault="001C59B0">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4168A5" w:rsidRDefault="001C59B0">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rsidR="004168A5" w:rsidRDefault="001C59B0">
      <w:pPr>
        <w:spacing w:after="126"/>
        <w:ind w:left="1838" w:right="14" w:hanging="720"/>
      </w:pPr>
      <w:r>
        <w:t xml:space="preserve">7.8 </w:t>
      </w:r>
      <w:r>
        <w:tab/>
        <w:t xml:space="preserve">The Supplier must add VAT to the Charges at the appropriate rate with visibility of the amount as a separate line item. </w:t>
      </w:r>
    </w:p>
    <w:p w:rsidR="004168A5" w:rsidRDefault="004168A5">
      <w:pPr>
        <w:spacing w:after="126"/>
        <w:ind w:left="1838" w:right="14" w:hanging="720"/>
      </w:pPr>
    </w:p>
    <w:p w:rsidR="004168A5" w:rsidRDefault="001C59B0">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4168A5" w:rsidRDefault="001C59B0">
      <w:pPr>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rsidR="004168A5" w:rsidRDefault="001C59B0">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w:t>
      </w:r>
      <w:r>
        <w:lastRenderedPageBreak/>
        <w:t xml:space="preserve">accepts the amendments. If it does then the Supplier must provide a replacement valid invoice with the response. </w:t>
      </w:r>
    </w:p>
    <w:p w:rsidR="004168A5" w:rsidRDefault="001C59B0">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4168A5" w:rsidRDefault="001C59B0">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rsidR="004168A5" w:rsidRDefault="001C59B0">
      <w:pPr>
        <w:spacing w:after="980"/>
        <w:ind w:left="1838" w:right="14" w:hanging="720"/>
      </w:pPr>
      <w:r>
        <w:t xml:space="preserve">8.1 </w:t>
      </w:r>
      <w:r>
        <w:tab/>
        <w:t xml:space="preserve">If a Supplier owes money to the Buyer, the Buyer may deduct that sum from the Call-Off Contract Charges. </w:t>
      </w:r>
    </w:p>
    <w:p w:rsidR="004168A5" w:rsidRDefault="001C59B0">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rsidR="004168A5" w:rsidRDefault="001C59B0">
      <w:pPr>
        <w:spacing w:after="241"/>
        <w:ind w:left="1778" w:right="14" w:hanging="660"/>
      </w:pPr>
      <w:r>
        <w:t xml:space="preserve">9.1 </w:t>
      </w:r>
      <w:r>
        <w:tab/>
        <w:t xml:space="preserve">The Supplier will maintain the insurances required by the Buyer including those in this clause. </w:t>
      </w:r>
    </w:p>
    <w:p w:rsidR="004168A5" w:rsidRDefault="001C59B0">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rsidR="004168A5" w:rsidRDefault="001C59B0">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4168A5" w:rsidRDefault="001C59B0">
      <w:pPr>
        <w:ind w:left="2573" w:right="14" w:hanging="720"/>
      </w:pPr>
      <w:r>
        <w:t xml:space="preserve">9.2.2 the third-party public and products liability insurance contains an ‘indemnity to principals’ clause for the Buyer’s benefit </w:t>
      </w:r>
    </w:p>
    <w:p w:rsidR="004168A5" w:rsidRDefault="001C59B0">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4168A5" w:rsidRDefault="001C59B0">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4168A5" w:rsidRDefault="001C59B0">
      <w:pPr>
        <w:ind w:left="1838" w:right="14" w:hanging="720"/>
      </w:pPr>
      <w:r>
        <w:t xml:space="preserve">9.3 </w:t>
      </w:r>
      <w:r>
        <w:tab/>
        <w:t xml:space="preserve">If requested by the Buyer, the Supplier will obtain additional insurance policies, or extend existing policies bought under the Framework Agreement. </w:t>
      </w:r>
    </w:p>
    <w:p w:rsidR="004168A5" w:rsidRDefault="001C59B0">
      <w:pPr>
        <w:ind w:left="1838" w:right="14" w:hanging="720"/>
      </w:pPr>
      <w:r>
        <w:t xml:space="preserve">9.4 </w:t>
      </w:r>
      <w:r>
        <w:tab/>
        <w:t xml:space="preserve">If requested by the Buyer, the Supplier will provide the following to show compliance with this clause: </w:t>
      </w:r>
    </w:p>
    <w:p w:rsidR="004168A5" w:rsidRDefault="001C59B0">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rsidR="004168A5" w:rsidRDefault="001C59B0">
      <w:pPr>
        <w:tabs>
          <w:tab w:val="center" w:pos="1133"/>
          <w:tab w:val="center" w:pos="3906"/>
        </w:tabs>
        <w:ind w:left="0" w:firstLine="0"/>
      </w:pPr>
      <w:r>
        <w:rPr>
          <w:rFonts w:ascii="Calibri" w:eastAsia="Calibri" w:hAnsi="Calibri" w:cs="Calibri"/>
        </w:rPr>
        <w:lastRenderedPageBreak/>
        <w:tab/>
        <w:t xml:space="preserve"> </w:t>
      </w:r>
      <w:r>
        <w:rPr>
          <w:rFonts w:ascii="Calibri" w:eastAsia="Calibri" w:hAnsi="Calibri" w:cs="Calibri"/>
        </w:rPr>
        <w:tab/>
      </w:r>
      <w:r>
        <w:t xml:space="preserve">9.4.2 receipts for the insurance premium </w:t>
      </w:r>
    </w:p>
    <w:p w:rsidR="004168A5" w:rsidRDefault="001C59B0">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rsidR="004168A5" w:rsidRDefault="001C59B0">
      <w:pPr>
        <w:ind w:left="1838" w:right="14" w:hanging="720"/>
      </w:pPr>
      <w:r>
        <w:t xml:space="preserve">9.5 </w:t>
      </w:r>
      <w:r>
        <w:tab/>
        <w:t xml:space="preserve">Insurance will not relieve the Supplier of any liabilities under the Framework Agreement or this Call-Off Contract and the Supplier will: </w:t>
      </w:r>
    </w:p>
    <w:p w:rsidR="004168A5" w:rsidRDefault="001C59B0">
      <w:pPr>
        <w:ind w:left="2573" w:right="14" w:hanging="720"/>
      </w:pPr>
      <w:r>
        <w:t xml:space="preserve">9.5.1 take all risk control measures using Good Industry Practice, including the investigation and reports of claims to insurers </w:t>
      </w:r>
    </w:p>
    <w:p w:rsidR="004168A5" w:rsidRDefault="001C59B0">
      <w:pPr>
        <w:ind w:left="2573" w:right="14" w:hanging="720"/>
      </w:pPr>
      <w:r>
        <w:t xml:space="preserve">9.5.2 promptly notify the insurers in writing of any relevant material fact under any Insurances </w:t>
      </w:r>
    </w:p>
    <w:p w:rsidR="004168A5" w:rsidRDefault="001C59B0">
      <w:pPr>
        <w:ind w:left="2573" w:right="14" w:hanging="720"/>
      </w:pPr>
      <w:r>
        <w:t xml:space="preserve">9.5.3 hold all insurance policies and require any broker arranging the insurance to hold any insurance slips and other evidence of insurance </w:t>
      </w:r>
    </w:p>
    <w:p w:rsidR="004168A5" w:rsidRDefault="001C59B0">
      <w:pPr>
        <w:ind w:left="1838" w:right="14" w:hanging="720"/>
      </w:pPr>
      <w:r>
        <w:t xml:space="preserve">9.6 </w:t>
      </w:r>
      <w:r>
        <w:tab/>
        <w:t xml:space="preserve">The Supplier will not do or omit to do anything, which would destroy or impair the legal validity of the insurance. </w:t>
      </w:r>
    </w:p>
    <w:p w:rsidR="004168A5" w:rsidRDefault="001C59B0">
      <w:pPr>
        <w:ind w:left="1838" w:right="14" w:hanging="720"/>
      </w:pPr>
      <w:r>
        <w:t xml:space="preserve">9.7 </w:t>
      </w:r>
      <w:r>
        <w:tab/>
        <w:t xml:space="preserve">The Supplier will notify CCS and the Buyer as soon as possible if any insurance policies have been, or are due to be, cancelled, suspended, Ended or not renewed. </w:t>
      </w:r>
    </w:p>
    <w:p w:rsidR="004168A5" w:rsidRDefault="001C59B0">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rsidR="004168A5" w:rsidRDefault="001C59B0">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rsidR="004168A5" w:rsidRDefault="001C59B0">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rsidR="004168A5" w:rsidRDefault="001C59B0">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rsidR="004168A5" w:rsidRDefault="001C59B0">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4168A5" w:rsidRDefault="001C59B0">
      <w:pPr>
        <w:ind w:left="1849" w:right="14" w:firstLine="0"/>
      </w:pPr>
      <w:r>
        <w:t xml:space="preserve">34. The indemnity doesn’t apply to the extent that the Supplier breach is due to a Buyer’s instruction. </w:t>
      </w:r>
    </w:p>
    <w:p w:rsidR="004168A5" w:rsidRDefault="001C59B0">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rsidR="004168A5" w:rsidRDefault="001C59B0">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rsidR="004168A5" w:rsidRDefault="001C59B0">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rsidR="004168A5" w:rsidRDefault="001C59B0">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rsidR="004168A5" w:rsidRDefault="001C59B0">
      <w:pPr>
        <w:ind w:left="1838" w:right="14" w:hanging="720"/>
      </w:pPr>
      <w:r>
        <w:lastRenderedPageBreak/>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4168A5" w:rsidRDefault="001C59B0">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rsidR="004168A5" w:rsidRDefault="001C59B0">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rsidR="004168A5" w:rsidRDefault="001C59B0">
      <w:pPr>
        <w:spacing w:after="273"/>
        <w:ind w:left="1838" w:right="14" w:hanging="72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4168A5" w:rsidRDefault="004168A5">
      <w:pPr>
        <w:spacing w:after="16"/>
        <w:ind w:left="1843" w:right="14" w:hanging="709"/>
      </w:pPr>
    </w:p>
    <w:p w:rsidR="004168A5" w:rsidRDefault="001C59B0">
      <w:pPr>
        <w:spacing w:after="237"/>
        <w:ind w:right="14"/>
      </w:pPr>
      <w:r>
        <w:t xml:space="preserve">11.5 Subject to the limitation in Clause 24.3, the Buyer shall: </w:t>
      </w:r>
    </w:p>
    <w:p w:rsidR="004168A5" w:rsidRDefault="001C59B0">
      <w:pPr>
        <w:spacing w:after="0"/>
        <w:ind w:left="2573" w:right="14" w:hanging="720"/>
      </w:pPr>
      <w:r>
        <w:t xml:space="preserve">11.5.1 defend the Supplier, its Affiliates and licensors from and against any third-party claim: </w:t>
      </w:r>
    </w:p>
    <w:p w:rsidR="004168A5" w:rsidRDefault="001C59B0">
      <w:pPr>
        <w:numPr>
          <w:ilvl w:val="0"/>
          <w:numId w:val="7"/>
        </w:numPr>
        <w:spacing w:after="0"/>
        <w:ind w:right="14" w:hanging="330"/>
      </w:pPr>
      <w:r>
        <w:t xml:space="preserve">alleging that any use of the Services by or on behalf of the Buyer and/or Buyer Users is in breach of applicable Law; </w:t>
      </w:r>
    </w:p>
    <w:p w:rsidR="004168A5" w:rsidRDefault="001C59B0">
      <w:pPr>
        <w:numPr>
          <w:ilvl w:val="0"/>
          <w:numId w:val="7"/>
        </w:numPr>
        <w:spacing w:after="9"/>
        <w:ind w:right="14" w:hanging="330"/>
      </w:pPr>
      <w:r>
        <w:t xml:space="preserve">alleging that the Buyer Data violates, infringes or misappropriates any rights of a third party; </w:t>
      </w:r>
    </w:p>
    <w:p w:rsidR="004168A5" w:rsidRDefault="001C59B0">
      <w:pPr>
        <w:numPr>
          <w:ilvl w:val="0"/>
          <w:numId w:val="7"/>
        </w:numPr>
        <w:ind w:right="14" w:hanging="330"/>
      </w:pPr>
      <w:r>
        <w:t xml:space="preserve">arising from the Supplier’s use of the Buyer Data in accordance with this Call-Off Contract; and </w:t>
      </w:r>
    </w:p>
    <w:p w:rsidR="004168A5" w:rsidRDefault="001C59B0">
      <w:pPr>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4168A5" w:rsidRDefault="001C59B0">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rsidR="004168A5" w:rsidRDefault="001C59B0">
      <w:pPr>
        <w:numPr>
          <w:ilvl w:val="2"/>
          <w:numId w:val="11"/>
        </w:numPr>
        <w:spacing w:after="344"/>
        <w:ind w:right="14" w:hanging="720"/>
      </w:pPr>
      <w:r>
        <w:t xml:space="preserve">rights granted to the Buyer under this Call-Off Contract </w:t>
      </w:r>
    </w:p>
    <w:p w:rsidR="004168A5" w:rsidRDefault="001C59B0">
      <w:pPr>
        <w:numPr>
          <w:ilvl w:val="2"/>
          <w:numId w:val="11"/>
        </w:numPr>
        <w:ind w:right="14" w:hanging="720"/>
      </w:pPr>
      <w:r>
        <w:t xml:space="preserve">Supplier’s performance of the Services </w:t>
      </w:r>
    </w:p>
    <w:p w:rsidR="004168A5" w:rsidRDefault="001C59B0">
      <w:pPr>
        <w:numPr>
          <w:ilvl w:val="2"/>
          <w:numId w:val="11"/>
        </w:numPr>
        <w:ind w:right="14" w:hanging="720"/>
      </w:pPr>
      <w:r>
        <w:t xml:space="preserve">use by the Buyer of the Services </w:t>
      </w:r>
    </w:p>
    <w:p w:rsidR="004168A5" w:rsidRDefault="001C59B0">
      <w:pPr>
        <w:ind w:left="1853" w:right="14" w:hanging="735"/>
      </w:pPr>
      <w:r>
        <w:lastRenderedPageBreak/>
        <w:t xml:space="preserve">11.7 </w:t>
      </w:r>
      <w:r>
        <w:tab/>
        <w:t xml:space="preserve">If an IPR Claim is made, or is likely to be made, the Supplier will immediately notify the Buyer in writing and must at its own expense after written approval from the Buyer, either: </w:t>
      </w:r>
    </w:p>
    <w:p w:rsidR="004168A5" w:rsidRDefault="001C59B0">
      <w:pPr>
        <w:numPr>
          <w:ilvl w:val="2"/>
          <w:numId w:val="14"/>
        </w:numPr>
        <w:ind w:right="14" w:hanging="720"/>
      </w:pPr>
      <w:r>
        <w:t xml:space="preserve">modify the relevant part of the Services without reducing its functionality or performance </w:t>
      </w:r>
    </w:p>
    <w:p w:rsidR="004168A5" w:rsidRDefault="001C59B0">
      <w:pPr>
        <w:numPr>
          <w:ilvl w:val="2"/>
          <w:numId w:val="14"/>
        </w:numPr>
        <w:ind w:right="14" w:hanging="720"/>
      </w:pPr>
      <w:r>
        <w:t xml:space="preserve">substitute Services of equivalent functionality and performance, to avoid the infringement or the alleged infringement, as long as there is no additional cost or burden to the Buyer </w:t>
      </w:r>
    </w:p>
    <w:p w:rsidR="004168A5" w:rsidRDefault="001C59B0">
      <w:pPr>
        <w:numPr>
          <w:ilvl w:val="2"/>
          <w:numId w:val="14"/>
        </w:numPr>
        <w:ind w:right="14" w:hanging="720"/>
      </w:pPr>
      <w:r>
        <w:t xml:space="preserve">buy a licence to use and supply the Services which are the subject of the alleged infringement, on terms acceptable to the Buyer </w:t>
      </w:r>
    </w:p>
    <w:p w:rsidR="004168A5" w:rsidRDefault="001C59B0">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rsidR="004168A5" w:rsidRDefault="001C59B0">
      <w:pPr>
        <w:numPr>
          <w:ilvl w:val="2"/>
          <w:numId w:val="8"/>
        </w:numPr>
        <w:ind w:right="14" w:hanging="720"/>
      </w:pPr>
      <w:r>
        <w:t xml:space="preserve">the use of data supplied by the Buyer which the Supplier isn’t required to verify under this Call-Off Contract </w:t>
      </w:r>
    </w:p>
    <w:p w:rsidR="004168A5" w:rsidRDefault="001C59B0">
      <w:pPr>
        <w:numPr>
          <w:ilvl w:val="2"/>
          <w:numId w:val="8"/>
        </w:numPr>
        <w:ind w:right="14" w:hanging="720"/>
      </w:pPr>
      <w:r>
        <w:t xml:space="preserve">other material provided by the Buyer necessary for the Services </w:t>
      </w:r>
    </w:p>
    <w:p w:rsidR="004168A5" w:rsidRDefault="001C59B0">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rsidR="004168A5" w:rsidRDefault="001C59B0">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rsidR="004168A5" w:rsidRDefault="001C59B0">
      <w:pPr>
        <w:tabs>
          <w:tab w:val="center" w:pos="1333"/>
          <w:tab w:val="center" w:pos="2779"/>
        </w:tabs>
        <w:ind w:left="0" w:firstLine="0"/>
      </w:pPr>
      <w:r>
        <w:rPr>
          <w:rFonts w:ascii="Calibri" w:eastAsia="Calibri" w:hAnsi="Calibri" w:cs="Calibri"/>
        </w:rPr>
        <w:tab/>
      </w:r>
      <w:r>
        <w:t xml:space="preserve">12.1 </w:t>
      </w:r>
      <w:r>
        <w:tab/>
        <w:t xml:space="preserve">The Supplier must: </w:t>
      </w:r>
    </w:p>
    <w:p w:rsidR="004168A5" w:rsidRDefault="001C59B0">
      <w:pPr>
        <w:ind w:left="2573" w:right="14" w:hanging="720"/>
      </w:pPr>
      <w:r>
        <w:t xml:space="preserve">12.1.1 comply with the Buyer’s written instructions and this Call-Off Contract when Processing Buyer Personal Data </w:t>
      </w:r>
    </w:p>
    <w:p w:rsidR="004168A5" w:rsidRDefault="001C59B0">
      <w:pPr>
        <w:ind w:left="2573" w:right="14" w:hanging="720"/>
      </w:pPr>
      <w:r>
        <w:t xml:space="preserve">12.1.2 only Process the Buyer Personal Data as necessary for the provision of the G-Cloud   Services or as required by Law or any Regulatory Body </w:t>
      </w:r>
    </w:p>
    <w:p w:rsidR="004168A5" w:rsidRDefault="001C59B0">
      <w:pPr>
        <w:ind w:left="2573" w:right="14" w:hanging="720"/>
      </w:pPr>
      <w:r>
        <w:t xml:space="preserve">12.1.3 take reasonable steps to ensure that any Supplier Staff who have access to Buyer Personal Data act in compliance with Supplier's security processes </w:t>
      </w:r>
    </w:p>
    <w:p w:rsidR="004168A5" w:rsidRDefault="001C59B0">
      <w:pPr>
        <w:ind w:left="1838" w:right="14" w:hanging="720"/>
      </w:pPr>
      <w:r>
        <w:t xml:space="preserve">12.2 The Supplier must fully assist with any complaint or request for Buyer Personal Data including by: </w:t>
      </w:r>
    </w:p>
    <w:p w:rsidR="004168A5" w:rsidRDefault="001C59B0">
      <w:pPr>
        <w:ind w:left="1526" w:right="14" w:firstLine="311"/>
      </w:pPr>
      <w:r>
        <w:t xml:space="preserve">12.2.1 providing the Buyer with full details of the complaint or request </w:t>
      </w:r>
    </w:p>
    <w:p w:rsidR="004168A5" w:rsidRDefault="001C59B0">
      <w:pPr>
        <w:ind w:left="2573" w:right="14" w:hanging="720"/>
      </w:pPr>
      <w:r>
        <w:t xml:space="preserve">12.2.2 complying with a data access request within the timescales in the Data Protection Legislation and following the Buyer’s instructions </w:t>
      </w:r>
    </w:p>
    <w:p w:rsidR="004168A5" w:rsidRDefault="001C59B0">
      <w:pPr>
        <w:ind w:left="2558" w:right="14" w:hanging="720"/>
      </w:pPr>
      <w:r>
        <w:lastRenderedPageBreak/>
        <w:t xml:space="preserve">12.2.3 providing the Buyer with any Buyer Personal Data it holds about a Data Subject  </w:t>
      </w:r>
      <w:proofErr w:type="gramStart"/>
      <w:r>
        <w:t xml:space="preserve">   (</w:t>
      </w:r>
      <w:proofErr w:type="gramEnd"/>
      <w:r>
        <w:t xml:space="preserve">within the timescales required by the Buyer) </w:t>
      </w:r>
    </w:p>
    <w:p w:rsidR="004168A5" w:rsidRDefault="001C59B0">
      <w:pPr>
        <w:ind w:left="1526" w:right="14" w:firstLine="311"/>
      </w:pPr>
      <w:r>
        <w:t xml:space="preserve">12.2.4 providing the Buyer with any information requested by the Data Subject </w:t>
      </w:r>
    </w:p>
    <w:p w:rsidR="004168A5" w:rsidRDefault="001C59B0">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rsidR="004168A5" w:rsidRDefault="001C59B0">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rsidR="004168A5" w:rsidRDefault="001C59B0">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rsidR="004168A5" w:rsidRDefault="001C59B0">
      <w:pPr>
        <w:ind w:left="1838" w:right="471" w:hanging="720"/>
      </w:pPr>
      <w:r>
        <w:t xml:space="preserve">13.2 </w:t>
      </w:r>
      <w:r>
        <w:tab/>
        <w:t xml:space="preserve">The Supplier will not store or use Buyer Data except if necessary to fulfil its obligations. </w:t>
      </w:r>
    </w:p>
    <w:p w:rsidR="004168A5" w:rsidRDefault="001C59B0">
      <w:pPr>
        <w:ind w:left="1838" w:right="14" w:hanging="720"/>
      </w:pPr>
      <w:r>
        <w:t xml:space="preserve">13.3 </w:t>
      </w:r>
      <w:r>
        <w:tab/>
        <w:t xml:space="preserve">If Buyer Data is processed by the Supplier, the Supplier will supply the data to the Buyer as requested. </w:t>
      </w:r>
    </w:p>
    <w:p w:rsidR="004168A5" w:rsidRDefault="001C59B0">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rsidR="004168A5" w:rsidRDefault="001C59B0">
      <w:pPr>
        <w:ind w:left="1838" w:right="14" w:hanging="720"/>
      </w:pPr>
      <w:r>
        <w:t xml:space="preserve">13.5 </w:t>
      </w:r>
      <w:r>
        <w:tab/>
        <w:t xml:space="preserve">The Supplier will preserve the integrity of Buyer Data processed by the Supplier and prevent its corruption and loss. </w:t>
      </w:r>
    </w:p>
    <w:p w:rsidR="004168A5" w:rsidRDefault="001C59B0">
      <w:pPr>
        <w:ind w:left="1838" w:right="14" w:hanging="720"/>
      </w:pPr>
      <w:r>
        <w:t xml:space="preserve">13.6 </w:t>
      </w:r>
      <w:r>
        <w:tab/>
        <w:t xml:space="preserve">The Supplier will ensure that any Supplier system which holds any protectively marked Buyer Data or other government data will comply with: </w:t>
      </w:r>
    </w:p>
    <w:p w:rsidR="004168A5" w:rsidRDefault="001C59B0">
      <w:pPr>
        <w:spacing w:after="21"/>
        <w:ind w:right="14" w:firstLine="312"/>
      </w:pPr>
      <w:r>
        <w:t xml:space="preserve">       13.6.1 the principles in the Security Policy Framework: </w:t>
      </w:r>
    </w:p>
    <w:bookmarkStart w:id="3" w:name="_heading=h.gjdgxs" w:colFirst="0" w:colLast="0"/>
    <w:bookmarkEnd w:id="3"/>
    <w:p w:rsidR="004168A5" w:rsidRDefault="001C59B0">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rsidR="004168A5" w:rsidRDefault="004168A5">
      <w:pPr>
        <w:spacing w:after="27" w:line="256" w:lineRule="auto"/>
        <w:ind w:left="2583" w:right="469" w:firstLine="0"/>
      </w:pPr>
    </w:p>
    <w:p w:rsidR="004168A5" w:rsidRDefault="001C59B0">
      <w:pPr>
        <w:ind w:left="2556" w:right="642" w:hanging="702"/>
      </w:pPr>
      <w:r>
        <w:t>13.6.2 guidance issued by the Centre for Protection of National Infrastructure on Risk Management</w:t>
      </w:r>
      <w:hyperlink r:id="rId12">
        <w:r>
          <w:rPr>
            <w:color w:val="1155CC"/>
            <w:u w:val="single"/>
          </w:rPr>
          <w:t xml:space="preserve">: https://www.cpni.gov.uk/content/adopt-risk-managementapproach </w:t>
        </w:r>
      </w:hyperlink>
      <w:r>
        <w:t xml:space="preserve">and Protection of Sensitive Information and Assets: </w:t>
      </w:r>
      <w:hyperlink r:id="rId13">
        <w:r>
          <w:rPr>
            <w:color w:val="1155CC"/>
            <w:u w:val="single"/>
          </w:rPr>
          <w:t>https://www.cpni.gov.uk/protection-sensitive-information-and-assets</w:t>
        </w:r>
      </w:hyperlink>
      <w:hyperlink r:id="rId14">
        <w:r>
          <w:t xml:space="preserve"> </w:t>
        </w:r>
      </w:hyperlink>
    </w:p>
    <w:p w:rsidR="004168A5" w:rsidRDefault="001C59B0">
      <w:pPr>
        <w:ind w:left="2573" w:right="14" w:hanging="720"/>
      </w:pPr>
      <w:r>
        <w:t xml:space="preserve">13.6.3 the National Cyber Security Centre’s (NCSC) information risk management guidance: </w:t>
      </w:r>
      <w:hyperlink r:id="rId15">
        <w:r>
          <w:rPr>
            <w:color w:val="1155CC"/>
            <w:u w:val="single"/>
          </w:rPr>
          <w:t>https://www.ncsc.gov.uk/collection/risk-management-collection</w:t>
        </w:r>
      </w:hyperlink>
      <w:hyperlink r:id="rId16">
        <w:r>
          <w:t xml:space="preserve"> </w:t>
        </w:r>
      </w:hyperlink>
    </w:p>
    <w:p w:rsidR="004168A5" w:rsidRDefault="001C59B0">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7">
        <w:r>
          <w:rPr>
            <w:color w:val="0000FF"/>
            <w:u w:val="single"/>
          </w:rPr>
          <w:t>https://www.gov.uk/government/publications/technologycode-of-practice/technology -code-of-practice</w:t>
        </w:r>
      </w:hyperlink>
      <w:hyperlink r:id="rId18">
        <w:r>
          <w:t xml:space="preserve"> </w:t>
        </w:r>
      </w:hyperlink>
    </w:p>
    <w:p w:rsidR="004168A5" w:rsidRDefault="001C59B0">
      <w:pPr>
        <w:spacing w:after="0"/>
        <w:ind w:left="2573" w:right="14" w:hanging="720"/>
      </w:pPr>
      <w:r>
        <w:t xml:space="preserve">13.6.5 the security requirements of cloud services using the NCSC Cloud Security Principles and accompanying guidance: </w:t>
      </w:r>
    </w:p>
    <w:bookmarkStart w:id="4" w:name="_heading=h.30j0zll" w:colFirst="0" w:colLast="0"/>
    <w:bookmarkEnd w:id="4"/>
    <w:p w:rsidR="004168A5" w:rsidRDefault="001C59B0">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19">
        <w:r>
          <w:t xml:space="preserve"> </w:t>
        </w:r>
      </w:hyperlink>
    </w:p>
    <w:p w:rsidR="004168A5" w:rsidRDefault="001C59B0">
      <w:pPr>
        <w:spacing w:after="323" w:line="256" w:lineRule="auto"/>
        <w:ind w:left="1853" w:firstLine="0"/>
      </w:pPr>
      <w:r>
        <w:rPr>
          <w:color w:val="222222"/>
        </w:rPr>
        <w:t>13.6.6 Buyer requirements in respect of AI ethical standards.</w:t>
      </w:r>
      <w:r>
        <w:t xml:space="preserve"> </w:t>
      </w:r>
    </w:p>
    <w:p w:rsidR="004168A5" w:rsidRDefault="001C59B0">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rsidR="004168A5" w:rsidRDefault="001C59B0">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4168A5" w:rsidRDefault="001C59B0">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rsidR="004168A5" w:rsidRDefault="001C59B0">
      <w:pPr>
        <w:spacing w:after="974"/>
        <w:ind w:left="1838" w:right="14" w:hanging="720"/>
      </w:pPr>
      <w:r>
        <w:t xml:space="preserve">13.10 The provisions of this clause 13 will apply during the term of this Call-Off Contract and for as long as the Supplier holds the Buyer’s Data. </w:t>
      </w:r>
    </w:p>
    <w:p w:rsidR="004168A5" w:rsidRDefault="001C59B0">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rsidR="004168A5" w:rsidRDefault="001C59B0">
      <w:pPr>
        <w:ind w:left="1838" w:right="14" w:hanging="720"/>
      </w:pPr>
      <w:r>
        <w:t xml:space="preserve">14.1 </w:t>
      </w:r>
      <w:r>
        <w:tab/>
        <w:t xml:space="preserve">The Supplier will comply with any standards in this Call-Off Contract, the Order Form and the Framework Agreement. </w:t>
      </w:r>
    </w:p>
    <w:p w:rsidR="004168A5" w:rsidRDefault="001C59B0">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5" w:name="_heading=h.1fob9te" w:colFirst="0" w:colLast="0"/>
    <w:bookmarkEnd w:id="5"/>
    <w:p w:rsidR="004168A5" w:rsidRDefault="001C59B0">
      <w:pPr>
        <w:spacing w:after="27" w:line="256"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6" w:name="_heading=h.3znysh7" w:colFirst="0" w:colLast="0"/>
    <w:bookmarkEnd w:id="6"/>
    <w:p w:rsidR="004168A5" w:rsidRDefault="001C59B0">
      <w:pPr>
        <w:spacing w:after="27" w:line="256" w:lineRule="auto"/>
        <w:ind w:left="1526" w:firstLine="311"/>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20">
        <w:r>
          <w:t xml:space="preserve"> </w:t>
        </w:r>
      </w:hyperlink>
    </w:p>
    <w:p w:rsidR="004168A5" w:rsidRDefault="001C59B0">
      <w:pPr>
        <w:ind w:left="1838" w:right="14" w:hanging="720"/>
      </w:pPr>
      <w:r>
        <w:t xml:space="preserve">14.3 </w:t>
      </w:r>
      <w:r>
        <w:tab/>
        <w:t xml:space="preserve">If requested by the Buyer, the Supplier must, at its own cost, ensure that the G-Cloud Services comply with the requirements in the PSN Code of Practice. </w:t>
      </w:r>
    </w:p>
    <w:p w:rsidR="004168A5" w:rsidRDefault="001C59B0">
      <w:pPr>
        <w:ind w:left="1838" w:right="14" w:hanging="720"/>
      </w:pPr>
      <w:r>
        <w:t xml:space="preserve">14.4 </w:t>
      </w:r>
      <w:r>
        <w:tab/>
        <w:t xml:space="preserve">If any PSN Services are Subcontracted by the Supplier, the Supplier must ensure that the services have the relevant PSN compliance certification. </w:t>
      </w:r>
    </w:p>
    <w:p w:rsidR="004168A5" w:rsidRDefault="001C59B0">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rsidR="004168A5" w:rsidRDefault="001C59B0">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r>
          <w:rPr>
            <w:color w:val="1155CC"/>
            <w:u w:val="single"/>
          </w:rPr>
          <w:t>.</w:t>
        </w:r>
      </w:hyperlink>
      <w:hyperlink r:id="rId22">
        <w:r>
          <w:t xml:space="preserve"> </w:t>
        </w:r>
      </w:hyperlink>
    </w:p>
    <w:p w:rsidR="004168A5" w:rsidRDefault="001C59B0">
      <w:pPr>
        <w:pStyle w:val="Heading3"/>
        <w:tabs>
          <w:tab w:val="center" w:pos="1313"/>
          <w:tab w:val="center" w:pos="2656"/>
        </w:tabs>
        <w:ind w:left="0" w:firstLine="0"/>
      </w:pPr>
      <w:r>
        <w:rPr>
          <w:rFonts w:ascii="Calibri" w:eastAsia="Calibri" w:hAnsi="Calibri" w:cs="Calibri"/>
          <w:color w:val="000000"/>
          <w:sz w:val="22"/>
        </w:rPr>
        <w:lastRenderedPageBreak/>
        <w:tab/>
      </w:r>
      <w:r>
        <w:t xml:space="preserve">15. </w:t>
      </w:r>
      <w:r>
        <w:tab/>
        <w:t xml:space="preserve">Open source </w:t>
      </w:r>
    </w:p>
    <w:p w:rsidR="004168A5" w:rsidRDefault="001C59B0">
      <w:pPr>
        <w:ind w:left="1838" w:right="14" w:hanging="720"/>
      </w:pPr>
      <w:r>
        <w:t xml:space="preserve">15.1 </w:t>
      </w:r>
      <w:r>
        <w:tab/>
        <w:t xml:space="preserve">All software created for the Buyer must be suitable for publication as open source, unless otherwise agreed by the Buyer. </w:t>
      </w:r>
    </w:p>
    <w:p w:rsidR="004168A5" w:rsidRDefault="001C59B0">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rsidR="004168A5" w:rsidRDefault="001C59B0">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rsidR="004168A5" w:rsidRDefault="001C59B0">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rsidR="004168A5" w:rsidRDefault="001C59B0">
      <w:pPr>
        <w:spacing w:after="33" w:line="276" w:lineRule="auto"/>
        <w:ind w:left="1789" w:right="166" w:firstLine="49"/>
      </w:pPr>
      <w:r>
        <w:t xml:space="preserve">Buyer’s written approval of) a Security Management Plan and an Information Security </w:t>
      </w:r>
    </w:p>
    <w:p w:rsidR="004168A5" w:rsidRDefault="001C59B0">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4168A5" w:rsidRDefault="001C59B0">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rsidR="004168A5" w:rsidRDefault="001C59B0">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rsidR="004168A5" w:rsidRDefault="001C59B0">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rsidR="004168A5" w:rsidRDefault="001C59B0">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4168A5" w:rsidRDefault="001C59B0">
      <w:pPr>
        <w:spacing w:after="334" w:line="276" w:lineRule="auto"/>
        <w:ind w:left="2573" w:right="14" w:hanging="720"/>
      </w:pPr>
      <w:r>
        <w:t xml:space="preserve">16.4.2 Buyer’s expense if the Malicious Software originates from the Buyer software or the Service Data, while the Service Data was under the Buyer’s control </w:t>
      </w:r>
    </w:p>
    <w:p w:rsidR="004168A5" w:rsidRDefault="001C59B0">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rsidR="004168A5" w:rsidRDefault="001C59B0">
      <w:pPr>
        <w:spacing w:after="34"/>
        <w:ind w:left="1838" w:right="14" w:hanging="720"/>
      </w:pPr>
      <w:r>
        <w:t xml:space="preserve">16.6 </w:t>
      </w:r>
      <w:r>
        <w:tab/>
        <w:t xml:space="preserve">Any system development by the Supplier should also comply with the government’s ‘10 Steps to Cyber Security’ guidance: </w:t>
      </w:r>
    </w:p>
    <w:bookmarkStart w:id="7" w:name="_heading=h.2et92p0" w:colFirst="0" w:colLast="0"/>
    <w:bookmarkEnd w:id="7"/>
    <w:p w:rsidR="004168A5" w:rsidRDefault="001C59B0">
      <w:pPr>
        <w:spacing w:after="347" w:line="256" w:lineRule="auto"/>
        <w:ind w:left="1526" w:firstLine="311"/>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3">
        <w:r>
          <w:t xml:space="preserve"> </w:t>
        </w:r>
      </w:hyperlink>
    </w:p>
    <w:p w:rsidR="004168A5" w:rsidRDefault="001C59B0">
      <w:pPr>
        <w:spacing w:after="741"/>
        <w:ind w:left="1838" w:right="14" w:hanging="720"/>
      </w:pPr>
      <w:r>
        <w:lastRenderedPageBreak/>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4168A5" w:rsidRDefault="001C59B0">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rsidR="004168A5" w:rsidRDefault="001C59B0">
      <w:pPr>
        <w:ind w:left="1838" w:right="14" w:hanging="720"/>
      </w:pPr>
      <w:r>
        <w:t xml:space="preserve">17.1 </w:t>
      </w:r>
      <w:r>
        <w:tab/>
        <w:t xml:space="preserve">If this Call-Off Contract is conditional on receipt of a Guarantee that is acceptable to the Buyer, the Supplier must give the Buyer on or before the Start date: </w:t>
      </w:r>
    </w:p>
    <w:p w:rsidR="004168A5" w:rsidRDefault="001C59B0">
      <w:pPr>
        <w:ind w:left="1526" w:right="14" w:firstLine="311"/>
      </w:pPr>
      <w:r>
        <w:t xml:space="preserve">17.1.1 an executed Guarantee in the form at Schedule 5 </w:t>
      </w:r>
    </w:p>
    <w:p w:rsidR="004168A5" w:rsidRDefault="001C59B0">
      <w:pPr>
        <w:spacing w:after="741"/>
        <w:ind w:left="2573" w:right="14" w:hanging="720"/>
      </w:pPr>
      <w:r>
        <w:t xml:space="preserve">17.1.2 a certified copy of the passed resolution or board minutes of the guarantor approving the execution of the Guarantee </w:t>
      </w:r>
    </w:p>
    <w:p w:rsidR="004168A5" w:rsidRDefault="001C59B0">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rsidR="004168A5" w:rsidRDefault="001C59B0">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rsidR="004168A5" w:rsidRDefault="001C59B0">
      <w:pPr>
        <w:ind w:left="1849" w:right="14" w:firstLine="0"/>
      </w:pPr>
      <w:r>
        <w:t xml:space="preserve">Supplier, unless a shorter period is specified in the Order Form. The Supplier’s obligation to provide the Services will end on the date in the notice. </w:t>
      </w:r>
    </w:p>
    <w:p w:rsidR="004168A5" w:rsidRDefault="001C59B0">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rsidR="004168A5" w:rsidRDefault="001C59B0">
      <w:pPr>
        <w:ind w:left="2573" w:right="14" w:hanging="720"/>
      </w:pPr>
      <w:r>
        <w:t xml:space="preserve">18.2.1 Buyer’s right to End the Call-Off Contract under clause 18.1 is reasonable considering the type of cloud Service being provided </w:t>
      </w:r>
    </w:p>
    <w:p w:rsidR="004168A5" w:rsidRDefault="001C59B0">
      <w:pPr>
        <w:ind w:left="2573" w:right="14" w:hanging="720"/>
      </w:pPr>
      <w:r>
        <w:t xml:space="preserve">18.2.2 Call-Off Contract Charges paid during the notice period are reasonable compensation and cover all the Supplier’s avoidable costs or Losses </w:t>
      </w:r>
    </w:p>
    <w:p w:rsidR="004168A5" w:rsidRDefault="001C59B0">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4168A5" w:rsidRDefault="001C59B0">
      <w:pPr>
        <w:ind w:left="1838" w:right="14" w:hanging="720"/>
      </w:pPr>
      <w:r>
        <w:t xml:space="preserve">18.4 </w:t>
      </w:r>
      <w:r>
        <w:tab/>
        <w:t xml:space="preserve">The Buyer will have the right to End this Call-Off Contract at any time with immediate effect by written notice to the Supplier if either the Supplier commits: </w:t>
      </w:r>
    </w:p>
    <w:p w:rsidR="004168A5" w:rsidRDefault="001C59B0">
      <w:pPr>
        <w:ind w:left="2573" w:right="14" w:hanging="720"/>
      </w:pPr>
      <w:r>
        <w:t xml:space="preserve">18.4.1 a Supplier Default and if the Supplier Default cannot, in the reasonable opinion of the Buyer, be remedied </w:t>
      </w:r>
    </w:p>
    <w:p w:rsidR="004168A5" w:rsidRDefault="001C59B0">
      <w:pPr>
        <w:ind w:left="1541" w:right="14" w:firstLine="311"/>
      </w:pPr>
      <w:r>
        <w:t xml:space="preserve">18.4.2 any fraud </w:t>
      </w:r>
    </w:p>
    <w:p w:rsidR="004168A5" w:rsidRDefault="001C59B0">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rsidR="004168A5" w:rsidRDefault="001C59B0">
      <w:pPr>
        <w:ind w:left="2573" w:right="14" w:hanging="720"/>
      </w:pPr>
      <w:r>
        <w:lastRenderedPageBreak/>
        <w:t xml:space="preserve">18.5.1 the other Party commits a Material Breach of any term of this Call-Off Contract (other than failure to pay any amounts due) and, if that breach is remediable, fails to remedy it within 15 Working Days of being notified in writing to do so </w:t>
      </w:r>
    </w:p>
    <w:p w:rsidR="004168A5" w:rsidRDefault="001C59B0">
      <w:pPr>
        <w:ind w:left="1541" w:right="14" w:firstLine="311"/>
      </w:pPr>
      <w:r>
        <w:t xml:space="preserve">18.5.2 an Insolvency Event of the other Party happens </w:t>
      </w:r>
    </w:p>
    <w:p w:rsidR="004168A5" w:rsidRDefault="001C59B0">
      <w:pPr>
        <w:ind w:left="2573" w:right="14" w:hanging="720"/>
      </w:pPr>
      <w:r>
        <w:t xml:space="preserve">18.5.3 the other Party ceases or threatens to cease to carry on the whole or any material part of its business </w:t>
      </w:r>
    </w:p>
    <w:p w:rsidR="004168A5" w:rsidRDefault="001C59B0">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4168A5" w:rsidRDefault="001C59B0">
      <w:pPr>
        <w:spacing w:after="741"/>
        <w:ind w:left="1838" w:right="14" w:hanging="720"/>
      </w:pPr>
      <w:r>
        <w:t xml:space="preserve">18.7 </w:t>
      </w:r>
      <w:r>
        <w:tab/>
        <w:t xml:space="preserve">A Party who isn’t relying on a Force Majeure event will have the right to End this Call-Off Contract if clause 23.1 applies. </w:t>
      </w:r>
    </w:p>
    <w:p w:rsidR="004168A5" w:rsidRDefault="001C59B0">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rsidR="004168A5" w:rsidRDefault="001C59B0">
      <w:pPr>
        <w:ind w:left="1838" w:right="14" w:hanging="720"/>
      </w:pPr>
      <w:r>
        <w:t xml:space="preserve">19.1 </w:t>
      </w:r>
      <w:r>
        <w:tab/>
        <w:t xml:space="preserve">If a Buyer has the right to End a Call-Off Contract, it may elect to suspend this Call-Off Contract or any part of it. </w:t>
      </w:r>
    </w:p>
    <w:p w:rsidR="004168A5" w:rsidRDefault="001C59B0">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rsidR="004168A5" w:rsidRDefault="001C59B0">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rsidR="004168A5" w:rsidRDefault="001C59B0">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rsidR="004168A5" w:rsidRDefault="001C59B0">
      <w:pPr>
        <w:ind w:left="1863" w:right="14" w:firstLine="0"/>
      </w:pPr>
      <w:r>
        <w:t xml:space="preserve">19.4.1 any rights, remedies or obligations accrued before its Ending or expiration </w:t>
      </w:r>
    </w:p>
    <w:p w:rsidR="004168A5" w:rsidRDefault="001C59B0">
      <w:pPr>
        <w:ind w:left="2573" w:right="14" w:hanging="720"/>
      </w:pPr>
      <w:r>
        <w:t xml:space="preserve">19.4.2 the right of either Party to recover any amount outstanding at the time of Ending or expiry </w:t>
      </w:r>
    </w:p>
    <w:p w:rsidR="004168A5" w:rsidRDefault="001C59B0">
      <w:pPr>
        <w:spacing w:after="8"/>
        <w:ind w:left="2573" w:right="14" w:hanging="720"/>
      </w:pPr>
      <w:r>
        <w:t xml:space="preserve">19.4.3 the continuing rights, remedies or obligations of the Buyer or the Supplier under clauses </w:t>
      </w:r>
    </w:p>
    <w:p w:rsidR="004168A5" w:rsidRDefault="001C59B0">
      <w:pPr>
        <w:numPr>
          <w:ilvl w:val="0"/>
          <w:numId w:val="12"/>
        </w:numPr>
        <w:spacing w:after="22"/>
        <w:ind w:right="14" w:hanging="360"/>
      </w:pPr>
      <w:r>
        <w:t xml:space="preserve">7 (Payment, VAT and Call-Off Contract charges) </w:t>
      </w:r>
    </w:p>
    <w:p w:rsidR="004168A5" w:rsidRDefault="001C59B0">
      <w:pPr>
        <w:numPr>
          <w:ilvl w:val="0"/>
          <w:numId w:val="12"/>
        </w:numPr>
        <w:spacing w:after="25"/>
        <w:ind w:right="14" w:hanging="360"/>
      </w:pPr>
      <w:r>
        <w:t xml:space="preserve">8 (Recovery of sums due and right of set-off) </w:t>
      </w:r>
    </w:p>
    <w:p w:rsidR="004168A5" w:rsidRDefault="001C59B0">
      <w:pPr>
        <w:numPr>
          <w:ilvl w:val="0"/>
          <w:numId w:val="12"/>
        </w:numPr>
        <w:spacing w:after="24"/>
        <w:ind w:right="14" w:hanging="360"/>
      </w:pPr>
      <w:r>
        <w:t xml:space="preserve">9 (Insurance) </w:t>
      </w:r>
    </w:p>
    <w:p w:rsidR="004168A5" w:rsidRDefault="001C59B0">
      <w:pPr>
        <w:numPr>
          <w:ilvl w:val="0"/>
          <w:numId w:val="12"/>
        </w:numPr>
        <w:spacing w:after="23"/>
        <w:ind w:right="14" w:hanging="360"/>
      </w:pPr>
      <w:r>
        <w:t xml:space="preserve">10 (Confidentiality) </w:t>
      </w:r>
    </w:p>
    <w:p w:rsidR="004168A5" w:rsidRDefault="001C59B0">
      <w:pPr>
        <w:numPr>
          <w:ilvl w:val="0"/>
          <w:numId w:val="12"/>
        </w:numPr>
        <w:spacing w:after="23"/>
        <w:ind w:right="14" w:hanging="360"/>
      </w:pPr>
      <w:r>
        <w:t xml:space="preserve">11 (Intellectual property rights) </w:t>
      </w:r>
    </w:p>
    <w:p w:rsidR="004168A5" w:rsidRDefault="001C59B0">
      <w:pPr>
        <w:numPr>
          <w:ilvl w:val="0"/>
          <w:numId w:val="12"/>
        </w:numPr>
        <w:spacing w:after="24"/>
        <w:ind w:right="14" w:hanging="360"/>
      </w:pPr>
      <w:r>
        <w:t xml:space="preserve">12 (Protection of information) </w:t>
      </w:r>
    </w:p>
    <w:p w:rsidR="004168A5" w:rsidRDefault="001C59B0">
      <w:pPr>
        <w:numPr>
          <w:ilvl w:val="0"/>
          <w:numId w:val="12"/>
        </w:numPr>
        <w:spacing w:after="0"/>
        <w:ind w:right="14" w:hanging="360"/>
      </w:pPr>
      <w:r>
        <w:t xml:space="preserve">13 (Buyer data) </w:t>
      </w:r>
    </w:p>
    <w:p w:rsidR="004168A5" w:rsidRDefault="001C59B0">
      <w:pPr>
        <w:numPr>
          <w:ilvl w:val="0"/>
          <w:numId w:val="12"/>
        </w:numPr>
        <w:spacing w:after="0"/>
        <w:ind w:right="14" w:hanging="360"/>
      </w:pPr>
      <w:r>
        <w:lastRenderedPageBreak/>
        <w:t xml:space="preserve">19 (Consequences of suspension, ending and expiry) </w:t>
      </w:r>
    </w:p>
    <w:p w:rsidR="004168A5" w:rsidRDefault="001C59B0">
      <w:pPr>
        <w:numPr>
          <w:ilvl w:val="0"/>
          <w:numId w:val="12"/>
        </w:numPr>
        <w:spacing w:after="0"/>
        <w:ind w:right="14" w:hanging="360"/>
      </w:pPr>
      <w:r>
        <w:t xml:space="preserve">24 (Liability); and incorporated Framework Agreement clauses: 4.1 to 4.6, (Liability), </w:t>
      </w:r>
    </w:p>
    <w:p w:rsidR="004168A5" w:rsidRDefault="001C59B0">
      <w:pPr>
        <w:spacing w:after="0"/>
        <w:ind w:left="2583" w:right="14" w:firstLine="0"/>
      </w:pPr>
      <w:r>
        <w:t xml:space="preserve">24 (Conflicts of interest and ethical walls), 35 (Waiver and cumulative remedies) </w:t>
      </w:r>
    </w:p>
    <w:p w:rsidR="004168A5" w:rsidRDefault="004168A5">
      <w:pPr>
        <w:ind w:left="2573" w:right="14" w:hanging="720"/>
      </w:pPr>
    </w:p>
    <w:p w:rsidR="004168A5" w:rsidRDefault="001C59B0">
      <w:pPr>
        <w:ind w:left="2573" w:right="14" w:hanging="720"/>
      </w:pPr>
      <w:r>
        <w:t xml:space="preserve">19.4.4 any other provision of the Framework Agreement or this Call-Off Contract which expressly or by implication is in force even if it Ends or expires. </w:t>
      </w:r>
    </w:p>
    <w:p w:rsidR="004168A5" w:rsidRDefault="001C59B0">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rsidR="004168A5" w:rsidRDefault="001C59B0">
      <w:pPr>
        <w:numPr>
          <w:ilvl w:val="2"/>
          <w:numId w:val="15"/>
        </w:numPr>
        <w:ind w:right="14" w:hanging="720"/>
      </w:pPr>
      <w:r>
        <w:t xml:space="preserve">return all Buyer Data including all copies of Buyer software, code and any other software licensed by the Buyer to the Supplier under it </w:t>
      </w:r>
    </w:p>
    <w:p w:rsidR="004168A5" w:rsidRDefault="001C59B0">
      <w:pPr>
        <w:numPr>
          <w:ilvl w:val="2"/>
          <w:numId w:val="15"/>
        </w:numPr>
        <w:ind w:right="14" w:hanging="720"/>
      </w:pPr>
      <w:r>
        <w:t xml:space="preserve">return any materials created by the Supplier under this Call-Off Contract if the IPRs are owned by the Buyer </w:t>
      </w:r>
    </w:p>
    <w:p w:rsidR="004168A5" w:rsidRDefault="001C59B0">
      <w:pPr>
        <w:numPr>
          <w:ilvl w:val="2"/>
          <w:numId w:val="15"/>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rsidR="004168A5" w:rsidRDefault="001C59B0">
      <w:pPr>
        <w:numPr>
          <w:ilvl w:val="2"/>
          <w:numId w:val="15"/>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4168A5" w:rsidRDefault="001C59B0">
      <w:pPr>
        <w:numPr>
          <w:ilvl w:val="2"/>
          <w:numId w:val="15"/>
        </w:numPr>
        <w:ind w:right="14" w:hanging="720"/>
      </w:pPr>
      <w:r>
        <w:t xml:space="preserve">work with the Buyer on any ongoing work </w:t>
      </w:r>
    </w:p>
    <w:p w:rsidR="004168A5" w:rsidRDefault="001C59B0">
      <w:pPr>
        <w:numPr>
          <w:ilvl w:val="2"/>
          <w:numId w:val="15"/>
        </w:numPr>
        <w:spacing w:after="644"/>
        <w:ind w:right="14" w:hanging="720"/>
      </w:pPr>
      <w:r>
        <w:t xml:space="preserve">return any sums prepaid for Services which have not been delivered to the Buyer, within 10 Working Days of the End or Expiry Date </w:t>
      </w:r>
    </w:p>
    <w:p w:rsidR="004168A5" w:rsidRDefault="001C59B0">
      <w:pPr>
        <w:numPr>
          <w:ilvl w:val="1"/>
          <w:numId w:val="18"/>
        </w:numPr>
        <w:ind w:right="14" w:hanging="720"/>
      </w:pPr>
      <w:r>
        <w:t xml:space="preserve">Each Party will return all of the other Party’s Confidential Information and confirm this has been done, unless there is a legal requirement to keep it or this Call-Off Contract states otherwise. </w:t>
      </w:r>
    </w:p>
    <w:p w:rsidR="004168A5" w:rsidRDefault="001C59B0">
      <w:pPr>
        <w:numPr>
          <w:ilvl w:val="1"/>
          <w:numId w:val="18"/>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4168A5" w:rsidRDefault="001C59B0">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rsidR="004168A5" w:rsidRDefault="001C59B0">
      <w:pPr>
        <w:ind w:left="1838" w:right="14" w:hanging="720"/>
      </w:pPr>
      <w:r>
        <w:t xml:space="preserve">20.1 </w:t>
      </w:r>
      <w:r>
        <w:tab/>
        <w:t xml:space="preserve">Any notices sent must be in writing. For the purpose of this clause, an email is accepted as being 'in writing'. </w:t>
      </w:r>
    </w:p>
    <w:p w:rsidR="004168A5" w:rsidRDefault="001C59B0">
      <w:pPr>
        <w:numPr>
          <w:ilvl w:val="0"/>
          <w:numId w:val="20"/>
        </w:numPr>
        <w:spacing w:after="0"/>
        <w:ind w:right="14" w:hanging="360"/>
      </w:pPr>
      <w:r>
        <w:t xml:space="preserve">Manner of delivery: email </w:t>
      </w:r>
    </w:p>
    <w:p w:rsidR="004168A5" w:rsidRDefault="001C59B0">
      <w:pPr>
        <w:numPr>
          <w:ilvl w:val="0"/>
          <w:numId w:val="20"/>
        </w:numPr>
        <w:spacing w:after="0"/>
        <w:ind w:right="14" w:hanging="360"/>
      </w:pPr>
      <w:r>
        <w:lastRenderedPageBreak/>
        <w:t xml:space="preserve">Deemed time of delivery: 9am on the first Working Day after sending </w:t>
      </w:r>
    </w:p>
    <w:p w:rsidR="004168A5" w:rsidRDefault="001C59B0">
      <w:pPr>
        <w:numPr>
          <w:ilvl w:val="0"/>
          <w:numId w:val="20"/>
        </w:numPr>
        <w:spacing w:after="0"/>
        <w:ind w:right="14" w:hanging="360"/>
      </w:pPr>
      <w:r>
        <w:t xml:space="preserve">Proof of service: Sent in an emailed letter in PDF format to the correct email address without any error message </w:t>
      </w:r>
    </w:p>
    <w:p w:rsidR="004168A5" w:rsidRDefault="004168A5">
      <w:pPr>
        <w:spacing w:after="0"/>
        <w:ind w:left="2213" w:right="14" w:firstLine="0"/>
      </w:pPr>
    </w:p>
    <w:p w:rsidR="004168A5" w:rsidRDefault="001C59B0">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rsidR="004168A5" w:rsidRDefault="001C59B0">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rsidR="004168A5" w:rsidRDefault="001C59B0">
      <w:pPr>
        <w:ind w:left="1838" w:right="14" w:hanging="720"/>
      </w:pPr>
      <w:r>
        <w:t xml:space="preserve">21.1 </w:t>
      </w:r>
      <w:r>
        <w:tab/>
        <w:t xml:space="preserve">The Supplier must provide an exit plan in its Application which ensures continuity of service and the Supplier will follow it. </w:t>
      </w:r>
    </w:p>
    <w:p w:rsidR="004168A5" w:rsidRDefault="001C59B0">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4168A5" w:rsidRDefault="001C59B0">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rsidR="004168A5" w:rsidRDefault="001C59B0">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4168A5" w:rsidRDefault="004168A5">
      <w:pPr>
        <w:ind w:left="1838" w:right="14" w:hanging="720"/>
      </w:pPr>
    </w:p>
    <w:p w:rsidR="004168A5" w:rsidRDefault="001C59B0">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rsidR="004168A5" w:rsidRDefault="001C59B0">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4168A5" w:rsidRDefault="001C59B0">
      <w:pPr>
        <w:ind w:left="2573" w:right="14" w:hanging="720"/>
      </w:pPr>
      <w:r>
        <w:t xml:space="preserve">21.6.1 the Buyer will be able to transfer the Services to a replacement supplier before the expiry or Ending of the period on terms that are commercially reasonable and acceptable to the Buyer </w:t>
      </w:r>
    </w:p>
    <w:p w:rsidR="004168A5" w:rsidRDefault="001C59B0">
      <w:pPr>
        <w:spacing w:after="332"/>
        <w:ind w:left="1541" w:right="14" w:firstLine="311"/>
      </w:pPr>
      <w:r>
        <w:t xml:space="preserve">21.6.2 there will be no adverse impact on service continuity </w:t>
      </w:r>
    </w:p>
    <w:p w:rsidR="004168A5" w:rsidRDefault="001C59B0">
      <w:pPr>
        <w:ind w:left="1541" w:right="14" w:firstLine="311"/>
      </w:pPr>
      <w:r>
        <w:lastRenderedPageBreak/>
        <w:t xml:space="preserve">21.6.3 there is no vendor lock-in to the Supplier’s Service at exit </w:t>
      </w:r>
    </w:p>
    <w:p w:rsidR="004168A5" w:rsidRDefault="001C59B0">
      <w:pPr>
        <w:ind w:left="1863" w:right="14" w:firstLine="0"/>
      </w:pPr>
      <w:r>
        <w:t xml:space="preserve">21.6.4 it enables the Buyer to meet its obligations under the Technology Code of Practice </w:t>
      </w:r>
    </w:p>
    <w:p w:rsidR="004168A5" w:rsidRDefault="001C59B0">
      <w:pPr>
        <w:ind w:left="1838" w:right="14" w:hanging="720"/>
      </w:pPr>
      <w:r>
        <w:t xml:space="preserve">21.7 </w:t>
      </w:r>
      <w:r>
        <w:tab/>
        <w:t xml:space="preserve">If approval is obtained by the Buyer to extend the Term, then the Supplier will comply with its obligations in the additional exit plan. </w:t>
      </w:r>
    </w:p>
    <w:p w:rsidR="004168A5" w:rsidRDefault="001C59B0">
      <w:pPr>
        <w:ind w:left="1838" w:right="14" w:hanging="720"/>
      </w:pPr>
      <w:r>
        <w:t xml:space="preserve">21.8 </w:t>
      </w:r>
      <w:r>
        <w:tab/>
        <w:t xml:space="preserve">The additional exit plan must set out full details of timescales, activities and roles and responsibilities of the Parties for: </w:t>
      </w:r>
    </w:p>
    <w:p w:rsidR="004168A5" w:rsidRDefault="001C59B0">
      <w:pPr>
        <w:ind w:left="2573" w:right="14" w:hanging="720"/>
      </w:pPr>
      <w:r>
        <w:t xml:space="preserve">21.8.1 the transfer to the Buyer of any technical information, instructions, manuals and code reasonably required by the Buyer to enable a smooth migration from the Supplier </w:t>
      </w:r>
    </w:p>
    <w:p w:rsidR="004168A5" w:rsidRDefault="001C59B0">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rsidR="004168A5" w:rsidRDefault="001C59B0">
      <w:pPr>
        <w:ind w:left="2573" w:right="14" w:hanging="720"/>
      </w:pPr>
      <w:r>
        <w:t xml:space="preserve">21.8.3 the transfer of Project Specific IPR items and other Buyer customisations, configurations and databases to the Buyer or a replacement supplier </w:t>
      </w:r>
    </w:p>
    <w:p w:rsidR="004168A5" w:rsidRDefault="001C59B0">
      <w:pPr>
        <w:ind w:left="1541" w:right="14" w:firstLine="311"/>
      </w:pPr>
      <w:r>
        <w:t xml:space="preserve">21.8.4 the testing and assurance strategy for exported Buyer Data </w:t>
      </w:r>
    </w:p>
    <w:p w:rsidR="004168A5" w:rsidRDefault="001C59B0">
      <w:pPr>
        <w:ind w:left="1541" w:right="14" w:firstLine="311"/>
      </w:pPr>
      <w:r>
        <w:t xml:space="preserve">21.8.5 if relevant, TUPE-related activity to comply with the TUPE regulations </w:t>
      </w:r>
    </w:p>
    <w:p w:rsidR="004168A5" w:rsidRDefault="001C59B0">
      <w:pPr>
        <w:spacing w:after="741"/>
        <w:ind w:left="2573" w:right="14" w:hanging="720"/>
      </w:pPr>
      <w:r>
        <w:t xml:space="preserve">21.8.6 any other activities and information which is reasonably required to ensure continuity of Service during the exit period and an orderly transition </w:t>
      </w:r>
    </w:p>
    <w:p w:rsidR="004168A5" w:rsidRDefault="001C59B0">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rsidR="004168A5" w:rsidRDefault="001C59B0">
      <w:pPr>
        <w:ind w:left="1838" w:right="14" w:hanging="720"/>
      </w:pPr>
      <w:r>
        <w:t xml:space="preserve">22.1 </w:t>
      </w:r>
      <w:r>
        <w:tab/>
        <w:t xml:space="preserve">At least 10 Working Days before the Expiry Date or End Date, the Supplier must provide any: </w:t>
      </w:r>
    </w:p>
    <w:p w:rsidR="004168A5" w:rsidRDefault="001C59B0">
      <w:pPr>
        <w:ind w:left="2573" w:right="14" w:hanging="720"/>
      </w:pPr>
      <w:r>
        <w:t xml:space="preserve">22.1.1 data (including Buyer Data), Buyer Personal Data and Buyer Confidential Information in the Supplier’s possession, power or control </w:t>
      </w:r>
    </w:p>
    <w:p w:rsidR="004168A5" w:rsidRDefault="001C59B0">
      <w:pPr>
        <w:ind w:left="1526" w:right="14" w:firstLine="311"/>
      </w:pPr>
      <w:r>
        <w:t xml:space="preserve">22.1.2 other information reasonably requested by the Buyer </w:t>
      </w:r>
    </w:p>
    <w:p w:rsidR="004168A5" w:rsidRDefault="001C59B0">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4168A5" w:rsidRDefault="001C59B0">
      <w:pPr>
        <w:spacing w:after="362"/>
        <w:ind w:left="1838" w:right="14" w:hanging="720"/>
      </w:pPr>
      <w:r>
        <w:lastRenderedPageBreak/>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4168A5" w:rsidRDefault="001C59B0">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rsidR="004168A5" w:rsidRDefault="001C59B0">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rsidR="004168A5" w:rsidRDefault="001C59B0">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rsidR="004168A5" w:rsidRDefault="001C59B0">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4168A5" w:rsidRDefault="001C59B0">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rsidR="004168A5" w:rsidRDefault="001C59B0">
      <w:pPr>
        <w:ind w:left="1537" w:right="14" w:firstLine="311"/>
      </w:pPr>
      <w:r>
        <w:t xml:space="preserve">Supplier's liability: </w:t>
      </w:r>
    </w:p>
    <w:p w:rsidR="004168A5" w:rsidRDefault="001C59B0">
      <w:pPr>
        <w:spacing w:after="170"/>
        <w:ind w:left="1849" w:right="14" w:firstLine="0"/>
      </w:pPr>
      <w:r>
        <w:t>24.2.1 pursuant to the indemnities in Clauses 7, 10, 11 and 29 shall be unlimited; and</w:t>
      </w:r>
      <w:r>
        <w:rPr>
          <w:color w:val="434343"/>
          <w:sz w:val="28"/>
          <w:szCs w:val="28"/>
        </w:rPr>
        <w:t xml:space="preserve"> </w:t>
      </w:r>
    </w:p>
    <w:p w:rsidR="004168A5" w:rsidRDefault="001C59B0">
      <w:pPr>
        <w:spacing w:after="255"/>
        <w:ind w:left="2407" w:right="14" w:hanging="554"/>
      </w:pPr>
      <w:r>
        <w:t xml:space="preserve">24.2.2 in respect of Losses arising from breach of the Data Protection Legislation shall be as set out in Framework Agreement clause 28. </w:t>
      </w:r>
    </w:p>
    <w:p w:rsidR="004168A5" w:rsidRDefault="001C59B0">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rsidR="004168A5" w:rsidRDefault="001C59B0">
      <w:pPr>
        <w:spacing w:after="274"/>
        <w:ind w:left="1834" w:right="14" w:firstLine="0"/>
      </w:pPr>
      <w:r>
        <w:t xml:space="preserve">Buyer’s liability pursuant to Clause 11.5.2 shall in no event exceed in aggregate five million pounds (£5,000,000). </w:t>
      </w:r>
    </w:p>
    <w:p w:rsidR="004168A5" w:rsidRDefault="001C59B0">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rsidR="004168A5" w:rsidRDefault="001C59B0">
      <w:pPr>
        <w:spacing w:after="988"/>
        <w:ind w:left="1848" w:right="14" w:firstLine="0"/>
      </w:pPr>
      <w:r>
        <w:t xml:space="preserve">24.2 will not be taken into consideration. </w:t>
      </w:r>
    </w:p>
    <w:p w:rsidR="004168A5" w:rsidRDefault="001C59B0">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rsidR="004168A5" w:rsidRDefault="001C59B0">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4168A5" w:rsidRDefault="001C59B0">
      <w:pPr>
        <w:spacing w:after="331"/>
        <w:ind w:left="1838" w:right="14" w:hanging="720"/>
      </w:pPr>
      <w:r>
        <w:t xml:space="preserve">25.2 </w:t>
      </w:r>
      <w:r>
        <w:tab/>
        <w:t xml:space="preserve">The Supplier will use the Buyer’s premises solely for the performance of its obligations under this Call-Off Contract. </w:t>
      </w:r>
    </w:p>
    <w:p w:rsidR="004168A5" w:rsidRDefault="001C59B0">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rsidR="004168A5" w:rsidRDefault="001C59B0">
      <w:pPr>
        <w:tabs>
          <w:tab w:val="center" w:pos="1333"/>
          <w:tab w:val="center" w:pos="5275"/>
        </w:tabs>
        <w:spacing w:after="354"/>
        <w:ind w:left="0" w:firstLine="0"/>
      </w:pPr>
      <w:r>
        <w:rPr>
          <w:rFonts w:ascii="Calibri" w:eastAsia="Calibri" w:hAnsi="Calibri" w:cs="Calibri"/>
        </w:rPr>
        <w:lastRenderedPageBreak/>
        <w:tab/>
      </w:r>
      <w:r>
        <w:t xml:space="preserve">25.4 </w:t>
      </w:r>
      <w:r>
        <w:tab/>
        <w:t xml:space="preserve">This clause does not create a tenancy or exclusive right of occupation. </w:t>
      </w:r>
    </w:p>
    <w:p w:rsidR="004168A5" w:rsidRDefault="001C59B0">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rsidR="004168A5" w:rsidRDefault="001C59B0">
      <w:pPr>
        <w:ind w:left="2573" w:right="14" w:hanging="720"/>
      </w:pPr>
      <w:r>
        <w:t xml:space="preserve">25.5.1 comply with any security requirements at the premises and not do anything to weaken the security of the premises </w:t>
      </w:r>
    </w:p>
    <w:p w:rsidR="004168A5" w:rsidRDefault="001C59B0">
      <w:pPr>
        <w:ind w:left="1541" w:right="14" w:firstLine="311"/>
      </w:pPr>
      <w:r>
        <w:t xml:space="preserve">25.5.2 comply with Buyer requirements for the conduct of personnel </w:t>
      </w:r>
    </w:p>
    <w:p w:rsidR="004168A5" w:rsidRDefault="001C59B0">
      <w:pPr>
        <w:ind w:left="1541" w:right="14" w:firstLine="311"/>
      </w:pPr>
      <w:r>
        <w:t xml:space="preserve">25.5.3 comply with any health and safety measures implemented by the Buyer </w:t>
      </w:r>
    </w:p>
    <w:p w:rsidR="004168A5" w:rsidRDefault="001C59B0">
      <w:pPr>
        <w:ind w:left="2573" w:right="14" w:hanging="720"/>
      </w:pPr>
      <w:r>
        <w:t xml:space="preserve">25.5.4 immediately notify the Buyer of any incident on the premises that causes any damage to Property which could cause personal injury </w:t>
      </w:r>
    </w:p>
    <w:p w:rsidR="004168A5" w:rsidRDefault="001C59B0">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rsidR="004168A5" w:rsidRDefault="001C59B0">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rsidR="004168A5" w:rsidRDefault="001C59B0">
      <w:pPr>
        <w:spacing w:after="543"/>
        <w:ind w:left="1838" w:right="14" w:hanging="720"/>
      </w:pPr>
      <w:r>
        <w:t xml:space="preserve">26.1 </w:t>
      </w:r>
      <w:r>
        <w:tab/>
        <w:t xml:space="preserve">The Supplier is responsible for providing any Equipment which the Supplier requires to provide the Services. </w:t>
      </w:r>
    </w:p>
    <w:p w:rsidR="004168A5" w:rsidRDefault="001C59B0">
      <w:pPr>
        <w:ind w:left="1838" w:right="14" w:hanging="720"/>
      </w:pPr>
      <w:r>
        <w:t xml:space="preserve">26.2 </w:t>
      </w:r>
      <w:r>
        <w:tab/>
        <w:t xml:space="preserve">Any Equipment brought onto the premises will be at the Supplier's own risk and the Buyer will have no liability for any loss of, or damage to, any Equipment. </w:t>
      </w:r>
    </w:p>
    <w:p w:rsidR="004168A5" w:rsidRDefault="001C59B0">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rsidR="004168A5" w:rsidRDefault="001C59B0">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rsidR="004168A5" w:rsidRDefault="001C59B0">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4168A5" w:rsidRDefault="001C59B0">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rsidR="004168A5" w:rsidRDefault="001C59B0">
      <w:pPr>
        <w:ind w:left="1838" w:right="14" w:hanging="720"/>
      </w:pPr>
      <w:r>
        <w:t xml:space="preserve">28.1 </w:t>
      </w:r>
      <w:r>
        <w:tab/>
        <w:t xml:space="preserve">The Buyer will provide a copy of its environmental policy to the Supplier on request, which the Supplier will comply with. </w:t>
      </w:r>
    </w:p>
    <w:p w:rsidR="004168A5" w:rsidRDefault="001C59B0">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rsidR="004168A5" w:rsidRDefault="001C59B0">
      <w:pPr>
        <w:pStyle w:val="Heading3"/>
        <w:tabs>
          <w:tab w:val="center" w:pos="1313"/>
          <w:tab w:val="center" w:pos="4194"/>
        </w:tabs>
        <w:ind w:left="0" w:firstLine="0"/>
      </w:pPr>
      <w:r>
        <w:rPr>
          <w:rFonts w:ascii="Calibri" w:eastAsia="Calibri" w:hAnsi="Calibri" w:cs="Calibri"/>
          <w:color w:val="000000"/>
          <w:sz w:val="22"/>
        </w:rPr>
        <w:lastRenderedPageBreak/>
        <w:tab/>
      </w:r>
      <w:r>
        <w:t xml:space="preserve">29. </w:t>
      </w:r>
      <w:r>
        <w:tab/>
        <w:t xml:space="preserve">The Employment Regulations (TUPE) </w:t>
      </w:r>
    </w:p>
    <w:p w:rsidR="004168A5" w:rsidRDefault="001C59B0">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4168A5" w:rsidRDefault="001C59B0">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rsidR="004168A5" w:rsidRDefault="001C59B0">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rsidR="004168A5" w:rsidRDefault="001C59B0">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rsidR="004168A5" w:rsidRDefault="001C59B0">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rsidR="004168A5" w:rsidRDefault="001C59B0">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rsidR="004168A5" w:rsidRDefault="001C59B0">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rsidR="004168A5" w:rsidRDefault="001C59B0">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rsidR="004168A5" w:rsidRDefault="001C59B0">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rsidR="004168A5" w:rsidRDefault="001C59B0">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rsidR="004168A5" w:rsidRDefault="001C59B0">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rsidR="004168A5" w:rsidRDefault="001C59B0">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rsidR="004168A5" w:rsidRDefault="001C59B0">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rsidR="004168A5" w:rsidRDefault="001C59B0">
      <w:pPr>
        <w:numPr>
          <w:ilvl w:val="0"/>
          <w:numId w:val="28"/>
        </w:numPr>
        <w:spacing w:after="20"/>
        <w:ind w:right="14" w:hanging="305"/>
      </w:pPr>
      <w:r>
        <w:t>2.11</w:t>
      </w:r>
      <w:r>
        <w:tab/>
        <w:t xml:space="preserve">       outstanding liabilities </w:t>
      </w:r>
    </w:p>
    <w:p w:rsidR="004168A5" w:rsidRDefault="001C59B0">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rsidR="004168A5" w:rsidRDefault="001C59B0">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rsidR="004168A5" w:rsidRDefault="001C59B0">
      <w:pPr>
        <w:ind w:left="3293" w:right="14" w:hanging="1440"/>
      </w:pPr>
      <w:r>
        <w:t xml:space="preserve">29.2.14            all information required under regulation 11 of TUPE or as reasonably   requested by the Buyer </w:t>
      </w:r>
    </w:p>
    <w:p w:rsidR="004168A5" w:rsidRDefault="001C59B0">
      <w:pPr>
        <w:ind w:left="1701"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4168A5" w:rsidRDefault="001C59B0">
      <w:pPr>
        <w:numPr>
          <w:ilvl w:val="1"/>
          <w:numId w:val="28"/>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4168A5" w:rsidRDefault="001C59B0">
      <w:pPr>
        <w:numPr>
          <w:ilvl w:val="1"/>
          <w:numId w:val="28"/>
        </w:numPr>
        <w:ind w:left="1701" w:right="14" w:hanging="567"/>
      </w:pPr>
      <w:r>
        <w:t xml:space="preserve">The Supplier will co-operate with the re-tendering of this Call-Off Contract by allowing the Replacement Supplier to communicate with and meet the affected employees or their representatives. </w:t>
      </w:r>
    </w:p>
    <w:p w:rsidR="004168A5" w:rsidRDefault="001C59B0">
      <w:pPr>
        <w:numPr>
          <w:ilvl w:val="1"/>
          <w:numId w:val="28"/>
        </w:numPr>
        <w:tabs>
          <w:tab w:val="left" w:pos="3686"/>
        </w:tabs>
        <w:ind w:left="1701" w:right="14" w:hanging="567"/>
      </w:pPr>
      <w:r>
        <w:t xml:space="preserve">The Supplier will indemnify the Buyer or any Replacement Supplier for all Loss arising from both: </w:t>
      </w:r>
    </w:p>
    <w:p w:rsidR="004168A5" w:rsidRDefault="001C59B0">
      <w:pPr>
        <w:numPr>
          <w:ilvl w:val="2"/>
          <w:numId w:val="28"/>
        </w:numPr>
        <w:tabs>
          <w:tab w:val="left" w:pos="3686"/>
        </w:tabs>
        <w:ind w:left="2410" w:right="14" w:hanging="721"/>
      </w:pPr>
      <w:r>
        <w:t xml:space="preserve">its failure to comply with the provisions of this clause </w:t>
      </w:r>
    </w:p>
    <w:p w:rsidR="004168A5" w:rsidRDefault="001C59B0">
      <w:pPr>
        <w:numPr>
          <w:ilvl w:val="2"/>
          <w:numId w:val="28"/>
        </w:numPr>
        <w:tabs>
          <w:tab w:val="left" w:pos="3686"/>
        </w:tabs>
        <w:ind w:left="2410" w:right="14" w:hanging="709"/>
      </w:pPr>
      <w:r>
        <w:lastRenderedPageBreak/>
        <w:t xml:space="preserve">any claim by any employee or person claiming to be an employee (or their employee representative) of the Supplier which arises or is alleged to arise from any act or omission by the Supplier on or before the date of the Relevant Transfer </w:t>
      </w:r>
    </w:p>
    <w:p w:rsidR="004168A5" w:rsidRDefault="001C59B0">
      <w:pPr>
        <w:numPr>
          <w:ilvl w:val="1"/>
          <w:numId w:val="28"/>
        </w:numPr>
        <w:ind w:left="1701" w:right="14" w:hanging="567"/>
      </w:pPr>
      <w:r>
        <w:t xml:space="preserve">The provisions of this clause apply during the Term of this Call-Off Contract and indefinitely after it Ends or expires. </w:t>
      </w:r>
    </w:p>
    <w:p w:rsidR="004168A5" w:rsidRDefault="001C59B0">
      <w:pPr>
        <w:numPr>
          <w:ilvl w:val="1"/>
          <w:numId w:val="28"/>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rsidR="004168A5" w:rsidRDefault="001C59B0">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rsidR="004168A5" w:rsidRDefault="001C59B0">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4168A5" w:rsidRDefault="001C59B0">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rsidR="004168A5" w:rsidRDefault="001C59B0">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rsidR="004168A5" w:rsidRDefault="001C59B0">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rsidR="004168A5" w:rsidRDefault="001C59B0">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rsidR="004168A5" w:rsidRDefault="001C59B0">
      <w:pPr>
        <w:ind w:left="1541" w:right="14" w:firstLine="311"/>
      </w:pPr>
      <w:r>
        <w:t xml:space="preserve">31.2.1 work proactively and in good faith with each of the Buyer’s contractors </w:t>
      </w:r>
    </w:p>
    <w:p w:rsidR="004168A5" w:rsidRDefault="001C59B0">
      <w:pPr>
        <w:spacing w:after="738"/>
        <w:ind w:left="2573" w:right="14" w:hanging="720"/>
      </w:pPr>
      <w:r>
        <w:t xml:space="preserve">31.2.2 co-operate and share information with the Buyer’s contractors to enable the efficient operation of the Buyer’s ICT services and G-Cloud Services </w:t>
      </w:r>
    </w:p>
    <w:p w:rsidR="004168A5" w:rsidRDefault="001C59B0">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rsidR="004168A5" w:rsidRDefault="001C59B0">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rsidR="004168A5" w:rsidRDefault="001C59B0">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4168A5" w:rsidRDefault="001C59B0">
      <w:pPr>
        <w:spacing w:after="362"/>
        <w:ind w:left="1838" w:right="14" w:hanging="720"/>
      </w:pPr>
      <w:r>
        <w:lastRenderedPageBreak/>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rsidR="004168A5" w:rsidRDefault="001C59B0">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rsidR="004168A5" w:rsidRDefault="001C59B0">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rsidR="004168A5" w:rsidRDefault="001C59B0">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rsidR="004168A5" w:rsidRDefault="001C59B0">
      <w:pPr>
        <w:pStyle w:val="Heading1"/>
        <w:pageBreakBefore/>
        <w:spacing w:after="81"/>
        <w:ind w:left="1113" w:firstLine="1118"/>
      </w:pPr>
      <w:bookmarkStart w:id="8" w:name="_heading=h.tyjcwt" w:colFirst="0" w:colLast="0"/>
      <w:bookmarkEnd w:id="8"/>
      <w:r>
        <w:lastRenderedPageBreak/>
        <w:t xml:space="preserve">Schedule 1: Services </w:t>
      </w:r>
    </w:p>
    <w:p w:rsidR="004168A5" w:rsidRDefault="001C59B0">
      <w:pPr>
        <w:spacing w:after="233"/>
        <w:ind w:right="14"/>
      </w:pPr>
      <w:r>
        <w:t xml:space="preserve">[To be added in agreement between the Buyer and Supplier, and will be G-Cloud Services the Supplier is capable of providing through the Platform.] </w:t>
      </w:r>
    </w:p>
    <w:p w:rsidR="004168A5" w:rsidRDefault="001C59B0">
      <w:pPr>
        <w:spacing w:after="200" w:line="276" w:lineRule="auto"/>
        <w:rPr>
          <w:b/>
          <w:sz w:val="36"/>
          <w:szCs w:val="36"/>
        </w:rPr>
      </w:pPr>
      <w:r>
        <w:tab/>
        <w:t xml:space="preserve"> </w:t>
      </w:r>
      <w:r>
        <w:rPr>
          <w:b/>
          <w:sz w:val="36"/>
          <w:szCs w:val="36"/>
        </w:rPr>
        <w:t>Statement of Requirements</w:t>
      </w:r>
    </w:p>
    <w:p w:rsidR="004168A5" w:rsidRDefault="001C59B0">
      <w:pPr>
        <w:spacing w:line="360" w:lineRule="auto"/>
        <w:ind w:left="3555" w:hanging="2835"/>
        <w:rPr>
          <w:sz w:val="32"/>
          <w:szCs w:val="32"/>
          <w:highlight w:val="white"/>
        </w:rPr>
      </w:pPr>
      <w:bookmarkStart w:id="9" w:name="_heading=h.3dy6vkm" w:colFirst="0" w:colLast="0"/>
      <w:bookmarkEnd w:id="9"/>
      <w:r>
        <w:rPr>
          <w:sz w:val="32"/>
          <w:szCs w:val="32"/>
        </w:rPr>
        <w:t xml:space="preserve">Provision of </w:t>
      </w:r>
      <w:r>
        <w:rPr>
          <w:sz w:val="32"/>
          <w:szCs w:val="32"/>
          <w:highlight w:val="white"/>
        </w:rPr>
        <w:t>Domain Data Feeds</w:t>
      </w:r>
    </w:p>
    <w:p w:rsidR="004168A5" w:rsidRDefault="001C59B0">
      <w:pPr>
        <w:shd w:val="clear" w:color="auto" w:fill="FFFFFF"/>
        <w:spacing w:line="360" w:lineRule="auto"/>
        <w:ind w:left="3555" w:hanging="2835"/>
        <w:rPr>
          <w:sz w:val="32"/>
          <w:szCs w:val="32"/>
          <w:highlight w:val="white"/>
        </w:rPr>
      </w:pPr>
      <w:r>
        <w:rPr>
          <w:sz w:val="32"/>
          <w:szCs w:val="32"/>
          <w:highlight w:val="white"/>
        </w:rPr>
        <w:t>Contract Reference:</w:t>
      </w:r>
      <w:r>
        <w:rPr>
          <w:sz w:val="32"/>
          <w:szCs w:val="32"/>
        </w:rPr>
        <w:t xml:space="preserve"> </w:t>
      </w:r>
      <w:r>
        <w:rPr>
          <w:sz w:val="32"/>
          <w:szCs w:val="32"/>
          <w:highlight w:val="white"/>
        </w:rPr>
        <w:t>CCIT23B01</w:t>
      </w:r>
    </w:p>
    <w:p w:rsidR="004168A5" w:rsidRDefault="001C59B0">
      <w:pPr>
        <w:pStyle w:val="Heading1"/>
        <w:numPr>
          <w:ilvl w:val="0"/>
          <w:numId w:val="19"/>
        </w:numPr>
        <w:shd w:val="clear" w:color="auto" w:fill="FFFFFF"/>
        <w:spacing w:line="360" w:lineRule="auto"/>
      </w:pPr>
      <w:bookmarkStart w:id="10" w:name="_heading=h.ab2wrhg06nsi" w:colFirst="0" w:colLast="0"/>
      <w:bookmarkEnd w:id="10"/>
      <w:r>
        <w:t>PURPOSE</w:t>
      </w:r>
    </w:p>
    <w:p w:rsidR="004168A5" w:rsidRDefault="001C59B0">
      <w:pPr>
        <w:pStyle w:val="Heading2"/>
        <w:keepNext w:val="0"/>
        <w:keepLines w:val="0"/>
        <w:numPr>
          <w:ilvl w:val="1"/>
          <w:numId w:val="19"/>
        </w:numPr>
        <w:spacing w:after="120" w:line="240" w:lineRule="auto"/>
        <w:ind w:left="1429" w:hanging="709"/>
        <w:jc w:val="both"/>
        <w:rPr>
          <w:sz w:val="24"/>
          <w:szCs w:val="24"/>
        </w:rPr>
      </w:pPr>
      <w:bookmarkStart w:id="11" w:name="_heading=h.2s8eyo1" w:colFirst="0" w:colLast="0"/>
      <w:bookmarkEnd w:id="11"/>
      <w:r>
        <w:rPr>
          <w:sz w:val="24"/>
          <w:szCs w:val="24"/>
        </w:rPr>
        <w:t>The Contracting Authority requires access to a data feed containing DNS and domain-related hygiene issues and vulnerabilities. There is a specific set of issues that have been identified that expose public sector domains to the risk of hijacking</w:t>
      </w:r>
    </w:p>
    <w:p w:rsidR="004168A5" w:rsidRDefault="001C59B0">
      <w:pPr>
        <w:pStyle w:val="Heading1"/>
        <w:keepLines w:val="0"/>
        <w:numPr>
          <w:ilvl w:val="0"/>
          <w:numId w:val="16"/>
        </w:numPr>
        <w:spacing w:after="120" w:line="240" w:lineRule="auto"/>
        <w:jc w:val="both"/>
      </w:pPr>
      <w:r>
        <w:t>BACKGROUND TO THE Buyer</w:t>
      </w:r>
    </w:p>
    <w:p w:rsidR="004168A5" w:rsidRDefault="001C59B0">
      <w:pPr>
        <w:pStyle w:val="Heading2"/>
        <w:keepNext w:val="0"/>
        <w:keepLines w:val="0"/>
        <w:numPr>
          <w:ilvl w:val="1"/>
          <w:numId w:val="16"/>
        </w:numPr>
        <w:spacing w:after="240" w:line="240" w:lineRule="auto"/>
        <w:jc w:val="both"/>
        <w:rPr>
          <w:sz w:val="24"/>
          <w:szCs w:val="24"/>
        </w:rPr>
      </w:pPr>
      <w:bookmarkStart w:id="12" w:name="_heading=h.17dp8vu" w:colFirst="0" w:colLast="0"/>
      <w:bookmarkEnd w:id="12"/>
      <w:r>
        <w:rPr>
          <w:sz w:val="24"/>
          <w:szCs w:val="24"/>
        </w:rPr>
        <w:t>The Cabinet Office supports the Prime Minister and ensures the effective running of government. The Cabinet Office is also the corporate headquarters for government, in partnership with HM Treasury, and takes the lead in certain critical policy areas. The Cabinet Office has responsibility for:</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 xml:space="preserve">Supporting collective government, helping to ensure the effective </w:t>
      </w:r>
      <w:r>
        <w:rPr>
          <w:sz w:val="24"/>
          <w:szCs w:val="24"/>
        </w:rPr>
        <w:br/>
        <w:t>development, coordination and implementation of policy.</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Supporting the National Security Council and the Joint Intelligence Organisation, coordinating the government’s response to crises and managing the UK’s cyber security.</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Promoting efficiency and reform across government through innovation, better procurement and project management, and by transforming the delivery of services.</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Promoting the release of government data, and making the way government works more transparent.</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Creating an exceptional Civil Service, improving its capability and effectiveness.</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Political and constitutional reform.</w:t>
      </w:r>
    </w:p>
    <w:p w:rsidR="004168A5" w:rsidRDefault="001C59B0">
      <w:pPr>
        <w:pStyle w:val="Heading2"/>
        <w:keepNext w:val="0"/>
        <w:keepLines w:val="0"/>
        <w:numPr>
          <w:ilvl w:val="1"/>
          <w:numId w:val="16"/>
        </w:numPr>
        <w:spacing w:after="240" w:line="240" w:lineRule="auto"/>
        <w:jc w:val="both"/>
        <w:rPr>
          <w:sz w:val="24"/>
          <w:szCs w:val="24"/>
        </w:rPr>
      </w:pPr>
      <w:r>
        <w:rPr>
          <w:sz w:val="24"/>
          <w:szCs w:val="24"/>
        </w:rPr>
        <w:t>The Cabinet Office’s Central Digital and Data Office (CDDO) leads the digital, data and technology (</w:t>
      </w:r>
      <w:proofErr w:type="spellStart"/>
      <w:r>
        <w:rPr>
          <w:sz w:val="24"/>
          <w:szCs w:val="24"/>
        </w:rPr>
        <w:t>DDaT</w:t>
      </w:r>
      <w:proofErr w:type="spellEnd"/>
      <w:r>
        <w:rPr>
          <w:sz w:val="24"/>
          <w:szCs w:val="24"/>
        </w:rPr>
        <w:t>) function for government. It puts the right conditions in place to achieve digital, data and technology transformation at scale by working with departments, and other government functions like commercial, project delivery and security professionals.</w:t>
      </w:r>
    </w:p>
    <w:p w:rsidR="004168A5" w:rsidRDefault="001C59B0">
      <w:pPr>
        <w:pStyle w:val="Heading1"/>
        <w:keepLines w:val="0"/>
        <w:numPr>
          <w:ilvl w:val="0"/>
          <w:numId w:val="16"/>
        </w:numPr>
        <w:spacing w:after="120" w:line="240" w:lineRule="auto"/>
        <w:jc w:val="both"/>
      </w:pPr>
      <w:r>
        <w:lastRenderedPageBreak/>
        <w:t>Background to requirement/OVERVIEW of requirement</w:t>
      </w:r>
    </w:p>
    <w:p w:rsidR="004168A5" w:rsidRDefault="001C59B0">
      <w:pPr>
        <w:pStyle w:val="Heading2"/>
        <w:keepNext w:val="0"/>
        <w:keepLines w:val="0"/>
        <w:numPr>
          <w:ilvl w:val="1"/>
          <w:numId w:val="16"/>
        </w:numPr>
        <w:spacing w:after="120" w:line="240" w:lineRule="auto"/>
        <w:ind w:left="1429" w:hanging="709"/>
        <w:jc w:val="both"/>
        <w:rPr>
          <w:sz w:val="24"/>
          <w:szCs w:val="24"/>
        </w:rPr>
      </w:pPr>
      <w:bookmarkStart w:id="13" w:name="_heading=h.3rdcrjn" w:colFirst="0" w:colLast="0"/>
      <w:bookmarkEnd w:id="13"/>
      <w:r>
        <w:rPr>
          <w:sz w:val="24"/>
          <w:szCs w:val="24"/>
        </w:rPr>
        <w:t>The CDDO Domain Management team runs an operational service protecting public sector domains. It monitors for DNS and domain-related issues and vulnerabilities, passes on information to domain owners, and supports their resolution.</w:t>
      </w:r>
    </w:p>
    <w:p w:rsidR="004168A5" w:rsidRDefault="001C59B0">
      <w:pPr>
        <w:pStyle w:val="Heading1"/>
        <w:keepLines w:val="0"/>
        <w:numPr>
          <w:ilvl w:val="0"/>
          <w:numId w:val="16"/>
        </w:numPr>
        <w:spacing w:after="120" w:line="240" w:lineRule="auto"/>
        <w:jc w:val="both"/>
      </w:pPr>
      <w:bookmarkStart w:id="14" w:name="_heading=h.26in1rg" w:colFirst="0" w:colLast="0"/>
      <w:bookmarkEnd w:id="14"/>
      <w:r>
        <w:t xml:space="preserve">Definitions </w:t>
      </w:r>
    </w:p>
    <w:tbl>
      <w:tblPr>
        <w:tblStyle w:val="a9"/>
        <w:tblW w:w="9330" w:type="dxa"/>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0"/>
        <w:gridCol w:w="6040"/>
      </w:tblGrid>
      <w:tr w:rsidR="004168A5">
        <w:tc>
          <w:tcPr>
            <w:tcW w:w="3290" w:type="dxa"/>
            <w:shd w:val="clear" w:color="auto" w:fill="B4C6E7"/>
          </w:tcPr>
          <w:p w:rsidR="004168A5" w:rsidRDefault="001C59B0">
            <w:pPr>
              <w:pStyle w:val="Heading2"/>
              <w:spacing w:after="120"/>
              <w:ind w:left="18" w:hanging="18"/>
              <w:jc w:val="left"/>
              <w:outlineLvl w:val="1"/>
              <w:rPr>
                <w:b/>
                <w:sz w:val="24"/>
                <w:szCs w:val="24"/>
                <w:highlight w:val="yellow"/>
              </w:rPr>
            </w:pPr>
            <w:r>
              <w:rPr>
                <w:b/>
                <w:sz w:val="24"/>
                <w:szCs w:val="24"/>
              </w:rPr>
              <w:t>Expression or Acronym</w:t>
            </w:r>
          </w:p>
        </w:tc>
        <w:tc>
          <w:tcPr>
            <w:tcW w:w="6040" w:type="dxa"/>
            <w:shd w:val="clear" w:color="auto" w:fill="B4C6E7"/>
          </w:tcPr>
          <w:p w:rsidR="004168A5" w:rsidRDefault="001C59B0">
            <w:pPr>
              <w:pStyle w:val="Heading2"/>
              <w:spacing w:after="120"/>
              <w:ind w:left="720" w:hanging="720"/>
              <w:outlineLvl w:val="1"/>
              <w:rPr>
                <w:b/>
                <w:sz w:val="24"/>
                <w:szCs w:val="24"/>
                <w:highlight w:val="yellow"/>
              </w:rPr>
            </w:pPr>
            <w:r>
              <w:rPr>
                <w:b/>
                <w:sz w:val="24"/>
                <w:szCs w:val="24"/>
              </w:rPr>
              <w:t>Definition</w:t>
            </w:r>
          </w:p>
        </w:tc>
      </w:tr>
      <w:tr w:rsidR="004168A5">
        <w:tc>
          <w:tcPr>
            <w:tcW w:w="3290" w:type="dxa"/>
          </w:tcPr>
          <w:p w:rsidR="004168A5" w:rsidRDefault="001C59B0">
            <w:pPr>
              <w:pStyle w:val="Heading2"/>
              <w:spacing w:after="120"/>
              <w:ind w:left="720" w:hanging="720"/>
              <w:outlineLvl w:val="1"/>
              <w:rPr>
                <w:sz w:val="24"/>
                <w:szCs w:val="24"/>
              </w:rPr>
            </w:pPr>
            <w:r>
              <w:rPr>
                <w:sz w:val="24"/>
                <w:szCs w:val="24"/>
              </w:rPr>
              <w:t>DNS</w:t>
            </w:r>
          </w:p>
        </w:tc>
        <w:tc>
          <w:tcPr>
            <w:tcW w:w="6040" w:type="dxa"/>
          </w:tcPr>
          <w:p w:rsidR="004168A5" w:rsidRDefault="001C59B0">
            <w:pPr>
              <w:pStyle w:val="Heading2"/>
              <w:spacing w:after="120"/>
              <w:outlineLvl w:val="1"/>
              <w:rPr>
                <w:sz w:val="24"/>
                <w:szCs w:val="24"/>
              </w:rPr>
            </w:pPr>
            <w:r>
              <w:rPr>
                <w:sz w:val="24"/>
                <w:szCs w:val="24"/>
              </w:rPr>
              <w:t>means Domain Name System</w:t>
            </w:r>
          </w:p>
        </w:tc>
      </w:tr>
      <w:tr w:rsidR="004168A5">
        <w:tc>
          <w:tcPr>
            <w:tcW w:w="3290" w:type="dxa"/>
          </w:tcPr>
          <w:p w:rsidR="004168A5" w:rsidRDefault="001C59B0">
            <w:pPr>
              <w:pStyle w:val="Heading2"/>
              <w:spacing w:after="120"/>
              <w:ind w:left="720" w:hanging="720"/>
              <w:outlineLvl w:val="1"/>
              <w:rPr>
                <w:sz w:val="24"/>
                <w:szCs w:val="24"/>
              </w:rPr>
            </w:pPr>
            <w:r>
              <w:rPr>
                <w:sz w:val="24"/>
                <w:szCs w:val="24"/>
              </w:rPr>
              <w:t>API</w:t>
            </w:r>
          </w:p>
        </w:tc>
        <w:tc>
          <w:tcPr>
            <w:tcW w:w="6040" w:type="dxa"/>
          </w:tcPr>
          <w:p w:rsidR="004168A5" w:rsidRDefault="001C59B0">
            <w:pPr>
              <w:pStyle w:val="Heading2"/>
              <w:spacing w:after="120"/>
              <w:outlineLvl w:val="1"/>
              <w:rPr>
                <w:sz w:val="24"/>
                <w:szCs w:val="24"/>
              </w:rPr>
            </w:pPr>
            <w:r>
              <w:rPr>
                <w:sz w:val="24"/>
                <w:szCs w:val="24"/>
              </w:rPr>
              <w:t>means Application Programming Interface</w:t>
            </w:r>
          </w:p>
        </w:tc>
      </w:tr>
      <w:tr w:rsidR="004168A5">
        <w:tc>
          <w:tcPr>
            <w:tcW w:w="3290" w:type="dxa"/>
          </w:tcPr>
          <w:p w:rsidR="004168A5" w:rsidRDefault="001C59B0">
            <w:pPr>
              <w:pStyle w:val="Heading2"/>
              <w:spacing w:after="120"/>
              <w:ind w:left="720" w:hanging="720"/>
              <w:outlineLvl w:val="1"/>
              <w:rPr>
                <w:sz w:val="24"/>
                <w:szCs w:val="24"/>
              </w:rPr>
            </w:pPr>
            <w:r>
              <w:rPr>
                <w:sz w:val="24"/>
                <w:szCs w:val="24"/>
              </w:rPr>
              <w:t>SOA</w:t>
            </w:r>
          </w:p>
        </w:tc>
        <w:tc>
          <w:tcPr>
            <w:tcW w:w="6040" w:type="dxa"/>
          </w:tcPr>
          <w:p w:rsidR="004168A5" w:rsidRDefault="001C59B0">
            <w:pPr>
              <w:pStyle w:val="Heading2"/>
              <w:spacing w:after="120"/>
              <w:outlineLvl w:val="1"/>
              <w:rPr>
                <w:sz w:val="24"/>
                <w:szCs w:val="24"/>
              </w:rPr>
            </w:pPr>
            <w:r>
              <w:rPr>
                <w:sz w:val="24"/>
                <w:szCs w:val="24"/>
              </w:rPr>
              <w:t>means Start of Authority</w:t>
            </w:r>
          </w:p>
        </w:tc>
      </w:tr>
    </w:tbl>
    <w:p w:rsidR="004168A5" w:rsidRDefault="001C59B0">
      <w:pPr>
        <w:pStyle w:val="Heading1"/>
        <w:keepLines w:val="0"/>
        <w:numPr>
          <w:ilvl w:val="0"/>
          <w:numId w:val="16"/>
        </w:numPr>
        <w:spacing w:before="240" w:after="120" w:line="240" w:lineRule="auto"/>
        <w:jc w:val="both"/>
      </w:pPr>
      <w:bookmarkStart w:id="15" w:name="_heading=h.lnxbz9" w:colFirst="0" w:colLast="0"/>
      <w:bookmarkEnd w:id="15"/>
      <w:r>
        <w:t xml:space="preserve">Scope of requirement </w:t>
      </w:r>
    </w:p>
    <w:p w:rsidR="004168A5" w:rsidRDefault="001C59B0">
      <w:pPr>
        <w:pStyle w:val="Heading2"/>
        <w:keepNext w:val="0"/>
        <w:keepLines w:val="0"/>
        <w:numPr>
          <w:ilvl w:val="1"/>
          <w:numId w:val="16"/>
        </w:numPr>
        <w:spacing w:after="120" w:line="240" w:lineRule="auto"/>
        <w:ind w:left="1429" w:hanging="709"/>
        <w:jc w:val="both"/>
        <w:rPr>
          <w:sz w:val="24"/>
          <w:szCs w:val="24"/>
        </w:rPr>
      </w:pPr>
      <w:r>
        <w:rPr>
          <w:sz w:val="24"/>
          <w:szCs w:val="24"/>
        </w:rPr>
        <w:t>The Contracting Authority has a requirement to procure data feeds containing DNS and domain-related data, hygiene issues, and vulnerabilities. There is a specific set of issues that have been identified by the domains team subject matter experts that expose public sector domains to the risk of hijacking or operational failure. Specifically, we need:</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Capability to identify issues at scale. Specifically across 54,000</w:t>
      </w:r>
      <w:proofErr w:type="gramStart"/>
      <w:r>
        <w:rPr>
          <w:sz w:val="24"/>
          <w:szCs w:val="24"/>
        </w:rPr>
        <w:t>+ .</w:t>
      </w:r>
      <w:proofErr w:type="gramEnd"/>
      <w:r>
        <w:rPr>
          <w:sz w:val="24"/>
          <w:szCs w:val="24"/>
        </w:rPr>
        <w:t>gov.uk domains and subdomains on a daily basis, and 340,000+ wider public sector domains and subdomains on a weekly basis.</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Subdomain discovery - take an existing set of domains and find through external data sets any subdomains that are created underneath them. This ensures we can identify issues across an entire domain, not just at the top level.</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Provide a human accessible web portal and an API to allow us to collect issue data in bulk.</w:t>
      </w:r>
    </w:p>
    <w:p w:rsidR="004168A5" w:rsidRDefault="001C59B0">
      <w:pPr>
        <w:pStyle w:val="Heading1"/>
        <w:keepLines w:val="0"/>
        <w:numPr>
          <w:ilvl w:val="0"/>
          <w:numId w:val="16"/>
        </w:numPr>
        <w:spacing w:after="120" w:line="240" w:lineRule="auto"/>
        <w:jc w:val="both"/>
      </w:pPr>
      <w:bookmarkStart w:id="16" w:name="_heading=h.35nkun2" w:colFirst="0" w:colLast="0"/>
      <w:bookmarkEnd w:id="16"/>
      <w:r>
        <w:t>The requirement</w:t>
      </w:r>
    </w:p>
    <w:p w:rsidR="004168A5" w:rsidRDefault="001C59B0">
      <w:pPr>
        <w:pStyle w:val="Heading2"/>
        <w:keepNext w:val="0"/>
        <w:keepLines w:val="0"/>
        <w:numPr>
          <w:ilvl w:val="1"/>
          <w:numId w:val="16"/>
        </w:numPr>
        <w:spacing w:after="240" w:line="240" w:lineRule="auto"/>
        <w:jc w:val="both"/>
        <w:rPr>
          <w:sz w:val="24"/>
          <w:szCs w:val="24"/>
        </w:rPr>
      </w:pPr>
      <w:r>
        <w:rPr>
          <w:sz w:val="24"/>
          <w:szCs w:val="24"/>
        </w:rPr>
        <w:t>The supplier must perform regular monitoring at a cadence specified by the Buyer (either daily or weekly) and make any issues found available for the Buyer to act on. Issue types must include (but are not limited to):</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Nameserver configuration</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Nameserver consistency</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Nameserver failure</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Nameserver SOA</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Open zone transfer</w:t>
      </w:r>
    </w:p>
    <w:p w:rsidR="004168A5" w:rsidRDefault="001C59B0">
      <w:pPr>
        <w:pStyle w:val="Heading3"/>
        <w:keepNext w:val="0"/>
        <w:keepLines w:val="0"/>
        <w:numPr>
          <w:ilvl w:val="2"/>
          <w:numId w:val="16"/>
        </w:numPr>
        <w:spacing w:after="240" w:line="240" w:lineRule="auto"/>
        <w:jc w:val="both"/>
        <w:rPr>
          <w:sz w:val="24"/>
          <w:szCs w:val="24"/>
        </w:rPr>
      </w:pPr>
      <w:r>
        <w:rPr>
          <w:sz w:val="24"/>
          <w:szCs w:val="24"/>
        </w:rPr>
        <w:t>Dangling DNS records</w:t>
      </w:r>
    </w:p>
    <w:p w:rsidR="004168A5" w:rsidRDefault="004168A5">
      <w:pPr>
        <w:pStyle w:val="Heading3"/>
        <w:ind w:left="1800" w:firstLine="0"/>
      </w:pPr>
    </w:p>
    <w:p w:rsidR="004168A5" w:rsidRDefault="004168A5">
      <w:pPr>
        <w:pStyle w:val="Heading3"/>
        <w:ind w:left="1800" w:firstLine="0"/>
      </w:pPr>
    </w:p>
    <w:p w:rsidR="004168A5" w:rsidRDefault="001C59B0">
      <w:pPr>
        <w:pStyle w:val="Heading2"/>
        <w:keepNext w:val="0"/>
        <w:keepLines w:val="0"/>
        <w:numPr>
          <w:ilvl w:val="1"/>
          <w:numId w:val="16"/>
        </w:numPr>
        <w:spacing w:after="120" w:line="240" w:lineRule="auto"/>
        <w:ind w:left="1429" w:hanging="709"/>
        <w:jc w:val="both"/>
        <w:rPr>
          <w:sz w:val="24"/>
          <w:szCs w:val="24"/>
        </w:rPr>
      </w:pPr>
      <w:r>
        <w:rPr>
          <w:sz w:val="24"/>
          <w:szCs w:val="24"/>
        </w:rPr>
        <w:t>Issues must be managed as a single record throughout their lifecycle.</w:t>
      </w:r>
    </w:p>
    <w:p w:rsidR="004168A5" w:rsidRDefault="001C59B0">
      <w:pPr>
        <w:pStyle w:val="Heading2"/>
        <w:keepNext w:val="0"/>
        <w:keepLines w:val="0"/>
        <w:numPr>
          <w:ilvl w:val="1"/>
          <w:numId w:val="16"/>
        </w:numPr>
        <w:spacing w:after="120" w:line="240" w:lineRule="auto"/>
        <w:ind w:left="1429" w:hanging="709"/>
        <w:jc w:val="both"/>
        <w:rPr>
          <w:sz w:val="24"/>
          <w:szCs w:val="24"/>
        </w:rPr>
      </w:pPr>
      <w:r>
        <w:rPr>
          <w:sz w:val="24"/>
          <w:szCs w:val="24"/>
        </w:rPr>
        <w:t>Domains to be monitored can be provided via API or manual upload. Supplier must undertake domain discovery activity to find any subdomains that exist under the domains provided by the Buyer.</w:t>
      </w:r>
    </w:p>
    <w:p w:rsidR="004168A5" w:rsidRDefault="001C59B0">
      <w:pPr>
        <w:pStyle w:val="Heading1"/>
        <w:keepLines w:val="0"/>
        <w:numPr>
          <w:ilvl w:val="0"/>
          <w:numId w:val="16"/>
        </w:numPr>
        <w:spacing w:after="120" w:line="240" w:lineRule="auto"/>
        <w:jc w:val="both"/>
      </w:pPr>
      <w:bookmarkStart w:id="17" w:name="_heading=h.1ksv4uv" w:colFirst="0" w:colLast="0"/>
      <w:bookmarkEnd w:id="17"/>
      <w:r>
        <w:t>key milestones and Deliverables</w:t>
      </w:r>
    </w:p>
    <w:p w:rsidR="004168A5" w:rsidRDefault="001C59B0">
      <w:pPr>
        <w:pStyle w:val="Heading2"/>
        <w:keepNext w:val="0"/>
        <w:keepLines w:val="0"/>
        <w:numPr>
          <w:ilvl w:val="1"/>
          <w:numId w:val="16"/>
        </w:numPr>
        <w:spacing w:after="120" w:line="240" w:lineRule="auto"/>
        <w:ind w:left="1429" w:hanging="709"/>
        <w:jc w:val="both"/>
        <w:rPr>
          <w:sz w:val="24"/>
          <w:szCs w:val="24"/>
        </w:rPr>
      </w:pPr>
      <w:r>
        <w:rPr>
          <w:sz w:val="24"/>
          <w:szCs w:val="24"/>
        </w:rPr>
        <w:t>The following Contract milestones/deliverables shall apply:</w:t>
      </w:r>
    </w:p>
    <w:tbl>
      <w:tblPr>
        <w:tblStyle w:val="aa"/>
        <w:tblW w:w="9720" w:type="dxa"/>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6"/>
        <w:gridCol w:w="4310"/>
        <w:gridCol w:w="3264"/>
      </w:tblGrid>
      <w:tr w:rsidR="004168A5">
        <w:tc>
          <w:tcPr>
            <w:tcW w:w="2145" w:type="dxa"/>
            <w:shd w:val="clear" w:color="auto" w:fill="B4C6E7"/>
            <w:vAlign w:val="center"/>
          </w:tcPr>
          <w:p w:rsidR="004168A5" w:rsidRDefault="001C59B0">
            <w:pPr>
              <w:pStyle w:val="Heading3"/>
              <w:spacing w:after="120"/>
              <w:jc w:val="left"/>
              <w:outlineLvl w:val="2"/>
              <w:rPr>
                <w:b/>
                <w:sz w:val="24"/>
                <w:szCs w:val="24"/>
              </w:rPr>
            </w:pPr>
            <w:r>
              <w:rPr>
                <w:b/>
                <w:sz w:val="24"/>
                <w:szCs w:val="24"/>
              </w:rPr>
              <w:t>Milestone/Deliverable</w:t>
            </w:r>
          </w:p>
        </w:tc>
        <w:tc>
          <w:tcPr>
            <w:tcW w:w="4310" w:type="dxa"/>
            <w:shd w:val="clear" w:color="auto" w:fill="B4C6E7"/>
            <w:vAlign w:val="center"/>
          </w:tcPr>
          <w:p w:rsidR="004168A5" w:rsidRDefault="001C59B0">
            <w:pPr>
              <w:pStyle w:val="Heading3"/>
              <w:spacing w:after="120"/>
              <w:jc w:val="left"/>
              <w:outlineLvl w:val="2"/>
              <w:rPr>
                <w:b/>
                <w:sz w:val="24"/>
                <w:szCs w:val="24"/>
              </w:rPr>
            </w:pPr>
            <w:r>
              <w:rPr>
                <w:b/>
                <w:sz w:val="24"/>
                <w:szCs w:val="24"/>
              </w:rPr>
              <w:t>Description</w:t>
            </w:r>
          </w:p>
        </w:tc>
        <w:tc>
          <w:tcPr>
            <w:tcW w:w="3264" w:type="dxa"/>
            <w:shd w:val="clear" w:color="auto" w:fill="B4C6E7"/>
            <w:vAlign w:val="center"/>
          </w:tcPr>
          <w:p w:rsidR="004168A5" w:rsidRDefault="001C59B0">
            <w:pPr>
              <w:pStyle w:val="Heading3"/>
              <w:spacing w:after="120"/>
              <w:jc w:val="left"/>
              <w:outlineLvl w:val="2"/>
              <w:rPr>
                <w:b/>
                <w:sz w:val="24"/>
                <w:szCs w:val="24"/>
              </w:rPr>
            </w:pPr>
            <w:r>
              <w:rPr>
                <w:b/>
                <w:sz w:val="24"/>
                <w:szCs w:val="24"/>
              </w:rPr>
              <w:t>Timeframe or Delivery Date</w:t>
            </w:r>
          </w:p>
        </w:tc>
      </w:tr>
      <w:tr w:rsidR="004168A5">
        <w:tc>
          <w:tcPr>
            <w:tcW w:w="2145" w:type="dxa"/>
            <w:vAlign w:val="center"/>
          </w:tcPr>
          <w:p w:rsidR="004168A5" w:rsidRDefault="001C59B0">
            <w:pPr>
              <w:pStyle w:val="Heading3"/>
              <w:spacing w:after="120"/>
              <w:ind w:left="1118"/>
              <w:jc w:val="left"/>
              <w:outlineLvl w:val="2"/>
              <w:rPr>
                <w:sz w:val="24"/>
                <w:szCs w:val="24"/>
              </w:rPr>
            </w:pPr>
            <w:r>
              <w:rPr>
                <w:sz w:val="24"/>
                <w:szCs w:val="24"/>
              </w:rPr>
              <w:t>1</w:t>
            </w:r>
          </w:p>
        </w:tc>
        <w:tc>
          <w:tcPr>
            <w:tcW w:w="4310" w:type="dxa"/>
            <w:vAlign w:val="center"/>
          </w:tcPr>
          <w:p w:rsidR="004168A5" w:rsidRDefault="001C59B0">
            <w:pPr>
              <w:pStyle w:val="Heading3"/>
              <w:spacing w:after="120"/>
              <w:jc w:val="left"/>
              <w:outlineLvl w:val="2"/>
              <w:rPr>
                <w:sz w:val="24"/>
                <w:szCs w:val="24"/>
              </w:rPr>
            </w:pPr>
            <w:r>
              <w:rPr>
                <w:sz w:val="24"/>
                <w:szCs w:val="24"/>
              </w:rPr>
              <w:t>Allow connection to web portal</w:t>
            </w:r>
          </w:p>
        </w:tc>
        <w:tc>
          <w:tcPr>
            <w:tcW w:w="3264" w:type="dxa"/>
            <w:vAlign w:val="center"/>
          </w:tcPr>
          <w:p w:rsidR="004168A5" w:rsidRDefault="001C59B0">
            <w:pPr>
              <w:pStyle w:val="Heading3"/>
              <w:spacing w:after="120"/>
              <w:jc w:val="left"/>
              <w:outlineLvl w:val="2"/>
              <w:rPr>
                <w:sz w:val="24"/>
                <w:szCs w:val="24"/>
              </w:rPr>
            </w:pPr>
            <w:r>
              <w:rPr>
                <w:sz w:val="24"/>
                <w:szCs w:val="24"/>
              </w:rPr>
              <w:t xml:space="preserve">Within week 1 of Contract Award </w:t>
            </w:r>
          </w:p>
        </w:tc>
      </w:tr>
      <w:tr w:rsidR="004168A5">
        <w:tc>
          <w:tcPr>
            <w:tcW w:w="2145" w:type="dxa"/>
            <w:vAlign w:val="center"/>
          </w:tcPr>
          <w:p w:rsidR="004168A5" w:rsidRDefault="001C59B0">
            <w:pPr>
              <w:pStyle w:val="Heading3"/>
              <w:spacing w:after="120"/>
              <w:ind w:left="1118"/>
              <w:jc w:val="left"/>
              <w:outlineLvl w:val="2"/>
              <w:rPr>
                <w:sz w:val="24"/>
                <w:szCs w:val="24"/>
              </w:rPr>
            </w:pPr>
            <w:r>
              <w:rPr>
                <w:sz w:val="24"/>
                <w:szCs w:val="24"/>
              </w:rPr>
              <w:t>2</w:t>
            </w:r>
          </w:p>
        </w:tc>
        <w:tc>
          <w:tcPr>
            <w:tcW w:w="4310" w:type="dxa"/>
            <w:vAlign w:val="center"/>
          </w:tcPr>
          <w:p w:rsidR="004168A5" w:rsidRDefault="001C59B0">
            <w:pPr>
              <w:pStyle w:val="Heading3"/>
              <w:spacing w:after="120"/>
              <w:jc w:val="left"/>
              <w:outlineLvl w:val="2"/>
              <w:rPr>
                <w:sz w:val="24"/>
                <w:szCs w:val="24"/>
              </w:rPr>
            </w:pPr>
            <w:r>
              <w:rPr>
                <w:sz w:val="24"/>
                <w:szCs w:val="24"/>
              </w:rPr>
              <w:t>Provide API keys</w:t>
            </w:r>
          </w:p>
        </w:tc>
        <w:tc>
          <w:tcPr>
            <w:tcW w:w="3264" w:type="dxa"/>
            <w:vAlign w:val="center"/>
          </w:tcPr>
          <w:p w:rsidR="004168A5" w:rsidRDefault="001C59B0">
            <w:pPr>
              <w:pStyle w:val="Heading3"/>
              <w:spacing w:after="120"/>
              <w:jc w:val="left"/>
              <w:outlineLvl w:val="2"/>
              <w:rPr>
                <w:sz w:val="24"/>
                <w:szCs w:val="24"/>
              </w:rPr>
            </w:pPr>
            <w:r>
              <w:rPr>
                <w:sz w:val="24"/>
                <w:szCs w:val="24"/>
              </w:rPr>
              <w:t>Within week 1 of Contract Award</w:t>
            </w:r>
          </w:p>
        </w:tc>
      </w:tr>
      <w:tr w:rsidR="004168A5">
        <w:tc>
          <w:tcPr>
            <w:tcW w:w="2145" w:type="dxa"/>
            <w:vAlign w:val="center"/>
          </w:tcPr>
          <w:p w:rsidR="004168A5" w:rsidRDefault="001C59B0">
            <w:pPr>
              <w:pStyle w:val="Heading3"/>
              <w:spacing w:after="120"/>
              <w:ind w:left="1118"/>
              <w:jc w:val="left"/>
              <w:outlineLvl w:val="2"/>
              <w:rPr>
                <w:sz w:val="24"/>
                <w:szCs w:val="24"/>
              </w:rPr>
            </w:pPr>
            <w:r>
              <w:rPr>
                <w:sz w:val="24"/>
                <w:szCs w:val="24"/>
              </w:rPr>
              <w:t>3</w:t>
            </w:r>
          </w:p>
        </w:tc>
        <w:tc>
          <w:tcPr>
            <w:tcW w:w="4310" w:type="dxa"/>
            <w:vAlign w:val="center"/>
          </w:tcPr>
          <w:p w:rsidR="004168A5" w:rsidRDefault="001C59B0">
            <w:pPr>
              <w:pStyle w:val="Heading3"/>
              <w:spacing w:after="120"/>
              <w:jc w:val="left"/>
              <w:outlineLvl w:val="2"/>
              <w:rPr>
                <w:sz w:val="24"/>
                <w:szCs w:val="24"/>
              </w:rPr>
            </w:pPr>
            <w:r>
              <w:rPr>
                <w:sz w:val="24"/>
                <w:szCs w:val="24"/>
              </w:rPr>
              <w:t>Provide domain issues feed via API</w:t>
            </w:r>
          </w:p>
        </w:tc>
        <w:tc>
          <w:tcPr>
            <w:tcW w:w="3264" w:type="dxa"/>
            <w:vAlign w:val="center"/>
          </w:tcPr>
          <w:p w:rsidR="004168A5" w:rsidRDefault="001C59B0">
            <w:pPr>
              <w:pStyle w:val="Heading3"/>
              <w:spacing w:after="120"/>
              <w:jc w:val="left"/>
              <w:outlineLvl w:val="2"/>
              <w:rPr>
                <w:sz w:val="24"/>
                <w:szCs w:val="24"/>
              </w:rPr>
            </w:pPr>
            <w:r>
              <w:rPr>
                <w:sz w:val="24"/>
                <w:szCs w:val="24"/>
              </w:rPr>
              <w:t>Within week 1 of Contract Award and domain list by Buyer (whichever is later)</w:t>
            </w:r>
          </w:p>
        </w:tc>
      </w:tr>
      <w:tr w:rsidR="004168A5">
        <w:tc>
          <w:tcPr>
            <w:tcW w:w="2145" w:type="dxa"/>
            <w:vAlign w:val="center"/>
          </w:tcPr>
          <w:p w:rsidR="004168A5" w:rsidRDefault="001C59B0">
            <w:pPr>
              <w:pStyle w:val="Heading3"/>
              <w:spacing w:after="120"/>
              <w:ind w:left="1118"/>
              <w:jc w:val="left"/>
              <w:outlineLvl w:val="2"/>
              <w:rPr>
                <w:sz w:val="24"/>
                <w:szCs w:val="24"/>
              </w:rPr>
            </w:pPr>
            <w:r>
              <w:rPr>
                <w:sz w:val="24"/>
                <w:szCs w:val="24"/>
              </w:rPr>
              <w:t>4</w:t>
            </w:r>
          </w:p>
        </w:tc>
        <w:tc>
          <w:tcPr>
            <w:tcW w:w="4310" w:type="dxa"/>
            <w:vAlign w:val="center"/>
          </w:tcPr>
          <w:p w:rsidR="004168A5" w:rsidRDefault="001C59B0">
            <w:pPr>
              <w:pStyle w:val="Heading3"/>
              <w:spacing w:after="120"/>
              <w:jc w:val="left"/>
              <w:outlineLvl w:val="2"/>
              <w:rPr>
                <w:sz w:val="24"/>
                <w:szCs w:val="24"/>
              </w:rPr>
            </w:pPr>
            <w:r>
              <w:rPr>
                <w:sz w:val="24"/>
                <w:szCs w:val="24"/>
              </w:rPr>
              <w:t>Provide domain discovery data</w:t>
            </w:r>
          </w:p>
        </w:tc>
        <w:tc>
          <w:tcPr>
            <w:tcW w:w="3264" w:type="dxa"/>
            <w:vAlign w:val="center"/>
          </w:tcPr>
          <w:p w:rsidR="004168A5" w:rsidRDefault="001C59B0">
            <w:pPr>
              <w:pStyle w:val="Heading3"/>
              <w:spacing w:after="120"/>
              <w:jc w:val="left"/>
              <w:outlineLvl w:val="2"/>
              <w:rPr>
                <w:sz w:val="24"/>
                <w:szCs w:val="24"/>
              </w:rPr>
            </w:pPr>
            <w:r>
              <w:rPr>
                <w:sz w:val="24"/>
                <w:szCs w:val="24"/>
              </w:rPr>
              <w:t>Within week 1 of Contract Award and seed domain list by Buyer (whichever is later)</w:t>
            </w:r>
          </w:p>
        </w:tc>
      </w:tr>
    </w:tbl>
    <w:p w:rsidR="004168A5" w:rsidRDefault="004168A5">
      <w:pPr>
        <w:pStyle w:val="Heading1"/>
        <w:spacing w:after="120"/>
        <w:ind w:left="0" w:firstLine="0"/>
      </w:pPr>
      <w:bookmarkStart w:id="18" w:name="_heading=h.44sinio" w:colFirst="0" w:colLast="0"/>
      <w:bookmarkEnd w:id="18"/>
    </w:p>
    <w:p w:rsidR="004168A5" w:rsidRDefault="001C59B0">
      <w:pPr>
        <w:pStyle w:val="Heading1"/>
        <w:keepLines w:val="0"/>
        <w:numPr>
          <w:ilvl w:val="0"/>
          <w:numId w:val="16"/>
        </w:numPr>
        <w:spacing w:after="120" w:line="240" w:lineRule="auto"/>
        <w:ind w:left="1429" w:hanging="709"/>
        <w:jc w:val="both"/>
      </w:pPr>
      <w:bookmarkStart w:id="19" w:name="_heading=h.2jxsxqh" w:colFirst="0" w:colLast="0"/>
      <w:bookmarkEnd w:id="19"/>
      <w:r>
        <w:t>MANAGEMENT INFORMATION/reporting</w:t>
      </w:r>
    </w:p>
    <w:p w:rsidR="004168A5" w:rsidRDefault="001C59B0">
      <w:pPr>
        <w:pStyle w:val="Heading2"/>
        <w:keepNext w:val="0"/>
        <w:keepLines w:val="0"/>
        <w:numPr>
          <w:ilvl w:val="1"/>
          <w:numId w:val="16"/>
        </w:numPr>
        <w:spacing w:after="120" w:line="240" w:lineRule="auto"/>
        <w:ind w:left="1429" w:hanging="709"/>
        <w:jc w:val="both"/>
        <w:rPr>
          <w:sz w:val="24"/>
          <w:szCs w:val="24"/>
        </w:rPr>
      </w:pPr>
      <w:r>
        <w:rPr>
          <w:sz w:val="24"/>
          <w:szCs w:val="24"/>
        </w:rPr>
        <w:t>Please insert any specific details relating to the provision of management information or reporting by the Supplier.</w:t>
      </w:r>
    </w:p>
    <w:p w:rsidR="004168A5" w:rsidRDefault="001C59B0">
      <w:pPr>
        <w:pStyle w:val="Heading1"/>
        <w:keepLines w:val="0"/>
        <w:numPr>
          <w:ilvl w:val="0"/>
          <w:numId w:val="16"/>
        </w:numPr>
        <w:spacing w:after="120" w:line="240" w:lineRule="auto"/>
        <w:ind w:left="1429" w:hanging="709"/>
        <w:jc w:val="both"/>
      </w:pPr>
      <w:bookmarkStart w:id="20" w:name="_heading=h.z337ya" w:colFirst="0" w:colLast="0"/>
      <w:bookmarkEnd w:id="20"/>
      <w:r>
        <w:t>volumes</w:t>
      </w:r>
    </w:p>
    <w:p w:rsidR="004168A5" w:rsidRDefault="001C59B0">
      <w:pPr>
        <w:pStyle w:val="Heading2"/>
        <w:keepNext w:val="0"/>
        <w:keepLines w:val="0"/>
        <w:numPr>
          <w:ilvl w:val="1"/>
          <w:numId w:val="16"/>
        </w:numPr>
        <w:spacing w:after="240" w:line="240" w:lineRule="auto"/>
        <w:jc w:val="both"/>
        <w:rPr>
          <w:sz w:val="24"/>
          <w:szCs w:val="24"/>
        </w:rPr>
      </w:pPr>
      <w:bookmarkStart w:id="21" w:name="_heading=h.3j2qqm3" w:colFirst="0" w:colLast="0"/>
      <w:bookmarkEnd w:id="21"/>
      <w:r>
        <w:rPr>
          <w:sz w:val="24"/>
          <w:szCs w:val="24"/>
        </w:rPr>
        <w:t>Data feeds must include monitoring for 2 scopes</w:t>
      </w:r>
      <w:proofErr w:type="gramStart"/>
      <w:r>
        <w:rPr>
          <w:sz w:val="24"/>
          <w:szCs w:val="24"/>
        </w:rPr>
        <w:t>: .</w:t>
      </w:r>
      <w:proofErr w:type="gramEnd"/>
      <w:r>
        <w:rPr>
          <w:sz w:val="24"/>
          <w:szCs w:val="24"/>
        </w:rPr>
        <w:t>gov.uk and all its subdomains (approximately 54,000 domains and subdomains), and wider public sector domains (approximately 340,000 domains and subdomains).</w:t>
      </w:r>
    </w:p>
    <w:p w:rsidR="004168A5" w:rsidRDefault="001C59B0">
      <w:pPr>
        <w:pStyle w:val="Heading2"/>
        <w:keepNext w:val="0"/>
        <w:keepLines w:val="0"/>
        <w:numPr>
          <w:ilvl w:val="1"/>
          <w:numId w:val="16"/>
        </w:numPr>
        <w:spacing w:after="240" w:line="240" w:lineRule="auto"/>
        <w:jc w:val="both"/>
        <w:rPr>
          <w:sz w:val="24"/>
          <w:szCs w:val="24"/>
        </w:rPr>
      </w:pPr>
      <w:r>
        <w:rPr>
          <w:sz w:val="24"/>
          <w:szCs w:val="24"/>
        </w:rPr>
        <w:t>Data feeds should include any issues found under the scope in the Requirements section above, which is likely to include multiple issues per domain.</w:t>
      </w:r>
    </w:p>
    <w:p w:rsidR="004168A5" w:rsidRDefault="001C59B0">
      <w:pPr>
        <w:pStyle w:val="Heading1"/>
        <w:keepLines w:val="0"/>
        <w:numPr>
          <w:ilvl w:val="0"/>
          <w:numId w:val="16"/>
        </w:numPr>
        <w:spacing w:after="120" w:line="240" w:lineRule="auto"/>
        <w:ind w:left="1429" w:hanging="709"/>
        <w:jc w:val="both"/>
      </w:pPr>
      <w:r>
        <w:t>continuous improvement</w:t>
      </w:r>
    </w:p>
    <w:p w:rsidR="004168A5" w:rsidRDefault="001C59B0">
      <w:pPr>
        <w:pStyle w:val="Heading2"/>
        <w:keepNext w:val="0"/>
        <w:keepLines w:val="0"/>
        <w:numPr>
          <w:ilvl w:val="1"/>
          <w:numId w:val="16"/>
        </w:numPr>
        <w:spacing w:after="240" w:line="240" w:lineRule="auto"/>
        <w:jc w:val="both"/>
        <w:rPr>
          <w:sz w:val="24"/>
          <w:szCs w:val="24"/>
        </w:rPr>
      </w:pPr>
      <w:bookmarkStart w:id="22" w:name="_heading=h.1y810tw" w:colFirst="0" w:colLast="0"/>
      <w:bookmarkEnd w:id="22"/>
      <w:r>
        <w:rPr>
          <w:sz w:val="24"/>
          <w:szCs w:val="24"/>
        </w:rPr>
        <w:t>The Supplier must explore new issue and vulnerability types, create mechanisms to identify them, and implement the appropriate new monitoring into the live system.</w:t>
      </w:r>
    </w:p>
    <w:p w:rsidR="004168A5" w:rsidRDefault="001C59B0">
      <w:pPr>
        <w:pStyle w:val="Heading2"/>
        <w:keepNext w:val="0"/>
        <w:keepLines w:val="0"/>
        <w:numPr>
          <w:ilvl w:val="1"/>
          <w:numId w:val="21"/>
        </w:numPr>
        <w:spacing w:after="120" w:line="240" w:lineRule="auto"/>
        <w:jc w:val="both"/>
        <w:rPr>
          <w:sz w:val="24"/>
          <w:szCs w:val="24"/>
        </w:rPr>
      </w:pPr>
      <w:r>
        <w:rPr>
          <w:sz w:val="24"/>
          <w:szCs w:val="24"/>
        </w:rPr>
        <w:t>The Supplier will be expected to continually improve the way in which the required Services are to be delivered throughout the Contract duration.</w:t>
      </w:r>
    </w:p>
    <w:p w:rsidR="004168A5" w:rsidRDefault="001C59B0">
      <w:pPr>
        <w:pStyle w:val="Heading2"/>
        <w:spacing w:after="120"/>
        <w:ind w:left="1440" w:hanging="720"/>
        <w:rPr>
          <w:sz w:val="24"/>
          <w:szCs w:val="24"/>
        </w:rPr>
      </w:pPr>
      <w:r>
        <w:rPr>
          <w:sz w:val="24"/>
          <w:szCs w:val="24"/>
        </w:rPr>
        <w:t>10.3</w:t>
      </w:r>
      <w:r>
        <w:rPr>
          <w:sz w:val="24"/>
          <w:szCs w:val="24"/>
        </w:rPr>
        <w:tab/>
        <w:t xml:space="preserve">The Supplier should present new ways of working to the Buyer during quarterly Contract review meetings. </w:t>
      </w:r>
    </w:p>
    <w:p w:rsidR="004168A5" w:rsidRDefault="001C59B0">
      <w:pPr>
        <w:pStyle w:val="Heading2"/>
        <w:keepNext w:val="0"/>
        <w:keepLines w:val="0"/>
        <w:numPr>
          <w:ilvl w:val="1"/>
          <w:numId w:val="21"/>
        </w:numPr>
        <w:spacing w:after="120" w:line="240" w:lineRule="auto"/>
        <w:jc w:val="both"/>
        <w:rPr>
          <w:sz w:val="24"/>
          <w:szCs w:val="24"/>
        </w:rPr>
      </w:pPr>
      <w:r>
        <w:rPr>
          <w:sz w:val="24"/>
          <w:szCs w:val="24"/>
        </w:rPr>
        <w:t>Changes to the way in which the Services are to be delivered must be brought to the Buyer’s attention and agreed prior to any changes being implemented.</w:t>
      </w:r>
    </w:p>
    <w:p w:rsidR="004168A5" w:rsidRDefault="001C59B0">
      <w:pPr>
        <w:pStyle w:val="Heading1"/>
        <w:keepLines w:val="0"/>
        <w:numPr>
          <w:ilvl w:val="0"/>
          <w:numId w:val="21"/>
        </w:numPr>
        <w:spacing w:after="240" w:line="240" w:lineRule="auto"/>
        <w:jc w:val="both"/>
      </w:pPr>
      <w:r>
        <w:lastRenderedPageBreak/>
        <w:t>Sustainability / SOCIAL VALUE</w:t>
      </w:r>
    </w:p>
    <w:p w:rsidR="004168A5" w:rsidRDefault="001C59B0">
      <w:pPr>
        <w:pStyle w:val="Heading2"/>
        <w:keepNext w:val="0"/>
        <w:keepLines w:val="0"/>
        <w:numPr>
          <w:ilvl w:val="1"/>
          <w:numId w:val="21"/>
        </w:numPr>
        <w:spacing w:after="240" w:line="240" w:lineRule="auto"/>
        <w:jc w:val="both"/>
        <w:rPr>
          <w:sz w:val="24"/>
          <w:szCs w:val="24"/>
        </w:rPr>
      </w:pPr>
      <w:r>
        <w:rPr>
          <w:sz w:val="24"/>
          <w:szCs w:val="24"/>
        </w:rPr>
        <w:t xml:space="preserve">The Supplier should be able to demonstrate the provision of social value provided by their product, service, or organisation in line with the </w:t>
      </w:r>
      <w:hyperlink r:id="rId24">
        <w:r>
          <w:rPr>
            <w:color w:val="1155CC"/>
            <w:sz w:val="24"/>
            <w:szCs w:val="24"/>
            <w:u w:val="single"/>
          </w:rPr>
          <w:t>Social Value Model</w:t>
        </w:r>
      </w:hyperlink>
      <w:r>
        <w:rPr>
          <w:sz w:val="24"/>
          <w:szCs w:val="24"/>
        </w:rPr>
        <w:t xml:space="preserve"> in Central Government contracts.</w:t>
      </w:r>
    </w:p>
    <w:p w:rsidR="004168A5" w:rsidRDefault="001C59B0">
      <w:pPr>
        <w:pStyle w:val="Heading1"/>
        <w:keepLines w:val="0"/>
        <w:numPr>
          <w:ilvl w:val="0"/>
          <w:numId w:val="21"/>
        </w:numPr>
        <w:spacing w:after="120" w:line="240" w:lineRule="auto"/>
        <w:ind w:left="1429" w:hanging="709"/>
        <w:jc w:val="both"/>
      </w:pPr>
      <w:bookmarkStart w:id="23" w:name="_heading=h.4i7ojhp" w:colFirst="0" w:colLast="0"/>
      <w:bookmarkEnd w:id="23"/>
      <w:r>
        <w:t>Quality</w:t>
      </w:r>
    </w:p>
    <w:p w:rsidR="004168A5" w:rsidRDefault="001C59B0">
      <w:pPr>
        <w:pStyle w:val="Heading2"/>
        <w:keepNext w:val="0"/>
        <w:keepLines w:val="0"/>
        <w:numPr>
          <w:ilvl w:val="1"/>
          <w:numId w:val="21"/>
        </w:numPr>
        <w:spacing w:after="120" w:line="240" w:lineRule="auto"/>
        <w:ind w:left="1429" w:hanging="709"/>
        <w:jc w:val="both"/>
        <w:rPr>
          <w:sz w:val="24"/>
          <w:szCs w:val="24"/>
        </w:rPr>
      </w:pPr>
      <w:bookmarkStart w:id="24" w:name="_heading=h.2xcytpi" w:colFirst="0" w:colLast="0"/>
      <w:bookmarkEnd w:id="24"/>
      <w:r>
        <w:rPr>
          <w:sz w:val="24"/>
          <w:szCs w:val="24"/>
        </w:rPr>
        <w:t>Issues must be accurate in type and validity and be consistently reported.</w:t>
      </w:r>
    </w:p>
    <w:p w:rsidR="004168A5" w:rsidRDefault="001C59B0">
      <w:pPr>
        <w:pStyle w:val="Heading1"/>
        <w:keepLines w:val="0"/>
        <w:numPr>
          <w:ilvl w:val="0"/>
          <w:numId w:val="21"/>
        </w:numPr>
        <w:spacing w:after="120" w:line="240" w:lineRule="auto"/>
        <w:ind w:left="1429" w:hanging="709"/>
        <w:jc w:val="both"/>
      </w:pPr>
      <w:r>
        <w:t>PRICE</w:t>
      </w:r>
    </w:p>
    <w:p w:rsidR="004168A5" w:rsidRDefault="001C59B0">
      <w:pPr>
        <w:pStyle w:val="Heading2"/>
        <w:keepNext w:val="0"/>
        <w:keepLines w:val="0"/>
        <w:numPr>
          <w:ilvl w:val="1"/>
          <w:numId w:val="21"/>
        </w:numPr>
        <w:spacing w:after="120" w:line="240" w:lineRule="auto"/>
        <w:ind w:left="1429" w:hanging="709"/>
        <w:jc w:val="both"/>
        <w:rPr>
          <w:sz w:val="24"/>
          <w:szCs w:val="24"/>
        </w:rPr>
      </w:pPr>
      <w:bookmarkStart w:id="25" w:name="_heading=h.1ci93xb" w:colFirst="0" w:colLast="0"/>
      <w:bookmarkEnd w:id="25"/>
      <w:r>
        <w:rPr>
          <w:sz w:val="24"/>
          <w:szCs w:val="24"/>
        </w:rPr>
        <w:t xml:space="preserve">Pricing should be annual, and separate the 2 scopes </w:t>
      </w:r>
      <w:proofErr w:type="gramStart"/>
      <w:r>
        <w:rPr>
          <w:sz w:val="24"/>
          <w:szCs w:val="24"/>
        </w:rPr>
        <w:t>(.gov.uk</w:t>
      </w:r>
      <w:proofErr w:type="gramEnd"/>
      <w:r>
        <w:rPr>
          <w:sz w:val="24"/>
          <w:szCs w:val="24"/>
        </w:rPr>
        <w:t xml:space="preserve"> and wider public sector).</w:t>
      </w:r>
    </w:p>
    <w:p w:rsidR="004168A5" w:rsidRDefault="001C59B0">
      <w:pPr>
        <w:pStyle w:val="Heading2"/>
        <w:keepNext w:val="0"/>
        <w:keepLines w:val="0"/>
        <w:numPr>
          <w:ilvl w:val="1"/>
          <w:numId w:val="21"/>
        </w:numPr>
        <w:spacing w:after="120" w:line="240" w:lineRule="auto"/>
        <w:ind w:left="1429" w:hanging="709"/>
        <w:jc w:val="both"/>
        <w:rPr>
          <w:sz w:val="24"/>
          <w:szCs w:val="24"/>
        </w:rPr>
      </w:pPr>
      <w:r>
        <w:rPr>
          <w:sz w:val="24"/>
          <w:szCs w:val="24"/>
        </w:rPr>
        <w:t>Prices are to be submitted via email to the Procurement Lead excluding VAT and including all other expenses relating to Contract delivery.</w:t>
      </w:r>
    </w:p>
    <w:p w:rsidR="004168A5" w:rsidRDefault="001C59B0">
      <w:pPr>
        <w:pStyle w:val="Heading1"/>
        <w:keepLines w:val="0"/>
        <w:numPr>
          <w:ilvl w:val="0"/>
          <w:numId w:val="21"/>
        </w:numPr>
        <w:spacing w:after="120" w:line="240" w:lineRule="auto"/>
        <w:ind w:left="1429" w:hanging="709"/>
        <w:jc w:val="both"/>
      </w:pPr>
      <w:r>
        <w:t>STAFF AND CUSTOMER SERVICE</w:t>
      </w:r>
    </w:p>
    <w:p w:rsidR="004168A5" w:rsidRDefault="001C59B0">
      <w:pPr>
        <w:pStyle w:val="Heading2"/>
        <w:keepNext w:val="0"/>
        <w:keepLines w:val="0"/>
        <w:numPr>
          <w:ilvl w:val="1"/>
          <w:numId w:val="21"/>
        </w:numPr>
        <w:spacing w:after="120" w:line="240" w:lineRule="auto"/>
        <w:ind w:left="1429" w:hanging="709"/>
        <w:jc w:val="both"/>
        <w:rPr>
          <w:sz w:val="24"/>
          <w:szCs w:val="24"/>
        </w:rPr>
      </w:pPr>
      <w:r>
        <w:rPr>
          <w:sz w:val="24"/>
          <w:szCs w:val="24"/>
        </w:rPr>
        <w:t>The Supplier shall provide a sufficient level of resource throughout the duration of the Contract in order to consistently deliver a quality service.</w:t>
      </w:r>
    </w:p>
    <w:p w:rsidR="004168A5" w:rsidRDefault="001C59B0">
      <w:pPr>
        <w:pStyle w:val="Heading2"/>
        <w:keepNext w:val="0"/>
        <w:keepLines w:val="0"/>
        <w:numPr>
          <w:ilvl w:val="1"/>
          <w:numId w:val="21"/>
        </w:numPr>
        <w:spacing w:after="120" w:line="240" w:lineRule="auto"/>
        <w:ind w:left="1429" w:hanging="709"/>
        <w:jc w:val="both"/>
        <w:rPr>
          <w:sz w:val="24"/>
          <w:szCs w:val="24"/>
        </w:rPr>
      </w:pPr>
      <w:r>
        <w:rPr>
          <w:sz w:val="24"/>
          <w:szCs w:val="24"/>
        </w:rPr>
        <w:t xml:space="preserve">The Supplier’s staff assigned to the Contract shall have the relevant qualifications and experience to deliver the Contract to the required standard. </w:t>
      </w:r>
    </w:p>
    <w:p w:rsidR="004168A5" w:rsidRDefault="001C59B0">
      <w:pPr>
        <w:pStyle w:val="Heading2"/>
        <w:keepNext w:val="0"/>
        <w:keepLines w:val="0"/>
        <w:numPr>
          <w:ilvl w:val="1"/>
          <w:numId w:val="21"/>
        </w:numPr>
        <w:spacing w:after="120" w:line="240" w:lineRule="auto"/>
        <w:ind w:left="1429" w:hanging="709"/>
        <w:jc w:val="both"/>
        <w:rPr>
          <w:sz w:val="24"/>
          <w:szCs w:val="24"/>
        </w:rPr>
      </w:pPr>
      <w:r>
        <w:rPr>
          <w:sz w:val="24"/>
          <w:szCs w:val="24"/>
        </w:rPr>
        <w:t xml:space="preserve">The Supplier shall ensure that staff understand the Buyer’s vision and objectives and will provide excellent customer service to the Buyer throughout the duration of the Contract.  </w:t>
      </w:r>
    </w:p>
    <w:p w:rsidR="004168A5" w:rsidRDefault="001C59B0">
      <w:pPr>
        <w:pStyle w:val="Heading1"/>
        <w:keepLines w:val="0"/>
        <w:numPr>
          <w:ilvl w:val="0"/>
          <w:numId w:val="21"/>
        </w:numPr>
        <w:spacing w:after="120" w:line="240" w:lineRule="auto"/>
        <w:ind w:left="1429" w:hanging="709"/>
        <w:jc w:val="both"/>
      </w:pPr>
      <w:bookmarkStart w:id="26" w:name="_heading=h.3whwml4" w:colFirst="0" w:colLast="0"/>
      <w:bookmarkEnd w:id="26"/>
      <w:r>
        <w:t>Service levels and performance</w:t>
      </w:r>
    </w:p>
    <w:p w:rsidR="004168A5" w:rsidRDefault="001C59B0">
      <w:pPr>
        <w:pStyle w:val="Heading2"/>
        <w:keepNext w:val="0"/>
        <w:keepLines w:val="0"/>
        <w:numPr>
          <w:ilvl w:val="1"/>
          <w:numId w:val="21"/>
        </w:numPr>
        <w:spacing w:after="120" w:line="240" w:lineRule="auto"/>
        <w:ind w:left="1429" w:hanging="709"/>
        <w:jc w:val="both"/>
        <w:rPr>
          <w:sz w:val="24"/>
          <w:szCs w:val="24"/>
        </w:rPr>
      </w:pPr>
      <w:r>
        <w:rPr>
          <w:sz w:val="24"/>
          <w:szCs w:val="24"/>
        </w:rPr>
        <w:t>The Buyer will measure the quality of the Supplier’s delivery by:</w:t>
      </w:r>
    </w:p>
    <w:p w:rsidR="004168A5" w:rsidRDefault="004168A5">
      <w:pPr>
        <w:pStyle w:val="Heading3"/>
        <w:spacing w:after="120"/>
        <w:ind w:left="1800" w:hanging="1080"/>
        <w:rPr>
          <w:sz w:val="24"/>
          <w:szCs w:val="24"/>
        </w:rPr>
      </w:pPr>
    </w:p>
    <w:tbl>
      <w:tblPr>
        <w:tblStyle w:val="ab"/>
        <w:tblW w:w="103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1755"/>
        <w:gridCol w:w="3750"/>
        <w:gridCol w:w="3635"/>
      </w:tblGrid>
      <w:tr w:rsidR="004168A5">
        <w:trPr>
          <w:trHeight w:val="525"/>
        </w:trPr>
        <w:tc>
          <w:tcPr>
            <w:tcW w:w="1170" w:type="dxa"/>
            <w:shd w:val="clear" w:color="auto" w:fill="B4C6E7"/>
          </w:tcPr>
          <w:p w:rsidR="004168A5" w:rsidRDefault="001C59B0">
            <w:pPr>
              <w:pStyle w:val="Heading2"/>
              <w:jc w:val="center"/>
              <w:outlineLvl w:val="1"/>
              <w:rPr>
                <w:b/>
                <w:sz w:val="24"/>
                <w:szCs w:val="24"/>
              </w:rPr>
            </w:pPr>
            <w:r>
              <w:rPr>
                <w:b/>
                <w:sz w:val="24"/>
                <w:szCs w:val="24"/>
              </w:rPr>
              <w:lastRenderedPageBreak/>
              <w:t>A</w:t>
            </w:r>
          </w:p>
        </w:tc>
        <w:tc>
          <w:tcPr>
            <w:tcW w:w="1755" w:type="dxa"/>
            <w:shd w:val="clear" w:color="auto" w:fill="B4C6E7"/>
          </w:tcPr>
          <w:p w:rsidR="004168A5" w:rsidRDefault="001C59B0">
            <w:pPr>
              <w:pStyle w:val="Heading2"/>
              <w:jc w:val="left"/>
              <w:outlineLvl w:val="1"/>
              <w:rPr>
                <w:b/>
                <w:sz w:val="24"/>
                <w:szCs w:val="24"/>
              </w:rPr>
            </w:pPr>
            <w:r>
              <w:rPr>
                <w:b/>
                <w:sz w:val="24"/>
                <w:szCs w:val="24"/>
              </w:rPr>
              <w:t>Service Area</w:t>
            </w:r>
          </w:p>
        </w:tc>
        <w:tc>
          <w:tcPr>
            <w:tcW w:w="3750" w:type="dxa"/>
            <w:shd w:val="clear" w:color="auto" w:fill="B4C6E7"/>
          </w:tcPr>
          <w:p w:rsidR="004168A5" w:rsidRDefault="001C59B0">
            <w:pPr>
              <w:pStyle w:val="Heading2"/>
              <w:jc w:val="left"/>
              <w:outlineLvl w:val="1"/>
              <w:rPr>
                <w:b/>
                <w:sz w:val="24"/>
                <w:szCs w:val="24"/>
              </w:rPr>
            </w:pPr>
            <w:r>
              <w:rPr>
                <w:b/>
                <w:sz w:val="24"/>
                <w:szCs w:val="24"/>
              </w:rPr>
              <w:t>KPI/SLA description</w:t>
            </w:r>
          </w:p>
        </w:tc>
        <w:tc>
          <w:tcPr>
            <w:tcW w:w="3635" w:type="dxa"/>
            <w:shd w:val="clear" w:color="auto" w:fill="B4C6E7"/>
          </w:tcPr>
          <w:p w:rsidR="004168A5" w:rsidRDefault="001C59B0">
            <w:pPr>
              <w:pStyle w:val="Heading2"/>
              <w:jc w:val="left"/>
              <w:outlineLvl w:val="1"/>
              <w:rPr>
                <w:b/>
                <w:sz w:val="24"/>
                <w:szCs w:val="24"/>
              </w:rPr>
            </w:pPr>
            <w:r>
              <w:rPr>
                <w:b/>
                <w:sz w:val="24"/>
                <w:szCs w:val="24"/>
              </w:rPr>
              <w:t>Target</w:t>
            </w:r>
          </w:p>
        </w:tc>
      </w:tr>
      <w:tr w:rsidR="004168A5">
        <w:tc>
          <w:tcPr>
            <w:tcW w:w="1170" w:type="dxa"/>
          </w:tcPr>
          <w:p w:rsidR="004168A5" w:rsidRDefault="001C59B0">
            <w:pPr>
              <w:pStyle w:val="Heading2"/>
              <w:jc w:val="center"/>
              <w:outlineLvl w:val="1"/>
              <w:rPr>
                <w:sz w:val="24"/>
                <w:szCs w:val="24"/>
              </w:rPr>
            </w:pPr>
            <w:r>
              <w:rPr>
                <w:sz w:val="24"/>
                <w:szCs w:val="24"/>
              </w:rPr>
              <w:t>1</w:t>
            </w:r>
          </w:p>
        </w:tc>
        <w:tc>
          <w:tcPr>
            <w:tcW w:w="1755" w:type="dxa"/>
          </w:tcPr>
          <w:p w:rsidR="004168A5" w:rsidRDefault="001C59B0">
            <w:pPr>
              <w:pStyle w:val="Heading2"/>
              <w:jc w:val="left"/>
              <w:outlineLvl w:val="1"/>
              <w:rPr>
                <w:sz w:val="24"/>
                <w:szCs w:val="24"/>
              </w:rPr>
            </w:pPr>
            <w:r>
              <w:rPr>
                <w:sz w:val="24"/>
                <w:szCs w:val="24"/>
              </w:rPr>
              <w:t>Service</w:t>
            </w:r>
          </w:p>
        </w:tc>
        <w:tc>
          <w:tcPr>
            <w:tcW w:w="3750" w:type="dxa"/>
          </w:tcPr>
          <w:p w:rsidR="004168A5" w:rsidRDefault="001C59B0">
            <w:pPr>
              <w:jc w:val="left"/>
              <w:rPr>
                <w:rFonts w:ascii="Arial" w:eastAsia="Arial" w:hAnsi="Arial" w:cs="Arial"/>
                <w:sz w:val="24"/>
                <w:szCs w:val="24"/>
              </w:rPr>
            </w:pPr>
            <w:r>
              <w:rPr>
                <w:rFonts w:ascii="Arial" w:eastAsia="Arial" w:hAnsi="Arial" w:cs="Arial"/>
                <w:sz w:val="24"/>
                <w:szCs w:val="24"/>
              </w:rPr>
              <w:t xml:space="preserve">Supplier will scan the entire set </w:t>
            </w:r>
            <w:proofErr w:type="gramStart"/>
            <w:r>
              <w:rPr>
                <w:rFonts w:ascii="Arial" w:eastAsia="Arial" w:hAnsi="Arial" w:cs="Arial"/>
                <w:sz w:val="24"/>
                <w:szCs w:val="24"/>
              </w:rPr>
              <w:t>of .</w:t>
            </w:r>
            <w:proofErr w:type="gramEnd"/>
            <w:r>
              <w:rPr>
                <w:rFonts w:ascii="Arial" w:eastAsia="Arial" w:hAnsi="Arial" w:cs="Arial"/>
                <w:sz w:val="24"/>
                <w:szCs w:val="24"/>
              </w:rPr>
              <w:t>gov.uk third level domains discovered and/or supplied by the Buyer, and .gov.uk subdomains discovered (approximately 54,000), at least daily and make the Findings available via their API and the UI.</w:t>
            </w:r>
          </w:p>
          <w:p w:rsidR="004168A5" w:rsidRDefault="001C59B0">
            <w:pPr>
              <w:jc w:val="left"/>
              <w:rPr>
                <w:rFonts w:ascii="Arial" w:eastAsia="Arial" w:hAnsi="Arial" w:cs="Arial"/>
                <w:sz w:val="24"/>
                <w:szCs w:val="24"/>
              </w:rPr>
            </w:pPr>
            <w:r>
              <w:rPr>
                <w:rFonts w:ascii="Arial" w:eastAsia="Arial" w:hAnsi="Arial" w:cs="Arial"/>
                <w:sz w:val="24"/>
                <w:szCs w:val="24"/>
              </w:rPr>
              <w:t>Supplier will scan the entire set of public sector domains (approximately 340,000) discovered and/or supplied by the Buyer, and subdomains discovered, at least weekly and make the Findings available via their API and the UI.</w:t>
            </w:r>
          </w:p>
          <w:p w:rsidR="004168A5" w:rsidRDefault="004168A5">
            <w:pPr>
              <w:jc w:val="left"/>
              <w:rPr>
                <w:rFonts w:ascii="Arial" w:eastAsia="Arial" w:hAnsi="Arial" w:cs="Arial"/>
                <w:sz w:val="24"/>
                <w:szCs w:val="24"/>
              </w:rPr>
            </w:pPr>
          </w:p>
          <w:p w:rsidR="004168A5" w:rsidRDefault="001C59B0">
            <w:pPr>
              <w:jc w:val="left"/>
              <w:rPr>
                <w:rFonts w:ascii="Arial" w:eastAsia="Arial" w:hAnsi="Arial" w:cs="Arial"/>
                <w:sz w:val="24"/>
                <w:szCs w:val="24"/>
              </w:rPr>
            </w:pPr>
            <w:r>
              <w:rPr>
                <w:rFonts w:ascii="Arial" w:eastAsia="Arial" w:hAnsi="Arial" w:cs="Arial"/>
                <w:sz w:val="24"/>
                <w:szCs w:val="24"/>
              </w:rPr>
              <w:t>Supplier will make reasonable efforts to provide accurate data and replace/remove inaccurate data in good time.</w:t>
            </w:r>
          </w:p>
          <w:p w:rsidR="004168A5" w:rsidRDefault="004168A5">
            <w:pPr>
              <w:pStyle w:val="Heading2"/>
              <w:jc w:val="left"/>
              <w:outlineLvl w:val="1"/>
              <w:rPr>
                <w:sz w:val="24"/>
                <w:szCs w:val="24"/>
              </w:rPr>
            </w:pPr>
          </w:p>
        </w:tc>
        <w:tc>
          <w:tcPr>
            <w:tcW w:w="3635" w:type="dxa"/>
          </w:tcPr>
          <w:p w:rsidR="004168A5" w:rsidRDefault="001C59B0">
            <w:pPr>
              <w:pStyle w:val="Heading2"/>
              <w:outlineLvl w:val="1"/>
              <w:rPr>
                <w:sz w:val="24"/>
                <w:szCs w:val="24"/>
              </w:rPr>
            </w:pPr>
            <w:r>
              <w:rPr>
                <w:sz w:val="24"/>
                <w:szCs w:val="24"/>
              </w:rPr>
              <w:t>54,000</w:t>
            </w:r>
            <w:proofErr w:type="gramStart"/>
            <w:r>
              <w:rPr>
                <w:sz w:val="24"/>
                <w:szCs w:val="24"/>
              </w:rPr>
              <w:t>+ .</w:t>
            </w:r>
            <w:proofErr w:type="gramEnd"/>
            <w:r>
              <w:rPr>
                <w:sz w:val="24"/>
                <w:szCs w:val="24"/>
              </w:rPr>
              <w:t>gov.uk subdomains scanned daily</w:t>
            </w:r>
            <w:r>
              <w:rPr>
                <w:sz w:val="24"/>
                <w:szCs w:val="24"/>
              </w:rPr>
              <w:br/>
            </w:r>
            <w:r>
              <w:rPr>
                <w:sz w:val="24"/>
                <w:szCs w:val="24"/>
              </w:rPr>
              <w:br/>
              <w:t>340,000 other public sector domains scanned weekly</w:t>
            </w:r>
          </w:p>
        </w:tc>
      </w:tr>
      <w:tr w:rsidR="004168A5">
        <w:tc>
          <w:tcPr>
            <w:tcW w:w="1170" w:type="dxa"/>
          </w:tcPr>
          <w:p w:rsidR="004168A5" w:rsidRDefault="001C59B0">
            <w:pPr>
              <w:pStyle w:val="Heading2"/>
              <w:jc w:val="center"/>
              <w:outlineLvl w:val="1"/>
              <w:rPr>
                <w:sz w:val="24"/>
                <w:szCs w:val="24"/>
              </w:rPr>
            </w:pPr>
            <w:r>
              <w:rPr>
                <w:sz w:val="24"/>
                <w:szCs w:val="24"/>
              </w:rPr>
              <w:lastRenderedPageBreak/>
              <w:t>2</w:t>
            </w:r>
          </w:p>
        </w:tc>
        <w:tc>
          <w:tcPr>
            <w:tcW w:w="1755" w:type="dxa"/>
          </w:tcPr>
          <w:p w:rsidR="004168A5" w:rsidRDefault="001C59B0">
            <w:pPr>
              <w:pStyle w:val="Heading2"/>
              <w:outlineLvl w:val="1"/>
              <w:rPr>
                <w:sz w:val="24"/>
                <w:szCs w:val="24"/>
              </w:rPr>
            </w:pPr>
            <w:r>
              <w:rPr>
                <w:sz w:val="24"/>
                <w:szCs w:val="24"/>
              </w:rPr>
              <w:t>Availability</w:t>
            </w:r>
          </w:p>
        </w:tc>
        <w:tc>
          <w:tcPr>
            <w:tcW w:w="3750" w:type="dxa"/>
          </w:tcPr>
          <w:p w:rsidR="004168A5" w:rsidRDefault="001C59B0">
            <w:pPr>
              <w:jc w:val="left"/>
              <w:rPr>
                <w:rFonts w:ascii="Arial" w:eastAsia="Arial" w:hAnsi="Arial" w:cs="Arial"/>
                <w:sz w:val="24"/>
                <w:szCs w:val="24"/>
              </w:rPr>
            </w:pPr>
            <w:r>
              <w:rPr>
                <w:rFonts w:ascii="Arial" w:eastAsia="Arial" w:hAnsi="Arial" w:cs="Arial"/>
                <w:sz w:val="24"/>
                <w:szCs w:val="24"/>
              </w:rPr>
              <w:t>Supplier provides 99% availability 24/7/365 calculated on a rolling one-month period as:</w:t>
            </w:r>
          </w:p>
          <w:p w:rsidR="004168A5" w:rsidRDefault="001C59B0">
            <w:pPr>
              <w:jc w:val="left"/>
              <w:rPr>
                <w:rFonts w:ascii="Arial" w:eastAsia="Arial" w:hAnsi="Arial" w:cs="Arial"/>
                <w:sz w:val="24"/>
                <w:szCs w:val="24"/>
              </w:rPr>
            </w:pPr>
            <w:r>
              <w:rPr>
                <w:rFonts w:ascii="Arial" w:eastAsia="Arial" w:hAnsi="Arial" w:cs="Arial"/>
                <w:sz w:val="24"/>
                <w:szCs w:val="24"/>
              </w:rPr>
              <w:t>Minutes in period minus minutes unavailable, divided by</w:t>
            </w:r>
          </w:p>
          <w:p w:rsidR="004168A5" w:rsidRDefault="001C59B0">
            <w:pPr>
              <w:jc w:val="left"/>
              <w:rPr>
                <w:rFonts w:ascii="Arial" w:eastAsia="Arial" w:hAnsi="Arial" w:cs="Arial"/>
                <w:sz w:val="24"/>
                <w:szCs w:val="24"/>
              </w:rPr>
            </w:pPr>
            <w:r>
              <w:rPr>
                <w:rFonts w:ascii="Arial" w:eastAsia="Arial" w:hAnsi="Arial" w:cs="Arial"/>
                <w:sz w:val="24"/>
                <w:szCs w:val="24"/>
              </w:rPr>
              <w:t>minutes in period, multiplied by 100. For example, if the service is unavailable for 60 min in a month - ((43200 -</w:t>
            </w:r>
          </w:p>
          <w:p w:rsidR="004168A5" w:rsidRDefault="001C59B0">
            <w:pPr>
              <w:jc w:val="left"/>
              <w:rPr>
                <w:rFonts w:ascii="Arial" w:eastAsia="Arial" w:hAnsi="Arial" w:cs="Arial"/>
                <w:sz w:val="24"/>
                <w:szCs w:val="24"/>
              </w:rPr>
            </w:pPr>
            <w:r>
              <w:rPr>
                <w:rFonts w:ascii="Arial" w:eastAsia="Arial" w:hAnsi="Arial" w:cs="Arial"/>
                <w:sz w:val="24"/>
                <w:szCs w:val="24"/>
              </w:rPr>
              <w:t>60)/43200) x 100 = 99.8%.</w:t>
            </w:r>
          </w:p>
          <w:p w:rsidR="004168A5" w:rsidRDefault="001C59B0">
            <w:pPr>
              <w:jc w:val="left"/>
              <w:rPr>
                <w:rFonts w:ascii="Arial" w:eastAsia="Arial" w:hAnsi="Arial" w:cs="Arial"/>
                <w:sz w:val="24"/>
                <w:szCs w:val="24"/>
              </w:rPr>
            </w:pPr>
            <w:r>
              <w:rPr>
                <w:rFonts w:ascii="Arial" w:eastAsia="Arial" w:hAnsi="Arial" w:cs="Arial"/>
                <w:sz w:val="24"/>
                <w:szCs w:val="24"/>
              </w:rPr>
              <w:t>Service is considered unavailable if:</w:t>
            </w:r>
          </w:p>
          <w:p w:rsidR="004168A5" w:rsidRDefault="001C59B0">
            <w:pPr>
              <w:numPr>
                <w:ilvl w:val="0"/>
                <w:numId w:val="10"/>
              </w:numPr>
              <w:ind w:left="0" w:firstLine="0"/>
              <w:jc w:val="left"/>
              <w:rPr>
                <w:rFonts w:ascii="Arial" w:eastAsia="Arial" w:hAnsi="Arial" w:cs="Arial"/>
                <w:sz w:val="24"/>
                <w:szCs w:val="24"/>
              </w:rPr>
            </w:pPr>
            <w:proofErr w:type="spellStart"/>
            <w:r>
              <w:rPr>
                <w:rFonts w:ascii="Arial" w:eastAsia="Arial" w:hAnsi="Arial" w:cs="Arial"/>
                <w:sz w:val="24"/>
                <w:szCs w:val="24"/>
              </w:rPr>
              <w:t>Hardenize</w:t>
            </w:r>
            <w:proofErr w:type="spellEnd"/>
            <w:r>
              <w:rPr>
                <w:rFonts w:ascii="Arial" w:eastAsia="Arial" w:hAnsi="Arial" w:cs="Arial"/>
                <w:sz w:val="24"/>
                <w:szCs w:val="24"/>
              </w:rPr>
              <w:t xml:space="preserve"> UI OR API not available, contains no data, contains substantial inaccurate data</w:t>
            </w:r>
            <w:r>
              <w:rPr>
                <w:rFonts w:ascii="Arial" w:eastAsia="Arial" w:hAnsi="Arial" w:cs="Arial"/>
                <w:sz w:val="24"/>
                <w:szCs w:val="24"/>
              </w:rPr>
              <w:br/>
            </w:r>
            <w:r>
              <w:rPr>
                <w:rFonts w:ascii="Arial" w:eastAsia="Arial" w:hAnsi="Arial" w:cs="Arial"/>
                <w:sz w:val="24"/>
                <w:szCs w:val="24"/>
              </w:rPr>
              <w:br/>
              <w:t>excluding:</w:t>
            </w:r>
            <w:r>
              <w:rPr>
                <w:rFonts w:ascii="Arial" w:eastAsia="Arial" w:hAnsi="Arial" w:cs="Arial"/>
                <w:sz w:val="24"/>
                <w:szCs w:val="24"/>
              </w:rPr>
              <w:br/>
            </w:r>
          </w:p>
          <w:p w:rsidR="004168A5" w:rsidRDefault="001C59B0">
            <w:pPr>
              <w:numPr>
                <w:ilvl w:val="0"/>
                <w:numId w:val="10"/>
              </w:numPr>
              <w:ind w:left="0" w:firstLine="0"/>
              <w:jc w:val="left"/>
              <w:rPr>
                <w:rFonts w:ascii="Arial" w:eastAsia="Arial" w:hAnsi="Arial" w:cs="Arial"/>
                <w:sz w:val="24"/>
                <w:szCs w:val="24"/>
              </w:rPr>
            </w:pPr>
            <w:r>
              <w:rPr>
                <w:rFonts w:ascii="Arial" w:eastAsia="Arial" w:hAnsi="Arial" w:cs="Arial"/>
                <w:sz w:val="24"/>
                <w:szCs w:val="24"/>
              </w:rPr>
              <w:t>limited scheduled maintenance of which Buyer has been notified in advance</w:t>
            </w:r>
            <w:r>
              <w:rPr>
                <w:rFonts w:ascii="Arial" w:eastAsia="Arial" w:hAnsi="Arial" w:cs="Arial"/>
                <w:sz w:val="24"/>
                <w:szCs w:val="24"/>
              </w:rPr>
              <w:br/>
            </w:r>
          </w:p>
          <w:p w:rsidR="004168A5" w:rsidRDefault="001C59B0">
            <w:pPr>
              <w:numPr>
                <w:ilvl w:val="0"/>
                <w:numId w:val="10"/>
              </w:numPr>
              <w:spacing w:after="120"/>
              <w:ind w:left="0" w:firstLine="0"/>
              <w:jc w:val="left"/>
              <w:rPr>
                <w:rFonts w:ascii="Arial" w:eastAsia="Arial" w:hAnsi="Arial" w:cs="Arial"/>
                <w:sz w:val="24"/>
                <w:szCs w:val="24"/>
              </w:rPr>
            </w:pPr>
            <w:r>
              <w:rPr>
                <w:rFonts w:ascii="Arial" w:eastAsia="Arial" w:hAnsi="Arial" w:cs="Arial"/>
                <w:sz w:val="24"/>
                <w:szCs w:val="24"/>
              </w:rPr>
              <w:t xml:space="preserve">failures in Buyer's systems or Buyer's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systems</w:t>
            </w:r>
          </w:p>
          <w:p w:rsidR="004168A5" w:rsidRDefault="001C59B0">
            <w:pPr>
              <w:jc w:val="left"/>
              <w:rPr>
                <w:rFonts w:ascii="Arial" w:eastAsia="Arial" w:hAnsi="Arial" w:cs="Arial"/>
                <w:sz w:val="24"/>
                <w:szCs w:val="24"/>
              </w:rPr>
            </w:pPr>
            <w:r>
              <w:rPr>
                <w:rFonts w:ascii="Arial" w:eastAsia="Arial" w:hAnsi="Arial" w:cs="Arial"/>
                <w:sz w:val="24"/>
                <w:szCs w:val="24"/>
              </w:rPr>
              <w:t>If the service fails to meet this service level the Supplier will credit the Buyer with additional service period equal to or greater than the period of the outage.</w:t>
            </w:r>
          </w:p>
          <w:p w:rsidR="004168A5" w:rsidRDefault="001C59B0">
            <w:pPr>
              <w:jc w:val="left"/>
              <w:rPr>
                <w:rFonts w:ascii="Arial" w:eastAsia="Arial" w:hAnsi="Arial" w:cs="Arial"/>
                <w:sz w:val="24"/>
                <w:szCs w:val="24"/>
              </w:rPr>
            </w:pPr>
            <w:r>
              <w:rPr>
                <w:rFonts w:ascii="Arial" w:eastAsia="Arial" w:hAnsi="Arial" w:cs="Arial"/>
                <w:sz w:val="24"/>
                <w:szCs w:val="24"/>
              </w:rPr>
              <w:t>If Supplier service consistently falls below the availability above the Buyer may terminate the contract without further cause.</w:t>
            </w:r>
          </w:p>
        </w:tc>
        <w:tc>
          <w:tcPr>
            <w:tcW w:w="3635" w:type="dxa"/>
          </w:tcPr>
          <w:p w:rsidR="004168A5" w:rsidRDefault="001C59B0">
            <w:pPr>
              <w:pStyle w:val="Heading2"/>
              <w:outlineLvl w:val="1"/>
              <w:rPr>
                <w:sz w:val="24"/>
                <w:szCs w:val="24"/>
              </w:rPr>
            </w:pPr>
            <w:r>
              <w:rPr>
                <w:sz w:val="24"/>
                <w:szCs w:val="24"/>
              </w:rPr>
              <w:t>99% availability</w:t>
            </w:r>
          </w:p>
        </w:tc>
      </w:tr>
      <w:tr w:rsidR="004168A5">
        <w:tc>
          <w:tcPr>
            <w:tcW w:w="1170" w:type="dxa"/>
          </w:tcPr>
          <w:p w:rsidR="004168A5" w:rsidRDefault="001C59B0">
            <w:pPr>
              <w:pStyle w:val="Heading2"/>
              <w:jc w:val="center"/>
              <w:outlineLvl w:val="1"/>
              <w:rPr>
                <w:sz w:val="24"/>
                <w:szCs w:val="24"/>
              </w:rPr>
            </w:pPr>
            <w:r>
              <w:rPr>
                <w:sz w:val="24"/>
                <w:szCs w:val="24"/>
              </w:rPr>
              <w:lastRenderedPageBreak/>
              <w:t>3</w:t>
            </w:r>
          </w:p>
        </w:tc>
        <w:tc>
          <w:tcPr>
            <w:tcW w:w="1755" w:type="dxa"/>
          </w:tcPr>
          <w:p w:rsidR="004168A5" w:rsidRDefault="001C59B0">
            <w:pPr>
              <w:pStyle w:val="Heading2"/>
              <w:outlineLvl w:val="1"/>
              <w:rPr>
                <w:sz w:val="24"/>
                <w:szCs w:val="24"/>
              </w:rPr>
            </w:pPr>
            <w:r>
              <w:rPr>
                <w:sz w:val="24"/>
                <w:szCs w:val="24"/>
              </w:rPr>
              <w:t>Support</w:t>
            </w:r>
          </w:p>
        </w:tc>
        <w:tc>
          <w:tcPr>
            <w:tcW w:w="3750" w:type="dxa"/>
          </w:tcPr>
          <w:p w:rsidR="004168A5" w:rsidRDefault="001C59B0">
            <w:pPr>
              <w:jc w:val="left"/>
              <w:rPr>
                <w:rFonts w:ascii="Arial" w:eastAsia="Arial" w:hAnsi="Arial" w:cs="Arial"/>
                <w:sz w:val="24"/>
                <w:szCs w:val="24"/>
              </w:rPr>
            </w:pPr>
            <w:r>
              <w:rPr>
                <w:rFonts w:ascii="Arial" w:eastAsia="Arial" w:hAnsi="Arial" w:cs="Arial"/>
                <w:sz w:val="24"/>
                <w:szCs w:val="24"/>
              </w:rPr>
              <w:t>Supplier will make reasonable efforts to respond to support queries via email, or by pre-arranged video call within the following timescales:</w:t>
            </w:r>
          </w:p>
          <w:p w:rsidR="004168A5" w:rsidRDefault="001C59B0">
            <w:pPr>
              <w:jc w:val="left"/>
              <w:rPr>
                <w:rFonts w:ascii="Arial" w:eastAsia="Arial" w:hAnsi="Arial" w:cs="Arial"/>
                <w:sz w:val="24"/>
                <w:szCs w:val="24"/>
              </w:rPr>
            </w:pPr>
            <w:r>
              <w:rPr>
                <w:rFonts w:ascii="Arial" w:eastAsia="Arial" w:hAnsi="Arial" w:cs="Arial"/>
                <w:sz w:val="24"/>
                <w:szCs w:val="24"/>
              </w:rPr>
              <w:t>● Supplier will respond to urgent support queries (service unavailable, inaccessible, or majority of data missing or inaccurate) within one working day</w:t>
            </w:r>
          </w:p>
          <w:p w:rsidR="004168A5" w:rsidRDefault="001C59B0">
            <w:pPr>
              <w:jc w:val="left"/>
              <w:rPr>
                <w:rFonts w:ascii="Arial" w:eastAsia="Arial" w:hAnsi="Arial" w:cs="Arial"/>
                <w:sz w:val="24"/>
                <w:szCs w:val="24"/>
              </w:rPr>
            </w:pPr>
            <w:r>
              <w:rPr>
                <w:rFonts w:ascii="Arial" w:eastAsia="Arial" w:hAnsi="Arial" w:cs="Arial"/>
                <w:sz w:val="24"/>
                <w:szCs w:val="24"/>
              </w:rPr>
              <w:t>● Supplier will respond to lower priority support queries (some elements of service unavailable, inaccessible, or some data missing or inaccurate) within 3 working days.</w:t>
            </w:r>
          </w:p>
          <w:p w:rsidR="004168A5" w:rsidRDefault="001C59B0">
            <w:pPr>
              <w:pStyle w:val="Heading2"/>
              <w:outlineLvl w:val="1"/>
              <w:rPr>
                <w:sz w:val="24"/>
                <w:szCs w:val="24"/>
              </w:rPr>
            </w:pPr>
            <w:r>
              <w:rPr>
                <w:sz w:val="24"/>
                <w:szCs w:val="24"/>
              </w:rPr>
              <w:t>● Supplier will respond to feature requests (with queries or roadmap plans, not implementation) within 5 working days</w:t>
            </w:r>
          </w:p>
        </w:tc>
        <w:tc>
          <w:tcPr>
            <w:tcW w:w="3635" w:type="dxa"/>
          </w:tcPr>
          <w:p w:rsidR="004168A5" w:rsidRDefault="001C59B0">
            <w:pPr>
              <w:rPr>
                <w:rFonts w:ascii="Arial" w:eastAsia="Arial" w:hAnsi="Arial" w:cs="Arial"/>
                <w:sz w:val="24"/>
                <w:szCs w:val="24"/>
              </w:rPr>
            </w:pPr>
            <w:r>
              <w:rPr>
                <w:rFonts w:ascii="Arial" w:eastAsia="Arial" w:hAnsi="Arial" w:cs="Arial"/>
                <w:sz w:val="24"/>
                <w:szCs w:val="24"/>
              </w:rPr>
              <w:t>Urgent issues = 1 working day</w:t>
            </w:r>
          </w:p>
          <w:p w:rsidR="004168A5" w:rsidRDefault="001C59B0">
            <w:pPr>
              <w:rPr>
                <w:rFonts w:ascii="Arial" w:eastAsia="Arial" w:hAnsi="Arial" w:cs="Arial"/>
                <w:sz w:val="24"/>
                <w:szCs w:val="24"/>
              </w:rPr>
            </w:pPr>
            <w:r>
              <w:rPr>
                <w:rFonts w:ascii="Arial" w:eastAsia="Arial" w:hAnsi="Arial" w:cs="Arial"/>
                <w:sz w:val="24"/>
                <w:szCs w:val="24"/>
              </w:rPr>
              <w:t>Low priority issues = 3 working days</w:t>
            </w:r>
          </w:p>
          <w:p w:rsidR="004168A5" w:rsidRDefault="001C59B0">
            <w:pPr>
              <w:pStyle w:val="Heading2"/>
              <w:outlineLvl w:val="1"/>
              <w:rPr>
                <w:sz w:val="24"/>
                <w:szCs w:val="24"/>
              </w:rPr>
            </w:pPr>
            <w:r>
              <w:rPr>
                <w:sz w:val="24"/>
                <w:szCs w:val="24"/>
              </w:rPr>
              <w:t>Feature requests = 5 working days</w:t>
            </w:r>
          </w:p>
        </w:tc>
      </w:tr>
      <w:tr w:rsidR="004168A5">
        <w:tc>
          <w:tcPr>
            <w:tcW w:w="1170" w:type="dxa"/>
          </w:tcPr>
          <w:p w:rsidR="004168A5" w:rsidRDefault="001C59B0">
            <w:pPr>
              <w:pStyle w:val="Heading2"/>
              <w:jc w:val="center"/>
              <w:outlineLvl w:val="1"/>
              <w:rPr>
                <w:sz w:val="24"/>
                <w:szCs w:val="24"/>
              </w:rPr>
            </w:pPr>
            <w:r>
              <w:rPr>
                <w:sz w:val="24"/>
                <w:szCs w:val="24"/>
              </w:rPr>
              <w:t>4</w:t>
            </w:r>
          </w:p>
        </w:tc>
        <w:tc>
          <w:tcPr>
            <w:tcW w:w="1755" w:type="dxa"/>
          </w:tcPr>
          <w:p w:rsidR="004168A5" w:rsidRDefault="001C59B0">
            <w:pPr>
              <w:pStyle w:val="Heading2"/>
              <w:outlineLvl w:val="1"/>
              <w:rPr>
                <w:sz w:val="24"/>
                <w:szCs w:val="24"/>
              </w:rPr>
            </w:pPr>
            <w:r>
              <w:rPr>
                <w:sz w:val="24"/>
                <w:szCs w:val="24"/>
              </w:rPr>
              <w:t>Service</w:t>
            </w:r>
          </w:p>
        </w:tc>
        <w:tc>
          <w:tcPr>
            <w:tcW w:w="3750" w:type="dxa"/>
          </w:tcPr>
          <w:p w:rsidR="004168A5" w:rsidRDefault="001C59B0">
            <w:pPr>
              <w:jc w:val="left"/>
              <w:rPr>
                <w:rFonts w:ascii="Arial" w:eastAsia="Arial" w:hAnsi="Arial" w:cs="Arial"/>
                <w:sz w:val="24"/>
                <w:szCs w:val="24"/>
              </w:rPr>
            </w:pPr>
            <w:r>
              <w:rPr>
                <w:rFonts w:ascii="Arial" w:eastAsia="Arial" w:hAnsi="Arial" w:cs="Arial"/>
                <w:sz w:val="24"/>
                <w:szCs w:val="24"/>
              </w:rPr>
              <w:t xml:space="preserve">Supplier will scan the entire set </w:t>
            </w:r>
            <w:proofErr w:type="gramStart"/>
            <w:r>
              <w:rPr>
                <w:rFonts w:ascii="Arial" w:eastAsia="Arial" w:hAnsi="Arial" w:cs="Arial"/>
                <w:sz w:val="24"/>
                <w:szCs w:val="24"/>
              </w:rPr>
              <w:t>of .</w:t>
            </w:r>
            <w:proofErr w:type="gramEnd"/>
            <w:r>
              <w:rPr>
                <w:rFonts w:ascii="Arial" w:eastAsia="Arial" w:hAnsi="Arial" w:cs="Arial"/>
                <w:sz w:val="24"/>
                <w:szCs w:val="24"/>
              </w:rPr>
              <w:t>gov.uk third level domains discovered and/or supplied by the Buyer, and .gov.uk subdomains discovered (approximately 54,000), at least daily and make the Findings available via their API and the UI.</w:t>
            </w:r>
          </w:p>
          <w:p w:rsidR="004168A5" w:rsidRDefault="001C59B0">
            <w:pPr>
              <w:jc w:val="left"/>
              <w:rPr>
                <w:rFonts w:ascii="Arial" w:eastAsia="Arial" w:hAnsi="Arial" w:cs="Arial"/>
                <w:sz w:val="24"/>
                <w:szCs w:val="24"/>
              </w:rPr>
            </w:pPr>
            <w:r>
              <w:rPr>
                <w:rFonts w:ascii="Arial" w:eastAsia="Arial" w:hAnsi="Arial" w:cs="Arial"/>
                <w:sz w:val="24"/>
                <w:szCs w:val="24"/>
              </w:rPr>
              <w:t>Supplier will scan the entire set of public sector domains (approximately 340,000) discovered and/or supplied by the Buyer, and subdomains discovered, at least weekly and make the Findings available via their API and the UI.</w:t>
            </w:r>
          </w:p>
          <w:p w:rsidR="004168A5" w:rsidRDefault="004168A5">
            <w:pPr>
              <w:jc w:val="left"/>
              <w:rPr>
                <w:rFonts w:ascii="Arial" w:eastAsia="Arial" w:hAnsi="Arial" w:cs="Arial"/>
                <w:sz w:val="24"/>
                <w:szCs w:val="24"/>
              </w:rPr>
            </w:pPr>
          </w:p>
          <w:p w:rsidR="004168A5" w:rsidRDefault="001C59B0">
            <w:pPr>
              <w:jc w:val="left"/>
              <w:rPr>
                <w:rFonts w:ascii="Arial" w:eastAsia="Arial" w:hAnsi="Arial" w:cs="Arial"/>
                <w:sz w:val="24"/>
                <w:szCs w:val="24"/>
              </w:rPr>
            </w:pPr>
            <w:r>
              <w:rPr>
                <w:rFonts w:ascii="Arial" w:eastAsia="Arial" w:hAnsi="Arial" w:cs="Arial"/>
                <w:sz w:val="24"/>
                <w:szCs w:val="24"/>
              </w:rPr>
              <w:t>Supplier will make reasonable efforts to provide accurate data and replace/remove inaccurate data in good time.</w:t>
            </w:r>
          </w:p>
        </w:tc>
        <w:tc>
          <w:tcPr>
            <w:tcW w:w="3635" w:type="dxa"/>
          </w:tcPr>
          <w:p w:rsidR="004168A5" w:rsidRDefault="001C59B0">
            <w:pPr>
              <w:pStyle w:val="Heading2"/>
              <w:outlineLvl w:val="1"/>
              <w:rPr>
                <w:sz w:val="24"/>
                <w:szCs w:val="24"/>
              </w:rPr>
            </w:pPr>
            <w:r>
              <w:rPr>
                <w:sz w:val="24"/>
                <w:szCs w:val="24"/>
              </w:rPr>
              <w:t>54,000</w:t>
            </w:r>
            <w:proofErr w:type="gramStart"/>
            <w:r>
              <w:rPr>
                <w:sz w:val="24"/>
                <w:szCs w:val="24"/>
              </w:rPr>
              <w:t>+ .</w:t>
            </w:r>
            <w:proofErr w:type="gramEnd"/>
            <w:r>
              <w:rPr>
                <w:sz w:val="24"/>
                <w:szCs w:val="24"/>
              </w:rPr>
              <w:t>gov.uk subdomains scanned daily</w:t>
            </w:r>
            <w:r>
              <w:rPr>
                <w:sz w:val="24"/>
                <w:szCs w:val="24"/>
              </w:rPr>
              <w:br/>
            </w:r>
            <w:r>
              <w:rPr>
                <w:sz w:val="24"/>
                <w:szCs w:val="24"/>
              </w:rPr>
              <w:br/>
              <w:t>340,000 other public sector domains scanned weekly</w:t>
            </w:r>
          </w:p>
        </w:tc>
      </w:tr>
      <w:tr w:rsidR="004168A5">
        <w:tc>
          <w:tcPr>
            <w:tcW w:w="1170" w:type="dxa"/>
          </w:tcPr>
          <w:p w:rsidR="004168A5" w:rsidRDefault="001C59B0">
            <w:pPr>
              <w:pStyle w:val="Heading2"/>
              <w:jc w:val="center"/>
              <w:outlineLvl w:val="1"/>
              <w:rPr>
                <w:sz w:val="24"/>
                <w:szCs w:val="24"/>
              </w:rPr>
            </w:pPr>
            <w:r>
              <w:rPr>
                <w:sz w:val="24"/>
                <w:szCs w:val="24"/>
              </w:rPr>
              <w:lastRenderedPageBreak/>
              <w:t>5</w:t>
            </w:r>
          </w:p>
        </w:tc>
        <w:tc>
          <w:tcPr>
            <w:tcW w:w="1755" w:type="dxa"/>
          </w:tcPr>
          <w:p w:rsidR="004168A5" w:rsidRDefault="001C59B0">
            <w:pPr>
              <w:pStyle w:val="Heading2"/>
              <w:outlineLvl w:val="1"/>
              <w:rPr>
                <w:sz w:val="24"/>
                <w:szCs w:val="24"/>
              </w:rPr>
            </w:pPr>
            <w:r>
              <w:rPr>
                <w:sz w:val="24"/>
                <w:szCs w:val="24"/>
              </w:rPr>
              <w:t>Availability</w:t>
            </w:r>
          </w:p>
        </w:tc>
        <w:tc>
          <w:tcPr>
            <w:tcW w:w="3750" w:type="dxa"/>
          </w:tcPr>
          <w:p w:rsidR="004168A5" w:rsidRDefault="001C59B0">
            <w:pPr>
              <w:jc w:val="left"/>
              <w:rPr>
                <w:rFonts w:ascii="Arial" w:eastAsia="Arial" w:hAnsi="Arial" w:cs="Arial"/>
                <w:sz w:val="24"/>
                <w:szCs w:val="24"/>
              </w:rPr>
            </w:pPr>
            <w:r>
              <w:rPr>
                <w:rFonts w:ascii="Arial" w:eastAsia="Arial" w:hAnsi="Arial" w:cs="Arial"/>
                <w:sz w:val="24"/>
                <w:szCs w:val="24"/>
              </w:rPr>
              <w:t xml:space="preserve">Supplier provides 99% availability 24/7/365 calculated on a rolling </w:t>
            </w:r>
            <w:proofErr w:type="gramStart"/>
            <w:r>
              <w:rPr>
                <w:rFonts w:ascii="Arial" w:eastAsia="Arial" w:hAnsi="Arial" w:cs="Arial"/>
                <w:sz w:val="24"/>
                <w:szCs w:val="24"/>
              </w:rPr>
              <w:t>one month</w:t>
            </w:r>
            <w:proofErr w:type="gramEnd"/>
            <w:r>
              <w:rPr>
                <w:rFonts w:ascii="Arial" w:eastAsia="Arial" w:hAnsi="Arial" w:cs="Arial"/>
                <w:sz w:val="24"/>
                <w:szCs w:val="24"/>
              </w:rPr>
              <w:t xml:space="preserve"> period as:</w:t>
            </w:r>
          </w:p>
          <w:p w:rsidR="004168A5" w:rsidRDefault="001C59B0">
            <w:pPr>
              <w:jc w:val="left"/>
              <w:rPr>
                <w:rFonts w:ascii="Arial" w:eastAsia="Arial" w:hAnsi="Arial" w:cs="Arial"/>
                <w:sz w:val="24"/>
                <w:szCs w:val="24"/>
              </w:rPr>
            </w:pPr>
            <w:r>
              <w:rPr>
                <w:rFonts w:ascii="Arial" w:eastAsia="Arial" w:hAnsi="Arial" w:cs="Arial"/>
                <w:sz w:val="24"/>
                <w:szCs w:val="24"/>
              </w:rPr>
              <w:t xml:space="preserve">Minutes in period minus minutes unavailable, divided by minutes in period, multiplied by 100. For </w:t>
            </w:r>
            <w:proofErr w:type="gramStart"/>
            <w:r>
              <w:rPr>
                <w:rFonts w:ascii="Arial" w:eastAsia="Arial" w:hAnsi="Arial" w:cs="Arial"/>
                <w:sz w:val="24"/>
                <w:szCs w:val="24"/>
              </w:rPr>
              <w:t>example</w:t>
            </w:r>
            <w:proofErr w:type="gramEnd"/>
            <w:r>
              <w:rPr>
                <w:rFonts w:ascii="Arial" w:eastAsia="Arial" w:hAnsi="Arial" w:cs="Arial"/>
                <w:sz w:val="24"/>
                <w:szCs w:val="24"/>
              </w:rPr>
              <w:t xml:space="preserve"> if the service is unavailable for 60 min in a month - ((43200 -</w:t>
            </w:r>
          </w:p>
          <w:p w:rsidR="004168A5" w:rsidRDefault="001C59B0">
            <w:pPr>
              <w:jc w:val="left"/>
              <w:rPr>
                <w:rFonts w:ascii="Arial" w:eastAsia="Arial" w:hAnsi="Arial" w:cs="Arial"/>
                <w:sz w:val="24"/>
                <w:szCs w:val="24"/>
              </w:rPr>
            </w:pPr>
            <w:r>
              <w:rPr>
                <w:rFonts w:ascii="Arial" w:eastAsia="Arial" w:hAnsi="Arial" w:cs="Arial"/>
                <w:sz w:val="24"/>
                <w:szCs w:val="24"/>
              </w:rPr>
              <w:t>60)/43200) x 100 = 99.8%.</w:t>
            </w:r>
          </w:p>
          <w:p w:rsidR="004168A5" w:rsidRDefault="001C59B0">
            <w:pPr>
              <w:jc w:val="left"/>
              <w:rPr>
                <w:rFonts w:ascii="Arial" w:eastAsia="Arial" w:hAnsi="Arial" w:cs="Arial"/>
                <w:sz w:val="24"/>
                <w:szCs w:val="24"/>
              </w:rPr>
            </w:pPr>
            <w:r>
              <w:rPr>
                <w:rFonts w:ascii="Arial" w:eastAsia="Arial" w:hAnsi="Arial" w:cs="Arial"/>
                <w:sz w:val="24"/>
                <w:szCs w:val="24"/>
              </w:rPr>
              <w:t>Service is considered unavailable if:</w:t>
            </w:r>
          </w:p>
          <w:p w:rsidR="004168A5" w:rsidRDefault="001C59B0">
            <w:pPr>
              <w:numPr>
                <w:ilvl w:val="0"/>
                <w:numId w:val="10"/>
              </w:numPr>
              <w:ind w:left="0" w:firstLine="0"/>
              <w:jc w:val="left"/>
              <w:rPr>
                <w:rFonts w:ascii="Arial" w:eastAsia="Arial" w:hAnsi="Arial" w:cs="Arial"/>
                <w:sz w:val="24"/>
                <w:szCs w:val="24"/>
              </w:rPr>
            </w:pPr>
            <w:proofErr w:type="spellStart"/>
            <w:r>
              <w:rPr>
                <w:rFonts w:ascii="Arial" w:eastAsia="Arial" w:hAnsi="Arial" w:cs="Arial"/>
                <w:sz w:val="24"/>
                <w:szCs w:val="24"/>
              </w:rPr>
              <w:t>Hardenize</w:t>
            </w:r>
            <w:proofErr w:type="spellEnd"/>
            <w:r>
              <w:rPr>
                <w:rFonts w:ascii="Arial" w:eastAsia="Arial" w:hAnsi="Arial" w:cs="Arial"/>
                <w:sz w:val="24"/>
                <w:szCs w:val="24"/>
              </w:rPr>
              <w:t xml:space="preserve"> UI OR API not available, contains no data, contains substantial inaccurate data</w:t>
            </w:r>
            <w:r>
              <w:rPr>
                <w:rFonts w:ascii="Arial" w:eastAsia="Arial" w:hAnsi="Arial" w:cs="Arial"/>
                <w:sz w:val="24"/>
                <w:szCs w:val="24"/>
              </w:rPr>
              <w:br/>
            </w:r>
            <w:r>
              <w:rPr>
                <w:rFonts w:ascii="Arial" w:eastAsia="Arial" w:hAnsi="Arial" w:cs="Arial"/>
                <w:sz w:val="24"/>
                <w:szCs w:val="24"/>
              </w:rPr>
              <w:br/>
              <w:t>excluding:</w:t>
            </w:r>
            <w:r>
              <w:rPr>
                <w:rFonts w:ascii="Arial" w:eastAsia="Arial" w:hAnsi="Arial" w:cs="Arial"/>
                <w:sz w:val="24"/>
                <w:szCs w:val="24"/>
              </w:rPr>
              <w:br/>
            </w:r>
          </w:p>
          <w:p w:rsidR="004168A5" w:rsidRDefault="001C59B0">
            <w:pPr>
              <w:numPr>
                <w:ilvl w:val="0"/>
                <w:numId w:val="10"/>
              </w:numPr>
              <w:ind w:left="0" w:firstLine="0"/>
              <w:jc w:val="left"/>
              <w:rPr>
                <w:rFonts w:ascii="Arial" w:eastAsia="Arial" w:hAnsi="Arial" w:cs="Arial"/>
                <w:sz w:val="24"/>
                <w:szCs w:val="24"/>
              </w:rPr>
            </w:pPr>
            <w:r>
              <w:rPr>
                <w:rFonts w:ascii="Arial" w:eastAsia="Arial" w:hAnsi="Arial" w:cs="Arial"/>
                <w:sz w:val="24"/>
                <w:szCs w:val="24"/>
              </w:rPr>
              <w:t>limited scheduled maintenance of which Buyer has been notified in advance</w:t>
            </w:r>
            <w:r>
              <w:rPr>
                <w:rFonts w:ascii="Arial" w:eastAsia="Arial" w:hAnsi="Arial" w:cs="Arial"/>
                <w:sz w:val="24"/>
                <w:szCs w:val="24"/>
              </w:rPr>
              <w:br/>
            </w:r>
          </w:p>
          <w:p w:rsidR="004168A5" w:rsidRDefault="001C59B0">
            <w:pPr>
              <w:numPr>
                <w:ilvl w:val="0"/>
                <w:numId w:val="10"/>
              </w:numPr>
              <w:spacing w:after="120"/>
              <w:ind w:left="0" w:firstLine="0"/>
              <w:jc w:val="left"/>
              <w:rPr>
                <w:rFonts w:ascii="Arial" w:eastAsia="Arial" w:hAnsi="Arial" w:cs="Arial"/>
                <w:sz w:val="24"/>
                <w:szCs w:val="24"/>
              </w:rPr>
            </w:pPr>
            <w:r>
              <w:rPr>
                <w:rFonts w:ascii="Arial" w:eastAsia="Arial" w:hAnsi="Arial" w:cs="Arial"/>
                <w:sz w:val="24"/>
                <w:szCs w:val="24"/>
              </w:rPr>
              <w:t xml:space="preserve">failures in Buyer's systems or Buyer's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systems</w:t>
            </w:r>
          </w:p>
          <w:p w:rsidR="004168A5" w:rsidRDefault="001C59B0">
            <w:pPr>
              <w:jc w:val="left"/>
              <w:rPr>
                <w:rFonts w:ascii="Arial" w:eastAsia="Arial" w:hAnsi="Arial" w:cs="Arial"/>
                <w:sz w:val="24"/>
                <w:szCs w:val="24"/>
              </w:rPr>
            </w:pPr>
            <w:r>
              <w:rPr>
                <w:rFonts w:ascii="Arial" w:eastAsia="Arial" w:hAnsi="Arial" w:cs="Arial"/>
                <w:sz w:val="24"/>
                <w:szCs w:val="24"/>
              </w:rPr>
              <w:t>If the service fails to meet this service level the Supplier will credit the Buyer with additional service period equal to or greater than the period of the outage.</w:t>
            </w:r>
          </w:p>
          <w:p w:rsidR="004168A5" w:rsidRDefault="001C59B0">
            <w:pPr>
              <w:jc w:val="left"/>
              <w:rPr>
                <w:rFonts w:ascii="Arial" w:eastAsia="Arial" w:hAnsi="Arial" w:cs="Arial"/>
                <w:sz w:val="24"/>
                <w:szCs w:val="24"/>
              </w:rPr>
            </w:pPr>
            <w:r>
              <w:rPr>
                <w:rFonts w:ascii="Arial" w:eastAsia="Arial" w:hAnsi="Arial" w:cs="Arial"/>
                <w:sz w:val="24"/>
                <w:szCs w:val="24"/>
              </w:rPr>
              <w:t>If Supplier service consistently falls below the availability above the Buyer may terminate the contract without further cause.</w:t>
            </w:r>
          </w:p>
        </w:tc>
        <w:tc>
          <w:tcPr>
            <w:tcW w:w="3635" w:type="dxa"/>
          </w:tcPr>
          <w:p w:rsidR="004168A5" w:rsidRDefault="001C59B0">
            <w:pPr>
              <w:pStyle w:val="Heading2"/>
              <w:outlineLvl w:val="1"/>
              <w:rPr>
                <w:sz w:val="24"/>
                <w:szCs w:val="24"/>
              </w:rPr>
            </w:pPr>
            <w:r>
              <w:rPr>
                <w:sz w:val="24"/>
                <w:szCs w:val="24"/>
              </w:rPr>
              <w:t>99% availability</w:t>
            </w:r>
          </w:p>
        </w:tc>
      </w:tr>
    </w:tbl>
    <w:p w:rsidR="004168A5" w:rsidRDefault="004168A5">
      <w:pPr>
        <w:pStyle w:val="Heading2"/>
        <w:ind w:left="720" w:firstLine="0"/>
        <w:rPr>
          <w:sz w:val="24"/>
          <w:szCs w:val="24"/>
        </w:rPr>
      </w:pPr>
    </w:p>
    <w:p w:rsidR="004168A5" w:rsidRDefault="001C59B0">
      <w:pPr>
        <w:pStyle w:val="Heading2"/>
        <w:keepNext w:val="0"/>
        <w:keepLines w:val="0"/>
        <w:numPr>
          <w:ilvl w:val="1"/>
          <w:numId w:val="21"/>
        </w:numPr>
        <w:spacing w:after="240" w:line="240" w:lineRule="auto"/>
        <w:jc w:val="both"/>
        <w:rPr>
          <w:sz w:val="24"/>
          <w:szCs w:val="24"/>
        </w:rPr>
      </w:pPr>
      <w:bookmarkStart w:id="27" w:name="_heading=h.2bn6wsx" w:colFirst="0" w:colLast="0"/>
      <w:bookmarkEnd w:id="27"/>
      <w:r>
        <w:rPr>
          <w:sz w:val="24"/>
          <w:szCs w:val="24"/>
        </w:rPr>
        <w:t>If the service fails to meet this service level the Supplier will credit the Buyer with additional service period equal to or greater than the period of the outage.</w:t>
      </w:r>
    </w:p>
    <w:p w:rsidR="004168A5" w:rsidRDefault="001C59B0">
      <w:pPr>
        <w:pStyle w:val="Heading2"/>
        <w:keepNext w:val="0"/>
        <w:keepLines w:val="0"/>
        <w:numPr>
          <w:ilvl w:val="1"/>
          <w:numId w:val="21"/>
        </w:numPr>
        <w:spacing w:after="240" w:line="240" w:lineRule="auto"/>
        <w:jc w:val="both"/>
        <w:rPr>
          <w:sz w:val="24"/>
          <w:szCs w:val="24"/>
        </w:rPr>
      </w:pPr>
      <w:bookmarkStart w:id="28" w:name="_heading=h.qsh70q" w:colFirst="0" w:colLast="0"/>
      <w:bookmarkEnd w:id="28"/>
      <w:r>
        <w:rPr>
          <w:sz w:val="24"/>
          <w:szCs w:val="24"/>
        </w:rPr>
        <w:t>If Supplier service consistently falls below the availability above the Buyer may terminate the contract without further cause.</w:t>
      </w:r>
    </w:p>
    <w:p w:rsidR="004168A5" w:rsidRDefault="001C59B0">
      <w:pPr>
        <w:pStyle w:val="Heading1"/>
        <w:keepLines w:val="0"/>
        <w:numPr>
          <w:ilvl w:val="0"/>
          <w:numId w:val="21"/>
        </w:numPr>
        <w:spacing w:after="120" w:line="240" w:lineRule="auto"/>
        <w:jc w:val="both"/>
      </w:pPr>
      <w:r>
        <w:t>Security and CONFIDENTIALITY requirements</w:t>
      </w:r>
    </w:p>
    <w:p w:rsidR="004168A5" w:rsidRDefault="001C59B0">
      <w:pPr>
        <w:pStyle w:val="Heading2"/>
        <w:keepNext w:val="0"/>
        <w:keepLines w:val="0"/>
        <w:numPr>
          <w:ilvl w:val="1"/>
          <w:numId w:val="21"/>
        </w:numPr>
        <w:spacing w:after="240" w:line="240" w:lineRule="auto"/>
        <w:jc w:val="both"/>
        <w:rPr>
          <w:sz w:val="24"/>
          <w:szCs w:val="24"/>
        </w:rPr>
      </w:pPr>
      <w:r>
        <w:rPr>
          <w:sz w:val="24"/>
          <w:szCs w:val="24"/>
        </w:rPr>
        <w:t>Any Supplier Staff who have access to Buyer Personal Data act in compliance with Supplier's security processes.</w:t>
      </w:r>
    </w:p>
    <w:p w:rsidR="004168A5" w:rsidRDefault="001C59B0">
      <w:pPr>
        <w:pStyle w:val="Heading2"/>
        <w:keepNext w:val="0"/>
        <w:keepLines w:val="0"/>
        <w:numPr>
          <w:ilvl w:val="1"/>
          <w:numId w:val="21"/>
        </w:numPr>
        <w:spacing w:after="240" w:line="240" w:lineRule="auto"/>
        <w:jc w:val="both"/>
        <w:rPr>
          <w:sz w:val="24"/>
          <w:szCs w:val="24"/>
        </w:rPr>
      </w:pPr>
      <w:r>
        <w:rPr>
          <w:sz w:val="24"/>
          <w:szCs w:val="24"/>
        </w:rPr>
        <w:t>The Supplier will ensure that any Supplier system which holds any protectively marked Buyer Data or other government data will comply with:</w:t>
      </w:r>
    </w:p>
    <w:p w:rsidR="004168A5" w:rsidRDefault="001C59B0">
      <w:pPr>
        <w:pStyle w:val="Heading3"/>
        <w:keepNext w:val="0"/>
        <w:keepLines w:val="0"/>
        <w:numPr>
          <w:ilvl w:val="2"/>
          <w:numId w:val="21"/>
        </w:numPr>
        <w:spacing w:after="240" w:line="240" w:lineRule="auto"/>
        <w:jc w:val="both"/>
        <w:rPr>
          <w:sz w:val="24"/>
          <w:szCs w:val="24"/>
        </w:rPr>
      </w:pPr>
      <w:r>
        <w:rPr>
          <w:sz w:val="24"/>
          <w:szCs w:val="24"/>
        </w:rPr>
        <w:t xml:space="preserve">the principles in the Security Policy Framework: </w:t>
      </w:r>
      <w:r>
        <w:rPr>
          <w:sz w:val="24"/>
          <w:szCs w:val="24"/>
        </w:rPr>
        <w:br/>
        <w:t>https://www.gov.uk/government/publications/security-policy-framework</w:t>
      </w:r>
    </w:p>
    <w:p w:rsidR="004168A5" w:rsidRDefault="001C59B0">
      <w:pPr>
        <w:pStyle w:val="Heading3"/>
        <w:keepNext w:val="0"/>
        <w:keepLines w:val="0"/>
        <w:numPr>
          <w:ilvl w:val="2"/>
          <w:numId w:val="21"/>
        </w:numPr>
        <w:spacing w:after="240" w:line="240" w:lineRule="auto"/>
        <w:jc w:val="both"/>
        <w:rPr>
          <w:sz w:val="24"/>
          <w:szCs w:val="24"/>
        </w:rPr>
      </w:pPr>
      <w:r>
        <w:rPr>
          <w:sz w:val="24"/>
          <w:szCs w:val="24"/>
        </w:rPr>
        <w:lastRenderedPageBreak/>
        <w:t xml:space="preserve">the Government Security Classification policy: </w:t>
      </w:r>
      <w:r>
        <w:rPr>
          <w:sz w:val="24"/>
          <w:szCs w:val="24"/>
        </w:rPr>
        <w:br/>
        <w:t>https:/</w:t>
      </w:r>
      <w:hyperlink r:id="rId25">
        <w:r>
          <w:rPr>
            <w:color w:val="1155CC"/>
            <w:sz w:val="24"/>
            <w:szCs w:val="24"/>
            <w:u w:val="single"/>
          </w:rPr>
          <w:t>www.gov.uk/government/publications/government-security-classifications</w:t>
        </w:r>
      </w:hyperlink>
    </w:p>
    <w:p w:rsidR="004168A5" w:rsidRDefault="001C59B0">
      <w:pPr>
        <w:pStyle w:val="Heading3"/>
        <w:keepNext w:val="0"/>
        <w:keepLines w:val="0"/>
        <w:numPr>
          <w:ilvl w:val="2"/>
          <w:numId w:val="21"/>
        </w:numPr>
        <w:spacing w:after="240" w:line="240" w:lineRule="auto"/>
        <w:jc w:val="both"/>
        <w:rPr>
          <w:sz w:val="24"/>
          <w:szCs w:val="24"/>
        </w:rPr>
      </w:pPr>
      <w:r>
        <w:rPr>
          <w:sz w:val="24"/>
          <w:szCs w:val="24"/>
        </w:rPr>
        <w:t xml:space="preserve">guidance issued by the Centre for Protection of National Infrastructure on Risk Management: </w:t>
      </w:r>
      <w:r>
        <w:rPr>
          <w:sz w:val="24"/>
          <w:szCs w:val="24"/>
        </w:rPr>
        <w:br/>
        <w:t>https://www.cpni.gov.uk/content/adopt-risk-management-approach</w:t>
      </w:r>
    </w:p>
    <w:p w:rsidR="004168A5" w:rsidRDefault="001C59B0">
      <w:pPr>
        <w:pStyle w:val="Heading3"/>
        <w:keepNext w:val="0"/>
        <w:keepLines w:val="0"/>
        <w:numPr>
          <w:ilvl w:val="2"/>
          <w:numId w:val="21"/>
        </w:numPr>
        <w:spacing w:after="240" w:line="240" w:lineRule="auto"/>
        <w:jc w:val="both"/>
        <w:rPr>
          <w:sz w:val="24"/>
          <w:szCs w:val="24"/>
        </w:rPr>
      </w:pPr>
      <w:r>
        <w:rPr>
          <w:sz w:val="24"/>
          <w:szCs w:val="24"/>
        </w:rPr>
        <w:t xml:space="preserve">Protection of Sensitive Information and Assets: </w:t>
      </w:r>
      <w:r>
        <w:rPr>
          <w:sz w:val="24"/>
          <w:szCs w:val="24"/>
        </w:rPr>
        <w:br/>
      </w:r>
      <w:hyperlink r:id="rId26">
        <w:r>
          <w:rPr>
            <w:color w:val="1155CC"/>
            <w:sz w:val="24"/>
            <w:szCs w:val="24"/>
            <w:u w:val="single"/>
          </w:rPr>
          <w:t>https://www.cpni.gov.uk/protection-sensitive-information-and-assets</w:t>
        </w:r>
      </w:hyperlink>
    </w:p>
    <w:p w:rsidR="004168A5" w:rsidRDefault="001C59B0">
      <w:pPr>
        <w:pStyle w:val="Heading3"/>
        <w:keepNext w:val="0"/>
        <w:keepLines w:val="0"/>
        <w:numPr>
          <w:ilvl w:val="2"/>
          <w:numId w:val="21"/>
        </w:numPr>
        <w:spacing w:after="240" w:line="240" w:lineRule="auto"/>
        <w:jc w:val="both"/>
        <w:rPr>
          <w:sz w:val="24"/>
          <w:szCs w:val="24"/>
        </w:rPr>
      </w:pPr>
      <w:r>
        <w:rPr>
          <w:sz w:val="24"/>
          <w:szCs w:val="24"/>
        </w:rPr>
        <w:t xml:space="preserve">the National Cyber Security Centre’s (NCSC) information risk management guidance: </w:t>
      </w:r>
      <w:r>
        <w:rPr>
          <w:sz w:val="24"/>
          <w:szCs w:val="24"/>
        </w:rPr>
        <w:br/>
      </w:r>
      <w:hyperlink r:id="rId27">
        <w:r>
          <w:rPr>
            <w:color w:val="1155CC"/>
            <w:sz w:val="24"/>
            <w:szCs w:val="24"/>
            <w:u w:val="single"/>
          </w:rPr>
          <w:t>https://www.ncsc.gov.uk/collection/risk-management-collection</w:t>
        </w:r>
      </w:hyperlink>
    </w:p>
    <w:p w:rsidR="004168A5" w:rsidRDefault="001C59B0">
      <w:pPr>
        <w:pStyle w:val="Heading3"/>
        <w:keepNext w:val="0"/>
        <w:keepLines w:val="0"/>
        <w:numPr>
          <w:ilvl w:val="2"/>
          <w:numId w:val="21"/>
        </w:numPr>
        <w:spacing w:after="240" w:line="240" w:lineRule="auto"/>
        <w:jc w:val="both"/>
        <w:rPr>
          <w:sz w:val="24"/>
          <w:szCs w:val="24"/>
        </w:rPr>
      </w:pPr>
      <w:r>
        <w:rPr>
          <w:sz w:val="24"/>
          <w:szCs w:val="24"/>
        </w:rPr>
        <w:t xml:space="preserve">government best practice in the design and implementation of system components, including network principles, security design principles for digital services and the secure email blueprint: </w:t>
      </w:r>
      <w:hyperlink r:id="rId28">
        <w:r>
          <w:rPr>
            <w:color w:val="1155CC"/>
            <w:sz w:val="24"/>
            <w:szCs w:val="24"/>
            <w:u w:val="single"/>
          </w:rPr>
          <w:t>https://www.gov.uk/government/publications/technology-code-of-practice/technology-code-of-practice</w:t>
        </w:r>
      </w:hyperlink>
    </w:p>
    <w:p w:rsidR="004168A5" w:rsidRDefault="001C59B0">
      <w:pPr>
        <w:pStyle w:val="Heading3"/>
        <w:keepNext w:val="0"/>
        <w:keepLines w:val="0"/>
        <w:numPr>
          <w:ilvl w:val="2"/>
          <w:numId w:val="21"/>
        </w:numPr>
        <w:spacing w:after="240" w:line="240" w:lineRule="auto"/>
        <w:jc w:val="both"/>
        <w:rPr>
          <w:sz w:val="24"/>
          <w:szCs w:val="24"/>
        </w:rPr>
      </w:pPr>
      <w:r>
        <w:rPr>
          <w:sz w:val="24"/>
          <w:szCs w:val="24"/>
        </w:rPr>
        <w:t>the security requirements of cloud services using the NCSC Cloud Security Principles and accompanying guidance:</w:t>
      </w:r>
      <w:r>
        <w:rPr>
          <w:sz w:val="24"/>
          <w:szCs w:val="24"/>
        </w:rPr>
        <w:br/>
      </w:r>
      <w:hyperlink r:id="rId29">
        <w:r>
          <w:rPr>
            <w:color w:val="1155CC"/>
            <w:sz w:val="24"/>
            <w:szCs w:val="24"/>
            <w:u w:val="single"/>
          </w:rPr>
          <w:t>https://www.ncsc.gov.uk/guidance/implementing-cloud-security-principles</w:t>
        </w:r>
      </w:hyperlink>
    </w:p>
    <w:p w:rsidR="004168A5" w:rsidRDefault="001C59B0">
      <w:pPr>
        <w:pStyle w:val="Heading3"/>
        <w:keepNext w:val="0"/>
        <w:keepLines w:val="0"/>
        <w:numPr>
          <w:ilvl w:val="2"/>
          <w:numId w:val="21"/>
        </w:numPr>
        <w:spacing w:after="240" w:line="240" w:lineRule="auto"/>
        <w:jc w:val="both"/>
        <w:rPr>
          <w:sz w:val="24"/>
          <w:szCs w:val="24"/>
        </w:rPr>
      </w:pPr>
      <w:r>
        <w:rPr>
          <w:sz w:val="24"/>
          <w:szCs w:val="24"/>
        </w:rPr>
        <w:t>buyer requirements in respect of AI ethical standards.</w:t>
      </w:r>
    </w:p>
    <w:p w:rsidR="004168A5" w:rsidRDefault="001C59B0">
      <w:pPr>
        <w:pStyle w:val="Heading1"/>
        <w:keepLines w:val="0"/>
        <w:numPr>
          <w:ilvl w:val="0"/>
          <w:numId w:val="21"/>
        </w:numPr>
        <w:spacing w:after="120" w:line="240" w:lineRule="auto"/>
        <w:ind w:left="1429" w:hanging="709"/>
        <w:jc w:val="both"/>
      </w:pPr>
      <w:bookmarkStart w:id="29" w:name="_heading=h.3as4poj" w:colFirst="0" w:colLast="0"/>
      <w:bookmarkEnd w:id="29"/>
      <w:r>
        <w:t xml:space="preserve">Payment </w:t>
      </w:r>
      <w:proofErr w:type="gramStart"/>
      <w:r>
        <w:t>And</w:t>
      </w:r>
      <w:proofErr w:type="gramEnd"/>
      <w:r>
        <w:t xml:space="preserve"> Invoicing  </w:t>
      </w:r>
    </w:p>
    <w:p w:rsidR="004168A5" w:rsidRDefault="001C59B0">
      <w:pPr>
        <w:pStyle w:val="Heading2"/>
        <w:keepNext w:val="0"/>
        <w:keepLines w:val="0"/>
        <w:numPr>
          <w:ilvl w:val="1"/>
          <w:numId w:val="21"/>
        </w:numPr>
        <w:spacing w:after="240" w:line="240" w:lineRule="auto"/>
        <w:jc w:val="both"/>
        <w:rPr>
          <w:sz w:val="24"/>
          <w:szCs w:val="24"/>
        </w:rPr>
      </w:pPr>
      <w:bookmarkStart w:id="30" w:name="_heading=h.1pxezwc" w:colFirst="0" w:colLast="0"/>
      <w:bookmarkEnd w:id="30"/>
      <w:r>
        <w:rPr>
          <w:sz w:val="24"/>
          <w:szCs w:val="24"/>
        </w:rPr>
        <w:t>The Supplier will issue an electronic invoice on signing of contract. The Buyer will pay the Supplier within 30 days of receipt of a valid invoice.</w:t>
      </w:r>
    </w:p>
    <w:p w:rsidR="004168A5" w:rsidRDefault="001C59B0">
      <w:pPr>
        <w:pStyle w:val="Heading2"/>
        <w:keepNext w:val="0"/>
        <w:keepLines w:val="0"/>
        <w:numPr>
          <w:ilvl w:val="1"/>
          <w:numId w:val="21"/>
        </w:numPr>
        <w:spacing w:after="240" w:line="240" w:lineRule="auto"/>
        <w:jc w:val="both"/>
        <w:rPr>
          <w:sz w:val="24"/>
          <w:szCs w:val="24"/>
        </w:rPr>
      </w:pPr>
      <w:r>
        <w:rPr>
          <w:sz w:val="24"/>
          <w:szCs w:val="24"/>
          <w:highlight w:val="white"/>
        </w:rPr>
        <w:t xml:space="preserve">Payment can only be made following satisfactory delivery of pre-agreed certified products and deliverables. </w:t>
      </w:r>
    </w:p>
    <w:p w:rsidR="004168A5" w:rsidRDefault="001C59B0">
      <w:pPr>
        <w:pStyle w:val="Heading2"/>
        <w:keepNext w:val="0"/>
        <w:keepLines w:val="0"/>
        <w:numPr>
          <w:ilvl w:val="1"/>
          <w:numId w:val="21"/>
        </w:numPr>
        <w:spacing w:after="240" w:line="240" w:lineRule="auto"/>
        <w:jc w:val="both"/>
        <w:rPr>
          <w:sz w:val="24"/>
          <w:szCs w:val="24"/>
        </w:rPr>
      </w:pPr>
      <w:r>
        <w:rPr>
          <w:sz w:val="24"/>
          <w:szCs w:val="24"/>
          <w:highlight w:val="white"/>
        </w:rPr>
        <w:t xml:space="preserve">Before payment can be considered, each invoice must include a detailed elemental breakdown of work completed and the associated costs. </w:t>
      </w:r>
    </w:p>
    <w:p w:rsidR="004168A5" w:rsidRDefault="001C59B0" w:rsidP="00144B5E">
      <w:pPr>
        <w:pStyle w:val="Heading2"/>
        <w:keepNext w:val="0"/>
        <w:keepLines w:val="0"/>
        <w:numPr>
          <w:ilvl w:val="1"/>
          <w:numId w:val="21"/>
        </w:numPr>
        <w:spacing w:after="240" w:line="240" w:lineRule="auto"/>
        <w:ind w:left="1429"/>
        <w:jc w:val="both"/>
        <w:rPr>
          <w:sz w:val="24"/>
          <w:szCs w:val="24"/>
          <w:highlight w:val="white"/>
        </w:rPr>
      </w:pPr>
      <w:r>
        <w:rPr>
          <w:sz w:val="24"/>
          <w:szCs w:val="24"/>
          <w:highlight w:val="white"/>
        </w:rPr>
        <w:t>Invoices should be submitted to:</w:t>
      </w:r>
      <w:r>
        <w:rPr>
          <w:sz w:val="24"/>
          <w:szCs w:val="24"/>
          <w:highlight w:val="white"/>
        </w:rPr>
        <w:br/>
      </w:r>
      <w:r w:rsidR="00144B5E" w:rsidRPr="00D11987">
        <w:rPr>
          <w:color w:val="FF0000"/>
        </w:rPr>
        <w:t>REDACTED TEXT under FOIA Section 40, Personal Information</w:t>
      </w:r>
      <w:r>
        <w:rPr>
          <w:sz w:val="24"/>
          <w:szCs w:val="24"/>
          <w:highlight w:val="white"/>
        </w:rPr>
        <w:t>.</w:t>
      </w:r>
    </w:p>
    <w:p w:rsidR="004168A5" w:rsidRDefault="001C59B0">
      <w:pPr>
        <w:pStyle w:val="Heading1"/>
        <w:keepLines w:val="0"/>
        <w:numPr>
          <w:ilvl w:val="0"/>
          <w:numId w:val="21"/>
        </w:numPr>
        <w:spacing w:after="120" w:line="240" w:lineRule="auto"/>
        <w:ind w:left="1429" w:hanging="709"/>
        <w:jc w:val="both"/>
      </w:pPr>
      <w:r>
        <w:t xml:space="preserve">CONTRACT MANAGEMENT </w:t>
      </w:r>
    </w:p>
    <w:p w:rsidR="004168A5" w:rsidRDefault="001C59B0">
      <w:pPr>
        <w:pStyle w:val="Heading2"/>
        <w:keepNext w:val="0"/>
        <w:keepLines w:val="0"/>
        <w:numPr>
          <w:ilvl w:val="1"/>
          <w:numId w:val="21"/>
        </w:numPr>
        <w:spacing w:after="240" w:line="240" w:lineRule="auto"/>
        <w:jc w:val="both"/>
        <w:rPr>
          <w:sz w:val="24"/>
          <w:szCs w:val="24"/>
        </w:rPr>
      </w:pPr>
      <w:bookmarkStart w:id="31" w:name="_heading=h.49x2ik5" w:colFirst="0" w:colLast="0"/>
      <w:bookmarkEnd w:id="31"/>
      <w:r>
        <w:rPr>
          <w:sz w:val="24"/>
          <w:szCs w:val="24"/>
        </w:rPr>
        <w:t>Contract review meetings should occur quarterly via video call.</w:t>
      </w:r>
    </w:p>
    <w:p w:rsidR="004168A5" w:rsidRDefault="001C59B0">
      <w:pPr>
        <w:pStyle w:val="Heading2"/>
        <w:keepNext w:val="0"/>
        <w:keepLines w:val="0"/>
        <w:numPr>
          <w:ilvl w:val="1"/>
          <w:numId w:val="21"/>
        </w:numPr>
        <w:spacing w:after="120" w:line="240" w:lineRule="auto"/>
        <w:jc w:val="both"/>
        <w:rPr>
          <w:sz w:val="24"/>
          <w:szCs w:val="24"/>
        </w:rPr>
      </w:pPr>
      <w:bookmarkStart w:id="32" w:name="_heading=h.ka0mlfriq3lj" w:colFirst="0" w:colLast="0"/>
      <w:bookmarkEnd w:id="32"/>
      <w:r>
        <w:rPr>
          <w:sz w:val="24"/>
          <w:szCs w:val="24"/>
        </w:rPr>
        <w:t>Attendance at Contract Review meetings shall be at the Supplier’s own expense.</w:t>
      </w:r>
    </w:p>
    <w:p w:rsidR="004168A5" w:rsidRDefault="001C59B0">
      <w:pPr>
        <w:pStyle w:val="Heading1"/>
        <w:keepLines w:val="0"/>
        <w:numPr>
          <w:ilvl w:val="0"/>
          <w:numId w:val="21"/>
        </w:numPr>
        <w:spacing w:after="120" w:line="240" w:lineRule="auto"/>
        <w:jc w:val="both"/>
      </w:pPr>
      <w:r>
        <w:t xml:space="preserve">Location </w:t>
      </w:r>
    </w:p>
    <w:p w:rsidR="004168A5" w:rsidRDefault="001C59B0">
      <w:pPr>
        <w:pStyle w:val="Heading2"/>
        <w:keepNext w:val="0"/>
        <w:keepLines w:val="0"/>
        <w:numPr>
          <w:ilvl w:val="1"/>
          <w:numId w:val="21"/>
        </w:numPr>
        <w:spacing w:after="120" w:line="240" w:lineRule="auto"/>
        <w:ind w:left="1429" w:hanging="709"/>
        <w:jc w:val="both"/>
        <w:rPr>
          <w:sz w:val="24"/>
          <w:szCs w:val="24"/>
        </w:rPr>
      </w:pPr>
      <w:r>
        <w:rPr>
          <w:sz w:val="24"/>
          <w:szCs w:val="24"/>
        </w:rPr>
        <w:t>N/A</w:t>
      </w:r>
    </w:p>
    <w:p w:rsidR="004168A5" w:rsidRDefault="001C59B0">
      <w:pPr>
        <w:pStyle w:val="Heading1"/>
        <w:pageBreakBefore/>
        <w:spacing w:after="81"/>
        <w:ind w:left="1113" w:firstLine="1118"/>
      </w:pPr>
      <w:bookmarkStart w:id="33" w:name="_heading=h.2p2csry" w:colFirst="0" w:colLast="0"/>
      <w:bookmarkEnd w:id="33"/>
      <w:r>
        <w:lastRenderedPageBreak/>
        <w:t xml:space="preserve">Schedule 2: Call-Off Contract charges </w:t>
      </w:r>
    </w:p>
    <w:p w:rsidR="004168A5" w:rsidRDefault="004168A5">
      <w:pPr>
        <w:spacing w:after="33"/>
        <w:ind w:right="14"/>
      </w:pPr>
    </w:p>
    <w:p w:rsidR="004168A5" w:rsidRDefault="001C59B0">
      <w:pPr>
        <w:spacing w:after="33"/>
        <w:ind w:right="14"/>
      </w:pPr>
      <w:r>
        <w:t>The core services are the domain and data discovery, and the API. These are part of the</w:t>
      </w:r>
    </w:p>
    <w:p w:rsidR="004168A5" w:rsidRDefault="001C59B0">
      <w:pPr>
        <w:spacing w:after="33"/>
        <w:ind w:right="14"/>
      </w:pPr>
      <w:proofErr w:type="spellStart"/>
      <w:r>
        <w:t>Hardenize</w:t>
      </w:r>
      <w:proofErr w:type="spellEnd"/>
      <w:r>
        <w:t xml:space="preserve"> Enterprise subscription. Additional hosts (domains in this context) are chargeable and</w:t>
      </w:r>
    </w:p>
    <w:p w:rsidR="004168A5" w:rsidRDefault="001C59B0">
      <w:pPr>
        <w:spacing w:after="33"/>
        <w:ind w:right="14"/>
      </w:pPr>
      <w:r>
        <w:t xml:space="preserve">we have allowed for 54,000 to cover </w:t>
      </w:r>
      <w:proofErr w:type="gramStart"/>
      <w:r>
        <w:t>live .</w:t>
      </w:r>
      <w:proofErr w:type="gramEnd"/>
      <w:r>
        <w:t>gov.uk domains and subdomains. The number of hosts</w:t>
      </w:r>
    </w:p>
    <w:p w:rsidR="004168A5" w:rsidRDefault="001C59B0">
      <w:pPr>
        <w:spacing w:after="33"/>
        <w:ind w:right="14"/>
      </w:pPr>
      <w:r>
        <w:t xml:space="preserve">depends on the size of the name space and </w:t>
      </w:r>
      <w:proofErr w:type="spellStart"/>
      <w:r>
        <w:t>Hardenize’s</w:t>
      </w:r>
      <w:proofErr w:type="spellEnd"/>
      <w:r>
        <w:t xml:space="preserve"> discovery capability, but:</w:t>
      </w:r>
      <w:r>
        <w:br/>
      </w:r>
    </w:p>
    <w:p w:rsidR="004168A5" w:rsidRDefault="001C59B0">
      <w:pPr>
        <w:numPr>
          <w:ilvl w:val="0"/>
          <w:numId w:val="27"/>
        </w:numPr>
        <w:spacing w:after="0"/>
        <w:ind w:right="14"/>
      </w:pPr>
      <w:r>
        <w:t>the Buyer expects the number of hosts to be higher than included in the quote (below)</w:t>
      </w:r>
    </w:p>
    <w:p w:rsidR="004168A5" w:rsidRDefault="001C59B0">
      <w:pPr>
        <w:numPr>
          <w:ilvl w:val="0"/>
          <w:numId w:val="27"/>
        </w:numPr>
        <w:spacing w:after="33"/>
        <w:ind w:right="14"/>
      </w:pPr>
      <w:r>
        <w:t>the Supplier should expect to accommodate additional hosts (up to 25% of the total) under the stated cost for the period.</w:t>
      </w:r>
    </w:p>
    <w:p w:rsidR="004168A5" w:rsidRDefault="004168A5">
      <w:pPr>
        <w:spacing w:after="33"/>
        <w:ind w:right="14"/>
      </w:pPr>
    </w:p>
    <w:p w:rsidR="004168A5" w:rsidRDefault="001C59B0">
      <w:pPr>
        <w:spacing w:after="33"/>
        <w:ind w:right="14"/>
      </w:pPr>
      <w:r>
        <w:t xml:space="preserve">For each individual Service, the applicable Call-Off Contract Charges (in accordance with the </w:t>
      </w:r>
    </w:p>
    <w:p w:rsidR="004168A5" w:rsidRDefault="001C59B0">
      <w:pPr>
        <w:spacing w:after="548"/>
        <w:ind w:right="14"/>
      </w:pPr>
      <w:r>
        <w:t>Supplier’s Platform pricing document) can’t be amended during the term of the Call-Off Contract. The detailed Charges breakdown for the provision of Services during the Term will include:</w:t>
      </w:r>
    </w:p>
    <w:p w:rsidR="00144B5E" w:rsidRPr="00135BD3" w:rsidRDefault="00144B5E" w:rsidP="00144B5E">
      <w:pPr>
        <w:spacing w:after="250" w:line="259" w:lineRule="auto"/>
        <w:ind w:right="3672"/>
        <w:rPr>
          <w:color w:val="FF0000"/>
        </w:rPr>
      </w:pPr>
      <w:r w:rsidRPr="00135BD3">
        <w:rPr>
          <w:color w:val="FF0000"/>
        </w:rPr>
        <w:t xml:space="preserve">REDACTED TEXT under FOIA Section 43 Commercial Interests. </w:t>
      </w:r>
      <w:r w:rsidRPr="00135BD3" w:rsidDel="008A4058">
        <w:rPr>
          <w:color w:val="FF0000"/>
        </w:rPr>
        <w:t xml:space="preserve"> </w:t>
      </w:r>
      <w:r w:rsidRPr="00135BD3">
        <w:rPr>
          <w:color w:val="FF0000"/>
        </w:rPr>
        <w:tab/>
        <w:t xml:space="preserve"> </w:t>
      </w:r>
    </w:p>
    <w:p w:rsidR="00144B5E" w:rsidRDefault="00144B5E">
      <w:pPr>
        <w:spacing w:after="548"/>
        <w:ind w:right="14"/>
      </w:pPr>
    </w:p>
    <w:p w:rsidR="004168A5" w:rsidRDefault="001C59B0">
      <w:pPr>
        <w:spacing w:after="548"/>
        <w:ind w:right="14"/>
      </w:pPr>
      <w:r>
        <w:t xml:space="preserve"> </w:t>
      </w:r>
    </w:p>
    <w:p w:rsidR="004168A5" w:rsidRDefault="001C59B0">
      <w:pPr>
        <w:pStyle w:val="Heading2"/>
        <w:pageBreakBefore/>
        <w:ind w:left="1113" w:firstLine="1118"/>
      </w:pPr>
      <w:r>
        <w:lastRenderedPageBreak/>
        <w:t>Schedule 6: Glossary and interpretations</w:t>
      </w:r>
      <w:r>
        <w:rPr>
          <w:vertAlign w:val="subscript"/>
        </w:rPr>
        <w:t xml:space="preserve"> </w:t>
      </w:r>
    </w:p>
    <w:p w:rsidR="004168A5" w:rsidRDefault="001C59B0">
      <w:pPr>
        <w:spacing w:after="0"/>
        <w:ind w:right="14"/>
      </w:pPr>
      <w:r>
        <w:t xml:space="preserve">In this Call-Off Contract the following expressions mean: </w:t>
      </w:r>
    </w:p>
    <w:tbl>
      <w:tblPr>
        <w:tblStyle w:val="ac"/>
        <w:tblW w:w="8901" w:type="dxa"/>
        <w:tblInd w:w="1039" w:type="dxa"/>
        <w:tblLayout w:type="fixed"/>
        <w:tblLook w:val="0400" w:firstRow="0" w:lastRow="0" w:firstColumn="0" w:lastColumn="0" w:noHBand="0" w:noVBand="1"/>
      </w:tblPr>
      <w:tblGrid>
        <w:gridCol w:w="2622"/>
        <w:gridCol w:w="6279"/>
      </w:tblGrid>
      <w:tr w:rsidR="004168A5">
        <w:trPr>
          <w:trHeight w:val="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0" w:firstLine="0"/>
              <w:rPr>
                <w:b/>
              </w:rPr>
            </w:pPr>
            <w:r>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2" w:firstLine="0"/>
              <w:rPr>
                <w:b/>
              </w:rPr>
            </w:pPr>
            <w:r>
              <w:rPr>
                <w:b/>
              </w:rPr>
              <w:t xml:space="preserve">Meaning </w:t>
            </w:r>
          </w:p>
        </w:tc>
      </w:tr>
      <w:tr w:rsidR="004168A5">
        <w:trPr>
          <w:trHeight w:val="9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0" w:firstLine="0"/>
            </w:pPr>
            <w:r>
              <w:rPr>
                <w:b/>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2" w:firstLine="0"/>
            </w:pPr>
            <w:r>
              <w:t xml:space="preserve">Any services ancillary to the G-Cloud Services that are in the scope of Framework Agreement Clause 2 (Services) which a Buyer may request. </w:t>
            </w:r>
          </w:p>
        </w:tc>
      </w:tr>
      <w:tr w:rsidR="004168A5">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0" w:firstLine="0"/>
            </w:pPr>
            <w:r>
              <w:rPr>
                <w:b/>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2" w:firstLine="0"/>
            </w:pPr>
            <w:r>
              <w:t xml:space="preserve">The agreement to be entered into to enable the Supplier to participate in the relevant Civil Service pension scheme(s). </w:t>
            </w:r>
          </w:p>
        </w:tc>
      </w:tr>
      <w:tr w:rsidR="004168A5">
        <w:trPr>
          <w:trHeight w:val="6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0" w:firstLine="0"/>
            </w:pPr>
            <w:r>
              <w:rPr>
                <w:b/>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2" w:firstLine="0"/>
            </w:pPr>
            <w:r>
              <w:t xml:space="preserve">The response submitted by the Supplier to the Invitation to Tender (known as the Invitation to Apply on the Platform). </w:t>
            </w:r>
          </w:p>
        </w:tc>
      </w:tr>
      <w:tr w:rsidR="004168A5">
        <w:trPr>
          <w:trHeight w:val="6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0" w:firstLine="0"/>
            </w:pPr>
            <w:r>
              <w:rPr>
                <w:b/>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2" w:firstLine="0"/>
            </w:pPr>
            <w:r>
              <w:t xml:space="preserve">An audit carried out under the incorporated Framework Agreement clauses. </w:t>
            </w:r>
          </w:p>
        </w:tc>
      </w:tr>
      <w:tr w:rsidR="004168A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0" w:firstLine="0"/>
            </w:pPr>
            <w:r>
              <w:rPr>
                <w:b/>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38" w:line="256" w:lineRule="auto"/>
              <w:ind w:left="2" w:firstLine="0"/>
            </w:pPr>
            <w:r>
              <w:t xml:space="preserve">For each Party, IPRs: </w:t>
            </w:r>
          </w:p>
          <w:p w:rsidR="004168A5" w:rsidRDefault="001C59B0">
            <w:pPr>
              <w:numPr>
                <w:ilvl w:val="0"/>
                <w:numId w:val="24"/>
              </w:numPr>
              <w:spacing w:after="8" w:line="256" w:lineRule="auto"/>
              <w:ind w:right="31" w:hanging="360"/>
            </w:pPr>
            <w:r>
              <w:t xml:space="preserve">owned by that Party before the date of this Call-Off Contract </w:t>
            </w:r>
          </w:p>
          <w:p w:rsidR="004168A5" w:rsidRDefault="001C59B0">
            <w:pPr>
              <w:spacing w:after="0" w:line="278" w:lineRule="auto"/>
              <w:ind w:left="722" w:right="27" w:firstLine="0"/>
            </w:pPr>
            <w:r>
              <w:t xml:space="preserve">(as may be enhanced and/or modified but not as a consequence of the Services) including IPRs contained in any of the Party's Know-How, documentation and processes </w:t>
            </w:r>
          </w:p>
          <w:p w:rsidR="004168A5" w:rsidRDefault="001C59B0">
            <w:pPr>
              <w:numPr>
                <w:ilvl w:val="0"/>
                <w:numId w:val="24"/>
              </w:numPr>
              <w:spacing w:after="215" w:line="280" w:lineRule="auto"/>
              <w:ind w:right="31" w:hanging="360"/>
            </w:pPr>
            <w:r>
              <w:t xml:space="preserve">created by the Party independently of this Call-Off Contract, or </w:t>
            </w:r>
          </w:p>
          <w:p w:rsidR="004168A5" w:rsidRDefault="001C59B0">
            <w:pPr>
              <w:spacing w:after="0" w:line="256"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4168A5">
        <w:trPr>
          <w:trHeight w:val="6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0" w:firstLine="0"/>
            </w:pPr>
            <w:r>
              <w:rPr>
                <w:b/>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2" w:firstLine="0"/>
            </w:pPr>
            <w:r>
              <w:t xml:space="preserve">The contracting authority ordering services as set out in the Order Form. </w:t>
            </w:r>
          </w:p>
        </w:tc>
      </w:tr>
      <w:tr w:rsidR="004168A5">
        <w:trPr>
          <w:trHeight w:val="84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0" w:firstLine="0"/>
            </w:pPr>
            <w:r>
              <w:rPr>
                <w:b/>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2" w:firstLine="0"/>
            </w:pPr>
            <w:r>
              <w:t xml:space="preserve">All data supplied by the Buyer to the Supplier including Personal Data and Service Data that is owned and managed by the Buyer. </w:t>
            </w:r>
          </w:p>
        </w:tc>
      </w:tr>
      <w:tr w:rsidR="004168A5">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0" w:firstLine="0"/>
            </w:pPr>
            <w:r>
              <w:rPr>
                <w:b/>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2" w:firstLine="0"/>
            </w:pPr>
            <w:r>
              <w:t xml:space="preserve">The Personal Data supplied by the Buyer to the Supplier for purposes of, or in connection with, this Call-Off Contract. </w:t>
            </w:r>
          </w:p>
        </w:tc>
      </w:tr>
      <w:tr w:rsidR="004168A5">
        <w:trPr>
          <w:trHeight w:val="6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0" w:firstLine="0"/>
            </w:pPr>
            <w:r>
              <w:rPr>
                <w:b/>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4168A5" w:rsidRDefault="001C59B0">
            <w:pPr>
              <w:spacing w:after="0" w:line="256" w:lineRule="auto"/>
              <w:ind w:left="2" w:firstLine="0"/>
            </w:pPr>
            <w:r>
              <w:t xml:space="preserve">The representative appointed by the Buyer under this Call-Off Contract. </w:t>
            </w:r>
          </w:p>
        </w:tc>
      </w:tr>
    </w:tbl>
    <w:p w:rsidR="004168A5" w:rsidRDefault="001C59B0">
      <w:pPr>
        <w:spacing w:after="0" w:line="256" w:lineRule="auto"/>
        <w:ind w:left="0" w:firstLine="0"/>
        <w:jc w:val="both"/>
      </w:pPr>
      <w:r>
        <w:t xml:space="preserve"> </w:t>
      </w:r>
    </w:p>
    <w:tbl>
      <w:tblPr>
        <w:tblStyle w:val="ad"/>
        <w:tblW w:w="8901" w:type="dxa"/>
        <w:tblInd w:w="1039" w:type="dxa"/>
        <w:tblLayout w:type="fixed"/>
        <w:tblLook w:val="0400" w:firstRow="0" w:lastRow="0" w:firstColumn="0" w:lastColumn="0" w:noHBand="0" w:noVBand="1"/>
      </w:tblPr>
      <w:tblGrid>
        <w:gridCol w:w="2622"/>
        <w:gridCol w:w="6279"/>
      </w:tblGrid>
      <w:tr w:rsidR="004168A5">
        <w:trPr>
          <w:trHeight w:val="111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0" w:firstLine="0"/>
            </w:pPr>
            <w:r>
              <w:rPr>
                <w:b/>
              </w:rPr>
              <w:lastRenderedPageBreak/>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2" w:firstLine="0"/>
            </w:pPr>
            <w:r>
              <w:t xml:space="preserve">Software owned by or licensed to the Buyer (other than under this Agreement), which is or will be used by the Supplier to provide the Services. </w:t>
            </w:r>
          </w:p>
        </w:tc>
      </w:tr>
      <w:tr w:rsidR="004168A5">
        <w:trPr>
          <w:trHeight w:val="20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0" w:firstLine="0"/>
            </w:pPr>
            <w:r>
              <w:rPr>
                <w:b/>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1" w:line="256" w:lineRule="auto"/>
              <w:ind w:left="2" w:firstLine="0"/>
            </w:pPr>
            <w:r>
              <w:t xml:space="preserve">This call-off contract entered into following the provisions of the </w:t>
            </w:r>
          </w:p>
          <w:p w:rsidR="004168A5" w:rsidRDefault="001C59B0">
            <w:pPr>
              <w:spacing w:after="0" w:line="256" w:lineRule="auto"/>
              <w:ind w:left="2" w:firstLine="0"/>
            </w:pPr>
            <w:r>
              <w:t xml:space="preserve">Framework Agreement for the provision of Services made between the Buyer and the Supplier comprising the Order Form, the Call-Off terms and conditions, the Call-Off schedules and the Collaboration Agreement. </w:t>
            </w:r>
          </w:p>
        </w:tc>
      </w:tr>
      <w:tr w:rsidR="004168A5">
        <w:trPr>
          <w:trHeight w:val="9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0" w:firstLine="0"/>
            </w:pPr>
            <w:r>
              <w:rPr>
                <w:b/>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2" w:firstLine="0"/>
            </w:pPr>
            <w:r>
              <w:t xml:space="preserve">The prices (excluding any applicable VAT), payable to the Supplier by the Buyer under this Call-Off Contract. </w:t>
            </w:r>
          </w:p>
        </w:tc>
      </w:tr>
      <w:tr w:rsidR="004168A5">
        <w:trPr>
          <w:trHeight w:val="18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0" w:firstLine="0"/>
            </w:pPr>
            <w:r>
              <w:rPr>
                <w:b/>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4168A5">
        <w:trPr>
          <w:trHeight w:val="11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0" w:firstLine="0"/>
            </w:pPr>
            <w:r>
              <w:rPr>
                <w:b/>
              </w:rPr>
              <w:t>Commercially Sensitive</w:t>
            </w:r>
            <w:r>
              <w:t xml:space="preserve"> </w:t>
            </w: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2" w:right="6" w:firstLine="0"/>
            </w:pPr>
            <w:r>
              <w:t xml:space="preserve">Information, which the Buyer has been notified about by the Supplier in writing before the Start date with full details of why the Information is deemed to be commercially sensitive. </w:t>
            </w:r>
          </w:p>
        </w:tc>
      </w:tr>
      <w:tr w:rsidR="004168A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0" w:firstLine="0"/>
            </w:pPr>
            <w:r>
              <w:rPr>
                <w:b/>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302" w:lineRule="auto"/>
              <w:ind w:left="2" w:firstLine="0"/>
            </w:pPr>
            <w:r>
              <w:t xml:space="preserve">Data, Personal Data and any information, which may include (but isn’t limited to) any: </w:t>
            </w:r>
          </w:p>
          <w:p w:rsidR="004168A5" w:rsidRDefault="001C59B0">
            <w:pPr>
              <w:numPr>
                <w:ilvl w:val="0"/>
                <w:numId w:val="25"/>
              </w:numPr>
              <w:spacing w:after="0" w:line="283" w:lineRule="auto"/>
              <w:ind w:hanging="360"/>
            </w:pPr>
            <w:r>
              <w:t xml:space="preserve">information about business, affairs, developments, trade secrets, know-how, personnel, and third parties, including all Intellectual Property Rights (IPRs), together with all information derived from any of the above </w:t>
            </w:r>
          </w:p>
          <w:p w:rsidR="004168A5" w:rsidRDefault="001C59B0">
            <w:pPr>
              <w:numPr>
                <w:ilvl w:val="0"/>
                <w:numId w:val="25"/>
              </w:numPr>
              <w:spacing w:after="0" w:line="256"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 </w:t>
            </w:r>
          </w:p>
        </w:tc>
      </w:tr>
      <w:tr w:rsidR="004168A5">
        <w:trPr>
          <w:trHeight w:val="131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0" w:firstLine="0"/>
            </w:pPr>
            <w:r>
              <w:rPr>
                <w:b/>
              </w:rPr>
              <w:lastRenderedPageBreak/>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2" w:firstLine="0"/>
            </w:pPr>
            <w:r>
              <w:t xml:space="preserve">‘Control’ as defined in section 1124 and 450 of the Corporation Tax Act 2010. 'Controls' and 'Controlled' will be interpreted accordingly. </w:t>
            </w:r>
          </w:p>
        </w:tc>
      </w:tr>
      <w:tr w:rsidR="004168A5">
        <w:trPr>
          <w:trHeight w:val="5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0" w:firstLine="0"/>
            </w:pPr>
            <w:r>
              <w:rPr>
                <w:b/>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2" w:firstLine="0"/>
            </w:pPr>
            <w:r>
              <w:t xml:space="preserve">Takes the meaning given in the UK GDPR. </w:t>
            </w:r>
          </w:p>
        </w:tc>
      </w:tr>
      <w:tr w:rsidR="004168A5">
        <w:trPr>
          <w:trHeight w:val="20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0" w:firstLine="0"/>
            </w:pPr>
            <w:r>
              <w:rPr>
                <w:b/>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4168A5" w:rsidRDefault="001C59B0">
            <w:pPr>
              <w:spacing w:after="0" w:line="256" w:lineRule="auto"/>
              <w:ind w:left="2"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4168A5" w:rsidRDefault="001C59B0">
      <w:pPr>
        <w:spacing w:after="0" w:line="256" w:lineRule="auto"/>
        <w:ind w:left="0" w:firstLine="0"/>
        <w:jc w:val="both"/>
      </w:pPr>
      <w:r>
        <w:t xml:space="preserve"> </w:t>
      </w:r>
    </w:p>
    <w:tbl>
      <w:tblPr>
        <w:tblStyle w:val="ae"/>
        <w:tblW w:w="8901" w:type="dxa"/>
        <w:tblInd w:w="1039" w:type="dxa"/>
        <w:tblLayout w:type="fixed"/>
        <w:tblLook w:val="0400" w:firstRow="0" w:lastRow="0" w:firstColumn="0" w:lastColumn="0" w:noHBand="0" w:noVBand="1"/>
      </w:tblPr>
      <w:tblGrid>
        <w:gridCol w:w="2622"/>
        <w:gridCol w:w="6279"/>
      </w:tblGrid>
      <w:tr w:rsidR="004168A5">
        <w:trPr>
          <w:trHeight w:val="14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0" w:firstLine="0"/>
            </w:pPr>
            <w:r>
              <w:rPr>
                <w:b/>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2" w:right="45" w:firstLine="0"/>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4168A5">
        <w:trPr>
          <w:trHeight w:val="8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0" w:firstLine="0"/>
            </w:pPr>
            <w:r>
              <w:rPr>
                <w:b/>
              </w:rPr>
              <w:t>Data Protection Impact</w:t>
            </w:r>
            <w:r>
              <w:t xml:space="preserve"> </w:t>
            </w:r>
            <w:r>
              <w:rPr>
                <w:b/>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2" w:firstLine="0"/>
            </w:pPr>
            <w:r>
              <w:t xml:space="preserve">An assessment by the Controller of the impact of the envisaged Processing on the protection of Personal Data. </w:t>
            </w:r>
          </w:p>
        </w:tc>
      </w:tr>
      <w:tr w:rsidR="004168A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0" w:firstLine="0"/>
            </w:pPr>
            <w:r>
              <w:rPr>
                <w:b/>
              </w:rPr>
              <w:t>Data Protection</w:t>
            </w:r>
            <w:r>
              <w:t xml:space="preserve"> </w:t>
            </w:r>
            <w:r>
              <w:rPr>
                <w:b/>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2" w:line="256" w:lineRule="auto"/>
              <w:ind w:left="2" w:firstLine="0"/>
            </w:pPr>
            <w:r>
              <w:t>(</w:t>
            </w:r>
            <w:proofErr w:type="spellStart"/>
            <w:r>
              <w:t>i</w:t>
            </w:r>
            <w:proofErr w:type="spellEnd"/>
            <w:r>
              <w:t xml:space="preserve">) the UK GDPR as amended from time to time; (ii) the DPA 2018 to </w:t>
            </w:r>
          </w:p>
          <w:p w:rsidR="004168A5" w:rsidRDefault="001C59B0">
            <w:pPr>
              <w:spacing w:after="0" w:line="256" w:lineRule="auto"/>
              <w:ind w:left="722" w:firstLine="0"/>
            </w:pPr>
            <w:r>
              <w:t xml:space="preserve">the extent that it relates to Processing of Personal Data and privacy; (iii) all applicable Law about the Processing of Personal Data and privacy. </w:t>
            </w:r>
          </w:p>
        </w:tc>
      </w:tr>
      <w:tr w:rsidR="004168A5">
        <w:trPr>
          <w:trHeight w:val="6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0" w:firstLine="0"/>
            </w:pPr>
            <w:r>
              <w:rPr>
                <w:b/>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2" w:firstLine="0"/>
            </w:pPr>
            <w:r>
              <w:t xml:space="preserve">Takes the meaning given in the UK GDPR </w:t>
            </w:r>
          </w:p>
        </w:tc>
      </w:tr>
      <w:tr w:rsidR="004168A5">
        <w:trPr>
          <w:trHeight w:val="33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0" w:firstLine="0"/>
            </w:pPr>
            <w:r>
              <w:rPr>
                <w:b/>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17" w:line="256" w:lineRule="auto"/>
              <w:ind w:left="2" w:firstLine="0"/>
            </w:pPr>
            <w:r>
              <w:t xml:space="preserve">Default is any: </w:t>
            </w:r>
          </w:p>
          <w:p w:rsidR="004168A5" w:rsidRDefault="001C59B0">
            <w:pPr>
              <w:numPr>
                <w:ilvl w:val="0"/>
                <w:numId w:val="26"/>
              </w:numPr>
              <w:spacing w:after="10" w:line="285" w:lineRule="auto"/>
              <w:ind w:right="17" w:hanging="360"/>
            </w:pPr>
            <w:r>
              <w:t xml:space="preserve">breach of the obligations of the Supplier (including any fundamental breach or breach of a fundamental term) </w:t>
            </w:r>
          </w:p>
          <w:p w:rsidR="004168A5" w:rsidRDefault="001C59B0">
            <w:pPr>
              <w:numPr>
                <w:ilvl w:val="0"/>
                <w:numId w:val="26"/>
              </w:numPr>
              <w:spacing w:after="215" w:line="283" w:lineRule="auto"/>
              <w:ind w:right="17" w:hanging="360"/>
            </w:pPr>
            <w:bookmarkStart w:id="34" w:name="_heading=h.3o7alnk" w:colFirst="0" w:colLast="0"/>
            <w:bookmarkEnd w:id="34"/>
            <w:r>
              <w:t xml:space="preserve">other default, negligence or negligent statement of the Supplier, of its Subcontractors or any Supplier Staff (whether by act or omission), in connection with or in relation to this Call-Off Contract </w:t>
            </w:r>
          </w:p>
          <w:p w:rsidR="004168A5" w:rsidRDefault="001C59B0">
            <w:pPr>
              <w:spacing w:after="0" w:line="256" w:lineRule="auto"/>
              <w:ind w:left="2"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4168A5">
        <w:trPr>
          <w:trHeight w:val="3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0" w:firstLine="0"/>
            </w:pPr>
            <w:r>
              <w:rPr>
                <w:b/>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2" w:firstLine="0"/>
            </w:pPr>
            <w:r>
              <w:t xml:space="preserve">Data Protection Act 2018. </w:t>
            </w:r>
          </w:p>
        </w:tc>
      </w:tr>
      <w:tr w:rsidR="004168A5">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0" w:firstLine="0"/>
              <w:jc w:val="both"/>
            </w:pPr>
            <w:r>
              <w:rPr>
                <w:b/>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2" w:firstLine="0"/>
            </w:pPr>
            <w:r>
              <w:t xml:space="preserve">The Transfer of Undertakings (Protection of Employment) Regulations 2006 (SI 2006/246) (‘TUPE’) </w:t>
            </w:r>
            <w:r>
              <w:tab/>
              <w:t xml:space="preserve">. </w:t>
            </w:r>
          </w:p>
        </w:tc>
      </w:tr>
      <w:tr w:rsidR="004168A5">
        <w:trPr>
          <w:trHeight w:val="5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0" w:firstLine="0"/>
            </w:pPr>
            <w:r>
              <w:rPr>
                <w:b/>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2" w:firstLine="0"/>
            </w:pPr>
            <w:r>
              <w:t xml:space="preserve">Means to terminate; and Ended and Ending are construed accordingly. </w:t>
            </w:r>
          </w:p>
        </w:tc>
      </w:tr>
      <w:tr w:rsidR="004168A5">
        <w:trPr>
          <w:trHeight w:val="10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0" w:firstLine="0"/>
            </w:pPr>
            <w:r>
              <w:rPr>
                <w:b/>
              </w:rPr>
              <w:t>Environmental</w:t>
            </w:r>
            <w:r>
              <w:t xml:space="preserve"> </w:t>
            </w:r>
          </w:p>
          <w:p w:rsidR="004168A5" w:rsidRDefault="001C59B0">
            <w:pPr>
              <w:spacing w:after="0" w:line="256" w:lineRule="auto"/>
              <w:ind w:left="0" w:firstLine="0"/>
            </w:pPr>
            <w:r>
              <w:rPr>
                <w:b/>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2" w:line="256" w:lineRule="auto"/>
              <w:ind w:left="2" w:firstLine="0"/>
            </w:pPr>
            <w:r>
              <w:t xml:space="preserve">The Environmental Information Regulations 2004 together with any guidance or codes of practice issued by the Information </w:t>
            </w:r>
          </w:p>
          <w:p w:rsidR="004168A5" w:rsidRDefault="001C59B0">
            <w:pPr>
              <w:spacing w:after="0" w:line="256" w:lineRule="auto"/>
              <w:ind w:left="2" w:firstLine="0"/>
            </w:pPr>
            <w:r>
              <w:t xml:space="preserve">Commissioner or relevant government department about the regulations. </w:t>
            </w:r>
          </w:p>
        </w:tc>
      </w:tr>
      <w:tr w:rsidR="004168A5">
        <w:trPr>
          <w:trHeight w:val="9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0" w:firstLine="0"/>
            </w:pPr>
            <w:r>
              <w:rPr>
                <w:b/>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4168A5" w:rsidRDefault="001C59B0">
            <w:pPr>
              <w:spacing w:after="0" w:line="256"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rsidR="004168A5" w:rsidRDefault="001C59B0">
      <w:pPr>
        <w:spacing w:after="0" w:line="256" w:lineRule="auto"/>
        <w:ind w:left="0" w:firstLine="0"/>
        <w:jc w:val="both"/>
      </w:pPr>
      <w:r>
        <w:t xml:space="preserve"> </w:t>
      </w:r>
    </w:p>
    <w:p w:rsidR="004168A5" w:rsidRDefault="004168A5">
      <w:pPr>
        <w:spacing w:after="0" w:line="256" w:lineRule="auto"/>
        <w:ind w:left="0" w:right="830" w:firstLine="0"/>
      </w:pPr>
    </w:p>
    <w:tbl>
      <w:tblPr>
        <w:tblStyle w:val="af"/>
        <w:tblW w:w="8901" w:type="dxa"/>
        <w:tblInd w:w="1039" w:type="dxa"/>
        <w:tblLayout w:type="fixed"/>
        <w:tblLook w:val="0400" w:firstRow="0" w:lastRow="0" w:firstColumn="0" w:lastColumn="0" w:noHBand="0" w:noVBand="1"/>
      </w:tblPr>
      <w:tblGrid>
        <w:gridCol w:w="2622"/>
        <w:gridCol w:w="6279"/>
      </w:tblGrid>
      <w:tr w:rsidR="004168A5">
        <w:trPr>
          <w:trHeight w:val="8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0" w:firstLine="0"/>
            </w:pPr>
            <w:r>
              <w:rPr>
                <w:b/>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2" w:right="6" w:firstLine="0"/>
            </w:pPr>
            <w:r>
              <w:t xml:space="preserve">The </w:t>
            </w:r>
            <w:proofErr w:type="gramStart"/>
            <w:r>
              <w:t>14 digit</w:t>
            </w:r>
            <w:proofErr w:type="gramEnd"/>
            <w:r>
              <w:t xml:space="preserve"> ESI reference number from the summary of the outcome screen of the ESI tool. </w:t>
            </w:r>
          </w:p>
        </w:tc>
      </w:tr>
      <w:tr w:rsidR="004168A5">
        <w:trPr>
          <w:trHeight w:val="16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0" w:right="141" w:firstLine="0"/>
              <w:jc w:val="both"/>
            </w:pPr>
            <w:r>
              <w:rPr>
                <w:b/>
              </w:rPr>
              <w:t>Employment Status</w:t>
            </w:r>
            <w:r>
              <w:t xml:space="preserve"> </w:t>
            </w:r>
            <w:r>
              <w:rPr>
                <w:b/>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19" w:line="278" w:lineRule="auto"/>
              <w:ind w:left="2" w:firstLine="0"/>
            </w:pPr>
            <w:r>
              <w:t>The HMRC Employment Status Indicator test tool. The most up-</w:t>
            </w:r>
            <w:proofErr w:type="spellStart"/>
            <w:r>
              <w:t>todate</w:t>
            </w:r>
            <w:proofErr w:type="spellEnd"/>
            <w:r>
              <w:t xml:space="preserve"> version must be used. At the time of drafting the tool may be found here: </w:t>
            </w:r>
          </w:p>
          <w:p w:rsidR="004168A5" w:rsidRDefault="00124370">
            <w:pPr>
              <w:spacing w:after="0" w:line="256" w:lineRule="auto"/>
              <w:ind w:left="2" w:right="33" w:firstLine="0"/>
              <w:jc w:val="both"/>
            </w:pPr>
            <w:hyperlink r:id="rId30">
              <w:r w:rsidR="001C59B0">
                <w:rPr>
                  <w:color w:val="0000FF"/>
                  <w:u w:val="single"/>
                </w:rPr>
                <w:t>https://www.gov.uk/guidance/check-employment-status-fortax</w:t>
              </w:r>
            </w:hyperlink>
            <w:hyperlink r:id="rId31">
              <w:r w:rsidR="001C59B0">
                <w:t xml:space="preserve"> </w:t>
              </w:r>
            </w:hyperlink>
          </w:p>
        </w:tc>
      </w:tr>
      <w:tr w:rsidR="004168A5">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0" w:firstLine="0"/>
            </w:pPr>
            <w:r>
              <w:rPr>
                <w:b/>
              </w:rPr>
              <w:lastRenderedPageBreak/>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2" w:firstLine="0"/>
            </w:pPr>
            <w:r>
              <w:t xml:space="preserve">The expiry date of this Call-Off Contract in the Order Form. </w:t>
            </w:r>
          </w:p>
        </w:tc>
      </w:tr>
      <w:tr w:rsidR="004168A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0" w:firstLine="0"/>
            </w:pPr>
            <w:r>
              <w:rPr>
                <w:b/>
              </w:rPr>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5" w:line="271" w:lineRule="auto"/>
              <w:ind w:left="2" w:firstLine="0"/>
            </w:pPr>
            <w:r>
              <w:t xml:space="preserve">A force Majeure event means anything affecting either Party's performance of their obligations arising from any: </w:t>
            </w:r>
          </w:p>
          <w:p w:rsidR="004168A5" w:rsidRDefault="001C59B0">
            <w:pPr>
              <w:numPr>
                <w:ilvl w:val="0"/>
                <w:numId w:val="3"/>
              </w:numPr>
              <w:spacing w:after="0" w:line="283" w:lineRule="auto"/>
              <w:ind w:hanging="360"/>
            </w:pPr>
            <w:r>
              <w:t xml:space="preserve">acts, events or omissions beyond the reasonable control of the affected Party </w:t>
            </w:r>
          </w:p>
          <w:p w:rsidR="004168A5" w:rsidRDefault="001C59B0">
            <w:pPr>
              <w:numPr>
                <w:ilvl w:val="0"/>
                <w:numId w:val="3"/>
              </w:numPr>
              <w:spacing w:after="16" w:line="283" w:lineRule="auto"/>
              <w:ind w:hanging="360"/>
            </w:pPr>
            <w:r>
              <w:t xml:space="preserve">riots, war or armed conflict, acts of terrorism, nuclear, biological or chemical warfare </w:t>
            </w:r>
          </w:p>
          <w:p w:rsidR="004168A5" w:rsidRDefault="001C59B0">
            <w:pPr>
              <w:numPr>
                <w:ilvl w:val="0"/>
                <w:numId w:val="3"/>
              </w:numPr>
              <w:spacing w:after="26" w:line="266" w:lineRule="auto"/>
              <w:ind w:hanging="360"/>
            </w:pPr>
            <w:r>
              <w:t xml:space="preserve">acts of government, local government or Regulatory Bodies </w:t>
            </w:r>
          </w:p>
          <w:p w:rsidR="004168A5" w:rsidRDefault="001C59B0">
            <w:pPr>
              <w:numPr>
                <w:ilvl w:val="0"/>
                <w:numId w:val="3"/>
              </w:numPr>
              <w:spacing w:after="21" w:line="256" w:lineRule="auto"/>
              <w:ind w:hanging="360"/>
            </w:pPr>
            <w:r>
              <w:t xml:space="preserve">fire, flood or disaster and any failure or shortage of power or fuel </w:t>
            </w:r>
          </w:p>
          <w:p w:rsidR="004168A5" w:rsidRDefault="001C59B0">
            <w:pPr>
              <w:numPr>
                <w:ilvl w:val="0"/>
                <w:numId w:val="3"/>
              </w:numPr>
              <w:spacing w:after="196" w:line="316" w:lineRule="auto"/>
              <w:ind w:hanging="360"/>
            </w:pPr>
            <w:r>
              <w:t xml:space="preserve">industrial dispute affecting a third party for which a substitute third party isn’t reasonably available </w:t>
            </w:r>
          </w:p>
          <w:p w:rsidR="004168A5" w:rsidRDefault="001C59B0">
            <w:pPr>
              <w:spacing w:after="19" w:line="256" w:lineRule="auto"/>
              <w:ind w:left="2" w:firstLine="0"/>
            </w:pPr>
            <w:r>
              <w:t xml:space="preserve">The following do not constitute a Force Majeure event: </w:t>
            </w:r>
          </w:p>
          <w:p w:rsidR="004168A5" w:rsidRDefault="001C59B0">
            <w:pPr>
              <w:numPr>
                <w:ilvl w:val="0"/>
                <w:numId w:val="3"/>
              </w:numPr>
              <w:spacing w:after="0" w:line="316" w:lineRule="auto"/>
              <w:ind w:hanging="360"/>
            </w:pPr>
            <w:r>
              <w:t xml:space="preserve">any industrial dispute about the Supplier, its staff, or failure in the Supplier’s (or a Subcontractor's) supply chain </w:t>
            </w:r>
          </w:p>
          <w:p w:rsidR="004168A5" w:rsidRDefault="001C59B0">
            <w:pPr>
              <w:numPr>
                <w:ilvl w:val="0"/>
                <w:numId w:val="3"/>
              </w:numPr>
              <w:spacing w:after="11" w:line="283" w:lineRule="auto"/>
              <w:ind w:hanging="360"/>
            </w:pPr>
            <w:r>
              <w:t xml:space="preserve">any event which is attributable to the wilful act, neglect or failure to take reasonable precautions by the Party seeking to rely on Force Majeure </w:t>
            </w:r>
          </w:p>
          <w:p w:rsidR="004168A5" w:rsidRDefault="001C59B0">
            <w:pPr>
              <w:numPr>
                <w:ilvl w:val="0"/>
                <w:numId w:val="3"/>
              </w:numPr>
              <w:spacing w:after="28" w:line="256" w:lineRule="auto"/>
              <w:ind w:hanging="360"/>
            </w:pPr>
            <w:r>
              <w:t xml:space="preserve">the event was foreseeable by the Party seeking to rely on Force </w:t>
            </w:r>
          </w:p>
          <w:p w:rsidR="004168A5" w:rsidRDefault="001C59B0">
            <w:pPr>
              <w:spacing w:after="17" w:line="256" w:lineRule="auto"/>
              <w:ind w:left="0" w:right="239" w:firstLine="0"/>
              <w:jc w:val="center"/>
            </w:pPr>
            <w:r>
              <w:t xml:space="preserve">Majeure at the time this Call-Off Contract was entered into </w:t>
            </w:r>
          </w:p>
          <w:p w:rsidR="004168A5" w:rsidRDefault="001C59B0">
            <w:pPr>
              <w:numPr>
                <w:ilvl w:val="0"/>
                <w:numId w:val="3"/>
              </w:numPr>
              <w:spacing w:after="0" w:line="256" w:lineRule="auto"/>
              <w:ind w:hanging="360"/>
            </w:pPr>
            <w:r>
              <w:t xml:space="preserve">any event which is attributable to the Party seeking to rely on Force Majeure and its failure to comply with its own business continuity and disaster recovery plans </w:t>
            </w:r>
          </w:p>
        </w:tc>
      </w:tr>
      <w:tr w:rsidR="004168A5">
        <w:trPr>
          <w:trHeight w:val="14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0" w:firstLine="0"/>
            </w:pPr>
            <w:r>
              <w:rPr>
                <w:b/>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2"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4168A5">
        <w:trPr>
          <w:trHeight w:val="10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0" w:firstLine="0"/>
            </w:pPr>
            <w:r>
              <w:rPr>
                <w:b/>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2" w:firstLine="0"/>
              <w:jc w:val="both"/>
            </w:pPr>
            <w:r>
              <w:t xml:space="preserve">The clauses of framework agreement RM1557.13 together with the Framework Schedules. </w:t>
            </w:r>
          </w:p>
        </w:tc>
      </w:tr>
      <w:tr w:rsidR="004168A5">
        <w:trPr>
          <w:trHeight w:val="1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0" w:firstLine="0"/>
            </w:pPr>
            <w:r>
              <w:rPr>
                <w:b/>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4168A5" w:rsidRDefault="001C59B0">
            <w:pPr>
              <w:spacing w:after="0" w:line="256" w:lineRule="auto"/>
              <w:ind w:left="2" w:firstLine="0"/>
            </w:pPr>
            <w:r>
              <w:t xml:space="preserve">Any offence under Laws creating offences in respect of fraudulent acts (including the Misrepresentation Act 1967) or at common law in respect of fraudulent acts in relation to this Call-Off Contract or </w:t>
            </w:r>
          </w:p>
        </w:tc>
      </w:tr>
    </w:tbl>
    <w:p w:rsidR="004168A5" w:rsidRDefault="001C59B0">
      <w:pPr>
        <w:spacing w:after="0" w:line="256" w:lineRule="auto"/>
        <w:ind w:left="0" w:firstLine="0"/>
        <w:jc w:val="both"/>
      </w:pPr>
      <w:r>
        <w:t xml:space="preserve"> </w:t>
      </w:r>
    </w:p>
    <w:tbl>
      <w:tblPr>
        <w:tblStyle w:val="af0"/>
        <w:tblW w:w="8901" w:type="dxa"/>
        <w:tblInd w:w="1039" w:type="dxa"/>
        <w:tblLayout w:type="fixed"/>
        <w:tblLook w:val="0400" w:firstRow="0" w:lastRow="0" w:firstColumn="0" w:lastColumn="0" w:noHBand="0" w:noVBand="1"/>
      </w:tblPr>
      <w:tblGrid>
        <w:gridCol w:w="2622"/>
        <w:gridCol w:w="6279"/>
      </w:tblGrid>
      <w:tr w:rsidR="004168A5">
        <w:trPr>
          <w:trHeight w:val="4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2" w:firstLine="0"/>
            </w:pPr>
            <w:r>
              <w:t xml:space="preserve">defrauding or attempting to defraud or conspiring to defraud the Crown. </w:t>
            </w:r>
          </w:p>
        </w:tc>
      </w:tr>
      <w:tr w:rsidR="004168A5">
        <w:trPr>
          <w:trHeight w:val="10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0" w:firstLine="0"/>
            </w:pPr>
            <w:r>
              <w:rPr>
                <w:b/>
              </w:rPr>
              <w:t>Freedom of Information</w:t>
            </w:r>
            <w:r>
              <w:t xml:space="preserve"> </w:t>
            </w:r>
            <w:r>
              <w:rPr>
                <w:b/>
              </w:rPr>
              <w:t xml:space="preserve">Act or </w:t>
            </w:r>
            <w:proofErr w:type="spellStart"/>
            <w:r>
              <w:rPr>
                <w:b/>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4168A5">
        <w:trPr>
          <w:trHeight w:val="16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0" w:firstLine="0"/>
            </w:pPr>
            <w:r>
              <w:rPr>
                <w:b/>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2" w:firstLine="0"/>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4168A5">
        <w:trPr>
          <w:trHeight w:val="5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2" w:firstLine="0"/>
            </w:pPr>
            <w:r>
              <w:t xml:space="preserve">The retained EU law version of the General Data Protection Regulation (Regulation (EU) 2016/679). </w:t>
            </w:r>
          </w:p>
        </w:tc>
      </w:tr>
      <w:tr w:rsidR="004168A5">
        <w:trPr>
          <w:trHeight w:val="154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0" w:firstLine="0"/>
            </w:pPr>
            <w:r>
              <w:rPr>
                <w:b/>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4168A5">
        <w:trPr>
          <w:trHeight w:val="3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20" w:line="256" w:lineRule="auto"/>
              <w:ind w:left="0" w:firstLine="0"/>
            </w:pPr>
            <w:r>
              <w:rPr>
                <w:b/>
              </w:rPr>
              <w:t>Government</w:t>
            </w:r>
            <w:r>
              <w:t xml:space="preserve"> </w:t>
            </w:r>
          </w:p>
          <w:p w:rsidR="004168A5" w:rsidRDefault="001C59B0">
            <w:pPr>
              <w:spacing w:after="0" w:line="256" w:lineRule="auto"/>
              <w:ind w:left="0" w:firstLine="0"/>
            </w:pPr>
            <w:r>
              <w:rPr>
                <w:b/>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2" w:firstLine="0"/>
            </w:pPr>
            <w:r>
              <w:t xml:space="preserve">The government’s preferred method of purchasing and payment for low value goods or services. </w:t>
            </w:r>
          </w:p>
        </w:tc>
      </w:tr>
      <w:tr w:rsidR="004168A5">
        <w:trPr>
          <w:trHeight w:val="5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0" w:firstLine="0"/>
            </w:pPr>
            <w:r>
              <w:rPr>
                <w:b/>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2" w:firstLine="0"/>
            </w:pPr>
            <w:r>
              <w:t xml:space="preserve">The guarantee described in Schedule 5. </w:t>
            </w:r>
          </w:p>
        </w:tc>
      </w:tr>
      <w:tr w:rsidR="004168A5">
        <w:trPr>
          <w:trHeight w:val="13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0" w:firstLine="0"/>
            </w:pPr>
            <w:r>
              <w:rPr>
                <w:b/>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4168A5">
        <w:trPr>
          <w:trHeight w:val="7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0" w:firstLine="0"/>
            </w:pPr>
            <w:r>
              <w:rPr>
                <w:b/>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2" w:firstLine="0"/>
            </w:pPr>
            <w:r>
              <w:t xml:space="preserve">The plan with an outline of processes (including data standards for migration), costs (for example) of implementing the services which may be required as part of Onboarding. </w:t>
            </w:r>
          </w:p>
        </w:tc>
      </w:tr>
      <w:tr w:rsidR="004168A5">
        <w:trPr>
          <w:trHeight w:val="6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0" w:firstLine="0"/>
            </w:pPr>
            <w:r>
              <w:rPr>
                <w:b/>
              </w:rPr>
              <w:lastRenderedPageBreak/>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2" w:firstLine="0"/>
            </w:pPr>
            <w:r>
              <w:t xml:space="preserve">ESI tool completed by contractors on their own behalf at the request of CCS or the Buyer (as applicable) under clause 4.6. </w:t>
            </w:r>
          </w:p>
        </w:tc>
      </w:tr>
      <w:tr w:rsidR="004168A5">
        <w:trPr>
          <w:trHeight w:val="45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4168A5" w:rsidRDefault="001C59B0">
            <w:pPr>
              <w:spacing w:after="0" w:line="256" w:lineRule="auto"/>
              <w:ind w:left="2" w:firstLine="0"/>
            </w:pPr>
            <w:r>
              <w:t xml:space="preserve">Has the meaning given under section 84 of the Freedom of Information Act </w:t>
            </w:r>
            <w:proofErr w:type="gramStart"/>
            <w:r>
              <w:t>2000.</w:t>
            </w:r>
            <w:proofErr w:type="gramEnd"/>
            <w:r>
              <w:t xml:space="preserve"> </w:t>
            </w:r>
          </w:p>
        </w:tc>
      </w:tr>
    </w:tbl>
    <w:p w:rsidR="004168A5" w:rsidRDefault="001C59B0">
      <w:pPr>
        <w:spacing w:after="0" w:line="256" w:lineRule="auto"/>
        <w:ind w:left="0" w:firstLine="0"/>
        <w:jc w:val="both"/>
      </w:pPr>
      <w:r>
        <w:t xml:space="preserve"> </w:t>
      </w:r>
    </w:p>
    <w:tbl>
      <w:tblPr>
        <w:tblStyle w:val="af1"/>
        <w:tblW w:w="8901" w:type="dxa"/>
        <w:tblInd w:w="1039" w:type="dxa"/>
        <w:tblLayout w:type="fixed"/>
        <w:tblLook w:val="0400" w:firstRow="0" w:lastRow="0" w:firstColumn="0" w:lastColumn="0" w:noHBand="0" w:noVBand="1"/>
      </w:tblPr>
      <w:tblGrid>
        <w:gridCol w:w="2622"/>
        <w:gridCol w:w="6279"/>
      </w:tblGrid>
      <w:tr w:rsidR="004168A5">
        <w:trPr>
          <w:trHeight w:val="94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4168A5" w:rsidRDefault="001C59B0">
            <w:pPr>
              <w:spacing w:after="0" w:line="256" w:lineRule="auto"/>
              <w:ind w:left="0" w:firstLine="0"/>
            </w:pPr>
            <w:r>
              <w:rPr>
                <w:b/>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4168A5" w:rsidRDefault="001C59B0">
            <w:pPr>
              <w:spacing w:after="0" w:line="256" w:lineRule="auto"/>
              <w:ind w:left="2" w:firstLine="0"/>
            </w:pPr>
            <w:r>
              <w:t xml:space="preserve">The information security management system and process developed by the Supplier in accordance with clause 16.1. </w:t>
            </w:r>
          </w:p>
        </w:tc>
      </w:tr>
      <w:tr w:rsidR="004168A5">
        <w:trPr>
          <w:trHeight w:val="81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4168A5" w:rsidRDefault="001C59B0">
            <w:pPr>
              <w:spacing w:after="0" w:line="256" w:lineRule="auto"/>
              <w:ind w:left="0" w:firstLine="0"/>
            </w:pPr>
            <w:r>
              <w:rPr>
                <w:b/>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4168A5" w:rsidRDefault="001C59B0">
            <w:pPr>
              <w:spacing w:after="0" w:line="256" w:lineRule="auto"/>
              <w:ind w:left="2" w:firstLine="0"/>
            </w:pPr>
            <w:r>
              <w:t xml:space="preserve">Contractual engagements which would be determined to be within the scope of the IR35 Intermediaries legislation if assessed using the ESI tool. </w:t>
            </w:r>
          </w:p>
        </w:tc>
      </w:tr>
    </w:tbl>
    <w:p w:rsidR="004168A5" w:rsidRDefault="004168A5">
      <w:pPr>
        <w:spacing w:after="0" w:line="256" w:lineRule="auto"/>
        <w:ind w:left="0" w:right="830" w:firstLine="0"/>
      </w:pPr>
    </w:p>
    <w:tbl>
      <w:tblPr>
        <w:tblStyle w:val="af2"/>
        <w:tblW w:w="8901" w:type="dxa"/>
        <w:tblInd w:w="1039" w:type="dxa"/>
        <w:tblLayout w:type="fixed"/>
        <w:tblLook w:val="0400" w:firstRow="0" w:lastRow="0" w:firstColumn="0" w:lastColumn="0" w:noHBand="0" w:noVBand="1"/>
      </w:tblPr>
      <w:tblGrid>
        <w:gridCol w:w="2622"/>
        <w:gridCol w:w="6279"/>
      </w:tblGrid>
      <w:tr w:rsidR="004168A5">
        <w:trPr>
          <w:trHeight w:val="21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0" w:line="256" w:lineRule="auto"/>
              <w:ind w:left="0" w:firstLine="0"/>
            </w:pPr>
            <w:r>
              <w:rPr>
                <w:b/>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39" w:line="256" w:lineRule="auto"/>
              <w:ind w:left="2" w:firstLine="0"/>
            </w:pPr>
            <w:r>
              <w:t xml:space="preserve">Can be: </w:t>
            </w:r>
          </w:p>
          <w:p w:rsidR="004168A5" w:rsidRDefault="001C59B0">
            <w:pPr>
              <w:numPr>
                <w:ilvl w:val="0"/>
                <w:numId w:val="5"/>
              </w:numPr>
              <w:spacing w:after="46" w:line="256" w:lineRule="auto"/>
              <w:ind w:left="400" w:hanging="398"/>
            </w:pPr>
            <w:r>
              <w:t xml:space="preserve">a voluntary arrangement </w:t>
            </w:r>
          </w:p>
          <w:p w:rsidR="004168A5" w:rsidRDefault="001C59B0">
            <w:pPr>
              <w:numPr>
                <w:ilvl w:val="0"/>
                <w:numId w:val="5"/>
              </w:numPr>
              <w:spacing w:after="45" w:line="256" w:lineRule="auto"/>
              <w:ind w:left="400" w:hanging="398"/>
            </w:pPr>
            <w:r>
              <w:t xml:space="preserve">a winding-up petition </w:t>
            </w:r>
          </w:p>
          <w:p w:rsidR="004168A5" w:rsidRDefault="001C59B0">
            <w:pPr>
              <w:numPr>
                <w:ilvl w:val="0"/>
                <w:numId w:val="5"/>
              </w:numPr>
              <w:spacing w:after="48" w:line="256" w:lineRule="auto"/>
              <w:ind w:left="400" w:hanging="398"/>
            </w:pPr>
            <w:r>
              <w:t xml:space="preserve">the appointment of a receiver or administrator </w:t>
            </w:r>
          </w:p>
          <w:p w:rsidR="004168A5" w:rsidRDefault="001C59B0">
            <w:pPr>
              <w:numPr>
                <w:ilvl w:val="0"/>
                <w:numId w:val="5"/>
              </w:numPr>
              <w:spacing w:after="82" w:line="256" w:lineRule="auto"/>
              <w:ind w:left="400" w:hanging="398"/>
            </w:pPr>
            <w:r>
              <w:t xml:space="preserve">an unresolved statutory demand </w:t>
            </w:r>
          </w:p>
          <w:p w:rsidR="004168A5" w:rsidRDefault="001C59B0">
            <w:pPr>
              <w:numPr>
                <w:ilvl w:val="0"/>
                <w:numId w:val="5"/>
              </w:numPr>
              <w:spacing w:after="35" w:line="256" w:lineRule="auto"/>
              <w:ind w:left="400" w:hanging="398"/>
            </w:pPr>
            <w:r>
              <w:t xml:space="preserve">a Schedule A1 moratorium </w:t>
            </w:r>
          </w:p>
          <w:p w:rsidR="004168A5" w:rsidRDefault="001C59B0">
            <w:pPr>
              <w:numPr>
                <w:ilvl w:val="0"/>
                <w:numId w:val="5"/>
              </w:numPr>
              <w:spacing w:after="0" w:line="256" w:lineRule="auto"/>
              <w:ind w:left="400" w:hanging="398"/>
            </w:pPr>
            <w:r>
              <w:t xml:space="preserve">a Dun &amp; Bradstreet rating of 10 or less </w:t>
            </w:r>
          </w:p>
        </w:tc>
      </w:tr>
      <w:tr w:rsidR="004168A5">
        <w:trPr>
          <w:trHeight w:val="33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0" w:line="256" w:lineRule="auto"/>
              <w:ind w:left="0" w:firstLine="0"/>
            </w:pPr>
            <w:r>
              <w:rPr>
                <w:b/>
              </w:rPr>
              <w:t>Intellectual Property</w:t>
            </w:r>
            <w:r>
              <w:t xml:space="preserve"> </w:t>
            </w:r>
            <w:r>
              <w:rPr>
                <w:b/>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19" w:line="256" w:lineRule="auto"/>
              <w:ind w:left="2" w:firstLine="0"/>
            </w:pPr>
            <w:r>
              <w:t xml:space="preserve">Intellectual Property Rights are: </w:t>
            </w:r>
          </w:p>
          <w:p w:rsidR="004168A5" w:rsidRDefault="001C59B0">
            <w:pPr>
              <w:numPr>
                <w:ilvl w:val="0"/>
                <w:numId w:val="9"/>
              </w:numPr>
              <w:spacing w:after="0" w:line="283"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4168A5" w:rsidRDefault="001C59B0">
            <w:pPr>
              <w:numPr>
                <w:ilvl w:val="0"/>
                <w:numId w:val="9"/>
              </w:numPr>
              <w:spacing w:after="0" w:line="283" w:lineRule="auto"/>
              <w:ind w:hanging="360"/>
            </w:pPr>
            <w:r>
              <w:t xml:space="preserve">applications for registration, and the right to apply for registration, for any of the rights listed at (a) that are capable of being registered in any country or jurisdiction </w:t>
            </w:r>
          </w:p>
          <w:p w:rsidR="004168A5" w:rsidRDefault="001C59B0">
            <w:pPr>
              <w:numPr>
                <w:ilvl w:val="0"/>
                <w:numId w:val="9"/>
              </w:numPr>
              <w:spacing w:after="0" w:line="256" w:lineRule="auto"/>
              <w:ind w:hanging="360"/>
            </w:pPr>
            <w:r>
              <w:t xml:space="preserve">all other rights having equivalent or similar effect in any country or jurisdiction </w:t>
            </w:r>
          </w:p>
        </w:tc>
      </w:tr>
      <w:tr w:rsidR="004168A5">
        <w:trPr>
          <w:trHeight w:val="10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0" w:line="256" w:lineRule="auto"/>
              <w:ind w:left="0" w:firstLine="0"/>
            </w:pPr>
            <w:r>
              <w:rPr>
                <w:b/>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36" w:line="256" w:lineRule="auto"/>
              <w:ind w:left="2" w:firstLine="0"/>
            </w:pPr>
            <w:r>
              <w:t xml:space="preserve">For the purposes of the IR35 rules an intermediary can be: </w:t>
            </w:r>
          </w:p>
          <w:p w:rsidR="004168A5" w:rsidRDefault="001C59B0">
            <w:pPr>
              <w:numPr>
                <w:ilvl w:val="0"/>
                <w:numId w:val="13"/>
              </w:numPr>
              <w:spacing w:after="0" w:line="256" w:lineRule="auto"/>
              <w:ind w:right="752" w:firstLine="0"/>
            </w:pPr>
            <w:r>
              <w:t xml:space="preserve">the supplier's own limited company </w:t>
            </w:r>
          </w:p>
          <w:p w:rsidR="004168A5" w:rsidRDefault="001C59B0">
            <w:pPr>
              <w:numPr>
                <w:ilvl w:val="0"/>
                <w:numId w:val="13"/>
              </w:numPr>
              <w:spacing w:after="0" w:line="300" w:lineRule="auto"/>
              <w:ind w:right="752" w:firstLine="0"/>
            </w:pPr>
            <w:r>
              <w:t xml:space="preserve">a service or a personal service company </w:t>
            </w:r>
          </w:p>
          <w:p w:rsidR="004168A5" w:rsidRDefault="001C59B0">
            <w:pPr>
              <w:numPr>
                <w:ilvl w:val="0"/>
                <w:numId w:val="13"/>
              </w:numPr>
              <w:spacing w:after="0" w:line="300" w:lineRule="auto"/>
              <w:ind w:right="752" w:firstLine="0"/>
            </w:pPr>
            <w:r>
              <w:t xml:space="preserve">a partnership </w:t>
            </w:r>
          </w:p>
          <w:p w:rsidR="004168A5" w:rsidRDefault="001C59B0">
            <w:pPr>
              <w:spacing w:after="0" w:line="256" w:lineRule="auto"/>
              <w:ind w:left="2" w:firstLine="0"/>
            </w:pPr>
            <w:r>
              <w:t xml:space="preserve">It does not apply if you work for a client through a Managed Service Company (MSC) or agency (for example, an employment agency). </w:t>
            </w:r>
          </w:p>
        </w:tc>
      </w:tr>
      <w:tr w:rsidR="004168A5">
        <w:trPr>
          <w:trHeight w:val="3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0" w:line="256" w:lineRule="auto"/>
              <w:ind w:left="0" w:firstLine="0"/>
            </w:pPr>
            <w:r>
              <w:rPr>
                <w:b/>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0" w:line="256" w:lineRule="auto"/>
              <w:ind w:left="2" w:firstLine="0"/>
            </w:pPr>
            <w:r>
              <w:t xml:space="preserve">As set out in clause 11.5. </w:t>
            </w:r>
          </w:p>
        </w:tc>
      </w:tr>
      <w:tr w:rsidR="004168A5">
        <w:trPr>
          <w:trHeight w:val="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0" w:line="256" w:lineRule="auto"/>
              <w:ind w:left="0" w:firstLine="0"/>
            </w:pPr>
            <w:r>
              <w:rPr>
                <w:b/>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0" w:line="256" w:lineRule="auto"/>
              <w:ind w:left="2" w:right="27" w:firstLine="0"/>
            </w:pPr>
            <w:r>
              <w:t xml:space="preserve">IR35 is also known as ‘Intermediaries legislation’. It’s a set of rules that affect tax and National Insurance where a Supplier is contracted to work for a client through an Intermediary. </w:t>
            </w:r>
          </w:p>
        </w:tc>
      </w:tr>
      <w:tr w:rsidR="004168A5">
        <w:trPr>
          <w:trHeight w:val="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0" w:line="256" w:lineRule="auto"/>
              <w:ind w:left="0" w:firstLine="0"/>
            </w:pPr>
            <w:r>
              <w:rPr>
                <w:b/>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4168A5" w:rsidRDefault="001C59B0">
            <w:pPr>
              <w:spacing w:after="0" w:line="256" w:lineRule="auto"/>
              <w:ind w:left="2" w:firstLine="0"/>
            </w:pPr>
            <w:r>
              <w:t xml:space="preserve">Assessment of employment status using the ESI tool to determine if engagement is Inside or Outside IR35. </w:t>
            </w:r>
          </w:p>
        </w:tc>
      </w:tr>
    </w:tbl>
    <w:p w:rsidR="004168A5" w:rsidRDefault="001C59B0">
      <w:pPr>
        <w:spacing w:after="0" w:line="256" w:lineRule="auto"/>
        <w:ind w:left="0" w:firstLine="0"/>
        <w:jc w:val="both"/>
      </w:pPr>
      <w:r>
        <w:t xml:space="preserve"> </w:t>
      </w:r>
    </w:p>
    <w:tbl>
      <w:tblPr>
        <w:tblStyle w:val="af3"/>
        <w:tblW w:w="8901" w:type="dxa"/>
        <w:tblInd w:w="1039" w:type="dxa"/>
        <w:tblLayout w:type="fixed"/>
        <w:tblLook w:val="0400" w:firstRow="0" w:lastRow="0" w:firstColumn="0" w:lastColumn="0" w:noHBand="0" w:noVBand="1"/>
      </w:tblPr>
      <w:tblGrid>
        <w:gridCol w:w="2622"/>
        <w:gridCol w:w="6279"/>
      </w:tblGrid>
      <w:tr w:rsidR="004168A5">
        <w:trPr>
          <w:trHeight w:val="12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0" w:firstLine="0"/>
            </w:pPr>
            <w:r>
              <w:rPr>
                <w:b/>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4168A5">
        <w:trPr>
          <w:trHeight w:val="11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0" w:firstLine="0"/>
            </w:pPr>
            <w:r>
              <w:rPr>
                <w:b/>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2"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4168A5">
        <w:trPr>
          <w:trHeight w:val="170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0" w:firstLine="0"/>
            </w:pPr>
            <w:r>
              <w:rPr>
                <w:b/>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4168A5">
        <w:trPr>
          <w:trHeight w:val="7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0" w:firstLine="0"/>
            </w:pPr>
            <w:r>
              <w:rPr>
                <w:b/>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2" w:firstLine="0"/>
            </w:pPr>
            <w:r>
              <w:t xml:space="preserve">Any of the 3 Lots specified in the ITT and Lots will be construed accordingly. </w:t>
            </w:r>
          </w:p>
        </w:tc>
      </w:tr>
      <w:tr w:rsidR="004168A5">
        <w:trPr>
          <w:trHeight w:val="14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0" w:firstLine="0"/>
            </w:pPr>
            <w:r>
              <w:rPr>
                <w:b/>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4168A5">
        <w:trPr>
          <w:trHeight w:val="14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0" w:firstLine="0"/>
            </w:pPr>
            <w:r>
              <w:rPr>
                <w:b/>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2"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4168A5">
        <w:trPr>
          <w:trHeight w:val="3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0" w:firstLine="0"/>
              <w:jc w:val="both"/>
            </w:pPr>
            <w:r>
              <w:rPr>
                <w:b/>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2" w:firstLine="0"/>
            </w:pPr>
            <w:r>
              <w:t xml:space="preserve">The management information specified in Framework Agreement Schedule 6. </w:t>
            </w:r>
          </w:p>
        </w:tc>
      </w:tr>
      <w:tr w:rsidR="004168A5">
        <w:trPr>
          <w:trHeight w:val="10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0" w:firstLine="0"/>
            </w:pPr>
            <w:r>
              <w:rPr>
                <w:b/>
              </w:rPr>
              <w:lastRenderedPageBreak/>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2" w:firstLine="0"/>
            </w:pPr>
            <w:r>
              <w:t xml:space="preserve">Those breaches which have been expressly set out as a Material Breach and any other single serious breach or persistent failure to perform as required under this Call-Off Contract. </w:t>
            </w:r>
          </w:p>
        </w:tc>
      </w:tr>
      <w:tr w:rsidR="004168A5">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0" w:firstLine="0"/>
            </w:pPr>
            <w:r>
              <w:rPr>
                <w:b/>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4168A5" w:rsidRDefault="001C59B0">
            <w:pPr>
              <w:spacing w:after="0" w:line="256" w:lineRule="auto"/>
              <w:ind w:left="2" w:firstLine="0"/>
            </w:pPr>
            <w:r>
              <w:t xml:space="preserve">The Ministry of Justice’s Code of Practice on the Discharge of the Functions of Public Authorities under Part 1 of the Freedom of Information Act 2000. </w:t>
            </w:r>
          </w:p>
        </w:tc>
      </w:tr>
    </w:tbl>
    <w:p w:rsidR="004168A5" w:rsidRDefault="001C59B0">
      <w:pPr>
        <w:spacing w:after="0" w:line="256" w:lineRule="auto"/>
        <w:ind w:left="0" w:firstLine="0"/>
        <w:jc w:val="both"/>
      </w:pPr>
      <w:r>
        <w:t xml:space="preserve"> </w:t>
      </w:r>
    </w:p>
    <w:tbl>
      <w:tblPr>
        <w:tblStyle w:val="af4"/>
        <w:tblW w:w="8901" w:type="dxa"/>
        <w:tblInd w:w="1039" w:type="dxa"/>
        <w:tblLayout w:type="fixed"/>
        <w:tblLook w:val="0400" w:firstRow="0" w:lastRow="0" w:firstColumn="0" w:lastColumn="0" w:noHBand="0" w:noVBand="1"/>
      </w:tblPr>
      <w:tblGrid>
        <w:gridCol w:w="2622"/>
        <w:gridCol w:w="6279"/>
      </w:tblGrid>
      <w:tr w:rsidR="004168A5">
        <w:trPr>
          <w:trHeight w:val="72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2" w:firstLine="0"/>
            </w:pPr>
            <w:r>
              <w:t xml:space="preserve">The revised Fair Deal position in the HM Treasury guidance: “Fair Deal for staff pensions: staff transfer from central government” issued in October 2013 as amended. </w:t>
            </w:r>
          </w:p>
        </w:tc>
      </w:tr>
      <w:tr w:rsidR="004168A5">
        <w:trPr>
          <w:trHeight w:val="50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2" w:right="37" w:firstLine="0"/>
            </w:pPr>
            <w:r>
              <w:t xml:space="preserve">An order for G-Cloud Services placed by a contracting body with the Supplier in accordance with the ordering processes. </w:t>
            </w:r>
          </w:p>
        </w:tc>
      </w:tr>
      <w:tr w:rsidR="004168A5">
        <w:trPr>
          <w:trHeight w:val="7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2" w:firstLine="0"/>
            </w:pPr>
            <w:r>
              <w:t xml:space="preserve">The order form set out in Part A of the Call-Off Contract to be used by a Buyer to order G-Cloud Services. </w:t>
            </w:r>
          </w:p>
        </w:tc>
      </w:tr>
      <w:tr w:rsidR="004168A5">
        <w:trPr>
          <w:trHeight w:val="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t>Ordered G-Cloud</w:t>
            </w:r>
            <w:r>
              <w:t xml:space="preserve"> </w:t>
            </w: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2" w:firstLine="0"/>
            </w:pPr>
            <w:r>
              <w:t xml:space="preserve">G-Cloud Services which are the subject of an order by the Buyer. </w:t>
            </w:r>
          </w:p>
        </w:tc>
      </w:tr>
      <w:tr w:rsidR="004168A5">
        <w:trPr>
          <w:trHeight w:val="10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4168A5">
        <w:trPr>
          <w:trHeight w:val="7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2" w:firstLine="0"/>
            </w:pPr>
            <w:r>
              <w:t xml:space="preserve">The Buyer or the Supplier and ‘Parties’ will be interpreted accordingly. </w:t>
            </w:r>
          </w:p>
        </w:tc>
      </w:tr>
      <w:tr w:rsidR="004168A5">
        <w:trPr>
          <w:trHeight w:val="4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2" w:firstLine="0"/>
            </w:pPr>
            <w:r>
              <w:t xml:space="preserve">Takes the meaning given in the UK GDPR. </w:t>
            </w:r>
          </w:p>
        </w:tc>
      </w:tr>
      <w:tr w:rsidR="004168A5">
        <w:trPr>
          <w:trHeight w:val="3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2" w:firstLine="0"/>
            </w:pPr>
            <w:r>
              <w:t xml:space="preserve">Takes the meaning given in the UK GDPR. </w:t>
            </w:r>
          </w:p>
        </w:tc>
      </w:tr>
      <w:tr w:rsidR="004168A5">
        <w:trPr>
          <w:trHeight w:val="8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lastRenderedPageBreak/>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2" w:firstLine="0"/>
            </w:pPr>
            <w:r>
              <w:t xml:space="preserve">The government marketplace where Services are available for Buyers to buy. </w:t>
            </w:r>
          </w:p>
        </w:tc>
      </w:tr>
      <w:tr w:rsidR="004168A5">
        <w:trPr>
          <w:trHeight w:val="2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2" w:firstLine="0"/>
            </w:pPr>
            <w:r>
              <w:t xml:space="preserve">Takes the meaning given in the UK GDPR. </w:t>
            </w:r>
          </w:p>
        </w:tc>
      </w:tr>
      <w:tr w:rsidR="004168A5">
        <w:trPr>
          <w:trHeight w:val="2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2" w:firstLine="0"/>
            </w:pPr>
            <w:r>
              <w:t xml:space="preserve">Takes the meaning given in the UK GDPR. </w:t>
            </w:r>
          </w:p>
        </w:tc>
      </w:tr>
      <w:tr w:rsidR="004168A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0" w:line="256" w:lineRule="auto"/>
              <w:ind w:left="0" w:firstLine="0"/>
            </w:pPr>
            <w:r>
              <w:rPr>
                <w:b/>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4168A5" w:rsidRDefault="001C59B0">
            <w:pPr>
              <w:spacing w:after="5" w:line="244" w:lineRule="auto"/>
              <w:ind w:left="2" w:firstLine="0"/>
            </w:pPr>
            <w:r>
              <w:t xml:space="preserve">To directly or indirectly offer, promise or give any person working for or engaged by a Buyer or CCS a financial or other advantage to: </w:t>
            </w:r>
          </w:p>
          <w:p w:rsidR="004168A5" w:rsidRDefault="001C59B0">
            <w:pPr>
              <w:numPr>
                <w:ilvl w:val="0"/>
                <w:numId w:val="17"/>
              </w:numPr>
              <w:spacing w:after="0" w:line="283" w:lineRule="auto"/>
              <w:ind w:hanging="360"/>
            </w:pPr>
            <w:r>
              <w:t xml:space="preserve">induce that person to perform improperly a relevant function or activity </w:t>
            </w:r>
          </w:p>
          <w:p w:rsidR="004168A5" w:rsidRDefault="001C59B0">
            <w:pPr>
              <w:numPr>
                <w:ilvl w:val="0"/>
                <w:numId w:val="17"/>
              </w:numPr>
              <w:spacing w:after="23" w:line="278" w:lineRule="auto"/>
              <w:ind w:hanging="360"/>
            </w:pPr>
            <w:r>
              <w:t xml:space="preserve">reward that person for improper performance of a relevant function or activity </w:t>
            </w:r>
          </w:p>
          <w:p w:rsidR="004168A5" w:rsidRDefault="001C59B0">
            <w:pPr>
              <w:numPr>
                <w:ilvl w:val="0"/>
                <w:numId w:val="17"/>
              </w:numPr>
              <w:spacing w:after="64" w:line="256" w:lineRule="auto"/>
              <w:ind w:hanging="360"/>
            </w:pPr>
            <w:r>
              <w:t xml:space="preserve">commit any offence: </w:t>
            </w:r>
          </w:p>
          <w:p w:rsidR="004168A5" w:rsidRDefault="001C59B0">
            <w:pPr>
              <w:numPr>
                <w:ilvl w:val="1"/>
                <w:numId w:val="17"/>
              </w:numPr>
              <w:spacing w:after="64" w:line="256" w:lineRule="auto"/>
              <w:ind w:hanging="247"/>
            </w:pPr>
            <w:r>
              <w:t xml:space="preserve">under the Bribery Act 2010 </w:t>
            </w:r>
          </w:p>
          <w:p w:rsidR="004168A5" w:rsidRDefault="001C59B0">
            <w:pPr>
              <w:numPr>
                <w:ilvl w:val="1"/>
                <w:numId w:val="17"/>
              </w:numPr>
              <w:spacing w:after="64" w:line="256" w:lineRule="auto"/>
              <w:ind w:hanging="247"/>
            </w:pPr>
            <w:r>
              <w:t xml:space="preserve">under legislation creating offences concerning Fraud </w:t>
            </w:r>
          </w:p>
          <w:p w:rsidR="004168A5" w:rsidRDefault="001C59B0">
            <w:pPr>
              <w:numPr>
                <w:ilvl w:val="1"/>
                <w:numId w:val="17"/>
              </w:numPr>
              <w:spacing w:after="64" w:line="256" w:lineRule="auto"/>
              <w:ind w:hanging="247"/>
            </w:pPr>
            <w:r>
              <w:t xml:space="preserve">at common Law concerning Fraud </w:t>
            </w:r>
          </w:p>
          <w:p w:rsidR="004168A5" w:rsidRDefault="001C59B0">
            <w:pPr>
              <w:numPr>
                <w:ilvl w:val="1"/>
                <w:numId w:val="17"/>
              </w:numPr>
              <w:spacing w:after="64" w:line="256" w:lineRule="auto"/>
              <w:ind w:hanging="247"/>
            </w:pPr>
            <w:r>
              <w:t xml:space="preserve">committing or attempting or conspiring to commit Fraud </w:t>
            </w:r>
          </w:p>
        </w:tc>
      </w:tr>
    </w:tbl>
    <w:p w:rsidR="004168A5" w:rsidRDefault="001C59B0">
      <w:pPr>
        <w:spacing w:after="0" w:line="256" w:lineRule="auto"/>
        <w:ind w:left="0" w:firstLine="0"/>
        <w:jc w:val="both"/>
      </w:pPr>
      <w:r>
        <w:t xml:space="preserve"> </w:t>
      </w:r>
    </w:p>
    <w:p w:rsidR="004168A5" w:rsidRDefault="004168A5">
      <w:pPr>
        <w:spacing w:after="0" w:line="256" w:lineRule="auto"/>
        <w:ind w:left="0" w:right="830" w:firstLine="0"/>
      </w:pPr>
    </w:p>
    <w:tbl>
      <w:tblPr>
        <w:tblStyle w:val="af5"/>
        <w:tblW w:w="8901" w:type="dxa"/>
        <w:tblInd w:w="1039" w:type="dxa"/>
        <w:tblLayout w:type="fixed"/>
        <w:tblLook w:val="0400" w:firstRow="0" w:lastRow="0" w:firstColumn="0" w:lastColumn="0" w:noHBand="0" w:noVBand="1"/>
      </w:tblPr>
      <w:tblGrid>
        <w:gridCol w:w="2622"/>
        <w:gridCol w:w="6279"/>
      </w:tblGrid>
      <w:tr w:rsidR="004168A5">
        <w:trPr>
          <w:trHeight w:val="6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0" w:firstLine="0"/>
            </w:pPr>
            <w:r>
              <w:rPr>
                <w:b/>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4168A5">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0" w:firstLine="0"/>
            </w:pPr>
            <w:r>
              <w:rPr>
                <w:b/>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2" w:firstLine="0"/>
            </w:pPr>
            <w:r>
              <w:t xml:space="preserve">Assets and property including technical infrastructure, IPRs and equipment. </w:t>
            </w:r>
          </w:p>
        </w:tc>
      </w:tr>
      <w:tr w:rsidR="004168A5">
        <w:trPr>
          <w:trHeight w:val="1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0" w:firstLine="0"/>
            </w:pPr>
            <w:r>
              <w:rPr>
                <w:b/>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4168A5">
        <w:trPr>
          <w:trHeight w:val="9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0" w:firstLine="0"/>
            </w:pPr>
            <w:r>
              <w:rPr>
                <w:b/>
              </w:rPr>
              <w:lastRenderedPageBreak/>
              <w:t>PSN or Public Services</w:t>
            </w:r>
            <w:r>
              <w:t xml:space="preserve"> </w:t>
            </w:r>
            <w:r>
              <w:rPr>
                <w:b/>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4168A5">
        <w:trPr>
          <w:trHeight w:val="11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0" w:firstLine="0"/>
            </w:pPr>
            <w:r>
              <w:rPr>
                <w:b/>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4168A5">
        <w:trPr>
          <w:trHeight w:val="6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0" w:firstLine="0"/>
            </w:pPr>
            <w:r>
              <w:rPr>
                <w:b/>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2" w:firstLine="0"/>
            </w:pPr>
            <w:r>
              <w:t xml:space="preserve">Any employee, agent, servant, or representative of the Buyer, any other public body or person employed by or on behalf of the Buyer, or any other public body. </w:t>
            </w:r>
          </w:p>
        </w:tc>
      </w:tr>
      <w:tr w:rsidR="004168A5">
        <w:trPr>
          <w:trHeight w:val="9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0" w:firstLine="0"/>
            </w:pPr>
            <w:r>
              <w:rPr>
                <w:b/>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2" w:firstLine="0"/>
            </w:pPr>
            <w:r>
              <w:t xml:space="preserve">A transfer of employment to which the employment regulations applies. </w:t>
            </w:r>
          </w:p>
        </w:tc>
      </w:tr>
      <w:tr w:rsidR="004168A5">
        <w:trPr>
          <w:trHeight w:val="21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0" w:firstLine="0"/>
            </w:pPr>
            <w:r>
              <w:rPr>
                <w:b/>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rsidR="004168A5" w:rsidRDefault="001C59B0">
            <w:pPr>
              <w:spacing w:after="0" w:line="256" w:lineRule="auto"/>
              <w:ind w:left="2" w:firstLine="0"/>
            </w:pPr>
            <w:r>
              <w:t xml:space="preserve">Off Contract, whether those services are provided by the Buyer or a third party. </w:t>
            </w:r>
          </w:p>
        </w:tc>
      </w:tr>
      <w:tr w:rsidR="004168A5">
        <w:trPr>
          <w:trHeight w:val="9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0" w:firstLine="0"/>
            </w:pPr>
            <w:r>
              <w:rPr>
                <w:b/>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2" w:firstLine="0"/>
            </w:pPr>
            <w:r>
              <w:t xml:space="preserve">Any third-party service provider of replacement services appointed by the Buyer (or where the Buyer is providing replacement Services for its own account, the Buyer). </w:t>
            </w:r>
          </w:p>
        </w:tc>
      </w:tr>
      <w:tr w:rsidR="004168A5">
        <w:trPr>
          <w:trHeight w:val="9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0" w:firstLine="0"/>
            </w:pPr>
            <w:r>
              <w:rPr>
                <w:b/>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4168A5" w:rsidRDefault="001C59B0">
            <w:pPr>
              <w:spacing w:after="0" w:line="256" w:lineRule="auto"/>
              <w:ind w:left="2" w:firstLine="0"/>
            </w:pPr>
            <w:r>
              <w:t xml:space="preserve">The Supplier's security management plan developed by the Supplier in accordance with clause 16.1. </w:t>
            </w:r>
          </w:p>
        </w:tc>
      </w:tr>
    </w:tbl>
    <w:p w:rsidR="004168A5" w:rsidRDefault="001C59B0">
      <w:pPr>
        <w:spacing w:after="0" w:line="256" w:lineRule="auto"/>
        <w:ind w:left="0" w:firstLine="0"/>
        <w:jc w:val="both"/>
      </w:pPr>
      <w:r>
        <w:t xml:space="preserve"> </w:t>
      </w:r>
    </w:p>
    <w:tbl>
      <w:tblPr>
        <w:tblStyle w:val="af6"/>
        <w:tblW w:w="8901" w:type="dxa"/>
        <w:tblInd w:w="1039" w:type="dxa"/>
        <w:tblLayout w:type="fixed"/>
        <w:tblLook w:val="0400" w:firstRow="0" w:lastRow="0" w:firstColumn="0" w:lastColumn="0" w:noHBand="0" w:noVBand="1"/>
      </w:tblPr>
      <w:tblGrid>
        <w:gridCol w:w="2622"/>
        <w:gridCol w:w="6279"/>
      </w:tblGrid>
      <w:tr w:rsidR="004168A5">
        <w:trPr>
          <w:trHeight w:val="3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2" w:firstLine="0"/>
            </w:pPr>
            <w:r>
              <w:t xml:space="preserve">The services ordered by the Buyer as set out in the Order Form. </w:t>
            </w:r>
          </w:p>
        </w:tc>
      </w:tr>
      <w:tr w:rsidR="004168A5">
        <w:trPr>
          <w:trHeight w:val="3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r>
              <w:rPr>
                <w:b/>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2" w:firstLine="0"/>
            </w:pPr>
            <w:r>
              <w:t xml:space="preserve">Data that is owned or managed by the Buyer and used for the G-Cloud Services, including backup data. </w:t>
            </w:r>
          </w:p>
        </w:tc>
      </w:tr>
      <w:tr w:rsidR="004168A5">
        <w:trPr>
          <w:trHeight w:val="13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r>
              <w:rPr>
                <w:b/>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2" w:firstLine="0"/>
            </w:pPr>
            <w:r>
              <w:t xml:space="preserve">The definition of the Supplier's G-Cloud Services provided as part of their Application that includes, but isn’t limited to, those items listed in Clause 2 (Services) of the Framework Agreement. </w:t>
            </w:r>
          </w:p>
        </w:tc>
      </w:tr>
      <w:tr w:rsidR="004168A5">
        <w:trPr>
          <w:trHeight w:val="6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r>
              <w:rPr>
                <w:b/>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2" w:firstLine="0"/>
            </w:pPr>
            <w:r>
              <w:t xml:space="preserve">The description of the Supplier service offering as published on the Platform. </w:t>
            </w:r>
          </w:p>
        </w:tc>
      </w:tr>
      <w:tr w:rsidR="004168A5">
        <w:trPr>
          <w:trHeight w:val="3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r>
              <w:rPr>
                <w:b/>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2" w:firstLine="0"/>
            </w:pPr>
            <w:r>
              <w:t xml:space="preserve">The Personal Data supplied by a Buyer to the Supplier in the course of the use of the G-Cloud Services for purposes of or in connection with this Call-Off Contract. </w:t>
            </w:r>
          </w:p>
        </w:tc>
      </w:tr>
      <w:tr w:rsidR="004168A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r>
              <w:rPr>
                <w:b/>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2" w:firstLine="0"/>
            </w:pPr>
            <w:r>
              <w:t xml:space="preserve">The approval process used by a central government Buyer if it needs to spend money on certain digital or technology services, see </w:t>
            </w:r>
            <w:hyperlink r:id="rId32">
              <w:r>
                <w:rPr>
                  <w:u w:val="single"/>
                </w:rPr>
                <w:t>https://www.gov.uk/service-manual/agile-delivery/spend-controlsche ck-if-you-need-approval-to-spend-money-on-a-service</w:t>
              </w:r>
            </w:hyperlink>
            <w:hyperlink r:id="rId33">
              <w:r>
                <w:t xml:space="preserve"> </w:t>
              </w:r>
            </w:hyperlink>
          </w:p>
        </w:tc>
      </w:tr>
      <w:tr w:rsidR="004168A5">
        <w:trPr>
          <w:trHeight w:val="6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2" w:firstLine="0"/>
            </w:pPr>
            <w:r>
              <w:t xml:space="preserve">The Start date of this Call-Off Contract as set out in the Order Form. </w:t>
            </w:r>
          </w:p>
        </w:tc>
      </w:tr>
      <w:tr w:rsidR="004168A5">
        <w:trPr>
          <w:trHeight w:val="13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r>
              <w:rPr>
                <w:b/>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4168A5">
        <w:trPr>
          <w:trHeight w:val="9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r>
              <w:rPr>
                <w:b/>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18" w:line="256" w:lineRule="auto"/>
              <w:ind w:left="2" w:firstLine="0"/>
            </w:pPr>
            <w:r>
              <w:t xml:space="preserve">Any third party engaged by the Supplier under a subcontract </w:t>
            </w:r>
          </w:p>
          <w:p w:rsidR="004168A5" w:rsidRDefault="001C59B0">
            <w:pPr>
              <w:spacing w:after="2" w:line="256" w:lineRule="auto"/>
              <w:ind w:left="2" w:firstLine="0"/>
            </w:pPr>
            <w:r>
              <w:t xml:space="preserve">(permitted under the Framework Agreement and the Call-Off </w:t>
            </w:r>
          </w:p>
          <w:p w:rsidR="004168A5" w:rsidRDefault="001C59B0">
            <w:pPr>
              <w:spacing w:after="0" w:line="256" w:lineRule="auto"/>
              <w:ind w:left="2" w:firstLine="0"/>
            </w:pPr>
            <w:r>
              <w:t xml:space="preserve">Contract) and its servants or agents in connection with the provision of G-Cloud Services. </w:t>
            </w:r>
          </w:p>
        </w:tc>
      </w:tr>
      <w:tr w:rsidR="004168A5">
        <w:trPr>
          <w:trHeight w:val="8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proofErr w:type="spellStart"/>
            <w:r>
              <w:rPr>
                <w:b/>
              </w:rPr>
              <w:lastRenderedPageBreak/>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2" w:firstLine="0"/>
            </w:pPr>
            <w:r>
              <w:t xml:space="preserve">Any third party appointed to process Personal Data on behalf of the Supplier under this Call-Off Contract. </w:t>
            </w:r>
          </w:p>
        </w:tc>
      </w:tr>
      <w:tr w:rsidR="004168A5">
        <w:trPr>
          <w:trHeight w:val="6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r>
              <w:rPr>
                <w:b/>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2" w:firstLine="0"/>
            </w:pPr>
            <w:r>
              <w:t xml:space="preserve">The person, firm or company identified in the Order Form. </w:t>
            </w:r>
          </w:p>
        </w:tc>
      </w:tr>
      <w:tr w:rsidR="004168A5">
        <w:trPr>
          <w:trHeight w:val="3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0" w:firstLine="0"/>
            </w:pPr>
            <w:r>
              <w:rPr>
                <w:b/>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4168A5" w:rsidRDefault="001C59B0">
            <w:pPr>
              <w:spacing w:after="0" w:line="256" w:lineRule="auto"/>
              <w:ind w:left="2" w:firstLine="0"/>
            </w:pPr>
            <w:r>
              <w:t xml:space="preserve">The representative appointed by the Supplier from time to time in relation to the Call-Off Contract. </w:t>
            </w:r>
          </w:p>
        </w:tc>
      </w:tr>
    </w:tbl>
    <w:p w:rsidR="004168A5" w:rsidRDefault="001C59B0">
      <w:pPr>
        <w:spacing w:after="0" w:line="256" w:lineRule="auto"/>
        <w:ind w:left="0" w:firstLine="0"/>
        <w:jc w:val="both"/>
      </w:pPr>
      <w:r>
        <w:t xml:space="preserve"> </w:t>
      </w:r>
    </w:p>
    <w:tbl>
      <w:tblPr>
        <w:tblStyle w:val="af7"/>
        <w:tblW w:w="8901" w:type="dxa"/>
        <w:tblInd w:w="1039" w:type="dxa"/>
        <w:tblLayout w:type="fixed"/>
        <w:tblLook w:val="0400" w:firstRow="0" w:lastRow="0" w:firstColumn="0" w:lastColumn="0" w:noHBand="0" w:noVBand="1"/>
      </w:tblPr>
      <w:tblGrid>
        <w:gridCol w:w="2622"/>
        <w:gridCol w:w="6279"/>
      </w:tblGrid>
      <w:tr w:rsidR="004168A5">
        <w:trPr>
          <w:trHeight w:val="9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0" w:firstLine="0"/>
            </w:pPr>
            <w:r>
              <w:rPr>
                <w:b/>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2" w:firstLine="0"/>
            </w:pPr>
            <w:r>
              <w:t xml:space="preserve">All persons employed by the Supplier together with the Supplier’s servants, agents, suppliers and subcontractors used in the performance of its obligations under this Call-Off Contract. </w:t>
            </w:r>
          </w:p>
        </w:tc>
      </w:tr>
      <w:tr w:rsidR="004168A5">
        <w:trPr>
          <w:trHeight w:val="3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0" w:firstLine="0"/>
            </w:pPr>
            <w:r>
              <w:rPr>
                <w:b/>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2" w:firstLine="0"/>
            </w:pPr>
            <w:r>
              <w:t xml:space="preserve">The relevant G-Cloud Service terms and conditions as set out in the Terms and Conditions document supplied as part of the Supplier’s Application. </w:t>
            </w:r>
          </w:p>
        </w:tc>
      </w:tr>
      <w:tr w:rsidR="004168A5">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0" w:firstLine="0"/>
            </w:pPr>
            <w:r>
              <w:rPr>
                <w:b/>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2" w:firstLine="0"/>
            </w:pPr>
            <w:r>
              <w:t xml:space="preserve">The term of this Call-Off Contract as set out in the Order Form. </w:t>
            </w:r>
          </w:p>
        </w:tc>
      </w:tr>
      <w:tr w:rsidR="004168A5">
        <w:trPr>
          <w:trHeight w:val="2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0" w:firstLine="0"/>
            </w:pPr>
            <w:r>
              <w:rPr>
                <w:b/>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2" w:firstLine="0"/>
            </w:pPr>
            <w:r>
              <w:t xml:space="preserve">This has the meaning given to it in clause 32 (Variation process). </w:t>
            </w:r>
          </w:p>
        </w:tc>
      </w:tr>
      <w:tr w:rsidR="004168A5">
        <w:trPr>
          <w:trHeight w:val="4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0" w:firstLine="0"/>
            </w:pPr>
            <w:r>
              <w:rPr>
                <w:b/>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2" w:firstLine="0"/>
            </w:pPr>
            <w:r>
              <w:t xml:space="preserve">Any day other than a Saturday, Sunday or public holiday in England and Wales. </w:t>
            </w:r>
          </w:p>
        </w:tc>
      </w:tr>
      <w:tr w:rsidR="004168A5">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0" w:firstLine="0"/>
            </w:pPr>
            <w:r>
              <w:rPr>
                <w:b/>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4168A5" w:rsidRDefault="001C59B0">
            <w:pPr>
              <w:spacing w:after="0" w:line="256" w:lineRule="auto"/>
              <w:ind w:left="2" w:firstLine="0"/>
            </w:pPr>
            <w:r>
              <w:t xml:space="preserve">A contract year. </w:t>
            </w:r>
          </w:p>
        </w:tc>
      </w:tr>
    </w:tbl>
    <w:p w:rsidR="004168A5" w:rsidRDefault="001C59B0">
      <w:pPr>
        <w:spacing w:after="0" w:line="256" w:lineRule="auto"/>
        <w:ind w:left="1142" w:firstLine="0"/>
        <w:jc w:val="both"/>
      </w:pPr>
      <w:r>
        <w:t xml:space="preserve"> </w:t>
      </w:r>
      <w:r>
        <w:tab/>
        <w:t xml:space="preserve"> </w:t>
      </w:r>
    </w:p>
    <w:p w:rsidR="004168A5" w:rsidRDefault="004168A5">
      <w:pPr>
        <w:pStyle w:val="Heading2"/>
        <w:ind w:left="1113" w:firstLine="0"/>
      </w:pPr>
    </w:p>
    <w:p w:rsidR="004168A5" w:rsidRDefault="001C59B0">
      <w:pPr>
        <w:pStyle w:val="Heading2"/>
      </w:pPr>
      <w:r>
        <w:t>Schedule 7: UK GDPR Information</w:t>
      </w:r>
      <w:r>
        <w:rPr>
          <w:vertAlign w:val="subscript"/>
        </w:rPr>
        <w:t xml:space="preserve"> </w:t>
      </w:r>
    </w:p>
    <w:p w:rsidR="004168A5" w:rsidRDefault="001C59B0">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4168A5" w:rsidRDefault="001C59B0">
      <w:pPr>
        <w:pStyle w:val="Heading3"/>
      </w:pPr>
      <w:bookmarkStart w:id="35" w:name="_heading=h.69m8puo07euh" w:colFirst="0" w:colLast="0"/>
      <w:bookmarkEnd w:id="35"/>
      <w:r>
        <w:lastRenderedPageBreak/>
        <w:t>Status of the Controller</w:t>
      </w:r>
    </w:p>
    <w:p w:rsidR="004168A5" w:rsidRDefault="001C59B0">
      <w:r>
        <w:t>1.</w:t>
      </w:r>
      <w:r>
        <w:tab/>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4168A5" w:rsidRDefault="001C59B0">
      <w:pPr>
        <w:ind w:left="1848"/>
      </w:pPr>
      <w:r>
        <w:t>(a)</w:t>
      </w:r>
      <w:r>
        <w:tab/>
        <w:t>“Controller” in respect of the other Party who is “Processor”;</w:t>
      </w:r>
    </w:p>
    <w:p w:rsidR="004168A5" w:rsidRDefault="001C59B0">
      <w:pPr>
        <w:ind w:left="1848"/>
      </w:pPr>
      <w:r>
        <w:t>(b)</w:t>
      </w:r>
      <w:r>
        <w:tab/>
        <w:t>“Processor” in respect of the other Party who is “Controller”;</w:t>
      </w:r>
    </w:p>
    <w:p w:rsidR="004168A5" w:rsidRDefault="001C59B0">
      <w:pPr>
        <w:ind w:left="1848"/>
      </w:pPr>
      <w:r>
        <w:t>(c)</w:t>
      </w:r>
      <w:r>
        <w:tab/>
        <w:t>“Joint Controller” with the other Party;</w:t>
      </w:r>
    </w:p>
    <w:p w:rsidR="004168A5" w:rsidRDefault="001C59B0">
      <w:pPr>
        <w:ind w:left="1848"/>
      </w:pPr>
      <w:r>
        <w:t>(d)</w:t>
      </w:r>
      <w:r>
        <w:tab/>
        <w:t>“Independent Controller” of the Personal Data where the other Party is also “Controller”,</w:t>
      </w:r>
    </w:p>
    <w:p w:rsidR="004168A5" w:rsidRDefault="001C59B0">
      <w:r>
        <w:t xml:space="preserve">in respect of certain Personal Data under a Framework Agreement and shall specify in Annex 1 (Processing Personal Data) which scenario they think shall apply in each situation. </w:t>
      </w:r>
    </w:p>
    <w:p w:rsidR="004168A5" w:rsidRDefault="001C59B0">
      <w:pPr>
        <w:pStyle w:val="Heading3"/>
      </w:pPr>
      <w:bookmarkStart w:id="36" w:name="_heading=h.1kj7af3joepr" w:colFirst="0" w:colLast="0"/>
      <w:bookmarkEnd w:id="36"/>
      <w:r>
        <w:t xml:space="preserve">Where one Party is Controller and the other Party its Processor </w:t>
      </w:r>
    </w:p>
    <w:p w:rsidR="004168A5" w:rsidRDefault="001C59B0">
      <w:r>
        <w:t>2.</w:t>
      </w:r>
      <w:r>
        <w:tab/>
        <w:t xml:space="preserve">Where a Party is a Processor, the only Processing that it is authorised to do is listed in Annex 1 (Processing Personal Data) by the Controller. </w:t>
      </w:r>
    </w:p>
    <w:p w:rsidR="004168A5" w:rsidRDefault="001C59B0">
      <w:r>
        <w:t>3.</w:t>
      </w:r>
      <w:r>
        <w:tab/>
        <w:t>The Processor shall notify the Controller immediately if it considers that any of the Controller’s instructions infringe the Data Protection Legislation.</w:t>
      </w:r>
    </w:p>
    <w:p w:rsidR="004168A5" w:rsidRDefault="001C59B0">
      <w:r>
        <w:t>4.</w:t>
      </w:r>
      <w:r>
        <w:tab/>
        <w:t>The Processor shall provide all reasonable assistance to the Controller in the preparation of any Data Protection Impact Assessment prior to commencing any Processing. Such assistance may, at the discretion of the Controller, include:</w:t>
      </w:r>
    </w:p>
    <w:p w:rsidR="004168A5" w:rsidRDefault="001C59B0">
      <w:pPr>
        <w:ind w:left="1848"/>
      </w:pPr>
      <w:r>
        <w:t>(a)</w:t>
      </w:r>
      <w:r>
        <w:tab/>
        <w:t>a systematic description of the envisaged Processing and the purpose of the Processing;</w:t>
      </w:r>
    </w:p>
    <w:p w:rsidR="004168A5" w:rsidRDefault="001C59B0">
      <w:pPr>
        <w:ind w:left="1848"/>
      </w:pPr>
      <w:r>
        <w:t>(b)</w:t>
      </w:r>
      <w:r>
        <w:tab/>
        <w:t>an assessment of the necessity and proportionality of the Processing in relation to the Services;</w:t>
      </w:r>
    </w:p>
    <w:p w:rsidR="004168A5" w:rsidRDefault="001C59B0">
      <w:pPr>
        <w:ind w:left="1848"/>
      </w:pPr>
      <w:r>
        <w:t>(c)</w:t>
      </w:r>
      <w:r>
        <w:tab/>
        <w:t>an assessment of the risks to the rights and freedoms of Data Subjects; and</w:t>
      </w:r>
    </w:p>
    <w:p w:rsidR="004168A5" w:rsidRDefault="001C59B0">
      <w:pPr>
        <w:ind w:left="1848"/>
      </w:pPr>
      <w:r>
        <w:t>(d)</w:t>
      </w:r>
      <w:r>
        <w:tab/>
        <w:t>the measures envisaged to address the risks, including safeguards, security measures and mechanisms to ensure the protection of Personal Data.</w:t>
      </w:r>
    </w:p>
    <w:p w:rsidR="004168A5" w:rsidRDefault="001C59B0">
      <w:r>
        <w:t>5.</w:t>
      </w:r>
      <w:r>
        <w:tab/>
        <w:t>The Processor shall, in relation to any Personal Data Processed in connection with its obligations under the Framework Agreement:</w:t>
      </w:r>
    </w:p>
    <w:p w:rsidR="004168A5" w:rsidRDefault="001C59B0">
      <w:pPr>
        <w:ind w:left="1848"/>
      </w:pPr>
      <w:r>
        <w:t>(a)</w:t>
      </w:r>
      <w:r>
        <w:tab/>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p>
    <w:p w:rsidR="004168A5" w:rsidRDefault="001C59B0">
      <w:pPr>
        <w:ind w:left="1848"/>
      </w:pPr>
      <w:r>
        <w:lastRenderedPageBreak/>
        <w:t>(b)</w:t>
      </w:r>
      <w:r>
        <w:tab/>
        <w:t>ensure that it has in place Protective Measures, including in the case of the Supplier the measures set out in Clause 34.5 of this Framework Agreement, which the Controller may reasonably reject (but failure to reject shall not amount to approval by the Controller of the adequacy of the Protective Measures) having taken account of the:</w:t>
      </w:r>
    </w:p>
    <w:p w:rsidR="004168A5" w:rsidRDefault="001C59B0">
      <w:pPr>
        <w:ind w:left="2568"/>
      </w:pPr>
      <w:r>
        <w:t>(</w:t>
      </w:r>
      <w:proofErr w:type="spellStart"/>
      <w:r>
        <w:t>i</w:t>
      </w:r>
      <w:proofErr w:type="spellEnd"/>
      <w:r>
        <w:t>)</w:t>
      </w:r>
      <w:r>
        <w:tab/>
        <w:t>nature of the data to be protected;</w:t>
      </w:r>
    </w:p>
    <w:p w:rsidR="004168A5" w:rsidRDefault="001C59B0">
      <w:pPr>
        <w:ind w:left="2568"/>
      </w:pPr>
      <w:r>
        <w:t>(ii)</w:t>
      </w:r>
      <w:r>
        <w:tab/>
        <w:t>harm that might result from a Data Loss Event;</w:t>
      </w:r>
    </w:p>
    <w:p w:rsidR="004168A5" w:rsidRDefault="001C59B0">
      <w:pPr>
        <w:ind w:left="2568"/>
      </w:pPr>
      <w:r>
        <w:t>(iii)</w:t>
      </w:r>
      <w:r>
        <w:tab/>
        <w:t>state of technological development; and</w:t>
      </w:r>
    </w:p>
    <w:p w:rsidR="004168A5" w:rsidRDefault="001C59B0">
      <w:pPr>
        <w:ind w:left="2568"/>
      </w:pPr>
      <w:r>
        <w:t>(iv)</w:t>
      </w:r>
      <w:r>
        <w:tab/>
        <w:t>cost of implementing any measures;</w:t>
      </w:r>
    </w:p>
    <w:p w:rsidR="004168A5" w:rsidRDefault="001C59B0">
      <w:pPr>
        <w:ind w:left="1848"/>
      </w:pPr>
      <w:r>
        <w:t>(c)</w:t>
      </w:r>
      <w:r>
        <w:tab/>
        <w:t>ensure that:</w:t>
      </w:r>
    </w:p>
    <w:p w:rsidR="004168A5" w:rsidRDefault="001C59B0">
      <w:pPr>
        <w:ind w:left="2568"/>
      </w:pPr>
      <w:r>
        <w:t>(</w:t>
      </w:r>
      <w:proofErr w:type="spellStart"/>
      <w:r>
        <w:t>i</w:t>
      </w:r>
      <w:proofErr w:type="spellEnd"/>
      <w:r>
        <w:t>)</w:t>
      </w:r>
      <w:r>
        <w:tab/>
        <w:t>the Processor Personnel do not Process Personal Data except in accordance with the Framework Agreement (and in particular Annex 1 (Processing Personal Data));</w:t>
      </w:r>
    </w:p>
    <w:p w:rsidR="004168A5" w:rsidRDefault="001C59B0">
      <w:pPr>
        <w:ind w:left="2568"/>
      </w:pPr>
      <w:r>
        <w:t>(ii)</w:t>
      </w:r>
      <w:r>
        <w:tab/>
        <w:t>it takes all reasonable steps to ensure the reliability and integrity of any Processor Personnel who have access to the Personal Data and ensure that they:</w:t>
      </w:r>
    </w:p>
    <w:p w:rsidR="004168A5" w:rsidRDefault="004168A5"/>
    <w:p w:rsidR="004168A5" w:rsidRDefault="001C59B0">
      <w:pPr>
        <w:ind w:left="3288"/>
      </w:pPr>
      <w:r>
        <w:t>(A)</w:t>
      </w:r>
      <w:r>
        <w:tab/>
        <w:t>are aware of and comply with the Processor’s duties under this Framework Agreement Schedule 7, Clauses 28 (Data protection), 34 (confidentiality) and 18 (Freedom of Information Act);</w:t>
      </w:r>
    </w:p>
    <w:p w:rsidR="004168A5" w:rsidRDefault="001C59B0">
      <w:pPr>
        <w:ind w:left="3288"/>
      </w:pPr>
      <w:r>
        <w:t>(B)</w:t>
      </w:r>
      <w:r>
        <w:tab/>
        <w:t>are subject to appropriate confidentiality undertakings with the Processor or any Sub-processor;</w:t>
      </w:r>
    </w:p>
    <w:p w:rsidR="004168A5" w:rsidRDefault="001C59B0">
      <w:pPr>
        <w:ind w:left="3288"/>
      </w:pPr>
      <w:r>
        <w:t>(C)</w:t>
      </w:r>
      <w:r>
        <w:tab/>
        <w:t>are informed of the confidential nature of the Personal Data and do not publish, disclose or divulge any of the Personal Data to any third party unless directed in writing to do so by the Controller or as otherwise permitted by the Framework Agreement; and</w:t>
      </w:r>
    </w:p>
    <w:p w:rsidR="004168A5" w:rsidRDefault="001C59B0">
      <w:pPr>
        <w:ind w:left="3288"/>
      </w:pPr>
      <w:r>
        <w:t>(D)</w:t>
      </w:r>
      <w:r>
        <w:tab/>
        <w:t xml:space="preserve">have undergone adequate training in the use, care, protection and handling of Personal Data; </w:t>
      </w:r>
    </w:p>
    <w:p w:rsidR="004168A5" w:rsidRDefault="001C59B0">
      <w:pPr>
        <w:ind w:left="1848"/>
      </w:pPr>
      <w:r>
        <w:t>(d)</w:t>
      </w:r>
      <w:r>
        <w:tab/>
        <w:t>not transfer Personal Data outside of the EU unless the prior written consent of the Controller has been obtained and the following conditions are fulfilled:</w:t>
      </w:r>
    </w:p>
    <w:p w:rsidR="004168A5" w:rsidRDefault="001C59B0">
      <w:pPr>
        <w:ind w:left="2568"/>
      </w:pPr>
      <w:r>
        <w:t>(</w:t>
      </w:r>
      <w:proofErr w:type="spellStart"/>
      <w:r>
        <w:t>i</w:t>
      </w:r>
      <w:proofErr w:type="spellEnd"/>
      <w:r>
        <w:t>)</w:t>
      </w:r>
      <w:r>
        <w:tab/>
        <w:t>the Controller or the Processor has provided appropriate safeguards in relation to the transfer (whether in accordance with UK GDPR Article 46 or LED Article 37) as determined by the Controller;</w:t>
      </w:r>
    </w:p>
    <w:p w:rsidR="004168A5" w:rsidRDefault="001C59B0">
      <w:pPr>
        <w:ind w:left="2568"/>
      </w:pPr>
      <w:r>
        <w:lastRenderedPageBreak/>
        <w:t>(ii)</w:t>
      </w:r>
      <w:r>
        <w:tab/>
        <w:t>the Data Subject has enforceable rights and effective legal remedies;</w:t>
      </w:r>
    </w:p>
    <w:p w:rsidR="004168A5" w:rsidRDefault="001C59B0">
      <w:pPr>
        <w:ind w:left="2568"/>
      </w:pPr>
      <w:r>
        <w:t>(iii)</w:t>
      </w:r>
      <w: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4168A5" w:rsidRDefault="001C59B0">
      <w:pPr>
        <w:ind w:left="2568"/>
      </w:pPr>
      <w:r>
        <w:t>(iv)</w:t>
      </w:r>
      <w:r>
        <w:tab/>
        <w:t>the Processor complies with any reasonable instructions notified to it in advance by the Controller with respect to the Processing of the Personal Data; and</w:t>
      </w:r>
    </w:p>
    <w:p w:rsidR="004168A5" w:rsidRDefault="001C59B0">
      <w:pPr>
        <w:ind w:left="1848"/>
      </w:pPr>
      <w:r>
        <w:t>(e)</w:t>
      </w:r>
      <w:r>
        <w:tab/>
        <w:t>at the written direction of the Controller, delete or return Personal Data (and any copies of it) to the Controller on termination of the Framework Agreement unless the Processor is required by Law to retain the Personal Data.</w:t>
      </w:r>
    </w:p>
    <w:p w:rsidR="004168A5" w:rsidRDefault="001C59B0">
      <w:r>
        <w:t>6.</w:t>
      </w:r>
      <w:r>
        <w:tab/>
        <w:t>Subject to paragraph 7 of this Framework Agreement Schedule 7, the Processor shall notify the Controller immediately if in relation to it Processing Personal Data under or in connection with the Framework Agreement it:</w:t>
      </w:r>
    </w:p>
    <w:p w:rsidR="004168A5" w:rsidRDefault="001C59B0">
      <w:pPr>
        <w:ind w:left="1848"/>
      </w:pPr>
      <w:r>
        <w:t>(a)</w:t>
      </w:r>
      <w:r>
        <w:tab/>
        <w:t>receives a Data Subject Request (or purported Data Subject Request);</w:t>
      </w:r>
    </w:p>
    <w:p w:rsidR="004168A5" w:rsidRDefault="001C59B0">
      <w:pPr>
        <w:ind w:left="1848"/>
      </w:pPr>
      <w:r>
        <w:t>(b)</w:t>
      </w:r>
      <w:r>
        <w:tab/>
        <w:t xml:space="preserve">receives a request to rectify, block or erase any Personal Data; </w:t>
      </w:r>
    </w:p>
    <w:p w:rsidR="004168A5" w:rsidRDefault="001C59B0">
      <w:pPr>
        <w:ind w:left="1848"/>
      </w:pPr>
      <w:r>
        <w:t>(c)</w:t>
      </w:r>
      <w:r>
        <w:tab/>
        <w:t xml:space="preserve">receives any other request, complaint or communication relating to either Party's obligations under the Data Protection Legislation; </w:t>
      </w:r>
    </w:p>
    <w:p w:rsidR="004168A5" w:rsidRDefault="001C59B0">
      <w:pPr>
        <w:ind w:left="1848"/>
      </w:pPr>
      <w:r>
        <w:t>(d)</w:t>
      </w:r>
      <w:r>
        <w:tab/>
        <w:t xml:space="preserve">receives any communication from the Information Commissioner or any other regulatory authority in connection with Personal Data Processed under the Framework Agreement; </w:t>
      </w:r>
    </w:p>
    <w:p w:rsidR="004168A5" w:rsidRDefault="001C59B0">
      <w:pPr>
        <w:ind w:left="1848"/>
      </w:pPr>
      <w:r>
        <w:t>(e)</w:t>
      </w:r>
      <w:r>
        <w:tab/>
        <w:t>receives a request from any third Party for disclosure of Personal Data where compliance with such request is required or purported to be required by Law; or</w:t>
      </w:r>
    </w:p>
    <w:p w:rsidR="004168A5" w:rsidRDefault="001C59B0">
      <w:pPr>
        <w:ind w:left="1848"/>
      </w:pPr>
      <w:r>
        <w:t>(f)</w:t>
      </w:r>
      <w:r>
        <w:tab/>
        <w:t>becomes aware of a Data Loss Event.</w:t>
      </w:r>
    </w:p>
    <w:p w:rsidR="004168A5" w:rsidRDefault="004168A5"/>
    <w:p w:rsidR="004168A5" w:rsidRDefault="001C59B0">
      <w:r>
        <w:t>7.</w:t>
      </w:r>
      <w:r>
        <w:tab/>
        <w:t xml:space="preserve">The Processor’s obligation to notify under paragraph 6 of this Framework Agreement Schedule 7 shall include the provision of further information to the Controller in phases, as details become available. </w:t>
      </w:r>
    </w:p>
    <w:p w:rsidR="004168A5" w:rsidRDefault="001C59B0">
      <w:r>
        <w:t>8.</w:t>
      </w:r>
      <w:r>
        <w:tab/>
      </w:r>
      <w:proofErr w:type="gramStart"/>
      <w:r>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Framework Agreement Schedule 7 (and insofar as possible within the timescales reasonably required by the Controller) including by immediately providing:</w:t>
      </w:r>
    </w:p>
    <w:p w:rsidR="004168A5" w:rsidRDefault="001C59B0">
      <w:pPr>
        <w:ind w:left="1848"/>
      </w:pPr>
      <w:r>
        <w:t>(a)</w:t>
      </w:r>
      <w:r>
        <w:tab/>
        <w:t>the Controller with full details and copies of the complaint, communication or request;</w:t>
      </w:r>
    </w:p>
    <w:p w:rsidR="004168A5" w:rsidRDefault="001C59B0">
      <w:pPr>
        <w:ind w:left="1848"/>
      </w:pPr>
      <w:r>
        <w:lastRenderedPageBreak/>
        <w:t>(b)</w:t>
      </w:r>
      <w:r>
        <w:tab/>
        <w:t xml:space="preserve">such assistance as is reasonably requested by the Controller to enable it to comply with a Data Subject Request within the relevant timescales set out in the Data Protection Legislation; </w:t>
      </w:r>
    </w:p>
    <w:p w:rsidR="004168A5" w:rsidRDefault="001C59B0">
      <w:pPr>
        <w:ind w:left="1848"/>
      </w:pPr>
      <w:r>
        <w:t>(c)</w:t>
      </w:r>
      <w:r>
        <w:tab/>
        <w:t xml:space="preserve">the Controller, at its request, with any Personal Data it holds in relation to a Data Subject; </w:t>
      </w:r>
    </w:p>
    <w:p w:rsidR="004168A5" w:rsidRDefault="001C59B0">
      <w:pPr>
        <w:ind w:left="1848"/>
      </w:pPr>
      <w:r>
        <w:t>(d)</w:t>
      </w:r>
      <w:r>
        <w:tab/>
        <w:t>assistance as requested by the Controller following any Data Loss Event; and/or</w:t>
      </w:r>
    </w:p>
    <w:p w:rsidR="004168A5" w:rsidRDefault="001C59B0">
      <w:pPr>
        <w:ind w:left="1848"/>
      </w:pPr>
      <w:r>
        <w:t>(e)</w:t>
      </w:r>
      <w:r>
        <w:tab/>
        <w:t>assistance as requested by the Controller with respect to any request from the Information Commissioner’s Office, or any consultation by the Controller with the Information Commissioner's Office.</w:t>
      </w:r>
    </w:p>
    <w:p w:rsidR="004168A5" w:rsidRDefault="001C59B0">
      <w:r>
        <w:t>9.</w:t>
      </w:r>
      <w:r>
        <w:tab/>
        <w:t>The Processor shall maintain complete and accurate records and information to demonstrate its compliance with this Framework Agreement Schedule 7. This requirement does not apply where the Processor employs fewer than 250 staff, unless:</w:t>
      </w:r>
    </w:p>
    <w:p w:rsidR="004168A5" w:rsidRDefault="001C59B0">
      <w:pPr>
        <w:ind w:left="1848"/>
      </w:pPr>
      <w:r>
        <w:t>(a)</w:t>
      </w:r>
      <w:r>
        <w:tab/>
        <w:t>the Controller determines that the Processing is not occasional;</w:t>
      </w:r>
    </w:p>
    <w:p w:rsidR="004168A5" w:rsidRDefault="001C59B0">
      <w:pPr>
        <w:ind w:left="1848"/>
      </w:pPr>
      <w:r>
        <w:t>(b)</w:t>
      </w:r>
      <w:r>
        <w:tab/>
        <w:t>the Controller determines the Processing includes special categories of data as referred to in Article 9(1) of the UK GDPR or Personal Data relating to criminal convictions and offences referred to in Article 10 of the UK GDPR; or</w:t>
      </w:r>
    </w:p>
    <w:p w:rsidR="004168A5" w:rsidRDefault="001C59B0">
      <w:pPr>
        <w:ind w:left="1848"/>
      </w:pPr>
      <w:r>
        <w:t>(c)</w:t>
      </w:r>
      <w:r>
        <w:tab/>
        <w:t>the Controller determines that the Processing is likely to result in a risk to the rights and freedoms of Data Subjects.</w:t>
      </w:r>
    </w:p>
    <w:p w:rsidR="004168A5" w:rsidRDefault="001C59B0">
      <w:r>
        <w:t>10.</w:t>
      </w:r>
      <w:r>
        <w:tab/>
        <w:t>The Processor shall allow for audits of its Data Processing activity by the Controller or the Controller’s designated auditor.</w:t>
      </w:r>
    </w:p>
    <w:p w:rsidR="004168A5" w:rsidRDefault="001C59B0">
      <w:r>
        <w:t>11.</w:t>
      </w:r>
      <w:r>
        <w:tab/>
        <w:t xml:space="preserve">The Parties shall designate a Data Protection Officer if required by the Data Protection Legislation. </w:t>
      </w:r>
    </w:p>
    <w:p w:rsidR="004168A5" w:rsidRDefault="001C59B0">
      <w:r>
        <w:t>12.</w:t>
      </w:r>
      <w:r>
        <w:tab/>
        <w:t>Before allowing any Sub-processor to Process any Personal Data related to the Framework Agreement, the Processor must:</w:t>
      </w:r>
    </w:p>
    <w:p w:rsidR="004168A5" w:rsidRDefault="001C59B0">
      <w:pPr>
        <w:ind w:left="1848"/>
      </w:pPr>
      <w:r>
        <w:t>(a)</w:t>
      </w:r>
      <w:r>
        <w:tab/>
        <w:t xml:space="preserve">notify the Controller in writing of the intended </w:t>
      </w:r>
      <w:proofErr w:type="spellStart"/>
      <w:r>
        <w:t>Subprocessor</w:t>
      </w:r>
      <w:proofErr w:type="spellEnd"/>
      <w:r>
        <w:t xml:space="preserve"> and Processing;</w:t>
      </w:r>
    </w:p>
    <w:p w:rsidR="004168A5" w:rsidRDefault="001C59B0">
      <w:pPr>
        <w:ind w:left="1848"/>
      </w:pPr>
      <w:r>
        <w:t>(b)</w:t>
      </w:r>
      <w:r>
        <w:tab/>
        <w:t xml:space="preserve">obtain the written consent of the Controller; </w:t>
      </w:r>
    </w:p>
    <w:p w:rsidR="004168A5" w:rsidRDefault="001C59B0">
      <w:pPr>
        <w:ind w:left="1848"/>
      </w:pPr>
      <w:r>
        <w:t>(c)</w:t>
      </w:r>
      <w:r>
        <w:tab/>
        <w:t xml:space="preserve">enter into a written agreement with the </w:t>
      </w:r>
      <w:proofErr w:type="spellStart"/>
      <w:r>
        <w:t>Subprocessor</w:t>
      </w:r>
      <w:proofErr w:type="spellEnd"/>
      <w:r>
        <w:t xml:space="preserve"> which give effect to the terms set out in this Framework Agreement Schedule 7 such that they apply to the </w:t>
      </w:r>
      <w:proofErr w:type="spellStart"/>
      <w:r>
        <w:t>Subprocessor</w:t>
      </w:r>
      <w:proofErr w:type="spellEnd"/>
      <w:r>
        <w:t>; and</w:t>
      </w:r>
    </w:p>
    <w:p w:rsidR="004168A5" w:rsidRDefault="001C59B0">
      <w:pPr>
        <w:ind w:left="1848"/>
      </w:pPr>
      <w:r>
        <w:t>(d)</w:t>
      </w:r>
      <w:r>
        <w:tab/>
        <w:t xml:space="preserve">provide the Controller with such information regarding the </w:t>
      </w:r>
      <w:proofErr w:type="spellStart"/>
      <w:r>
        <w:t>Subprocessor</w:t>
      </w:r>
      <w:proofErr w:type="spellEnd"/>
      <w:r>
        <w:t xml:space="preserve"> as the Controller may reasonably require.</w:t>
      </w:r>
    </w:p>
    <w:p w:rsidR="004168A5" w:rsidRDefault="001C59B0">
      <w:r>
        <w:lastRenderedPageBreak/>
        <w:t>13.</w:t>
      </w:r>
      <w:r>
        <w:tab/>
        <w:t xml:space="preserve">The Processor shall remain fully liable for all acts or omissions of any of its </w:t>
      </w:r>
      <w:proofErr w:type="spellStart"/>
      <w:r>
        <w:t>Subprocessors</w:t>
      </w:r>
      <w:proofErr w:type="spellEnd"/>
      <w:r>
        <w:t>.</w:t>
      </w:r>
    </w:p>
    <w:p w:rsidR="004168A5" w:rsidRDefault="001C59B0">
      <w:r>
        <w:t>14.</w:t>
      </w:r>
      <w:r>
        <w:tab/>
        <w:t>CCS may, at any time on not less than 30 Working Days’ notice, revise this Framework Agreement Schedule 7 by replacing it with any applicable controller to processor standard clauses or similar terms forming part of an applicable certification scheme (which shall apply when incorporated by attachment to the Framework Agreement).</w:t>
      </w:r>
    </w:p>
    <w:p w:rsidR="004168A5" w:rsidRDefault="001C59B0">
      <w:r>
        <w:t>15.</w:t>
      </w:r>
      <w:r>
        <w:tab/>
        <w:t xml:space="preserve">The Parties agree to take account of any guidance issued by the Information Commissioner’s Office. CCS may on not less than 30 Working Days’ notice to the Supplier amend the Framework Agreement to ensure that it complies with any guidance issued by the Information Commissioner’s Office. </w:t>
      </w:r>
    </w:p>
    <w:p w:rsidR="004168A5" w:rsidRDefault="004168A5">
      <w:pPr>
        <w:spacing w:after="837"/>
        <w:ind w:right="14"/>
      </w:pPr>
    </w:p>
    <w:p w:rsidR="004168A5" w:rsidRDefault="001C59B0">
      <w:pPr>
        <w:pStyle w:val="Heading2"/>
        <w:spacing w:after="260"/>
        <w:ind w:left="1113" w:firstLine="0"/>
      </w:pPr>
      <w:r>
        <w:t xml:space="preserve">Annex 1: Processing Personal Data </w:t>
      </w:r>
    </w:p>
    <w:p w:rsidR="004168A5" w:rsidRDefault="001C59B0">
      <w:pPr>
        <w:spacing w:after="0"/>
        <w:ind w:right="14"/>
      </w:pPr>
      <w:r>
        <w:t xml:space="preserve">This Annex shall be completed by the Controller, who may take account of the view of the </w:t>
      </w:r>
    </w:p>
    <w:p w:rsidR="004168A5" w:rsidRDefault="001C59B0">
      <w:pPr>
        <w:spacing w:after="345"/>
        <w:ind w:right="14"/>
      </w:pPr>
      <w:r>
        <w:t xml:space="preserve">Processors, however the final decision as to the content of this Annex shall be with the Buyer at its absolute discretion. </w:t>
      </w:r>
    </w:p>
    <w:p w:rsidR="00F44DE2" w:rsidRDefault="001C59B0" w:rsidP="00F44DE2">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w:t>
      </w:r>
      <w:r w:rsidR="00F44DE2" w:rsidRPr="00D11987">
        <w:rPr>
          <w:color w:val="FF0000"/>
        </w:rPr>
        <w:t>REDACTED TEXT under FOIA Section 40, Personal Information</w:t>
      </w:r>
      <w:r w:rsidR="00F44DE2">
        <w:t xml:space="preserve"> </w:t>
      </w:r>
    </w:p>
    <w:p w:rsidR="00F44DE2" w:rsidRDefault="001C59B0" w:rsidP="00F44DE2">
      <w:pPr>
        <w:tabs>
          <w:tab w:val="center" w:pos="1272"/>
          <w:tab w:val="center" w:pos="5964"/>
        </w:tabs>
        <w:spacing w:after="355"/>
        <w:ind w:left="0" w:firstLine="0"/>
      </w:pPr>
      <w:r>
        <w:t>1.2     The contact details of the Supplier’s Data Protection Officer are</w:t>
      </w:r>
      <w:r>
        <w:rPr>
          <w:color w:val="FF0000"/>
        </w:rPr>
        <w:t xml:space="preserve">: </w:t>
      </w:r>
      <w:r w:rsidR="00F44DE2" w:rsidRPr="00D11987">
        <w:rPr>
          <w:color w:val="FF0000"/>
        </w:rPr>
        <w:t>REDACTED TEXT under FOIA Section 40, Personal Information</w:t>
      </w:r>
      <w:r w:rsidR="00F44DE2">
        <w:t xml:space="preserve"> </w:t>
      </w:r>
    </w:p>
    <w:p w:rsidR="004168A5" w:rsidRDefault="001C59B0" w:rsidP="00F44DE2">
      <w:pPr>
        <w:tabs>
          <w:tab w:val="center" w:pos="1272"/>
          <w:tab w:val="center" w:pos="5964"/>
        </w:tabs>
        <w:spacing w:after="355"/>
        <w:ind w:left="0" w:firstLine="0"/>
      </w:pPr>
      <w:r>
        <w:t xml:space="preserve">1.3 </w:t>
      </w:r>
      <w:r>
        <w:tab/>
        <w:t xml:space="preserve">The Processor shall comply with any further written instructions with respect to Processing by the Controller. </w:t>
      </w:r>
      <w:bookmarkStart w:id="37" w:name="_GoBack"/>
      <w:bookmarkEnd w:id="37"/>
    </w:p>
    <w:p w:rsidR="004168A5" w:rsidRDefault="001C59B0">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Style w:val="af8"/>
        <w:tblW w:w="9705" w:type="dxa"/>
        <w:tblInd w:w="1043" w:type="dxa"/>
        <w:tblLayout w:type="fixed"/>
        <w:tblLook w:val="0400" w:firstRow="0" w:lastRow="0" w:firstColumn="0" w:lastColumn="0" w:noHBand="0" w:noVBand="1"/>
      </w:tblPr>
      <w:tblGrid>
        <w:gridCol w:w="2995"/>
        <w:gridCol w:w="6710"/>
      </w:tblGrid>
      <w:tr w:rsidR="004168A5">
        <w:trPr>
          <w:trHeight w:val="526"/>
        </w:trPr>
        <w:tc>
          <w:tcPr>
            <w:tcW w:w="2995"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4168A5" w:rsidRDefault="001C59B0">
            <w:pPr>
              <w:spacing w:after="0" w:line="256" w:lineRule="auto"/>
              <w:ind w:left="2" w:firstLine="0"/>
            </w:pPr>
            <w:r>
              <w:rPr>
                <w:b/>
              </w:rPr>
              <w:t>Description</w:t>
            </w:r>
            <w:r>
              <w:t xml:space="preserve"> </w:t>
            </w:r>
          </w:p>
        </w:tc>
        <w:tc>
          <w:tcPr>
            <w:tcW w:w="671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4168A5" w:rsidRDefault="001C59B0">
            <w:pPr>
              <w:spacing w:after="0" w:line="256" w:lineRule="auto"/>
              <w:ind w:left="0" w:firstLine="0"/>
            </w:pPr>
            <w:r>
              <w:rPr>
                <w:b/>
              </w:rPr>
              <w:t>Details</w:t>
            </w:r>
            <w:r>
              <w:t xml:space="preserve"> </w:t>
            </w:r>
          </w:p>
        </w:tc>
      </w:tr>
      <w:tr w:rsidR="004168A5">
        <w:trPr>
          <w:trHeight w:val="2575"/>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4168A5" w:rsidRDefault="001C59B0">
            <w:pPr>
              <w:spacing w:after="0" w:line="256" w:lineRule="auto"/>
              <w:ind w:left="2" w:firstLine="0"/>
            </w:pPr>
            <w:r>
              <w:t xml:space="preserve">Identity of Controller for each Category of Personal Data </w:t>
            </w:r>
          </w:p>
        </w:tc>
        <w:tc>
          <w:tcPr>
            <w:tcW w:w="671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rsidR="004168A5" w:rsidRDefault="001C59B0">
            <w:pPr>
              <w:spacing w:after="1" w:line="285" w:lineRule="auto"/>
              <w:ind w:left="0" w:firstLine="0"/>
            </w:pPr>
            <w:r>
              <w:t xml:space="preserve">The Parties acknowledge that for the purposes of the Data Protection Legislation, the </w:t>
            </w:r>
            <w:r>
              <w:rPr>
                <w:b/>
              </w:rPr>
              <w:t>Buyer</w:t>
            </w:r>
            <w:r>
              <w:t xml:space="preserve"> is the </w:t>
            </w:r>
            <w:r>
              <w:rPr>
                <w:b/>
              </w:rPr>
              <w:t>Controller</w:t>
            </w:r>
            <w:r>
              <w:t xml:space="preserve"> and the </w:t>
            </w:r>
            <w:r>
              <w:rPr>
                <w:b/>
              </w:rPr>
              <w:t>Supplier</w:t>
            </w:r>
            <w:r>
              <w:t xml:space="preserve"> is the </w:t>
            </w:r>
            <w:r>
              <w:rPr>
                <w:b/>
              </w:rPr>
              <w:t>Processor</w:t>
            </w:r>
            <w:r>
              <w:t xml:space="preserve"> in accordance with paragraph 2 to paragraph 16 of the following Personal Data: </w:t>
            </w:r>
          </w:p>
          <w:p w:rsidR="004168A5" w:rsidRDefault="001C59B0">
            <w:pPr>
              <w:spacing w:after="319" w:line="256" w:lineRule="auto"/>
              <w:ind w:left="720" w:firstLine="0"/>
            </w:pPr>
            <w:r>
              <w:t>Names, usernames, and other account information required for the access and use of the Supplier’s service (‘</w:t>
            </w:r>
            <w:proofErr w:type="spellStart"/>
            <w:r>
              <w:t>Hardenize</w:t>
            </w:r>
            <w:proofErr w:type="spellEnd"/>
            <w:r>
              <w:t>’)</w:t>
            </w:r>
          </w:p>
        </w:tc>
      </w:tr>
      <w:tr w:rsidR="004168A5">
        <w:trPr>
          <w:trHeight w:val="984"/>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4168A5" w:rsidRDefault="001C59B0">
            <w:pPr>
              <w:spacing w:after="0" w:line="256" w:lineRule="auto"/>
              <w:ind w:left="5" w:firstLine="0"/>
            </w:pPr>
            <w:r>
              <w:lastRenderedPageBreak/>
              <w:t xml:space="preserve">Duration of the Processing </w:t>
            </w:r>
          </w:p>
        </w:tc>
        <w:tc>
          <w:tcPr>
            <w:tcW w:w="671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rsidR="004168A5" w:rsidRDefault="001C59B0">
            <w:pPr>
              <w:spacing w:after="1" w:line="256" w:lineRule="auto"/>
              <w:ind w:left="0" w:firstLine="0"/>
              <w:jc w:val="both"/>
            </w:pPr>
            <w:r>
              <w:t>For as long as staff require access to the service, or until the end of the contract, whichever is sooner.</w:t>
            </w:r>
          </w:p>
        </w:tc>
      </w:tr>
      <w:tr w:rsidR="004168A5">
        <w:trPr>
          <w:trHeight w:val="2575"/>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4168A5" w:rsidRDefault="001C59B0">
            <w:pPr>
              <w:spacing w:after="0" w:line="256" w:lineRule="auto"/>
              <w:ind w:left="5" w:firstLine="0"/>
            </w:pPr>
            <w:r>
              <w:t xml:space="preserve">Nature and purposes of the Processing </w:t>
            </w:r>
          </w:p>
        </w:tc>
        <w:tc>
          <w:tcPr>
            <w:tcW w:w="671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rsidR="004168A5" w:rsidRDefault="001C59B0">
            <w:pPr>
              <w:spacing w:after="1" w:line="240" w:lineRule="auto"/>
              <w:ind w:left="0" w:firstLine="0"/>
              <w:jc w:val="both"/>
              <w:rPr>
                <w:i/>
              </w:rPr>
            </w:pPr>
            <w:r>
              <w:t>Personal data is being shared to enable access, account creation, and use of the Supplier’s service (‘</w:t>
            </w:r>
            <w:proofErr w:type="spellStart"/>
            <w:r>
              <w:t>Hardenize</w:t>
            </w:r>
            <w:proofErr w:type="spellEnd"/>
            <w:r>
              <w:t>’)</w:t>
            </w:r>
          </w:p>
        </w:tc>
      </w:tr>
      <w:tr w:rsidR="004168A5">
        <w:trPr>
          <w:trHeight w:val="879"/>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4168A5" w:rsidRDefault="001C59B0">
            <w:pPr>
              <w:spacing w:after="0" w:line="256" w:lineRule="auto"/>
              <w:ind w:left="5" w:firstLine="0"/>
            </w:pPr>
            <w:r>
              <w:t xml:space="preserve">Type of Personal Data </w:t>
            </w:r>
          </w:p>
        </w:tc>
        <w:tc>
          <w:tcPr>
            <w:tcW w:w="671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rsidR="004168A5" w:rsidRDefault="001C59B0">
            <w:pPr>
              <w:spacing w:after="1" w:line="256" w:lineRule="auto"/>
              <w:ind w:left="0" w:firstLine="0"/>
              <w:jc w:val="both"/>
            </w:pPr>
            <w:r>
              <w:t>Names, usernames</w:t>
            </w:r>
          </w:p>
        </w:tc>
      </w:tr>
      <w:tr w:rsidR="004168A5">
        <w:trPr>
          <w:trHeight w:val="879"/>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4168A5" w:rsidRDefault="001C59B0">
            <w:pPr>
              <w:spacing w:after="0" w:line="256" w:lineRule="auto"/>
              <w:ind w:left="5" w:firstLine="0"/>
            </w:pPr>
            <w:r>
              <w:t xml:space="preserve">Categories of Data Subject </w:t>
            </w:r>
          </w:p>
        </w:tc>
        <w:tc>
          <w:tcPr>
            <w:tcW w:w="671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rsidR="004168A5" w:rsidRDefault="001C59B0">
            <w:pPr>
              <w:spacing w:after="1" w:line="259" w:lineRule="auto"/>
              <w:ind w:left="0" w:firstLine="0"/>
              <w:rPr>
                <w:i/>
              </w:rPr>
            </w:pPr>
            <w:r>
              <w:t>Cabinet Office (CDDO) Staff</w:t>
            </w:r>
          </w:p>
        </w:tc>
      </w:tr>
      <w:tr w:rsidR="004168A5">
        <w:trPr>
          <w:trHeight w:val="879"/>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4168A5" w:rsidRDefault="001C59B0">
            <w:pPr>
              <w:spacing w:after="26" w:line="256" w:lineRule="auto"/>
              <w:ind w:left="5" w:firstLine="0"/>
            </w:pPr>
            <w:r>
              <w:t xml:space="preserve">Plan for return and destruction of the data </w:t>
            </w:r>
          </w:p>
          <w:p w:rsidR="004168A5" w:rsidRDefault="001C59B0">
            <w:pPr>
              <w:spacing w:after="0" w:line="256" w:lineRule="auto"/>
              <w:ind w:left="5" w:firstLine="0"/>
            </w:pPr>
            <w:r>
              <w:t xml:space="preserve">once the Processing is complete UNLESS requirement under Union or Member State law to preserve that type of data </w:t>
            </w:r>
          </w:p>
        </w:tc>
        <w:tc>
          <w:tcPr>
            <w:tcW w:w="671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rsidR="004168A5" w:rsidRDefault="001C59B0">
            <w:pPr>
              <w:spacing w:after="1" w:line="256" w:lineRule="auto"/>
              <w:ind w:left="0" w:firstLine="0"/>
              <w:jc w:val="both"/>
            </w:pPr>
            <w:r>
              <w:t>Personal data of Cabinet Office staff should be deleted at the end of the contract, or when staff use of the service is no longer required, whichever is sooner.</w:t>
            </w:r>
          </w:p>
        </w:tc>
      </w:tr>
    </w:tbl>
    <w:p w:rsidR="004168A5" w:rsidRDefault="001C59B0">
      <w:pPr>
        <w:spacing w:after="0" w:line="256" w:lineRule="auto"/>
        <w:ind w:left="0" w:firstLine="0"/>
        <w:jc w:val="both"/>
      </w:pPr>
      <w:r>
        <w:t xml:space="preserve"> </w:t>
      </w:r>
    </w:p>
    <w:p w:rsidR="004168A5" w:rsidRDefault="001C59B0">
      <w:pPr>
        <w:spacing w:after="0" w:line="256" w:lineRule="auto"/>
        <w:ind w:left="0" w:firstLine="0"/>
        <w:jc w:val="both"/>
      </w:pPr>
      <w:r>
        <w:t xml:space="preserve"> .</w:t>
      </w:r>
    </w:p>
    <w:sectPr w:rsidR="004168A5">
      <w:footerReference w:type="default" r:id="rId34"/>
      <w:pgSz w:w="11921" w:h="16841"/>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370" w:rsidRDefault="00124370">
      <w:pPr>
        <w:spacing w:after="0" w:line="240" w:lineRule="auto"/>
      </w:pPr>
      <w:r>
        <w:separator/>
      </w:r>
    </w:p>
  </w:endnote>
  <w:endnote w:type="continuationSeparator" w:id="0">
    <w:p w:rsidR="00124370" w:rsidRDefault="0012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51" w:rsidRDefault="00874851">
    <w:pPr>
      <w:spacing w:after="0" w:line="256" w:lineRule="auto"/>
      <w:ind w:left="0" w:right="-3" w:firstLine="0"/>
      <w:jc w:val="right"/>
    </w:pPr>
    <w:r>
      <w:fldChar w:fldCharType="begin"/>
    </w:r>
    <w:r>
      <w:instrText>PAGE</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370" w:rsidRDefault="00124370">
      <w:pPr>
        <w:spacing w:after="0" w:line="240" w:lineRule="auto"/>
      </w:pPr>
      <w:r>
        <w:separator/>
      </w:r>
    </w:p>
  </w:footnote>
  <w:footnote w:type="continuationSeparator" w:id="0">
    <w:p w:rsidR="00124370" w:rsidRDefault="00124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FB3"/>
    <w:multiLevelType w:val="multilevel"/>
    <w:tmpl w:val="545A7038"/>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 w15:restartNumberingAfterBreak="0">
    <w:nsid w:val="096C1B1B"/>
    <w:multiLevelType w:val="multilevel"/>
    <w:tmpl w:val="3FA2ABC4"/>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9C863B1"/>
    <w:multiLevelType w:val="multilevel"/>
    <w:tmpl w:val="81D8B7A8"/>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145F3DC3"/>
    <w:multiLevelType w:val="multilevel"/>
    <w:tmpl w:val="6572510C"/>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4" w15:restartNumberingAfterBreak="0">
    <w:nsid w:val="17B246A6"/>
    <w:multiLevelType w:val="multilevel"/>
    <w:tmpl w:val="387664B4"/>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18825CA1"/>
    <w:multiLevelType w:val="multilevel"/>
    <w:tmpl w:val="A7D87DA6"/>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23EC4129"/>
    <w:multiLevelType w:val="multilevel"/>
    <w:tmpl w:val="F4D07D5A"/>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247B34B4"/>
    <w:multiLevelType w:val="multilevel"/>
    <w:tmpl w:val="587C00E4"/>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8" w15:restartNumberingAfterBreak="0">
    <w:nsid w:val="2C644631"/>
    <w:multiLevelType w:val="multilevel"/>
    <w:tmpl w:val="2F1EF09C"/>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9" w15:restartNumberingAfterBreak="0">
    <w:nsid w:val="34945BE2"/>
    <w:multiLevelType w:val="multilevel"/>
    <w:tmpl w:val="75106FAA"/>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10" w15:restartNumberingAfterBreak="0">
    <w:nsid w:val="37AA3768"/>
    <w:multiLevelType w:val="multilevel"/>
    <w:tmpl w:val="B672BB4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3BF9748D"/>
    <w:multiLevelType w:val="multilevel"/>
    <w:tmpl w:val="52FC1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2E13B4"/>
    <w:multiLevelType w:val="multilevel"/>
    <w:tmpl w:val="4D60D1D0"/>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43D17BEA"/>
    <w:multiLevelType w:val="multilevel"/>
    <w:tmpl w:val="1CDEE400"/>
    <w:lvl w:ilvl="0">
      <w:start w:val="1"/>
      <w:numFmt w:val="lowerLetter"/>
      <w:lvlText w:val="(%1)"/>
      <w:lvlJc w:val="left"/>
      <w:pPr>
        <w:ind w:left="2903"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46DF2A3C"/>
    <w:multiLevelType w:val="multilevel"/>
    <w:tmpl w:val="E32A4412"/>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5" w15:restartNumberingAfterBreak="0">
    <w:nsid w:val="4AD108D7"/>
    <w:multiLevelType w:val="multilevel"/>
    <w:tmpl w:val="A3D8FEF6"/>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533D0637"/>
    <w:multiLevelType w:val="multilevel"/>
    <w:tmpl w:val="516E46C8"/>
    <w:lvl w:ilvl="0">
      <w:start w:val="1"/>
      <w:numFmt w:val="decimal"/>
      <w:lvlText w:val="%1."/>
      <w:lvlJc w:val="left"/>
      <w:pPr>
        <w:ind w:left="1440" w:hanging="720"/>
      </w:pPr>
      <w:rPr>
        <w:smallCaps w:val="0"/>
      </w:rPr>
    </w:lvl>
    <w:lvl w:ilvl="1">
      <w:start w:val="1"/>
      <w:numFmt w:val="decimal"/>
      <w:lvlText w:val="%1.%2"/>
      <w:lvlJc w:val="left"/>
      <w:pPr>
        <w:ind w:left="1440" w:hanging="720"/>
      </w:pPr>
      <w:rPr>
        <w:smallCaps w:val="0"/>
      </w:rPr>
    </w:lvl>
    <w:lvl w:ilvl="2">
      <w:start w:val="1"/>
      <w:numFmt w:val="decimal"/>
      <w:lvlText w:val="%1.%2.%3"/>
      <w:lvlJc w:val="left"/>
      <w:pPr>
        <w:ind w:left="2520" w:hanging="1080"/>
      </w:pPr>
      <w:rPr>
        <w:b w:val="0"/>
        <w:smallCaps w:val="0"/>
      </w:rPr>
    </w:lvl>
    <w:lvl w:ilvl="3">
      <w:start w:val="1"/>
      <w:numFmt w:val="decimal"/>
      <w:lvlText w:val="%1.%2.%3.%4"/>
      <w:lvlJc w:val="left"/>
      <w:pPr>
        <w:ind w:left="3600" w:hanging="1080"/>
      </w:pPr>
      <w:rPr>
        <w:smallCaps w:val="0"/>
      </w:rPr>
    </w:lvl>
    <w:lvl w:ilvl="4">
      <w:start w:val="1"/>
      <w:numFmt w:val="lowerLetter"/>
      <w:lvlText w:val="(%5)"/>
      <w:lvlJc w:val="left"/>
      <w:pPr>
        <w:ind w:left="4320" w:hanging="720"/>
      </w:pPr>
      <w:rPr>
        <w:smallCaps w:val="0"/>
      </w:rPr>
    </w:lvl>
    <w:lvl w:ilvl="5">
      <w:start w:val="1"/>
      <w:numFmt w:val="lowerRoman"/>
      <w:lvlText w:val="(%6)"/>
      <w:lvlJc w:val="left"/>
      <w:pPr>
        <w:ind w:left="5040" w:hanging="720"/>
      </w:pPr>
      <w:rPr>
        <w:smallCaps w:val="0"/>
      </w:rPr>
    </w:lvl>
    <w:lvl w:ilvl="6">
      <w:start w:val="1"/>
      <w:numFmt w:val="decimal"/>
      <w:lvlText w:val="(%7)"/>
      <w:lvlJc w:val="left"/>
      <w:pPr>
        <w:ind w:left="5760" w:hanging="720"/>
      </w:pPr>
      <w:rPr>
        <w:smallCaps w:val="0"/>
      </w:rPr>
    </w:lvl>
    <w:lvl w:ilvl="7">
      <w:start w:val="1"/>
      <w:numFmt w:val="decimal"/>
      <w:lvlText w:val=""/>
      <w:lvlJc w:val="left"/>
      <w:pPr>
        <w:ind w:left="5760" w:hanging="720"/>
      </w:pPr>
      <w:rPr>
        <w:smallCaps w:val="0"/>
      </w:rPr>
    </w:lvl>
    <w:lvl w:ilvl="8">
      <w:start w:val="1"/>
      <w:numFmt w:val="decimal"/>
      <w:lvlText w:val=""/>
      <w:lvlJc w:val="left"/>
      <w:pPr>
        <w:ind w:left="5760" w:hanging="720"/>
      </w:pPr>
      <w:rPr>
        <w:smallCaps w:val="0"/>
      </w:rPr>
    </w:lvl>
  </w:abstractNum>
  <w:abstractNum w:abstractNumId="17" w15:restartNumberingAfterBreak="0">
    <w:nsid w:val="560C4F8E"/>
    <w:multiLevelType w:val="multilevel"/>
    <w:tmpl w:val="7032C7E8"/>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58975E87"/>
    <w:multiLevelType w:val="multilevel"/>
    <w:tmpl w:val="39EC6960"/>
    <w:lvl w:ilvl="0">
      <w:start w:val="1"/>
      <w:numFmt w:val="bullet"/>
      <w:lvlText w:val="●"/>
      <w:lvlJc w:val="left"/>
      <w:pPr>
        <w:ind w:left="720" w:hanging="360"/>
      </w:pPr>
      <w:rPr>
        <w:u w:val="none"/>
      </w:rPr>
    </w:lvl>
    <w:lvl w:ilvl="1">
      <w:start w:val="1"/>
      <w:numFmt w:val="bullet"/>
      <w:lvlText w:val="○"/>
      <w:lvlJc w:val="left"/>
      <w:pPr>
        <w:ind w:left="1211"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F45CE0"/>
    <w:multiLevelType w:val="multilevel"/>
    <w:tmpl w:val="7384329E"/>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20" w15:restartNumberingAfterBreak="0">
    <w:nsid w:val="5EF17C13"/>
    <w:multiLevelType w:val="multilevel"/>
    <w:tmpl w:val="7B5E4DC8"/>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640C7233"/>
    <w:multiLevelType w:val="multilevel"/>
    <w:tmpl w:val="C8A027A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03CA5"/>
    <w:multiLevelType w:val="multilevel"/>
    <w:tmpl w:val="8DEC2B56"/>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64E26F4B"/>
    <w:multiLevelType w:val="multilevel"/>
    <w:tmpl w:val="C91CAD88"/>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4" w15:restartNumberingAfterBreak="0">
    <w:nsid w:val="6AC71440"/>
    <w:multiLevelType w:val="multilevel"/>
    <w:tmpl w:val="2C029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C2A6241"/>
    <w:multiLevelType w:val="multilevel"/>
    <w:tmpl w:val="641C234E"/>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6CAA0F8D"/>
    <w:multiLevelType w:val="multilevel"/>
    <w:tmpl w:val="A94664E2"/>
    <w:lvl w:ilvl="0">
      <w:start w:val="10"/>
      <w:numFmt w:val="decimal"/>
      <w:lvlText w:val="%1."/>
      <w:lvlJc w:val="left"/>
      <w:pPr>
        <w:ind w:left="1440" w:hanging="720"/>
      </w:pPr>
      <w:rPr>
        <w:smallCaps w:val="0"/>
      </w:rPr>
    </w:lvl>
    <w:lvl w:ilvl="1">
      <w:start w:val="2"/>
      <w:numFmt w:val="decimal"/>
      <w:lvlText w:val="%1.%2"/>
      <w:lvlJc w:val="left"/>
      <w:pPr>
        <w:ind w:left="1440" w:hanging="720"/>
      </w:pPr>
      <w:rPr>
        <w:smallCaps w:val="0"/>
      </w:rPr>
    </w:lvl>
    <w:lvl w:ilvl="2">
      <w:start w:val="1"/>
      <w:numFmt w:val="decimal"/>
      <w:lvlText w:val="%1.%2.%3"/>
      <w:lvlJc w:val="left"/>
      <w:pPr>
        <w:ind w:left="2520" w:hanging="1080"/>
      </w:pPr>
      <w:rPr>
        <w:b w:val="0"/>
        <w:smallCaps w:val="0"/>
      </w:rPr>
    </w:lvl>
    <w:lvl w:ilvl="3">
      <w:start w:val="1"/>
      <w:numFmt w:val="decimal"/>
      <w:lvlText w:val="%1.%2.%3.%4"/>
      <w:lvlJc w:val="left"/>
      <w:pPr>
        <w:ind w:left="3600" w:hanging="1080"/>
      </w:pPr>
      <w:rPr>
        <w:smallCaps w:val="0"/>
      </w:rPr>
    </w:lvl>
    <w:lvl w:ilvl="4">
      <w:start w:val="1"/>
      <w:numFmt w:val="lowerLetter"/>
      <w:lvlText w:val="(%5)"/>
      <w:lvlJc w:val="left"/>
      <w:pPr>
        <w:ind w:left="4320" w:hanging="720"/>
      </w:pPr>
      <w:rPr>
        <w:smallCaps w:val="0"/>
      </w:rPr>
    </w:lvl>
    <w:lvl w:ilvl="5">
      <w:start w:val="1"/>
      <w:numFmt w:val="lowerRoman"/>
      <w:lvlText w:val="(%6)"/>
      <w:lvlJc w:val="left"/>
      <w:pPr>
        <w:ind w:left="5040" w:hanging="720"/>
      </w:pPr>
      <w:rPr>
        <w:smallCaps w:val="0"/>
      </w:rPr>
    </w:lvl>
    <w:lvl w:ilvl="6">
      <w:start w:val="1"/>
      <w:numFmt w:val="decimal"/>
      <w:lvlText w:val="(%7)"/>
      <w:lvlJc w:val="left"/>
      <w:pPr>
        <w:ind w:left="5760" w:hanging="720"/>
      </w:pPr>
      <w:rPr>
        <w:smallCaps w:val="0"/>
      </w:rPr>
    </w:lvl>
    <w:lvl w:ilvl="7">
      <w:start w:val="1"/>
      <w:numFmt w:val="decimal"/>
      <w:lvlText w:val=""/>
      <w:lvlJc w:val="left"/>
      <w:pPr>
        <w:ind w:left="5760" w:hanging="720"/>
      </w:pPr>
      <w:rPr>
        <w:smallCaps w:val="0"/>
      </w:rPr>
    </w:lvl>
    <w:lvl w:ilvl="8">
      <w:start w:val="1"/>
      <w:numFmt w:val="decimal"/>
      <w:lvlText w:val=""/>
      <w:lvlJc w:val="left"/>
      <w:pPr>
        <w:ind w:left="5760" w:hanging="720"/>
      </w:pPr>
      <w:rPr>
        <w:smallCaps w:val="0"/>
      </w:rPr>
    </w:lvl>
  </w:abstractNum>
  <w:abstractNum w:abstractNumId="27" w15:restartNumberingAfterBreak="0">
    <w:nsid w:val="6F0E3B2D"/>
    <w:multiLevelType w:val="multilevel"/>
    <w:tmpl w:val="EF54F7F6"/>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8" w15:restartNumberingAfterBreak="0">
    <w:nsid w:val="768A6BBB"/>
    <w:multiLevelType w:val="multilevel"/>
    <w:tmpl w:val="814478A2"/>
    <w:lvl w:ilvl="0">
      <w:start w:val="1"/>
      <w:numFmt w:val="decimal"/>
      <w:lvlText w:val="%1."/>
      <w:lvlJc w:val="left"/>
      <w:pPr>
        <w:ind w:left="1440" w:hanging="720"/>
      </w:pPr>
      <w:rPr>
        <w:smallCaps w:val="0"/>
      </w:rPr>
    </w:lvl>
    <w:lvl w:ilvl="1">
      <w:start w:val="1"/>
      <w:numFmt w:val="decimal"/>
      <w:lvlText w:val="%1.%2"/>
      <w:lvlJc w:val="left"/>
      <w:pPr>
        <w:ind w:left="1440" w:hanging="720"/>
      </w:pPr>
      <w:rPr>
        <w:smallCaps w:val="0"/>
      </w:rPr>
    </w:lvl>
    <w:lvl w:ilvl="2">
      <w:start w:val="1"/>
      <w:numFmt w:val="decimal"/>
      <w:lvlText w:val="%1.%2.%3"/>
      <w:lvlJc w:val="left"/>
      <w:pPr>
        <w:ind w:left="2520" w:hanging="1080"/>
      </w:pPr>
      <w:rPr>
        <w:b w:val="0"/>
        <w:smallCaps w:val="0"/>
      </w:rPr>
    </w:lvl>
    <w:lvl w:ilvl="3">
      <w:start w:val="1"/>
      <w:numFmt w:val="decimal"/>
      <w:lvlText w:val="%1.%2.%3.%4"/>
      <w:lvlJc w:val="left"/>
      <w:pPr>
        <w:ind w:left="3600" w:hanging="1080"/>
      </w:pPr>
      <w:rPr>
        <w:smallCaps w:val="0"/>
      </w:rPr>
    </w:lvl>
    <w:lvl w:ilvl="4">
      <w:start w:val="1"/>
      <w:numFmt w:val="lowerLetter"/>
      <w:lvlText w:val="(%5)"/>
      <w:lvlJc w:val="left"/>
      <w:pPr>
        <w:ind w:left="4320" w:hanging="720"/>
      </w:pPr>
      <w:rPr>
        <w:smallCaps w:val="0"/>
      </w:rPr>
    </w:lvl>
    <w:lvl w:ilvl="5">
      <w:start w:val="1"/>
      <w:numFmt w:val="lowerRoman"/>
      <w:lvlText w:val="(%6)"/>
      <w:lvlJc w:val="left"/>
      <w:pPr>
        <w:ind w:left="5040" w:hanging="720"/>
      </w:pPr>
      <w:rPr>
        <w:smallCaps w:val="0"/>
      </w:rPr>
    </w:lvl>
    <w:lvl w:ilvl="6">
      <w:start w:val="1"/>
      <w:numFmt w:val="decimal"/>
      <w:lvlText w:val="(%7)"/>
      <w:lvlJc w:val="left"/>
      <w:pPr>
        <w:ind w:left="5760" w:hanging="720"/>
      </w:pPr>
      <w:rPr>
        <w:smallCaps w:val="0"/>
      </w:rPr>
    </w:lvl>
    <w:lvl w:ilvl="7">
      <w:start w:val="1"/>
      <w:numFmt w:val="decimal"/>
      <w:lvlText w:val=""/>
      <w:lvlJc w:val="left"/>
      <w:pPr>
        <w:ind w:left="5760" w:hanging="720"/>
      </w:pPr>
      <w:rPr>
        <w:smallCaps w:val="0"/>
      </w:rPr>
    </w:lvl>
    <w:lvl w:ilvl="8">
      <w:start w:val="1"/>
      <w:numFmt w:val="decimal"/>
      <w:lvlText w:val=""/>
      <w:lvlJc w:val="left"/>
      <w:pPr>
        <w:ind w:left="5760" w:hanging="720"/>
      </w:pPr>
      <w:rPr>
        <w:smallCaps w:val="0"/>
      </w:rPr>
    </w:lvl>
  </w:abstractNum>
  <w:num w:numId="1">
    <w:abstractNumId w:val="4"/>
  </w:num>
  <w:num w:numId="2">
    <w:abstractNumId w:val="25"/>
  </w:num>
  <w:num w:numId="3">
    <w:abstractNumId w:val="27"/>
  </w:num>
  <w:num w:numId="4">
    <w:abstractNumId w:val="6"/>
  </w:num>
  <w:num w:numId="5">
    <w:abstractNumId w:val="7"/>
  </w:num>
  <w:num w:numId="6">
    <w:abstractNumId w:val="11"/>
  </w:num>
  <w:num w:numId="7">
    <w:abstractNumId w:val="13"/>
  </w:num>
  <w:num w:numId="8">
    <w:abstractNumId w:val="10"/>
  </w:num>
  <w:num w:numId="9">
    <w:abstractNumId w:val="0"/>
  </w:num>
  <w:num w:numId="10">
    <w:abstractNumId w:val="18"/>
  </w:num>
  <w:num w:numId="11">
    <w:abstractNumId w:val="1"/>
  </w:num>
  <w:num w:numId="12">
    <w:abstractNumId w:val="2"/>
  </w:num>
  <w:num w:numId="13">
    <w:abstractNumId w:val="8"/>
  </w:num>
  <w:num w:numId="14">
    <w:abstractNumId w:val="5"/>
  </w:num>
  <w:num w:numId="15">
    <w:abstractNumId w:val="17"/>
  </w:num>
  <w:num w:numId="16">
    <w:abstractNumId w:val="16"/>
  </w:num>
  <w:num w:numId="17">
    <w:abstractNumId w:val="23"/>
  </w:num>
  <w:num w:numId="18">
    <w:abstractNumId w:val="22"/>
  </w:num>
  <w:num w:numId="19">
    <w:abstractNumId w:val="28"/>
  </w:num>
  <w:num w:numId="20">
    <w:abstractNumId w:val="12"/>
  </w:num>
  <w:num w:numId="21">
    <w:abstractNumId w:val="26"/>
  </w:num>
  <w:num w:numId="22">
    <w:abstractNumId w:val="21"/>
  </w:num>
  <w:num w:numId="23">
    <w:abstractNumId w:val="15"/>
  </w:num>
  <w:num w:numId="24">
    <w:abstractNumId w:val="19"/>
  </w:num>
  <w:num w:numId="25">
    <w:abstractNumId w:val="3"/>
  </w:num>
  <w:num w:numId="26">
    <w:abstractNumId w:val="14"/>
  </w:num>
  <w:num w:numId="27">
    <w:abstractNumId w:val="24"/>
  </w:num>
  <w:num w:numId="28">
    <w:abstractNumId w:val="20"/>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A5"/>
    <w:rsid w:val="000F58C4"/>
    <w:rsid w:val="00124370"/>
    <w:rsid w:val="00144B5E"/>
    <w:rsid w:val="001C59B0"/>
    <w:rsid w:val="004168A5"/>
    <w:rsid w:val="00773172"/>
    <w:rsid w:val="00874851"/>
    <w:rsid w:val="008A4130"/>
    <w:rsid w:val="00F44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05B0"/>
  <w15:docId w15:val="{4F7BF7F8-0DCB-496C-B21E-3B263A7B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
    <w:semiHidden/>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8A7818"/>
    <w:pPr>
      <w:suppressAutoHyphens w:val="0"/>
      <w:adjustRightInd w:val="0"/>
      <w:spacing w:after="240" w:line="240" w:lineRule="auto"/>
      <w:ind w:left="5040" w:hanging="720"/>
      <w:jc w:val="both"/>
      <w:outlineLvl w:val="6"/>
    </w:pPr>
    <w:rPr>
      <w:rFonts w:eastAsia="STZhongsong"/>
      <w:color w:val="auto"/>
      <w:lang w:eastAsia="zh-CN"/>
    </w:rPr>
  </w:style>
  <w:style w:type="paragraph" w:styleId="Heading8">
    <w:name w:val="heading 8"/>
    <w:aliases w:val="Heading 8 (Do Not Use),Legal Level 1.1.1.,Lev 8,h8 DO NOT USE,PA Appendix Minor"/>
    <w:basedOn w:val="Normal"/>
    <w:link w:val="Heading8Char"/>
    <w:uiPriority w:val="99"/>
    <w:qFormat/>
    <w:rsid w:val="008A7818"/>
    <w:pPr>
      <w:suppressAutoHyphens w:val="0"/>
      <w:adjustRightInd w:val="0"/>
      <w:spacing w:after="240" w:line="240" w:lineRule="auto"/>
      <w:ind w:left="5040" w:hanging="720"/>
      <w:jc w:val="both"/>
      <w:outlineLvl w:val="7"/>
    </w:pPr>
    <w:rPr>
      <w:rFonts w:eastAsia="STZhongsong"/>
      <w:color w:val="auto"/>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8A7818"/>
    <w:pPr>
      <w:suppressAutoHyphens w:val="0"/>
      <w:adjustRightInd w:val="0"/>
      <w:spacing w:after="240" w:line="240" w:lineRule="auto"/>
      <w:ind w:left="5040" w:hanging="720"/>
      <w:jc w:val="both"/>
      <w:outlineLvl w:val="8"/>
    </w:pPr>
    <w:rPr>
      <w:rFonts w:eastAsia="STZhongsong"/>
      <w:color w:val="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semiHidden/>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8A7818"/>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A7818"/>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8A7818"/>
    <w:rPr>
      <w:rFonts w:eastAsia="STZhongsong"/>
      <w:lang w:eastAsia="zh-CN"/>
    </w:rPr>
  </w:style>
  <w:style w:type="paragraph" w:styleId="BodyTextIndent">
    <w:name w:val="Body Text Indent"/>
    <w:basedOn w:val="Normal"/>
    <w:link w:val="BodyTextIndentChar"/>
    <w:rsid w:val="006F2F9E"/>
    <w:pPr>
      <w:numPr>
        <w:numId w:val="29"/>
      </w:numPr>
      <w:suppressAutoHyphens w:val="0"/>
      <w:adjustRightInd w:val="0"/>
      <w:spacing w:after="240" w:line="240" w:lineRule="auto"/>
      <w:jc w:val="both"/>
    </w:pPr>
    <w:rPr>
      <w:rFonts w:eastAsia="STZhongsong"/>
      <w:color w:val="auto"/>
      <w:lang w:eastAsia="zh-CN"/>
    </w:rPr>
  </w:style>
  <w:style w:type="character" w:customStyle="1" w:styleId="BodyTextIndentChar">
    <w:name w:val="Body Text Indent Char"/>
    <w:basedOn w:val="DefaultParagraphFont"/>
    <w:link w:val="BodyTextIndent"/>
    <w:rsid w:val="006F2F9E"/>
    <w:rPr>
      <w:rFonts w:eastAsia="STZhongsong"/>
      <w:lang w:eastAsia="zh-CN"/>
    </w:rPr>
  </w:style>
  <w:style w:type="paragraph" w:styleId="BodyTextIndent2">
    <w:name w:val="Body Text Indent 2"/>
    <w:basedOn w:val="Normal"/>
    <w:link w:val="BodyTextIndent2Char"/>
    <w:rsid w:val="006F2F9E"/>
    <w:pPr>
      <w:numPr>
        <w:ilvl w:val="1"/>
        <w:numId w:val="29"/>
      </w:numPr>
      <w:suppressAutoHyphens w:val="0"/>
      <w:adjustRightInd w:val="0"/>
      <w:spacing w:after="240" w:line="240" w:lineRule="auto"/>
      <w:jc w:val="both"/>
    </w:pPr>
    <w:rPr>
      <w:rFonts w:eastAsia="STZhongsong"/>
      <w:color w:val="auto"/>
      <w:lang w:eastAsia="zh-CN"/>
    </w:rPr>
  </w:style>
  <w:style w:type="character" w:customStyle="1" w:styleId="BodyTextIndent2Char">
    <w:name w:val="Body Text Indent 2 Char"/>
    <w:basedOn w:val="DefaultParagraphFont"/>
    <w:link w:val="BodyTextIndent2"/>
    <w:rsid w:val="006F2F9E"/>
    <w:rPr>
      <w:rFonts w:eastAsia="STZhongsong"/>
      <w:lang w:eastAsia="zh-CN"/>
    </w:rPr>
  </w:style>
  <w:style w:type="paragraph" w:customStyle="1" w:styleId="SchHead">
    <w:name w:val="SchHead"/>
    <w:basedOn w:val="Normal"/>
    <w:next w:val="SchPart"/>
    <w:rsid w:val="006F2F9E"/>
    <w:pPr>
      <w:keepNext/>
      <w:tabs>
        <w:tab w:val="num" w:pos="720"/>
      </w:tabs>
      <w:suppressAutoHyphens w:val="0"/>
      <w:adjustRightInd w:val="0"/>
      <w:spacing w:after="240" w:line="240" w:lineRule="auto"/>
      <w:ind w:left="720" w:hanging="720"/>
      <w:jc w:val="center"/>
      <w:outlineLvl w:val="0"/>
    </w:pPr>
    <w:rPr>
      <w:rFonts w:eastAsia="STZhongsong"/>
      <w:b/>
      <w:caps/>
      <w:color w:val="auto"/>
      <w:lang w:eastAsia="zh-CN"/>
    </w:rPr>
  </w:style>
  <w:style w:type="paragraph" w:customStyle="1" w:styleId="ListBullet1">
    <w:name w:val="List Bullet 1"/>
    <w:basedOn w:val="Normal"/>
    <w:rsid w:val="006F2F9E"/>
    <w:pPr>
      <w:tabs>
        <w:tab w:val="num" w:pos="720"/>
      </w:tabs>
      <w:suppressAutoHyphens w:val="0"/>
      <w:adjustRightInd w:val="0"/>
      <w:spacing w:after="240" w:line="240" w:lineRule="auto"/>
      <w:ind w:left="720" w:hanging="720"/>
      <w:jc w:val="both"/>
    </w:pPr>
    <w:rPr>
      <w:rFonts w:eastAsia="STZhongsong"/>
      <w:color w:val="auto"/>
      <w:lang w:eastAsia="zh-CN"/>
    </w:rPr>
  </w:style>
  <w:style w:type="paragraph" w:styleId="ListBullet2">
    <w:name w:val="List Bullet 2"/>
    <w:basedOn w:val="Normal"/>
    <w:rsid w:val="006F2F9E"/>
    <w:pPr>
      <w:tabs>
        <w:tab w:val="num" w:pos="1440"/>
      </w:tabs>
      <w:suppressAutoHyphens w:val="0"/>
      <w:adjustRightInd w:val="0"/>
      <w:spacing w:after="240" w:line="240" w:lineRule="auto"/>
      <w:ind w:left="1440" w:hanging="720"/>
      <w:jc w:val="both"/>
    </w:pPr>
    <w:rPr>
      <w:rFonts w:eastAsia="STZhongsong"/>
      <w:color w:val="auto"/>
      <w:lang w:eastAsia="zh-CN"/>
    </w:rPr>
  </w:style>
  <w:style w:type="paragraph" w:customStyle="1" w:styleId="DefinitionNumbering1">
    <w:name w:val="Definition Numbering 1"/>
    <w:basedOn w:val="Normal"/>
    <w:rsid w:val="006F2F9E"/>
    <w:pPr>
      <w:numPr>
        <w:ilvl w:val="2"/>
        <w:numId w:val="29"/>
      </w:numPr>
      <w:suppressAutoHyphens w:val="0"/>
      <w:adjustRightInd w:val="0"/>
      <w:spacing w:after="240" w:line="240" w:lineRule="auto"/>
      <w:jc w:val="both"/>
      <w:outlineLvl w:val="0"/>
    </w:pPr>
    <w:rPr>
      <w:rFonts w:eastAsia="STZhongsong"/>
      <w:color w:val="auto"/>
      <w:lang w:eastAsia="zh-CN"/>
    </w:rPr>
  </w:style>
  <w:style w:type="paragraph" w:customStyle="1" w:styleId="DefinitionNumbering2">
    <w:name w:val="Definition Numbering 2"/>
    <w:basedOn w:val="Normal"/>
    <w:rsid w:val="006F2F9E"/>
    <w:pPr>
      <w:numPr>
        <w:ilvl w:val="3"/>
        <w:numId w:val="29"/>
      </w:numPr>
      <w:suppressAutoHyphens w:val="0"/>
      <w:adjustRightInd w:val="0"/>
      <w:spacing w:after="240" w:line="240" w:lineRule="auto"/>
      <w:jc w:val="both"/>
      <w:outlineLvl w:val="1"/>
    </w:pPr>
    <w:rPr>
      <w:rFonts w:eastAsia="STZhongsong"/>
      <w:color w:val="auto"/>
      <w:lang w:eastAsia="zh-CN"/>
    </w:rPr>
  </w:style>
  <w:style w:type="paragraph" w:customStyle="1" w:styleId="DefinitionNumbering3">
    <w:name w:val="Definition Numbering 3"/>
    <w:basedOn w:val="Normal"/>
    <w:rsid w:val="006F2F9E"/>
    <w:pPr>
      <w:numPr>
        <w:ilvl w:val="4"/>
        <w:numId w:val="29"/>
      </w:numPr>
      <w:suppressAutoHyphens w:val="0"/>
      <w:adjustRightInd w:val="0"/>
      <w:spacing w:after="240" w:line="240" w:lineRule="auto"/>
      <w:jc w:val="both"/>
      <w:outlineLvl w:val="2"/>
    </w:pPr>
    <w:rPr>
      <w:rFonts w:eastAsia="STZhongsong"/>
      <w:color w:val="auto"/>
      <w:lang w:eastAsia="zh-CN"/>
    </w:rPr>
  </w:style>
  <w:style w:type="paragraph" w:customStyle="1" w:styleId="DefinitionNumbering4">
    <w:name w:val="Definition Numbering 4"/>
    <w:basedOn w:val="Normal"/>
    <w:rsid w:val="006F2F9E"/>
    <w:pPr>
      <w:numPr>
        <w:ilvl w:val="5"/>
        <w:numId w:val="29"/>
      </w:numPr>
      <w:suppressAutoHyphens w:val="0"/>
      <w:adjustRightInd w:val="0"/>
      <w:spacing w:after="240" w:line="240" w:lineRule="auto"/>
      <w:jc w:val="both"/>
      <w:outlineLvl w:val="3"/>
    </w:pPr>
    <w:rPr>
      <w:rFonts w:eastAsia="STZhongsong"/>
      <w:color w:val="auto"/>
      <w:lang w:eastAsia="zh-CN"/>
    </w:rPr>
  </w:style>
  <w:style w:type="paragraph" w:customStyle="1" w:styleId="DefinitionNumbering5">
    <w:name w:val="Definition Numbering 5"/>
    <w:basedOn w:val="Normal"/>
    <w:rsid w:val="006F2F9E"/>
    <w:pPr>
      <w:numPr>
        <w:ilvl w:val="6"/>
        <w:numId w:val="29"/>
      </w:numPr>
      <w:suppressAutoHyphens w:val="0"/>
      <w:adjustRightInd w:val="0"/>
      <w:spacing w:after="240" w:line="240" w:lineRule="auto"/>
      <w:jc w:val="both"/>
      <w:outlineLvl w:val="4"/>
    </w:pPr>
    <w:rPr>
      <w:rFonts w:eastAsia="STZhongsong"/>
      <w:color w:val="auto"/>
      <w:lang w:eastAsia="zh-CN"/>
    </w:rPr>
  </w:style>
  <w:style w:type="paragraph" w:customStyle="1" w:styleId="DefinitionNumbering6">
    <w:name w:val="Definition Numbering 6"/>
    <w:basedOn w:val="Normal"/>
    <w:rsid w:val="006F2F9E"/>
    <w:pPr>
      <w:numPr>
        <w:ilvl w:val="7"/>
        <w:numId w:val="29"/>
      </w:numPr>
      <w:suppressAutoHyphens w:val="0"/>
      <w:adjustRightInd w:val="0"/>
      <w:spacing w:after="240" w:line="240" w:lineRule="auto"/>
      <w:jc w:val="both"/>
      <w:outlineLvl w:val="5"/>
    </w:pPr>
    <w:rPr>
      <w:rFonts w:eastAsia="STZhongsong"/>
      <w:color w:val="auto"/>
      <w:lang w:eastAsia="zh-CN"/>
    </w:rPr>
  </w:style>
  <w:style w:type="paragraph" w:customStyle="1" w:styleId="DefinitionNumbering7">
    <w:name w:val="Definition Numbering 7"/>
    <w:basedOn w:val="Normal"/>
    <w:rsid w:val="006F2F9E"/>
    <w:pPr>
      <w:numPr>
        <w:ilvl w:val="8"/>
        <w:numId w:val="29"/>
      </w:numPr>
      <w:suppressAutoHyphens w:val="0"/>
      <w:adjustRightInd w:val="0"/>
      <w:spacing w:after="240" w:line="240" w:lineRule="auto"/>
      <w:jc w:val="both"/>
      <w:outlineLvl w:val="6"/>
    </w:pPr>
    <w:rPr>
      <w:rFonts w:eastAsia="STZhongsong"/>
      <w:color w:val="auto"/>
      <w:lang w:eastAsia="zh-CN"/>
    </w:rPr>
  </w:style>
  <w:style w:type="paragraph" w:customStyle="1" w:styleId="SchPart">
    <w:name w:val="SchPart"/>
    <w:basedOn w:val="Normal"/>
    <w:next w:val="Normal"/>
    <w:rsid w:val="006F2F9E"/>
    <w:pPr>
      <w:keepNext/>
      <w:tabs>
        <w:tab w:val="num" w:pos="1440"/>
      </w:tabs>
      <w:suppressAutoHyphens w:val="0"/>
      <w:adjustRightInd w:val="0"/>
      <w:spacing w:after="240" w:line="240" w:lineRule="auto"/>
      <w:ind w:left="1440" w:hanging="720"/>
      <w:jc w:val="center"/>
      <w:outlineLvl w:val="1"/>
    </w:pPr>
    <w:rPr>
      <w:rFonts w:eastAsia="STZhongsong"/>
      <w:b/>
      <w:color w:val="auto"/>
      <w:lang w:eastAsia="zh-CN"/>
    </w:rPr>
  </w:style>
  <w:style w:type="paragraph" w:styleId="ListBullet3">
    <w:name w:val="List Bullet 3"/>
    <w:basedOn w:val="Normal"/>
    <w:rsid w:val="006F2F9E"/>
    <w:pPr>
      <w:tabs>
        <w:tab w:val="num" w:pos="2160"/>
      </w:tabs>
      <w:suppressAutoHyphens w:val="0"/>
      <w:adjustRightInd w:val="0"/>
      <w:spacing w:after="240" w:line="240" w:lineRule="auto"/>
      <w:ind w:left="2160" w:hanging="720"/>
      <w:jc w:val="both"/>
    </w:pPr>
    <w:rPr>
      <w:rFonts w:eastAsia="STZhongsong"/>
      <w:color w:val="auto"/>
      <w:lang w:eastAsia="zh-CN"/>
    </w:rPr>
  </w:style>
  <w:style w:type="paragraph" w:styleId="ListBullet4">
    <w:name w:val="List Bullet 4"/>
    <w:basedOn w:val="Normal"/>
    <w:rsid w:val="006F2F9E"/>
    <w:pPr>
      <w:tabs>
        <w:tab w:val="num" w:pos="2880"/>
      </w:tabs>
      <w:suppressAutoHyphens w:val="0"/>
      <w:adjustRightInd w:val="0"/>
      <w:spacing w:after="240" w:line="240" w:lineRule="auto"/>
      <w:ind w:left="2880" w:hanging="720"/>
      <w:jc w:val="both"/>
    </w:pPr>
    <w:rPr>
      <w:rFonts w:eastAsia="STZhongsong"/>
      <w:color w:val="auto"/>
      <w:lang w:eastAsia="zh-CN"/>
    </w:rPr>
  </w:style>
  <w:style w:type="paragraph" w:styleId="ListBullet5">
    <w:name w:val="List Bullet 5"/>
    <w:basedOn w:val="Normal"/>
    <w:rsid w:val="006F2F9E"/>
    <w:pPr>
      <w:tabs>
        <w:tab w:val="num" w:pos="3600"/>
      </w:tabs>
      <w:suppressAutoHyphens w:val="0"/>
      <w:adjustRightInd w:val="0"/>
      <w:spacing w:after="240" w:line="240" w:lineRule="auto"/>
      <w:ind w:left="3600" w:hanging="720"/>
      <w:jc w:val="both"/>
    </w:pPr>
    <w:rPr>
      <w:rFonts w:eastAsia="STZhongsong"/>
      <w:color w:val="auto"/>
      <w:lang w:eastAsia="zh-CN"/>
    </w:rPr>
  </w:style>
  <w:style w:type="paragraph" w:customStyle="1" w:styleId="ListBullet6">
    <w:name w:val="List Bullet 6"/>
    <w:basedOn w:val="Normal"/>
    <w:rsid w:val="006F2F9E"/>
    <w:pPr>
      <w:tabs>
        <w:tab w:val="num" w:pos="4320"/>
      </w:tabs>
      <w:suppressAutoHyphens w:val="0"/>
      <w:adjustRightInd w:val="0"/>
      <w:spacing w:after="240" w:line="240" w:lineRule="auto"/>
      <w:ind w:left="4320" w:hanging="720"/>
      <w:jc w:val="both"/>
    </w:pPr>
    <w:rPr>
      <w:rFonts w:eastAsia="STZhongsong"/>
      <w:color w:val="auto"/>
      <w:lang w:eastAsia="zh-CN"/>
    </w:rPr>
  </w:style>
  <w:style w:type="paragraph" w:customStyle="1" w:styleId="ListBullet7">
    <w:name w:val="List Bullet 7"/>
    <w:basedOn w:val="Normal"/>
    <w:rsid w:val="006F2F9E"/>
    <w:pPr>
      <w:tabs>
        <w:tab w:val="num" w:pos="5040"/>
      </w:tabs>
      <w:suppressAutoHyphens w:val="0"/>
      <w:adjustRightInd w:val="0"/>
      <w:spacing w:after="240" w:line="240" w:lineRule="auto"/>
      <w:ind w:left="5040" w:hanging="720"/>
      <w:jc w:val="both"/>
    </w:pPr>
    <w:rPr>
      <w:rFonts w:eastAsia="STZhongsong"/>
      <w:color w:val="auto"/>
      <w:lang w:eastAsia="zh-CN"/>
    </w:rPr>
  </w:style>
  <w:style w:type="paragraph" w:customStyle="1" w:styleId="ListBullet8">
    <w:name w:val="List Bullet 8"/>
    <w:basedOn w:val="Normal"/>
    <w:rsid w:val="006F2F9E"/>
    <w:pPr>
      <w:tabs>
        <w:tab w:val="num" w:pos="5760"/>
      </w:tabs>
      <w:suppressAutoHyphens w:val="0"/>
      <w:adjustRightInd w:val="0"/>
      <w:spacing w:after="240" w:line="240" w:lineRule="auto"/>
      <w:ind w:left="5760" w:hanging="720"/>
      <w:jc w:val="both"/>
    </w:pPr>
    <w:rPr>
      <w:rFonts w:eastAsia="STZhongsong"/>
      <w:color w:val="auto"/>
      <w:lang w:eastAsia="zh-CN"/>
    </w:rPr>
  </w:style>
  <w:style w:type="paragraph" w:customStyle="1" w:styleId="ListBullet9">
    <w:name w:val="List Bullet 9"/>
    <w:basedOn w:val="Normal"/>
    <w:rsid w:val="006F2F9E"/>
    <w:pPr>
      <w:tabs>
        <w:tab w:val="num" w:pos="6480"/>
      </w:tabs>
      <w:suppressAutoHyphens w:val="0"/>
      <w:adjustRightInd w:val="0"/>
      <w:spacing w:after="240" w:line="240" w:lineRule="auto"/>
      <w:ind w:left="6480" w:hanging="720"/>
      <w:jc w:val="both"/>
    </w:pPr>
    <w:rPr>
      <w:rFonts w:eastAsia="STZhongsong"/>
      <w:color w:val="auto"/>
      <w:lang w:eastAsia="zh-CN"/>
    </w:rPr>
  </w:style>
  <w:style w:type="paragraph" w:customStyle="1" w:styleId="SchSection">
    <w:name w:val="SchSection"/>
    <w:basedOn w:val="Normal"/>
    <w:next w:val="Normal"/>
    <w:rsid w:val="006F2F9E"/>
    <w:pPr>
      <w:keepNext/>
      <w:tabs>
        <w:tab w:val="num" w:pos="2160"/>
      </w:tabs>
      <w:suppressAutoHyphens w:val="0"/>
      <w:adjustRightInd w:val="0"/>
      <w:spacing w:after="240" w:line="240" w:lineRule="auto"/>
      <w:ind w:left="2160" w:hanging="720"/>
      <w:jc w:val="center"/>
      <w:outlineLvl w:val="2"/>
    </w:pPr>
    <w:rPr>
      <w:rFonts w:eastAsia="STZhongsong"/>
      <w:b/>
      <w:color w:val="auto"/>
      <w:lang w:eastAsia="zh-CN"/>
    </w:rPr>
  </w:style>
  <w:style w:type="table" w:styleId="TableGrid">
    <w:name w:val="Table Grid"/>
    <w:basedOn w:val="TableNormal"/>
    <w:uiPriority w:val="59"/>
    <w:rsid w:val="003B597C"/>
    <w:pPr>
      <w:overflowPunct w:val="0"/>
      <w:autoSpaceDE w:val="0"/>
      <w:adjustRightInd w:val="0"/>
      <w:spacing w:after="0" w:line="240" w:lineRule="auto"/>
      <w:ind w:left="0"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rongcentred">
    <w:name w:val="body strong centred"/>
    <w:basedOn w:val="Normal"/>
    <w:rsid w:val="003B597C"/>
    <w:pPr>
      <w:suppressAutoHyphens w:val="0"/>
      <w:spacing w:after="0" w:line="240" w:lineRule="auto"/>
      <w:ind w:left="0" w:firstLine="0"/>
      <w:jc w:val="center"/>
    </w:pPr>
    <w:rPr>
      <w:rFonts w:eastAsia="SimSun" w:cs="Times New Roman"/>
      <w:b/>
      <w:color w:val="auto"/>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paragraph" w:styleId="TOC7">
    <w:name w:val="toc 7"/>
    <w:semiHidden/>
    <w:rsid w:val="00144B5E"/>
    <w:pPr>
      <w:tabs>
        <w:tab w:val="left" w:pos="5040"/>
        <w:tab w:val="right" w:leader="dot" w:pos="9029"/>
      </w:tabs>
      <w:adjustRightInd w:val="0"/>
      <w:spacing w:after="120" w:line="240" w:lineRule="auto"/>
      <w:ind w:left="5040" w:hanging="720"/>
    </w:pPr>
    <w:rPr>
      <w:rFonts w:eastAsia="STZhongsong"/>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cpni.gov.uk/protection-sensitive-information-and-assets"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www.gov.uk/government/publications/government-security-classifications"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ncsc.gov.uk/guidance/implementing-cloud-security-princi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gov.uk/government/publications/procurement-policy-note-0620-taking-account-of-social-value-in-the-award-of-central-government-contracts"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theme" Target="theme/theme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gov.uk/guidance/check-employment-status-for-tax"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collection/risk-management-collection" TargetMode="External"/><Relationship Id="rId30" Type="http://schemas.openxmlformats.org/officeDocument/2006/relationships/hyperlink" Target="https://www.gov.uk/guidance/check-employment-status-for-ta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BKvpc1u1XgE8amqjqQYMOQnD1g==">CgMxLjAyCGguZ2pkZ3hzMgloLjMwajB6bGwyDmguOXY4NHQ0bWppNmV5Mg5oLjdsdHBnMXI1dXU4ZzIOaC5sNDVkMmx6ZzhlbjkyCGguZ2pkZ3hzMgloLjMwajB6bGwyCWguMWZvYjl0ZTIJaC4zem55c2g3MgloLjJldDkycDAyCGgudHlqY3d0MgloLjNkeTZ2a20yDmguYWIyd3JoZzA2bnNp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5oLmthMG1sZnJpcTNsajIJaC4ycDJjc3J5MgloLjNvN2FsbmsyDmguNjltOHB1bzA3ZXVoMg5oLjFrajdhZjNqb2VwcjgAaiMKFHN1Z2dlc3QuczNmamRjNTFkOTJkEgtBbmd1cyBZb3VuZ2ojChRzdWdnZXN0LjhtOW5lMW9uNTU3YhILQW5ndXMgWW91bmdqJgoUc3VnZ2VzdC5zNzV5dmhydnpuZTcSDk5pY2sgV29vZGNyYWZ0aiMKFHN1Z2dlc3QubnhocWk5ZWZkdDE1EgtBbmd1cyBZb3VuZ2ojChRzdWdnZXN0LmIzNzV5cHRwMmhuORILQW5ndXMgWW91bmdqIwoUc3VnZ2VzdC4yemx6dWZ0c2ppaTUSC0FuZ3VzIFlvdW5naiMKFHN1Z2dlc3QuZnRvYXFwbTY0Y3BwEgtBbmd1cyBZb3VuZ2ojChRzdWdnZXN0LmRkZzJlZXJ4N2plYRILQW5ndXMgWW91bmdqIwoUc3VnZ2VzdC5namtqaW41ZWljdHoSC0FuZ3VzIFlvdW5naiMKFHN1Z2dlc3Qud2d5amNlejM3aHIwEgtBbmd1cyBZb3VuZ2ojChRzdWdnZXN0LmVjcnk5cGppbm54axILQW5ndXMgWW91bmdqIwoUc3VnZ2VzdC52YW15MjRsdnFneWcSC0FuZ3VzIFlvdW5naiIKE3N1Z2dlc3QucmY3NmpzNDd1ZjMSC0FuZ3VzIFlvdW5naiMKFHN1Z2dlc3QuNHdubmpzeGVieTUzEgtBbmd1cyBZb3VuZ3IhMThTcU9uV2lISF85S2NlWVEtVllseGFVQWRlaUJxaG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63</Pages>
  <Words>15828</Words>
  <Characters>90220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Sarah Sutterby</cp:lastModifiedBy>
  <cp:revision>4</cp:revision>
  <dcterms:created xsi:type="dcterms:W3CDTF">2023-11-06T14:24:00Z</dcterms:created>
  <dcterms:modified xsi:type="dcterms:W3CDTF">2023-11-08T09:11:00Z</dcterms:modified>
</cp:coreProperties>
</file>