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3102AB">
          <w:pPr>
            <w:pStyle w:val="Heading1"/>
          </w:pPr>
          <w:r>
            <w:t>Invitation to Tender (ITT) and Statement of Requirement</w:t>
          </w:r>
        </w:p>
      </w:sdtContent>
    </w:sdt>
    <w:sdt>
      <w:sdtPr>
        <w:rPr>
          <w:rStyle w:val="chrSubTitle"/>
          <w:color w:val="B1173B"/>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58102E04" w:rsidR="00FC6860" w:rsidRPr="00574B16" w:rsidRDefault="00905CCF" w:rsidP="003102AB">
          <w:pPr>
            <w:pStyle w:val="Heading1"/>
            <w:rPr>
              <w:rStyle w:val="chrSubTitle"/>
              <w:color w:val="B1173B"/>
            </w:rPr>
          </w:pPr>
          <w:r>
            <w:rPr>
              <w:rStyle w:val="chrSubTitle"/>
              <w:color w:val="B1173B"/>
            </w:rPr>
            <w:t>2023 review of railway licence holders’ environmental arrangements</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3-09-06T00:00:00Z">
          <w:dateFormat w:val="dd MMMM yyyy"/>
          <w:lid w:val="en-GB"/>
          <w:storeMappedDataAs w:val="dateTime"/>
          <w:calendar w:val="gregorian"/>
        </w:date>
      </w:sdtPr>
      <w:sdtEndPr/>
      <w:sdtContent>
        <w:p w14:paraId="38D7D855" w14:textId="4FB3BDAF" w:rsidR="00FC6860" w:rsidRDefault="004D2AA8" w:rsidP="003102AB">
          <w:pPr>
            <w:pStyle w:val="Date"/>
          </w:pPr>
          <w:r>
            <w:rPr>
              <w:bCs/>
            </w:rPr>
            <w:t>06 September 2023</w:t>
          </w:r>
        </w:p>
      </w:sdtContent>
    </w:sdt>
    <w:p w14:paraId="512B2E87" w14:textId="77777777" w:rsidR="003E5612" w:rsidRDefault="003E5612" w:rsidP="003E5612"/>
    <w:p w14:paraId="6637A0F9" w14:textId="77777777" w:rsidR="004D2AA8" w:rsidRPr="00574B16" w:rsidRDefault="004D2AA8" w:rsidP="004D2AA8">
      <w:pPr>
        <w:pStyle w:val="NormalBulletround"/>
        <w:rPr>
          <w:b/>
          <w:bCs/>
          <w:color w:val="B1173B"/>
        </w:rPr>
      </w:pPr>
      <w:proofErr w:type="spellStart"/>
      <w:r w:rsidRPr="003E5612">
        <w:rPr>
          <w:b/>
          <w:bCs/>
        </w:rPr>
        <w:t>CPV</w:t>
      </w:r>
      <w:proofErr w:type="spellEnd"/>
      <w:r w:rsidRPr="003E5612">
        <w:rPr>
          <w:b/>
          <w:bCs/>
        </w:rPr>
        <w:t xml:space="preserve"> Code: </w:t>
      </w:r>
      <w:r w:rsidRPr="00C31578">
        <w:rPr>
          <w:b/>
          <w:bCs/>
          <w:color w:val="B1173B"/>
        </w:rPr>
        <w:t>90713000</w:t>
      </w:r>
    </w:p>
    <w:p w14:paraId="7F274AF8" w14:textId="77777777" w:rsidR="004D2AA8" w:rsidRPr="00574B16" w:rsidRDefault="004D2AA8" w:rsidP="004D2AA8">
      <w:pPr>
        <w:pStyle w:val="NormalBulletround"/>
        <w:rPr>
          <w:b/>
          <w:bCs/>
          <w:color w:val="B1173B"/>
        </w:rPr>
      </w:pPr>
      <w:r w:rsidRPr="003E5612">
        <w:rPr>
          <w:b/>
          <w:bCs/>
        </w:rPr>
        <w:t>Tender Reference:</w:t>
      </w:r>
      <w:r w:rsidRPr="00574B16">
        <w:rPr>
          <w:b/>
          <w:bCs/>
          <w:color w:val="B1173B"/>
        </w:rPr>
        <w:t xml:space="preserve"> </w:t>
      </w:r>
      <w:r>
        <w:rPr>
          <w:b/>
          <w:bCs/>
          <w:color w:val="B1173B"/>
        </w:rPr>
        <w:t>ORR/CT/23-27</w:t>
      </w:r>
    </w:p>
    <w:p w14:paraId="645E9675" w14:textId="77777777" w:rsidR="00FC6860" w:rsidRDefault="00FC6860" w:rsidP="003102AB"/>
    <w:p w14:paraId="60F6998D" w14:textId="01F9B9EE" w:rsidR="003E5612" w:rsidRDefault="003E5612" w:rsidP="003102AB">
      <w:pPr>
        <w:sectPr w:rsidR="003E5612" w:rsidSect="00FC6860">
          <w:headerReference w:type="default" r:id="rId12"/>
          <w:footerReference w:type="default" r:id="rId13"/>
          <w:headerReference w:type="first" r:id="rId14"/>
          <w:footerReference w:type="first" r:id="rId15"/>
          <w:pgSz w:w="11906" w:h="16838" w:code="9"/>
          <w:pgMar w:top="5443" w:right="1134" w:bottom="1134" w:left="1134" w:header="709" w:footer="709" w:gutter="0"/>
          <w:pgNumType w:start="1"/>
          <w:cols w:space="708"/>
          <w:titlePg/>
          <w:docGrid w:linePitch="360"/>
        </w:sectPr>
      </w:pPr>
    </w:p>
    <w:p w14:paraId="6F6DAD95" w14:textId="77777777" w:rsidR="00FC6860" w:rsidRDefault="00FC6860" w:rsidP="003102AB">
      <w:pPr>
        <w:pStyle w:val="Heading2NoToc"/>
      </w:pPr>
      <w:r>
        <w:lastRenderedPageBreak/>
        <w:t>Contents</w:t>
      </w:r>
    </w:p>
    <w:p w14:paraId="73E5CAC1" w14:textId="1A9F561F" w:rsidR="00A22FEF" w:rsidRDefault="00FC6860">
      <w:pPr>
        <w:pStyle w:val="TOC2"/>
        <w:rPr>
          <w:rFonts w:asciiTheme="minorHAnsi" w:eastAsiaTheme="minorEastAsia" w:hAnsiTheme="minorHAnsi"/>
          <w:noProof/>
          <w:kern w:val="2"/>
          <w:sz w:val="22"/>
          <w:lang w:eastAsia="en-GB"/>
          <w14:ligatures w14:val="standardContextual"/>
        </w:rPr>
      </w:pPr>
      <w:r>
        <w:rPr>
          <w:b/>
          <w:bCs/>
          <w:noProof/>
          <w:color w:val="731472"/>
        </w:rPr>
        <w:fldChar w:fldCharType="begin"/>
      </w:r>
      <w:r w:rsidR="00D25F7E">
        <w:instrText xml:space="preserve"> TOC \f \h \z \t "Heading 2,1,Heading 2NoNumb,1,Heading 2 (Single),1,Annex H2,1,Annex H3,2,Heading 3,2" </w:instrText>
      </w:r>
      <w:r>
        <w:rPr>
          <w:b/>
          <w:bCs/>
          <w:noProof/>
          <w:color w:val="731472"/>
        </w:rPr>
        <w:fldChar w:fldCharType="separate"/>
      </w:r>
      <w:hyperlink w:anchor="_Toc144206840" w:history="1">
        <w:r w:rsidR="00A22FEF" w:rsidRPr="00B62A8E">
          <w:rPr>
            <w:rStyle w:val="Hyperlink"/>
            <w:noProof/>
          </w:rPr>
          <w:t>Section 4 – Procurement details – to be completed by the Procurement team</w:t>
        </w:r>
        <w:r w:rsidR="00A22FEF">
          <w:rPr>
            <w:noProof/>
            <w:webHidden/>
          </w:rPr>
          <w:tab/>
        </w:r>
        <w:r w:rsidR="00A22FEF">
          <w:rPr>
            <w:noProof/>
            <w:webHidden/>
          </w:rPr>
          <w:fldChar w:fldCharType="begin"/>
        </w:r>
        <w:r w:rsidR="00A22FEF">
          <w:rPr>
            <w:noProof/>
            <w:webHidden/>
          </w:rPr>
          <w:instrText xml:space="preserve"> PAGEREF _Toc144206840 \h </w:instrText>
        </w:r>
        <w:r w:rsidR="00A22FEF">
          <w:rPr>
            <w:noProof/>
            <w:webHidden/>
          </w:rPr>
        </w:r>
        <w:r w:rsidR="00A22FEF">
          <w:rPr>
            <w:noProof/>
            <w:webHidden/>
          </w:rPr>
          <w:fldChar w:fldCharType="separate"/>
        </w:r>
        <w:r w:rsidR="00A22FEF">
          <w:rPr>
            <w:noProof/>
            <w:webHidden/>
          </w:rPr>
          <w:t>3</w:t>
        </w:r>
        <w:r w:rsidR="00A22FEF">
          <w:rPr>
            <w:noProof/>
            <w:webHidden/>
          </w:rPr>
          <w:fldChar w:fldCharType="end"/>
        </w:r>
      </w:hyperlink>
    </w:p>
    <w:p w14:paraId="51A039C9" w14:textId="0750CE88" w:rsidR="00A22FEF" w:rsidRDefault="004D2AA8">
      <w:pPr>
        <w:pStyle w:val="TOC1"/>
        <w:rPr>
          <w:rFonts w:asciiTheme="minorHAnsi" w:eastAsiaTheme="minorEastAsia" w:hAnsiTheme="minorHAnsi"/>
          <w:b w:val="0"/>
          <w:bCs w:val="0"/>
          <w:color w:val="auto"/>
          <w:kern w:val="2"/>
          <w:sz w:val="22"/>
          <w:lang w:eastAsia="en-GB"/>
          <w14:ligatures w14:val="standardContextual"/>
        </w:rPr>
      </w:pPr>
      <w:hyperlink w:anchor="_Toc144206841" w:history="1">
        <w:r w:rsidR="00A22FEF" w:rsidRPr="00B62A8E">
          <w:rPr>
            <w:rStyle w:val="Hyperlink"/>
          </w:rPr>
          <w:t>Purpose of the document</w:t>
        </w:r>
        <w:r w:rsidR="00A22FEF">
          <w:rPr>
            <w:webHidden/>
          </w:rPr>
          <w:tab/>
        </w:r>
        <w:r w:rsidR="00A22FEF">
          <w:rPr>
            <w:webHidden/>
          </w:rPr>
          <w:fldChar w:fldCharType="begin"/>
        </w:r>
        <w:r w:rsidR="00A22FEF">
          <w:rPr>
            <w:webHidden/>
          </w:rPr>
          <w:instrText xml:space="preserve"> PAGEREF _Toc144206841 \h </w:instrText>
        </w:r>
        <w:r w:rsidR="00A22FEF">
          <w:rPr>
            <w:webHidden/>
          </w:rPr>
        </w:r>
        <w:r w:rsidR="00A22FEF">
          <w:rPr>
            <w:webHidden/>
          </w:rPr>
          <w:fldChar w:fldCharType="separate"/>
        </w:r>
        <w:r w:rsidR="00A22FEF">
          <w:rPr>
            <w:webHidden/>
          </w:rPr>
          <w:t>4</w:t>
        </w:r>
        <w:r w:rsidR="00A22FEF">
          <w:rPr>
            <w:webHidden/>
          </w:rPr>
          <w:fldChar w:fldCharType="end"/>
        </w:r>
      </w:hyperlink>
    </w:p>
    <w:p w14:paraId="0AD5AE9D" w14:textId="0405ABF5" w:rsidR="00A22FEF" w:rsidRDefault="004D2AA8">
      <w:pPr>
        <w:pStyle w:val="TOC1"/>
        <w:rPr>
          <w:rFonts w:asciiTheme="minorHAnsi" w:eastAsiaTheme="minorEastAsia" w:hAnsiTheme="minorHAnsi"/>
          <w:b w:val="0"/>
          <w:bCs w:val="0"/>
          <w:color w:val="auto"/>
          <w:kern w:val="2"/>
          <w:sz w:val="22"/>
          <w:lang w:eastAsia="en-GB"/>
          <w14:ligatures w14:val="standardContextual"/>
        </w:rPr>
      </w:pPr>
      <w:hyperlink w:anchor="_Toc144206842" w:history="1">
        <w:r w:rsidR="00A22FEF" w:rsidRPr="00B62A8E">
          <w:rPr>
            <w:rStyle w:val="Hyperlink"/>
          </w:rPr>
          <w:t>1.</w:t>
        </w:r>
        <w:r w:rsidR="00A22FEF">
          <w:rPr>
            <w:rFonts w:asciiTheme="minorHAnsi" w:eastAsiaTheme="minorEastAsia" w:hAnsiTheme="minorHAnsi"/>
            <w:b w:val="0"/>
            <w:bCs w:val="0"/>
            <w:color w:val="auto"/>
            <w:kern w:val="2"/>
            <w:sz w:val="22"/>
            <w:lang w:eastAsia="en-GB"/>
            <w14:ligatures w14:val="standardContextual"/>
          </w:rPr>
          <w:tab/>
        </w:r>
        <w:r w:rsidR="00A22FEF" w:rsidRPr="00B62A8E">
          <w:rPr>
            <w:rStyle w:val="Hyperlink"/>
          </w:rPr>
          <w:t>Introduction to the Office of Rail and Road</w:t>
        </w:r>
        <w:r w:rsidR="00A22FEF">
          <w:rPr>
            <w:webHidden/>
          </w:rPr>
          <w:tab/>
        </w:r>
        <w:r w:rsidR="00A22FEF">
          <w:rPr>
            <w:webHidden/>
          </w:rPr>
          <w:fldChar w:fldCharType="begin"/>
        </w:r>
        <w:r w:rsidR="00A22FEF">
          <w:rPr>
            <w:webHidden/>
          </w:rPr>
          <w:instrText xml:space="preserve"> PAGEREF _Toc144206842 \h </w:instrText>
        </w:r>
        <w:r w:rsidR="00A22FEF">
          <w:rPr>
            <w:webHidden/>
          </w:rPr>
        </w:r>
        <w:r w:rsidR="00A22FEF">
          <w:rPr>
            <w:webHidden/>
          </w:rPr>
          <w:fldChar w:fldCharType="separate"/>
        </w:r>
        <w:r w:rsidR="00A22FEF">
          <w:rPr>
            <w:webHidden/>
          </w:rPr>
          <w:t>5</w:t>
        </w:r>
        <w:r w:rsidR="00A22FEF">
          <w:rPr>
            <w:webHidden/>
          </w:rPr>
          <w:fldChar w:fldCharType="end"/>
        </w:r>
      </w:hyperlink>
    </w:p>
    <w:p w14:paraId="4298614D" w14:textId="299FD465" w:rsidR="00A22FEF" w:rsidRDefault="004D2AA8">
      <w:pPr>
        <w:pStyle w:val="TOC2"/>
        <w:rPr>
          <w:rFonts w:asciiTheme="minorHAnsi" w:eastAsiaTheme="minorEastAsia" w:hAnsiTheme="minorHAnsi"/>
          <w:noProof/>
          <w:kern w:val="2"/>
          <w:sz w:val="22"/>
          <w:lang w:eastAsia="en-GB"/>
          <w14:ligatures w14:val="standardContextual"/>
        </w:rPr>
      </w:pPr>
      <w:hyperlink w:anchor="_Toc144206843" w:history="1">
        <w:r w:rsidR="00A22FEF" w:rsidRPr="00B62A8E">
          <w:rPr>
            <w:rStyle w:val="Hyperlink"/>
            <w:noProof/>
          </w:rPr>
          <w:t>Our strategic objectives</w:t>
        </w:r>
        <w:r w:rsidR="00A22FEF">
          <w:rPr>
            <w:noProof/>
            <w:webHidden/>
          </w:rPr>
          <w:tab/>
        </w:r>
        <w:r w:rsidR="00A22FEF">
          <w:rPr>
            <w:noProof/>
            <w:webHidden/>
          </w:rPr>
          <w:fldChar w:fldCharType="begin"/>
        </w:r>
        <w:r w:rsidR="00A22FEF">
          <w:rPr>
            <w:noProof/>
            <w:webHidden/>
          </w:rPr>
          <w:instrText xml:space="preserve"> PAGEREF _Toc144206843 \h </w:instrText>
        </w:r>
        <w:r w:rsidR="00A22FEF">
          <w:rPr>
            <w:noProof/>
            <w:webHidden/>
          </w:rPr>
        </w:r>
        <w:r w:rsidR="00A22FEF">
          <w:rPr>
            <w:noProof/>
            <w:webHidden/>
          </w:rPr>
          <w:fldChar w:fldCharType="separate"/>
        </w:r>
        <w:r w:rsidR="00A22FEF">
          <w:rPr>
            <w:noProof/>
            <w:webHidden/>
          </w:rPr>
          <w:t>5</w:t>
        </w:r>
        <w:r w:rsidR="00A22FEF">
          <w:rPr>
            <w:noProof/>
            <w:webHidden/>
          </w:rPr>
          <w:fldChar w:fldCharType="end"/>
        </w:r>
      </w:hyperlink>
    </w:p>
    <w:p w14:paraId="6AD99D83" w14:textId="63B6555B" w:rsidR="00A22FEF" w:rsidRDefault="004D2AA8">
      <w:pPr>
        <w:pStyle w:val="TOC2"/>
        <w:rPr>
          <w:rFonts w:asciiTheme="minorHAnsi" w:eastAsiaTheme="minorEastAsia" w:hAnsiTheme="minorHAnsi"/>
          <w:noProof/>
          <w:kern w:val="2"/>
          <w:sz w:val="22"/>
          <w:lang w:eastAsia="en-GB"/>
          <w14:ligatures w14:val="standardContextual"/>
        </w:rPr>
      </w:pPr>
      <w:hyperlink w:anchor="_Toc144206844" w:history="1">
        <w:r w:rsidR="00A22FEF" w:rsidRPr="00B62A8E">
          <w:rPr>
            <w:rStyle w:val="Hyperlink"/>
            <w:noProof/>
          </w:rPr>
          <w:t>Supplying ORR</w:t>
        </w:r>
        <w:r w:rsidR="00A22FEF">
          <w:rPr>
            <w:noProof/>
            <w:webHidden/>
          </w:rPr>
          <w:tab/>
        </w:r>
        <w:r w:rsidR="00A22FEF">
          <w:rPr>
            <w:noProof/>
            <w:webHidden/>
          </w:rPr>
          <w:fldChar w:fldCharType="begin"/>
        </w:r>
        <w:r w:rsidR="00A22FEF">
          <w:rPr>
            <w:noProof/>
            <w:webHidden/>
          </w:rPr>
          <w:instrText xml:space="preserve"> PAGEREF _Toc144206844 \h </w:instrText>
        </w:r>
        <w:r w:rsidR="00A22FEF">
          <w:rPr>
            <w:noProof/>
            <w:webHidden/>
          </w:rPr>
        </w:r>
        <w:r w:rsidR="00A22FEF">
          <w:rPr>
            <w:noProof/>
            <w:webHidden/>
          </w:rPr>
          <w:fldChar w:fldCharType="separate"/>
        </w:r>
        <w:r w:rsidR="00A22FEF">
          <w:rPr>
            <w:noProof/>
            <w:webHidden/>
          </w:rPr>
          <w:t>5</w:t>
        </w:r>
        <w:r w:rsidR="00A22FEF">
          <w:rPr>
            <w:noProof/>
            <w:webHidden/>
          </w:rPr>
          <w:fldChar w:fldCharType="end"/>
        </w:r>
      </w:hyperlink>
    </w:p>
    <w:p w14:paraId="397CA2ED" w14:textId="5B34C555" w:rsidR="00A22FEF" w:rsidRDefault="004D2AA8">
      <w:pPr>
        <w:pStyle w:val="TOC1"/>
        <w:rPr>
          <w:rFonts w:asciiTheme="minorHAnsi" w:eastAsiaTheme="minorEastAsia" w:hAnsiTheme="minorHAnsi"/>
          <w:b w:val="0"/>
          <w:bCs w:val="0"/>
          <w:color w:val="auto"/>
          <w:kern w:val="2"/>
          <w:sz w:val="22"/>
          <w:lang w:eastAsia="en-GB"/>
          <w14:ligatures w14:val="standardContextual"/>
        </w:rPr>
      </w:pPr>
      <w:hyperlink w:anchor="_Toc144206845" w:history="1">
        <w:r w:rsidR="00A22FEF" w:rsidRPr="00B62A8E">
          <w:rPr>
            <w:rStyle w:val="Hyperlink"/>
          </w:rPr>
          <w:t>Small and Medium Enterprises</w:t>
        </w:r>
        <w:r w:rsidR="00A22FEF">
          <w:rPr>
            <w:webHidden/>
          </w:rPr>
          <w:tab/>
        </w:r>
        <w:r w:rsidR="00A22FEF">
          <w:rPr>
            <w:webHidden/>
          </w:rPr>
          <w:fldChar w:fldCharType="begin"/>
        </w:r>
        <w:r w:rsidR="00A22FEF">
          <w:rPr>
            <w:webHidden/>
          </w:rPr>
          <w:instrText xml:space="preserve"> PAGEREF _Toc144206845 \h </w:instrText>
        </w:r>
        <w:r w:rsidR="00A22FEF">
          <w:rPr>
            <w:webHidden/>
          </w:rPr>
        </w:r>
        <w:r w:rsidR="00A22FEF">
          <w:rPr>
            <w:webHidden/>
          </w:rPr>
          <w:fldChar w:fldCharType="separate"/>
        </w:r>
        <w:r w:rsidR="00A22FEF">
          <w:rPr>
            <w:webHidden/>
          </w:rPr>
          <w:t>7</w:t>
        </w:r>
        <w:r w:rsidR="00A22FEF">
          <w:rPr>
            <w:webHidden/>
          </w:rPr>
          <w:fldChar w:fldCharType="end"/>
        </w:r>
      </w:hyperlink>
    </w:p>
    <w:p w14:paraId="7D832D25" w14:textId="7A9AB3AE" w:rsidR="00A22FEF" w:rsidRDefault="004D2AA8">
      <w:pPr>
        <w:pStyle w:val="TOC1"/>
        <w:rPr>
          <w:rFonts w:asciiTheme="minorHAnsi" w:eastAsiaTheme="minorEastAsia" w:hAnsiTheme="minorHAnsi"/>
          <w:b w:val="0"/>
          <w:bCs w:val="0"/>
          <w:color w:val="auto"/>
          <w:kern w:val="2"/>
          <w:sz w:val="22"/>
          <w:lang w:eastAsia="en-GB"/>
          <w14:ligatures w14:val="standardContextual"/>
        </w:rPr>
      </w:pPr>
      <w:hyperlink w:anchor="_Toc144206846" w:history="1">
        <w:r w:rsidR="00A22FEF" w:rsidRPr="00B62A8E">
          <w:rPr>
            <w:rStyle w:val="Hyperlink"/>
          </w:rPr>
          <w:t>2.</w:t>
        </w:r>
        <w:r w:rsidR="00A22FEF">
          <w:rPr>
            <w:rFonts w:asciiTheme="minorHAnsi" w:eastAsiaTheme="minorEastAsia" w:hAnsiTheme="minorHAnsi"/>
            <w:b w:val="0"/>
            <w:bCs w:val="0"/>
            <w:color w:val="auto"/>
            <w:kern w:val="2"/>
            <w:sz w:val="22"/>
            <w:lang w:eastAsia="en-GB"/>
            <w14:ligatures w14:val="standardContextual"/>
          </w:rPr>
          <w:tab/>
        </w:r>
        <w:r w:rsidR="00A22FEF" w:rsidRPr="00B62A8E">
          <w:rPr>
            <w:rStyle w:val="Hyperlink"/>
          </w:rPr>
          <w:t>Statement of Requirement</w:t>
        </w:r>
        <w:r w:rsidR="00A22FEF">
          <w:rPr>
            <w:webHidden/>
          </w:rPr>
          <w:tab/>
        </w:r>
        <w:r w:rsidR="00A22FEF">
          <w:rPr>
            <w:webHidden/>
          </w:rPr>
          <w:fldChar w:fldCharType="begin"/>
        </w:r>
        <w:r w:rsidR="00A22FEF">
          <w:rPr>
            <w:webHidden/>
          </w:rPr>
          <w:instrText xml:space="preserve"> PAGEREF _Toc144206846 \h </w:instrText>
        </w:r>
        <w:r w:rsidR="00A22FEF">
          <w:rPr>
            <w:webHidden/>
          </w:rPr>
        </w:r>
        <w:r w:rsidR="00A22FEF">
          <w:rPr>
            <w:webHidden/>
          </w:rPr>
          <w:fldChar w:fldCharType="separate"/>
        </w:r>
        <w:r w:rsidR="00A22FEF">
          <w:rPr>
            <w:webHidden/>
          </w:rPr>
          <w:t>8</w:t>
        </w:r>
        <w:r w:rsidR="00A22FEF">
          <w:rPr>
            <w:webHidden/>
          </w:rPr>
          <w:fldChar w:fldCharType="end"/>
        </w:r>
      </w:hyperlink>
    </w:p>
    <w:p w14:paraId="2C67D67C" w14:textId="2FA69390" w:rsidR="00A22FEF" w:rsidRDefault="004D2AA8">
      <w:pPr>
        <w:pStyle w:val="TOC2"/>
        <w:rPr>
          <w:rFonts w:asciiTheme="minorHAnsi" w:eastAsiaTheme="minorEastAsia" w:hAnsiTheme="minorHAnsi"/>
          <w:noProof/>
          <w:kern w:val="2"/>
          <w:sz w:val="22"/>
          <w:lang w:eastAsia="en-GB"/>
          <w14:ligatures w14:val="standardContextual"/>
        </w:rPr>
      </w:pPr>
      <w:hyperlink w:anchor="_Toc144206847" w:history="1">
        <w:r w:rsidR="00A22FEF" w:rsidRPr="00B62A8E">
          <w:rPr>
            <w:rStyle w:val="Hyperlink"/>
            <w:noProof/>
          </w:rPr>
          <w:t>2.1 Background of the project</w:t>
        </w:r>
        <w:r w:rsidR="00A22FEF">
          <w:rPr>
            <w:noProof/>
            <w:webHidden/>
          </w:rPr>
          <w:tab/>
        </w:r>
        <w:r w:rsidR="00A22FEF">
          <w:rPr>
            <w:noProof/>
            <w:webHidden/>
          </w:rPr>
          <w:fldChar w:fldCharType="begin"/>
        </w:r>
        <w:r w:rsidR="00A22FEF">
          <w:rPr>
            <w:noProof/>
            <w:webHidden/>
          </w:rPr>
          <w:instrText xml:space="preserve"> PAGEREF _Toc144206847 \h </w:instrText>
        </w:r>
        <w:r w:rsidR="00A22FEF">
          <w:rPr>
            <w:noProof/>
            <w:webHidden/>
          </w:rPr>
        </w:r>
        <w:r w:rsidR="00A22FEF">
          <w:rPr>
            <w:noProof/>
            <w:webHidden/>
          </w:rPr>
          <w:fldChar w:fldCharType="separate"/>
        </w:r>
        <w:r w:rsidR="00A22FEF">
          <w:rPr>
            <w:noProof/>
            <w:webHidden/>
          </w:rPr>
          <w:t>8</w:t>
        </w:r>
        <w:r w:rsidR="00A22FEF">
          <w:rPr>
            <w:noProof/>
            <w:webHidden/>
          </w:rPr>
          <w:fldChar w:fldCharType="end"/>
        </w:r>
      </w:hyperlink>
    </w:p>
    <w:p w14:paraId="269C1835" w14:textId="04AB646D" w:rsidR="00A22FEF" w:rsidRDefault="004D2AA8">
      <w:pPr>
        <w:pStyle w:val="TOC2"/>
        <w:rPr>
          <w:rFonts w:asciiTheme="minorHAnsi" w:eastAsiaTheme="minorEastAsia" w:hAnsiTheme="minorHAnsi"/>
          <w:noProof/>
          <w:kern w:val="2"/>
          <w:sz w:val="22"/>
          <w:lang w:eastAsia="en-GB"/>
          <w14:ligatures w14:val="standardContextual"/>
        </w:rPr>
      </w:pPr>
      <w:hyperlink w:anchor="_Toc144206848" w:history="1">
        <w:r w:rsidR="00A22FEF" w:rsidRPr="00B62A8E">
          <w:rPr>
            <w:rStyle w:val="Hyperlink"/>
            <w:noProof/>
          </w:rPr>
          <w:t>2.2 Project Objectives and Scope</w:t>
        </w:r>
        <w:r w:rsidR="00A22FEF">
          <w:rPr>
            <w:noProof/>
            <w:webHidden/>
          </w:rPr>
          <w:tab/>
        </w:r>
        <w:r w:rsidR="00A22FEF">
          <w:rPr>
            <w:noProof/>
            <w:webHidden/>
          </w:rPr>
          <w:fldChar w:fldCharType="begin"/>
        </w:r>
        <w:r w:rsidR="00A22FEF">
          <w:rPr>
            <w:noProof/>
            <w:webHidden/>
          </w:rPr>
          <w:instrText xml:space="preserve"> PAGEREF _Toc144206848 \h </w:instrText>
        </w:r>
        <w:r w:rsidR="00A22FEF">
          <w:rPr>
            <w:noProof/>
            <w:webHidden/>
          </w:rPr>
        </w:r>
        <w:r w:rsidR="00A22FEF">
          <w:rPr>
            <w:noProof/>
            <w:webHidden/>
          </w:rPr>
          <w:fldChar w:fldCharType="separate"/>
        </w:r>
        <w:r w:rsidR="00A22FEF">
          <w:rPr>
            <w:noProof/>
            <w:webHidden/>
          </w:rPr>
          <w:t>9</w:t>
        </w:r>
        <w:r w:rsidR="00A22FEF">
          <w:rPr>
            <w:noProof/>
            <w:webHidden/>
          </w:rPr>
          <w:fldChar w:fldCharType="end"/>
        </w:r>
      </w:hyperlink>
    </w:p>
    <w:p w14:paraId="4D5975D5" w14:textId="6D435770" w:rsidR="00A22FEF" w:rsidRDefault="004D2AA8">
      <w:pPr>
        <w:pStyle w:val="TOC2"/>
        <w:rPr>
          <w:rFonts w:asciiTheme="minorHAnsi" w:eastAsiaTheme="minorEastAsia" w:hAnsiTheme="minorHAnsi"/>
          <w:noProof/>
          <w:kern w:val="2"/>
          <w:sz w:val="22"/>
          <w:lang w:eastAsia="en-GB"/>
          <w14:ligatures w14:val="standardContextual"/>
        </w:rPr>
      </w:pPr>
      <w:hyperlink w:anchor="_Toc144206849" w:history="1">
        <w:r w:rsidR="00A22FEF" w:rsidRPr="00B62A8E">
          <w:rPr>
            <w:rStyle w:val="Hyperlink"/>
            <w:noProof/>
          </w:rPr>
          <w:t>2.3 Project Outputs, Deliverables and Contract Management</w:t>
        </w:r>
        <w:r w:rsidR="00A22FEF">
          <w:rPr>
            <w:noProof/>
            <w:webHidden/>
          </w:rPr>
          <w:tab/>
        </w:r>
        <w:r w:rsidR="00A22FEF">
          <w:rPr>
            <w:noProof/>
            <w:webHidden/>
          </w:rPr>
          <w:fldChar w:fldCharType="begin"/>
        </w:r>
        <w:r w:rsidR="00A22FEF">
          <w:rPr>
            <w:noProof/>
            <w:webHidden/>
          </w:rPr>
          <w:instrText xml:space="preserve"> PAGEREF _Toc144206849 \h </w:instrText>
        </w:r>
        <w:r w:rsidR="00A22FEF">
          <w:rPr>
            <w:noProof/>
            <w:webHidden/>
          </w:rPr>
        </w:r>
        <w:r w:rsidR="00A22FEF">
          <w:rPr>
            <w:noProof/>
            <w:webHidden/>
          </w:rPr>
          <w:fldChar w:fldCharType="separate"/>
        </w:r>
        <w:r w:rsidR="00A22FEF">
          <w:rPr>
            <w:noProof/>
            <w:webHidden/>
          </w:rPr>
          <w:t>12</w:t>
        </w:r>
        <w:r w:rsidR="00A22FEF">
          <w:rPr>
            <w:noProof/>
            <w:webHidden/>
          </w:rPr>
          <w:fldChar w:fldCharType="end"/>
        </w:r>
      </w:hyperlink>
    </w:p>
    <w:p w14:paraId="7C0A3847" w14:textId="1A15EFEC" w:rsidR="00A22FEF" w:rsidRDefault="004D2AA8">
      <w:pPr>
        <w:pStyle w:val="TOC2"/>
        <w:rPr>
          <w:rFonts w:asciiTheme="minorHAnsi" w:eastAsiaTheme="minorEastAsia" w:hAnsiTheme="minorHAnsi"/>
          <w:noProof/>
          <w:kern w:val="2"/>
          <w:sz w:val="22"/>
          <w:lang w:eastAsia="en-GB"/>
          <w14:ligatures w14:val="standardContextual"/>
        </w:rPr>
      </w:pPr>
      <w:hyperlink w:anchor="_Toc144206850" w:history="1">
        <w:r w:rsidR="00A22FEF" w:rsidRPr="00B62A8E">
          <w:rPr>
            <w:rStyle w:val="Hyperlink"/>
            <w:noProof/>
          </w:rPr>
          <w:t>2.4 Project Timescales</w:t>
        </w:r>
        <w:r w:rsidR="00A22FEF">
          <w:rPr>
            <w:noProof/>
            <w:webHidden/>
          </w:rPr>
          <w:tab/>
        </w:r>
        <w:r w:rsidR="00A22FEF">
          <w:rPr>
            <w:noProof/>
            <w:webHidden/>
          </w:rPr>
          <w:fldChar w:fldCharType="begin"/>
        </w:r>
        <w:r w:rsidR="00A22FEF">
          <w:rPr>
            <w:noProof/>
            <w:webHidden/>
          </w:rPr>
          <w:instrText xml:space="preserve"> PAGEREF _Toc144206850 \h </w:instrText>
        </w:r>
        <w:r w:rsidR="00A22FEF">
          <w:rPr>
            <w:noProof/>
            <w:webHidden/>
          </w:rPr>
        </w:r>
        <w:r w:rsidR="00A22FEF">
          <w:rPr>
            <w:noProof/>
            <w:webHidden/>
          </w:rPr>
          <w:fldChar w:fldCharType="separate"/>
        </w:r>
        <w:r w:rsidR="00A22FEF">
          <w:rPr>
            <w:noProof/>
            <w:webHidden/>
          </w:rPr>
          <w:t>13</w:t>
        </w:r>
        <w:r w:rsidR="00A22FEF">
          <w:rPr>
            <w:noProof/>
            <w:webHidden/>
          </w:rPr>
          <w:fldChar w:fldCharType="end"/>
        </w:r>
      </w:hyperlink>
    </w:p>
    <w:p w14:paraId="2F1DFC12" w14:textId="3CB58205" w:rsidR="00A22FEF" w:rsidRDefault="004D2AA8">
      <w:pPr>
        <w:pStyle w:val="TOC2"/>
        <w:rPr>
          <w:rFonts w:asciiTheme="minorHAnsi" w:eastAsiaTheme="minorEastAsia" w:hAnsiTheme="minorHAnsi"/>
          <w:noProof/>
          <w:kern w:val="2"/>
          <w:sz w:val="22"/>
          <w:lang w:eastAsia="en-GB"/>
          <w14:ligatures w14:val="standardContextual"/>
        </w:rPr>
      </w:pPr>
      <w:hyperlink w:anchor="_Toc144206851" w:history="1">
        <w:r w:rsidR="00A22FEF" w:rsidRPr="00B62A8E">
          <w:rPr>
            <w:rStyle w:val="Hyperlink"/>
            <w:noProof/>
          </w:rPr>
          <w:t>2.5 Budget and Payment Schedule</w:t>
        </w:r>
        <w:r w:rsidR="00A22FEF">
          <w:rPr>
            <w:noProof/>
            <w:webHidden/>
          </w:rPr>
          <w:tab/>
        </w:r>
        <w:r w:rsidR="00A22FEF">
          <w:rPr>
            <w:noProof/>
            <w:webHidden/>
          </w:rPr>
          <w:fldChar w:fldCharType="begin"/>
        </w:r>
        <w:r w:rsidR="00A22FEF">
          <w:rPr>
            <w:noProof/>
            <w:webHidden/>
          </w:rPr>
          <w:instrText xml:space="preserve"> PAGEREF _Toc144206851 \h </w:instrText>
        </w:r>
        <w:r w:rsidR="00A22FEF">
          <w:rPr>
            <w:noProof/>
            <w:webHidden/>
          </w:rPr>
        </w:r>
        <w:r w:rsidR="00A22FEF">
          <w:rPr>
            <w:noProof/>
            <w:webHidden/>
          </w:rPr>
          <w:fldChar w:fldCharType="separate"/>
        </w:r>
        <w:r w:rsidR="00A22FEF">
          <w:rPr>
            <w:noProof/>
            <w:webHidden/>
          </w:rPr>
          <w:t>13</w:t>
        </w:r>
        <w:r w:rsidR="00A22FEF">
          <w:rPr>
            <w:noProof/>
            <w:webHidden/>
          </w:rPr>
          <w:fldChar w:fldCharType="end"/>
        </w:r>
      </w:hyperlink>
    </w:p>
    <w:p w14:paraId="2C5C172E" w14:textId="2792FA7C" w:rsidR="00A22FEF" w:rsidRDefault="004D2AA8">
      <w:pPr>
        <w:pStyle w:val="TOC2"/>
        <w:rPr>
          <w:rFonts w:asciiTheme="minorHAnsi" w:eastAsiaTheme="minorEastAsia" w:hAnsiTheme="minorHAnsi"/>
          <w:noProof/>
          <w:kern w:val="2"/>
          <w:sz w:val="22"/>
          <w:lang w:eastAsia="en-GB"/>
          <w14:ligatures w14:val="standardContextual"/>
        </w:rPr>
      </w:pPr>
      <w:hyperlink w:anchor="_Toc144206852" w:history="1">
        <w:r w:rsidR="00A22FEF" w:rsidRPr="00B62A8E">
          <w:rPr>
            <w:rStyle w:val="Hyperlink"/>
            <w:noProof/>
          </w:rPr>
          <w:t>2.6 Further project related information for bidders</w:t>
        </w:r>
        <w:r w:rsidR="00A22FEF">
          <w:rPr>
            <w:noProof/>
            <w:webHidden/>
          </w:rPr>
          <w:tab/>
        </w:r>
        <w:r w:rsidR="00A22FEF">
          <w:rPr>
            <w:noProof/>
            <w:webHidden/>
          </w:rPr>
          <w:fldChar w:fldCharType="begin"/>
        </w:r>
        <w:r w:rsidR="00A22FEF">
          <w:rPr>
            <w:noProof/>
            <w:webHidden/>
          </w:rPr>
          <w:instrText xml:space="preserve"> PAGEREF _Toc144206852 \h </w:instrText>
        </w:r>
        <w:r w:rsidR="00A22FEF">
          <w:rPr>
            <w:noProof/>
            <w:webHidden/>
          </w:rPr>
        </w:r>
        <w:r w:rsidR="00A22FEF">
          <w:rPr>
            <w:noProof/>
            <w:webHidden/>
          </w:rPr>
          <w:fldChar w:fldCharType="separate"/>
        </w:r>
        <w:r w:rsidR="00A22FEF">
          <w:rPr>
            <w:noProof/>
            <w:webHidden/>
          </w:rPr>
          <w:t>13</w:t>
        </w:r>
        <w:r w:rsidR="00A22FEF">
          <w:rPr>
            <w:noProof/>
            <w:webHidden/>
          </w:rPr>
          <w:fldChar w:fldCharType="end"/>
        </w:r>
      </w:hyperlink>
    </w:p>
    <w:p w14:paraId="63F214FA" w14:textId="46270A8F" w:rsidR="00A22FEF" w:rsidRDefault="004D2AA8">
      <w:pPr>
        <w:pStyle w:val="TOC1"/>
        <w:rPr>
          <w:rFonts w:asciiTheme="minorHAnsi" w:eastAsiaTheme="minorEastAsia" w:hAnsiTheme="minorHAnsi"/>
          <w:b w:val="0"/>
          <w:bCs w:val="0"/>
          <w:color w:val="auto"/>
          <w:kern w:val="2"/>
          <w:sz w:val="22"/>
          <w:lang w:eastAsia="en-GB"/>
          <w14:ligatures w14:val="standardContextual"/>
        </w:rPr>
      </w:pPr>
      <w:hyperlink w:anchor="_Toc144206853" w:history="1">
        <w:r w:rsidR="00A22FEF" w:rsidRPr="00B62A8E">
          <w:rPr>
            <w:rStyle w:val="Hyperlink"/>
          </w:rPr>
          <w:t>3.</w:t>
        </w:r>
        <w:r w:rsidR="00A22FEF">
          <w:rPr>
            <w:rFonts w:asciiTheme="minorHAnsi" w:eastAsiaTheme="minorEastAsia" w:hAnsiTheme="minorHAnsi"/>
            <w:b w:val="0"/>
            <w:bCs w:val="0"/>
            <w:color w:val="auto"/>
            <w:kern w:val="2"/>
            <w:sz w:val="22"/>
            <w:lang w:eastAsia="en-GB"/>
            <w14:ligatures w14:val="standardContextual"/>
          </w:rPr>
          <w:tab/>
        </w:r>
        <w:r w:rsidR="00A22FEF" w:rsidRPr="00B62A8E">
          <w:rPr>
            <w:rStyle w:val="Hyperlink"/>
          </w:rPr>
          <w:t>Tender Response and Evaluation Criteria</w:t>
        </w:r>
        <w:r w:rsidR="00A22FEF">
          <w:rPr>
            <w:webHidden/>
          </w:rPr>
          <w:tab/>
        </w:r>
        <w:r w:rsidR="00A22FEF">
          <w:rPr>
            <w:webHidden/>
          </w:rPr>
          <w:fldChar w:fldCharType="begin"/>
        </w:r>
        <w:r w:rsidR="00A22FEF">
          <w:rPr>
            <w:webHidden/>
          </w:rPr>
          <w:instrText xml:space="preserve"> PAGEREF _Toc144206853 \h </w:instrText>
        </w:r>
        <w:r w:rsidR="00A22FEF">
          <w:rPr>
            <w:webHidden/>
          </w:rPr>
        </w:r>
        <w:r w:rsidR="00A22FEF">
          <w:rPr>
            <w:webHidden/>
          </w:rPr>
          <w:fldChar w:fldCharType="separate"/>
        </w:r>
        <w:r w:rsidR="00A22FEF">
          <w:rPr>
            <w:webHidden/>
          </w:rPr>
          <w:t>15</w:t>
        </w:r>
        <w:r w:rsidR="00A22FEF">
          <w:rPr>
            <w:webHidden/>
          </w:rPr>
          <w:fldChar w:fldCharType="end"/>
        </w:r>
      </w:hyperlink>
    </w:p>
    <w:p w14:paraId="591BAFC8" w14:textId="16DC07C7" w:rsidR="00A22FEF" w:rsidRDefault="004D2AA8">
      <w:pPr>
        <w:pStyle w:val="TOC2"/>
        <w:rPr>
          <w:rFonts w:asciiTheme="minorHAnsi" w:eastAsiaTheme="minorEastAsia" w:hAnsiTheme="minorHAnsi"/>
          <w:noProof/>
          <w:kern w:val="2"/>
          <w:sz w:val="22"/>
          <w:lang w:eastAsia="en-GB"/>
          <w14:ligatures w14:val="standardContextual"/>
        </w:rPr>
      </w:pPr>
      <w:hyperlink w:anchor="_Toc144206854" w:history="1">
        <w:r w:rsidR="00A22FEF" w:rsidRPr="00B62A8E">
          <w:rPr>
            <w:rStyle w:val="Hyperlink"/>
            <w:noProof/>
          </w:rPr>
          <w:t>3.1 The Tender Response</w:t>
        </w:r>
        <w:r w:rsidR="00A22FEF">
          <w:rPr>
            <w:noProof/>
            <w:webHidden/>
          </w:rPr>
          <w:tab/>
        </w:r>
        <w:r w:rsidR="00A22FEF">
          <w:rPr>
            <w:noProof/>
            <w:webHidden/>
          </w:rPr>
          <w:fldChar w:fldCharType="begin"/>
        </w:r>
        <w:r w:rsidR="00A22FEF">
          <w:rPr>
            <w:noProof/>
            <w:webHidden/>
          </w:rPr>
          <w:instrText xml:space="preserve"> PAGEREF _Toc144206854 \h </w:instrText>
        </w:r>
        <w:r w:rsidR="00A22FEF">
          <w:rPr>
            <w:noProof/>
            <w:webHidden/>
          </w:rPr>
        </w:r>
        <w:r w:rsidR="00A22FEF">
          <w:rPr>
            <w:noProof/>
            <w:webHidden/>
          </w:rPr>
          <w:fldChar w:fldCharType="separate"/>
        </w:r>
        <w:r w:rsidR="00A22FEF">
          <w:rPr>
            <w:noProof/>
            <w:webHidden/>
          </w:rPr>
          <w:t>15</w:t>
        </w:r>
        <w:r w:rsidR="00A22FEF">
          <w:rPr>
            <w:noProof/>
            <w:webHidden/>
          </w:rPr>
          <w:fldChar w:fldCharType="end"/>
        </w:r>
      </w:hyperlink>
    </w:p>
    <w:p w14:paraId="16337A41" w14:textId="2B39F9FE" w:rsidR="00A22FEF" w:rsidRDefault="004D2AA8">
      <w:pPr>
        <w:pStyle w:val="TOC2"/>
        <w:rPr>
          <w:rFonts w:asciiTheme="minorHAnsi" w:eastAsiaTheme="minorEastAsia" w:hAnsiTheme="minorHAnsi"/>
          <w:noProof/>
          <w:kern w:val="2"/>
          <w:sz w:val="22"/>
          <w:lang w:eastAsia="en-GB"/>
          <w14:ligatures w14:val="standardContextual"/>
        </w:rPr>
      </w:pPr>
      <w:hyperlink w:anchor="_Toc144206855" w:history="1">
        <w:r w:rsidR="00A22FEF" w:rsidRPr="00B62A8E">
          <w:rPr>
            <w:rStyle w:val="Hyperlink"/>
            <w:noProof/>
          </w:rPr>
          <w:t>3.2 Evaluation Criteria</w:t>
        </w:r>
        <w:r w:rsidR="00A22FEF">
          <w:rPr>
            <w:noProof/>
            <w:webHidden/>
          </w:rPr>
          <w:tab/>
        </w:r>
        <w:r w:rsidR="00A22FEF">
          <w:rPr>
            <w:noProof/>
            <w:webHidden/>
          </w:rPr>
          <w:fldChar w:fldCharType="begin"/>
        </w:r>
        <w:r w:rsidR="00A22FEF">
          <w:rPr>
            <w:noProof/>
            <w:webHidden/>
          </w:rPr>
          <w:instrText xml:space="preserve"> PAGEREF _Toc144206855 \h </w:instrText>
        </w:r>
        <w:r w:rsidR="00A22FEF">
          <w:rPr>
            <w:noProof/>
            <w:webHidden/>
          </w:rPr>
        </w:r>
        <w:r w:rsidR="00A22FEF">
          <w:rPr>
            <w:noProof/>
            <w:webHidden/>
          </w:rPr>
          <w:fldChar w:fldCharType="separate"/>
        </w:r>
        <w:r w:rsidR="00A22FEF">
          <w:rPr>
            <w:noProof/>
            <w:webHidden/>
          </w:rPr>
          <w:t>16</w:t>
        </w:r>
        <w:r w:rsidR="00A22FEF">
          <w:rPr>
            <w:noProof/>
            <w:webHidden/>
          </w:rPr>
          <w:fldChar w:fldCharType="end"/>
        </w:r>
      </w:hyperlink>
    </w:p>
    <w:p w14:paraId="4FE5C6FC" w14:textId="4B00D5C5" w:rsidR="00A22FEF" w:rsidRDefault="004D2AA8">
      <w:pPr>
        <w:pStyle w:val="TOC1"/>
        <w:rPr>
          <w:rFonts w:asciiTheme="minorHAnsi" w:eastAsiaTheme="minorEastAsia" w:hAnsiTheme="minorHAnsi"/>
          <w:b w:val="0"/>
          <w:bCs w:val="0"/>
          <w:color w:val="auto"/>
          <w:kern w:val="2"/>
          <w:sz w:val="22"/>
          <w:lang w:eastAsia="en-GB"/>
          <w14:ligatures w14:val="standardContextual"/>
        </w:rPr>
      </w:pPr>
      <w:hyperlink w:anchor="_Toc144206856" w:history="1">
        <w:r w:rsidR="00A22FEF" w:rsidRPr="00B62A8E">
          <w:rPr>
            <w:rStyle w:val="Hyperlink"/>
          </w:rPr>
          <w:t>4.</w:t>
        </w:r>
        <w:r w:rsidR="00A22FEF">
          <w:rPr>
            <w:rFonts w:asciiTheme="minorHAnsi" w:eastAsiaTheme="minorEastAsia" w:hAnsiTheme="minorHAnsi"/>
            <w:b w:val="0"/>
            <w:bCs w:val="0"/>
            <w:color w:val="auto"/>
            <w:kern w:val="2"/>
            <w:sz w:val="22"/>
            <w:lang w:eastAsia="en-GB"/>
            <w14:ligatures w14:val="standardContextual"/>
          </w:rPr>
          <w:tab/>
        </w:r>
        <w:r w:rsidR="00A22FEF" w:rsidRPr="00B62A8E">
          <w:rPr>
            <w:rStyle w:val="Hyperlink"/>
          </w:rPr>
          <w:t>Procurement Procedures</w:t>
        </w:r>
        <w:r w:rsidR="00A22FEF">
          <w:rPr>
            <w:webHidden/>
          </w:rPr>
          <w:tab/>
        </w:r>
        <w:r w:rsidR="00A22FEF">
          <w:rPr>
            <w:webHidden/>
          </w:rPr>
          <w:fldChar w:fldCharType="begin"/>
        </w:r>
        <w:r w:rsidR="00A22FEF">
          <w:rPr>
            <w:webHidden/>
          </w:rPr>
          <w:instrText xml:space="preserve"> PAGEREF _Toc144206856 \h </w:instrText>
        </w:r>
        <w:r w:rsidR="00A22FEF">
          <w:rPr>
            <w:webHidden/>
          </w:rPr>
        </w:r>
        <w:r w:rsidR="00A22FEF">
          <w:rPr>
            <w:webHidden/>
          </w:rPr>
          <w:fldChar w:fldCharType="separate"/>
        </w:r>
        <w:r w:rsidR="00A22FEF">
          <w:rPr>
            <w:webHidden/>
          </w:rPr>
          <w:t>21</w:t>
        </w:r>
        <w:r w:rsidR="00A22FEF">
          <w:rPr>
            <w:webHidden/>
          </w:rPr>
          <w:fldChar w:fldCharType="end"/>
        </w:r>
      </w:hyperlink>
    </w:p>
    <w:p w14:paraId="3D0F944E" w14:textId="51816430" w:rsidR="00A22FEF" w:rsidRDefault="004D2AA8">
      <w:pPr>
        <w:pStyle w:val="TOC2"/>
        <w:rPr>
          <w:rFonts w:asciiTheme="minorHAnsi" w:eastAsiaTheme="minorEastAsia" w:hAnsiTheme="minorHAnsi"/>
          <w:noProof/>
          <w:kern w:val="2"/>
          <w:sz w:val="22"/>
          <w:lang w:eastAsia="en-GB"/>
          <w14:ligatures w14:val="standardContextual"/>
        </w:rPr>
      </w:pPr>
      <w:hyperlink w:anchor="_Toc144206857" w:history="1">
        <w:r w:rsidR="00A22FEF" w:rsidRPr="00B62A8E">
          <w:rPr>
            <w:rStyle w:val="Hyperlink"/>
            <w:noProof/>
          </w:rPr>
          <w:t>Tendering Timetable</w:t>
        </w:r>
        <w:r w:rsidR="00A22FEF">
          <w:rPr>
            <w:noProof/>
            <w:webHidden/>
          </w:rPr>
          <w:tab/>
        </w:r>
        <w:r w:rsidR="00A22FEF">
          <w:rPr>
            <w:noProof/>
            <w:webHidden/>
          </w:rPr>
          <w:fldChar w:fldCharType="begin"/>
        </w:r>
        <w:r w:rsidR="00A22FEF">
          <w:rPr>
            <w:noProof/>
            <w:webHidden/>
          </w:rPr>
          <w:instrText xml:space="preserve"> PAGEREF _Toc144206857 \h </w:instrText>
        </w:r>
        <w:r w:rsidR="00A22FEF">
          <w:rPr>
            <w:noProof/>
            <w:webHidden/>
          </w:rPr>
        </w:r>
        <w:r w:rsidR="00A22FEF">
          <w:rPr>
            <w:noProof/>
            <w:webHidden/>
          </w:rPr>
          <w:fldChar w:fldCharType="separate"/>
        </w:r>
        <w:r w:rsidR="00A22FEF">
          <w:rPr>
            <w:noProof/>
            <w:webHidden/>
          </w:rPr>
          <w:t>21</w:t>
        </w:r>
        <w:r w:rsidR="00A22FEF">
          <w:rPr>
            <w:noProof/>
            <w:webHidden/>
          </w:rPr>
          <w:fldChar w:fldCharType="end"/>
        </w:r>
      </w:hyperlink>
    </w:p>
    <w:p w14:paraId="19B93740" w14:textId="72A69DEE" w:rsidR="00A22FEF" w:rsidRDefault="004D2AA8">
      <w:pPr>
        <w:pStyle w:val="TOC2"/>
        <w:rPr>
          <w:rFonts w:asciiTheme="minorHAnsi" w:eastAsiaTheme="minorEastAsia" w:hAnsiTheme="minorHAnsi"/>
          <w:noProof/>
          <w:kern w:val="2"/>
          <w:sz w:val="22"/>
          <w:lang w:eastAsia="en-GB"/>
          <w14:ligatures w14:val="standardContextual"/>
        </w:rPr>
      </w:pPr>
      <w:hyperlink w:anchor="_Toc144206858" w:history="1">
        <w:r w:rsidR="00A22FEF" w:rsidRPr="00B62A8E">
          <w:rPr>
            <w:rStyle w:val="Hyperlink"/>
            <w:noProof/>
          </w:rPr>
          <w:t>Tendering Instructions and Guidance</w:t>
        </w:r>
        <w:r w:rsidR="00A22FEF">
          <w:rPr>
            <w:noProof/>
            <w:webHidden/>
          </w:rPr>
          <w:tab/>
        </w:r>
        <w:r w:rsidR="00A22FEF">
          <w:rPr>
            <w:noProof/>
            <w:webHidden/>
          </w:rPr>
          <w:fldChar w:fldCharType="begin"/>
        </w:r>
        <w:r w:rsidR="00A22FEF">
          <w:rPr>
            <w:noProof/>
            <w:webHidden/>
          </w:rPr>
          <w:instrText xml:space="preserve"> PAGEREF _Toc144206858 \h </w:instrText>
        </w:r>
        <w:r w:rsidR="00A22FEF">
          <w:rPr>
            <w:noProof/>
            <w:webHidden/>
          </w:rPr>
        </w:r>
        <w:r w:rsidR="00A22FEF">
          <w:rPr>
            <w:noProof/>
            <w:webHidden/>
          </w:rPr>
          <w:fldChar w:fldCharType="separate"/>
        </w:r>
        <w:r w:rsidR="00A22FEF">
          <w:rPr>
            <w:noProof/>
            <w:webHidden/>
          </w:rPr>
          <w:t>21</w:t>
        </w:r>
        <w:r w:rsidR="00A22FEF">
          <w:rPr>
            <w:noProof/>
            <w:webHidden/>
          </w:rPr>
          <w:fldChar w:fldCharType="end"/>
        </w:r>
      </w:hyperlink>
    </w:p>
    <w:p w14:paraId="71894D97" w14:textId="1490E663" w:rsidR="00A22FEF" w:rsidRDefault="004D2AA8">
      <w:pPr>
        <w:pStyle w:val="TOC1"/>
        <w:tabs>
          <w:tab w:val="left" w:pos="1320"/>
        </w:tabs>
        <w:rPr>
          <w:rFonts w:asciiTheme="minorHAnsi" w:eastAsiaTheme="minorEastAsia" w:hAnsiTheme="minorHAnsi"/>
          <w:b w:val="0"/>
          <w:bCs w:val="0"/>
          <w:color w:val="auto"/>
          <w:kern w:val="2"/>
          <w:sz w:val="22"/>
          <w:lang w:eastAsia="en-GB"/>
          <w14:ligatures w14:val="standardContextual"/>
        </w:rPr>
      </w:pPr>
      <w:hyperlink w:anchor="_Toc144206859" w:history="1">
        <w:r w:rsidR="00A22FEF" w:rsidRPr="00B62A8E">
          <w:rPr>
            <w:rStyle w:val="Hyperlink"/>
          </w:rPr>
          <w:t>Annex A:</w:t>
        </w:r>
        <w:r w:rsidR="00A22FEF">
          <w:rPr>
            <w:rFonts w:asciiTheme="minorHAnsi" w:eastAsiaTheme="minorEastAsia" w:hAnsiTheme="minorHAnsi"/>
            <w:b w:val="0"/>
            <w:bCs w:val="0"/>
            <w:color w:val="auto"/>
            <w:kern w:val="2"/>
            <w:sz w:val="22"/>
            <w:lang w:eastAsia="en-GB"/>
            <w14:ligatures w14:val="standardContextual"/>
          </w:rPr>
          <w:tab/>
        </w:r>
        <w:r w:rsidR="00A22FEF" w:rsidRPr="00B62A8E">
          <w:rPr>
            <w:rStyle w:val="Hyperlink"/>
          </w:rPr>
          <w:t>‘Environmental Matters’ Licence Condition</w:t>
        </w:r>
        <w:r w:rsidR="00A22FEF">
          <w:rPr>
            <w:webHidden/>
          </w:rPr>
          <w:tab/>
        </w:r>
        <w:r w:rsidR="00A22FEF">
          <w:rPr>
            <w:webHidden/>
          </w:rPr>
          <w:fldChar w:fldCharType="begin"/>
        </w:r>
        <w:r w:rsidR="00A22FEF">
          <w:rPr>
            <w:webHidden/>
          </w:rPr>
          <w:instrText xml:space="preserve"> PAGEREF _Toc144206859 \h </w:instrText>
        </w:r>
        <w:r w:rsidR="00A22FEF">
          <w:rPr>
            <w:webHidden/>
          </w:rPr>
        </w:r>
        <w:r w:rsidR="00A22FEF">
          <w:rPr>
            <w:webHidden/>
          </w:rPr>
          <w:fldChar w:fldCharType="separate"/>
        </w:r>
        <w:r w:rsidR="00A22FEF">
          <w:rPr>
            <w:webHidden/>
          </w:rPr>
          <w:t>25</w:t>
        </w:r>
        <w:r w:rsidR="00A22FEF">
          <w:rPr>
            <w:webHidden/>
          </w:rPr>
          <w:fldChar w:fldCharType="end"/>
        </w:r>
      </w:hyperlink>
    </w:p>
    <w:p w14:paraId="6B48D324" w14:textId="3B7294AA" w:rsidR="00FC6860" w:rsidRDefault="00FC6860" w:rsidP="003102AB">
      <w:pPr>
        <w:sectPr w:rsidR="00FC6860" w:rsidSect="003102AB">
          <w:headerReference w:type="even" r:id="rId16"/>
          <w:headerReference w:type="default" r:id="rId17"/>
          <w:footerReference w:type="even" r:id="rId18"/>
          <w:footerReference w:type="default" r:id="rId19"/>
          <w:headerReference w:type="first" r:id="rId20"/>
          <w:footerReference w:type="first" r:id="rId21"/>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3" w:name="_Toc144206841"/>
      <w:r>
        <w:lastRenderedPageBreak/>
        <w:t>Purpose of the document</w:t>
      </w:r>
      <w:bookmarkEnd w:id="3"/>
    </w:p>
    <w:p w14:paraId="5CB061E3" w14:textId="3B0B44EF" w:rsidR="00A02455" w:rsidRDefault="00A02455" w:rsidP="00A02455">
      <w:r>
        <w:t xml:space="preserve">The purpose of this document is to invite proposals for </w:t>
      </w:r>
      <w:r w:rsidR="00D000A5" w:rsidRPr="00D67250">
        <w:rPr>
          <w:b/>
          <w:bCs/>
        </w:rPr>
        <w:t>2023 review of railway licence holders’ environmental arrangements</w:t>
      </w:r>
      <w:r w:rsidRPr="00574B16">
        <w:rPr>
          <w:color w:val="B1173B"/>
        </w:rPr>
        <w:t xml:space="preserv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1A29CB">
      <w:pPr>
        <w:pStyle w:val="NormalBulletnumber"/>
        <w:numPr>
          <w:ilvl w:val="3"/>
          <w:numId w:val="13"/>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4" w:name="_Toc144206842"/>
      <w:r>
        <w:lastRenderedPageBreak/>
        <w:t>Introduction to the Office of Rail and Road</w:t>
      </w:r>
      <w:bookmarkEnd w:id="4"/>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w:t>
      </w:r>
      <w:proofErr w:type="gramStart"/>
      <w:r>
        <w:t>five year</w:t>
      </w:r>
      <w:proofErr w:type="gramEnd"/>
      <w:r>
        <w:t xml:space="preserve">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ORR’s headquarters, 25 Cabot Square, London.</w:t>
      </w:r>
    </w:p>
    <w:p w14:paraId="2745252D" w14:textId="77777777" w:rsidR="00490915" w:rsidRDefault="00490915" w:rsidP="00490915">
      <w:pPr>
        <w:pStyle w:val="Heading3"/>
      </w:pPr>
      <w:bookmarkStart w:id="5" w:name="_Toc144206843"/>
      <w:r>
        <w:t>Our strategic objectives</w:t>
      </w:r>
      <w:bookmarkEnd w:id="5"/>
    </w:p>
    <w:p w14:paraId="53B126E3" w14:textId="77777777" w:rsidR="00490915" w:rsidRDefault="00490915" w:rsidP="00490915">
      <w:pPr>
        <w:pStyle w:val="Heading4"/>
      </w:pPr>
      <w:r>
        <w:t>1. A safer railway:</w:t>
      </w:r>
    </w:p>
    <w:p w14:paraId="4E2DC195" w14:textId="77777777" w:rsidR="00490915" w:rsidRDefault="00490915" w:rsidP="00490915">
      <w:r>
        <w:t xml:space="preserve">Enforce the law and ensure that the industry delivers continuous improvement in the health and safety of passengers, the workforce and public, by achieving excellence in health and safety culture, </w:t>
      </w:r>
      <w:proofErr w:type="gramStart"/>
      <w:r>
        <w:t>management</w:t>
      </w:r>
      <w:proofErr w:type="gramEnd"/>
      <w:r>
        <w:t xml:space="preserve">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6" w:name="_Toc144206844"/>
      <w:r>
        <w:t>Supplying ORR</w:t>
      </w:r>
      <w:bookmarkEnd w:id="6"/>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 xml:space="preserve">to ensure that procurement is undertaken </w:t>
      </w:r>
      <w:proofErr w:type="gramStart"/>
      <w:r>
        <w:t>with regard to</w:t>
      </w:r>
      <w:proofErr w:type="gramEnd"/>
      <w:r>
        <w:t xml:space="preserve"> Law and best practice.</w:t>
      </w:r>
    </w:p>
    <w:p w14:paraId="06E7514B" w14:textId="04BD1B8A" w:rsidR="00490915" w:rsidRDefault="00490915" w:rsidP="00490915">
      <w:r>
        <w:t xml:space="preserve">For further information on ORR please visit our website: </w:t>
      </w:r>
      <w:hyperlink r:id="rId22"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7" w:name="_Toc144206845"/>
      <w:r>
        <w:lastRenderedPageBreak/>
        <w:t>Small and Medium Enterprises</w:t>
      </w:r>
      <w:bookmarkEnd w:id="7"/>
    </w:p>
    <w:p w14:paraId="37ED9C1E" w14:textId="77777777" w:rsidR="00D776B6" w:rsidRDefault="00D776B6" w:rsidP="00D776B6">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3102AB">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3102AB">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3102AB">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3102AB">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3102AB">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3102AB">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3102AB">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3102AB">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3102AB">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3102AB">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3102AB">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3102AB">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3102AB">
            <w:pPr>
              <w:pStyle w:val="TblText"/>
            </w:pPr>
            <w:r w:rsidRPr="00D6160E">
              <w:t>≤ € 10 million</w:t>
            </w:r>
          </w:p>
        </w:tc>
        <w:tc>
          <w:tcPr>
            <w:tcW w:w="894" w:type="dxa"/>
            <w:shd w:val="clear" w:color="auto" w:fill="auto"/>
          </w:tcPr>
          <w:p w14:paraId="230AF2D1" w14:textId="77777777" w:rsidR="00D6160E" w:rsidRPr="00D6160E" w:rsidRDefault="00D6160E" w:rsidP="003102AB">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3102AB">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3102AB">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3102AB">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3102AB">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3102AB">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3102AB">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3102AB">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3102AB">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3102AB">
            <w:pPr>
              <w:pStyle w:val="TblText"/>
            </w:pPr>
            <w:r w:rsidRPr="00D6160E">
              <w:t>&gt; € 50 million</w:t>
            </w:r>
          </w:p>
        </w:tc>
        <w:tc>
          <w:tcPr>
            <w:tcW w:w="894" w:type="dxa"/>
            <w:shd w:val="clear" w:color="auto" w:fill="auto"/>
          </w:tcPr>
          <w:p w14:paraId="19BFF5EC" w14:textId="77777777" w:rsidR="00D6160E" w:rsidRPr="00D6160E" w:rsidRDefault="00D6160E" w:rsidP="003102AB">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3102AB">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8" w:name="_Toc144206846"/>
      <w:bookmarkStart w:id="9" w:name="_Hlk143008315"/>
      <w:r>
        <w:lastRenderedPageBreak/>
        <w:t>Statement of Requirement</w:t>
      </w:r>
      <w:bookmarkEnd w:id="8"/>
    </w:p>
    <w:p w14:paraId="0C918979" w14:textId="64E24CA2" w:rsidR="00F20E70" w:rsidRDefault="00F20E70" w:rsidP="00F20E70">
      <w:pPr>
        <w:pStyle w:val="Heading3"/>
      </w:pPr>
      <w:bookmarkStart w:id="10" w:name="_Toc144206847"/>
      <w:bookmarkEnd w:id="9"/>
      <w:r>
        <w:t>2.1 Background of the project</w:t>
      </w:r>
      <w:bookmarkEnd w:id="10"/>
    </w:p>
    <w:p w14:paraId="1565ED5A" w14:textId="79875EA3" w:rsidR="00DE7876" w:rsidRPr="00DE7876" w:rsidRDefault="00631FB3" w:rsidP="005553F7">
      <w:pPr>
        <w:shd w:val="clear" w:color="auto" w:fill="FFFFFF"/>
        <w:spacing w:before="100" w:beforeAutospacing="1" w:after="100" w:afterAutospacing="1" w:line="240" w:lineRule="auto"/>
        <w:rPr>
          <w:rFonts w:eastAsia="Times New Roman" w:cs="Arial"/>
          <w:b/>
          <w:bCs/>
          <w:color w:val="000000"/>
          <w:szCs w:val="24"/>
          <w:lang w:val="en-US" w:eastAsia="en-GB"/>
        </w:rPr>
      </w:pPr>
      <w:r>
        <w:rPr>
          <w:rFonts w:eastAsia="Times New Roman" w:cs="Arial"/>
          <w:b/>
          <w:bCs/>
          <w:color w:val="000000"/>
          <w:szCs w:val="24"/>
          <w:lang w:val="en-US" w:eastAsia="en-GB"/>
        </w:rPr>
        <w:t>Sustainability</w:t>
      </w:r>
    </w:p>
    <w:p w14:paraId="22ED4A49" w14:textId="74F1034E" w:rsidR="005553F7" w:rsidRDefault="005553F7" w:rsidP="001D3AF5">
      <w:pPr>
        <w:shd w:val="clear" w:color="auto" w:fill="FFFFFF"/>
        <w:spacing w:before="100" w:beforeAutospacing="1" w:after="100" w:afterAutospacing="1" w:line="276" w:lineRule="auto"/>
        <w:rPr>
          <w:rFonts w:eastAsia="Times New Roman" w:cs="Arial"/>
          <w:color w:val="000000"/>
          <w:szCs w:val="24"/>
          <w:lang w:eastAsia="en-GB"/>
        </w:rPr>
      </w:pPr>
      <w:r w:rsidRPr="005553F7">
        <w:rPr>
          <w:rFonts w:eastAsia="Times New Roman" w:cs="Arial"/>
          <w:color w:val="000000"/>
          <w:szCs w:val="24"/>
          <w:lang w:val="en-US" w:eastAsia="en-GB"/>
        </w:rPr>
        <w:t>As highlighted in our </w:t>
      </w:r>
      <w:hyperlink r:id="rId23" w:tgtFrame="_blank" w:history="1">
        <w:r w:rsidR="001D3AF5">
          <w:rPr>
            <w:rStyle w:val="Hyperlink"/>
            <w:rFonts w:eastAsia="Times New Roman" w:cs="Arial"/>
            <w:szCs w:val="24"/>
            <w:lang w:eastAsia="en-GB"/>
          </w:rPr>
          <w:t>Sustainable Development Policy Statement</w:t>
        </w:r>
      </w:hyperlink>
      <w:r w:rsidRPr="005553F7">
        <w:rPr>
          <w:rFonts w:eastAsia="Times New Roman" w:cs="Arial"/>
          <w:color w:val="000000"/>
          <w:szCs w:val="24"/>
          <w:lang w:eastAsia="en-GB"/>
        </w:rPr>
        <w:t>, </w:t>
      </w:r>
      <w:r w:rsidR="001D3AF5">
        <w:rPr>
          <w:rFonts w:eastAsia="Times New Roman" w:cs="Arial"/>
          <w:color w:val="000000"/>
          <w:szCs w:val="24"/>
          <w:lang w:eastAsia="en-GB"/>
        </w:rPr>
        <w:t xml:space="preserve">ORR </w:t>
      </w:r>
      <w:r>
        <w:rPr>
          <w:rFonts w:eastAsia="Times New Roman" w:cs="Arial"/>
          <w:color w:val="000000"/>
          <w:szCs w:val="24"/>
          <w:lang w:eastAsia="en-GB"/>
        </w:rPr>
        <w:t>is</w:t>
      </w:r>
      <w:r w:rsidRPr="005553F7">
        <w:rPr>
          <w:rFonts w:eastAsia="Times New Roman" w:cs="Arial"/>
          <w:color w:val="000000"/>
          <w:szCs w:val="24"/>
          <w:lang w:eastAsia="en-GB"/>
        </w:rPr>
        <w:t xml:space="preserve"> committed to supporting the sustainable development and environmental policy objectives of the UK and devolved governments</w:t>
      </w:r>
      <w:r w:rsidR="001D3AF5">
        <w:rPr>
          <w:rFonts w:eastAsia="Times New Roman" w:cs="Arial"/>
          <w:color w:val="000000"/>
          <w:szCs w:val="24"/>
          <w:lang w:eastAsia="en-GB"/>
        </w:rPr>
        <w:t>. We also have</w:t>
      </w:r>
      <w:r>
        <w:rPr>
          <w:rFonts w:eastAsia="Times New Roman" w:cs="Arial"/>
          <w:color w:val="000000"/>
          <w:szCs w:val="24"/>
          <w:lang w:val="en-US" w:eastAsia="en-GB"/>
        </w:rPr>
        <w:t xml:space="preserve"> statutory duties </w:t>
      </w:r>
      <w:r w:rsidR="001D3AF5">
        <w:rPr>
          <w:rFonts w:eastAsia="Times New Roman" w:cs="Arial"/>
          <w:color w:val="000000"/>
          <w:szCs w:val="24"/>
          <w:lang w:val="en-US" w:eastAsia="en-GB"/>
        </w:rPr>
        <w:t xml:space="preserve">under the Railways Act 1993 </w:t>
      </w:r>
      <w:r>
        <w:rPr>
          <w:rFonts w:eastAsia="Times New Roman" w:cs="Arial"/>
          <w:color w:val="000000"/>
          <w:szCs w:val="24"/>
          <w:lang w:val="en-US" w:eastAsia="en-GB"/>
        </w:rPr>
        <w:t xml:space="preserve">to </w:t>
      </w:r>
      <w:r w:rsidRPr="005553F7">
        <w:rPr>
          <w:rFonts w:eastAsia="Times New Roman" w:cs="Arial"/>
          <w:color w:val="000000"/>
          <w:szCs w:val="24"/>
          <w:lang w:eastAsia="en-GB"/>
        </w:rPr>
        <w:t>contribute to the achievement of sustainable development</w:t>
      </w:r>
      <w:r>
        <w:rPr>
          <w:rFonts w:eastAsia="Times New Roman" w:cs="Arial"/>
          <w:color w:val="000000"/>
          <w:szCs w:val="24"/>
          <w:lang w:eastAsia="en-GB"/>
        </w:rPr>
        <w:t xml:space="preserve">, and to </w:t>
      </w:r>
      <w:r w:rsidRPr="005553F7">
        <w:rPr>
          <w:rFonts w:eastAsia="Times New Roman" w:cs="Arial"/>
          <w:color w:val="000000"/>
          <w:szCs w:val="24"/>
          <w:lang w:eastAsia="en-GB"/>
        </w:rPr>
        <w:t>have regard to the effect on the environment of activities connected with the provision of railway services</w:t>
      </w:r>
      <w:r>
        <w:rPr>
          <w:rFonts w:eastAsia="Times New Roman" w:cs="Arial"/>
          <w:color w:val="000000"/>
          <w:szCs w:val="24"/>
          <w:lang w:eastAsia="en-GB"/>
        </w:rPr>
        <w:t>.</w:t>
      </w:r>
    </w:p>
    <w:p w14:paraId="2C284288" w14:textId="361B6CF7" w:rsidR="00FE342A" w:rsidRPr="005553F7" w:rsidRDefault="00FE342A" w:rsidP="00FE342A">
      <w:pPr>
        <w:shd w:val="clear" w:color="auto" w:fill="FFFFFF"/>
        <w:spacing w:before="100" w:beforeAutospacing="1" w:after="100" w:afterAutospacing="1" w:line="276" w:lineRule="auto"/>
        <w:rPr>
          <w:rFonts w:eastAsia="Times New Roman" w:cs="Arial"/>
          <w:color w:val="000000"/>
          <w:szCs w:val="24"/>
          <w:lang w:val="en-US" w:eastAsia="en-GB"/>
        </w:rPr>
      </w:pPr>
      <w:r>
        <w:rPr>
          <w:rFonts w:eastAsia="Times New Roman" w:cs="Arial"/>
          <w:color w:val="000000"/>
          <w:szCs w:val="24"/>
          <w:lang w:eastAsia="en-GB"/>
        </w:rPr>
        <w:t xml:space="preserve">There is also extensive activity within the industry around issues of sustainability and resilience. </w:t>
      </w:r>
      <w:r w:rsidR="003C235E">
        <w:rPr>
          <w:rFonts w:eastAsia="Times New Roman" w:cs="Arial"/>
          <w:color w:val="000000"/>
          <w:szCs w:val="24"/>
          <w:lang w:eastAsia="en-GB"/>
        </w:rPr>
        <w:t>See, f</w:t>
      </w:r>
      <w:r>
        <w:rPr>
          <w:rFonts w:eastAsia="Times New Roman" w:cs="Arial"/>
          <w:color w:val="000000"/>
          <w:szCs w:val="24"/>
          <w:lang w:eastAsia="en-GB"/>
        </w:rPr>
        <w:t xml:space="preserve">or example, </w:t>
      </w:r>
      <w:r w:rsidR="003C235E">
        <w:rPr>
          <w:rFonts w:eastAsia="Times New Roman" w:cs="Arial"/>
          <w:color w:val="000000"/>
          <w:szCs w:val="24"/>
          <w:lang w:eastAsia="en-GB"/>
        </w:rPr>
        <w:t xml:space="preserve">the Rail Safety and Standards Board’s </w:t>
      </w:r>
      <w:r w:rsidR="00C855D2">
        <w:rPr>
          <w:rFonts w:eastAsia="Times New Roman" w:cs="Arial"/>
          <w:color w:val="000000"/>
          <w:szCs w:val="24"/>
          <w:lang w:eastAsia="en-GB"/>
        </w:rPr>
        <w:t xml:space="preserve">work on </w:t>
      </w:r>
      <w:hyperlink r:id="rId24" w:history="1">
        <w:r w:rsidR="00C855D2" w:rsidRPr="00C855D2">
          <w:rPr>
            <w:rStyle w:val="Hyperlink"/>
            <w:rFonts w:eastAsia="Times New Roman" w:cs="Arial"/>
            <w:szCs w:val="24"/>
            <w:lang w:eastAsia="en-GB"/>
          </w:rPr>
          <w:t>sustainability</w:t>
        </w:r>
      </w:hyperlink>
      <w:r w:rsidR="00C855D2">
        <w:rPr>
          <w:rFonts w:eastAsia="Times New Roman" w:cs="Arial"/>
          <w:color w:val="000000"/>
          <w:szCs w:val="24"/>
          <w:lang w:eastAsia="en-GB"/>
        </w:rPr>
        <w:t>.</w:t>
      </w:r>
      <w:r>
        <w:rPr>
          <w:rFonts w:eastAsia="Times New Roman" w:cs="Arial"/>
          <w:color w:val="000000"/>
          <w:szCs w:val="24"/>
          <w:lang w:eastAsia="en-GB"/>
        </w:rPr>
        <w:t xml:space="preserve"> ORR does not seek to duplicate or replicate this activity.</w:t>
      </w:r>
    </w:p>
    <w:p w14:paraId="1161C18D" w14:textId="1D8D820F" w:rsidR="00DE7876" w:rsidRPr="00DE7876" w:rsidRDefault="00631FB3" w:rsidP="006E55C1">
      <w:pPr>
        <w:rPr>
          <w:b/>
          <w:bCs/>
        </w:rPr>
      </w:pPr>
      <w:r w:rsidRPr="37DCCFD4">
        <w:rPr>
          <w:b/>
          <w:bCs/>
        </w:rPr>
        <w:t>Licen</w:t>
      </w:r>
      <w:r w:rsidR="2DF2258F" w:rsidRPr="37DCCFD4">
        <w:rPr>
          <w:b/>
          <w:bCs/>
        </w:rPr>
        <w:t>s</w:t>
      </w:r>
      <w:r w:rsidRPr="37DCCFD4">
        <w:rPr>
          <w:b/>
          <w:bCs/>
        </w:rPr>
        <w:t>ing</w:t>
      </w:r>
    </w:p>
    <w:p w14:paraId="02FDF312" w14:textId="35549143" w:rsidR="00642E56" w:rsidRPr="00642E56" w:rsidRDefault="005553F7" w:rsidP="006E55C1">
      <w:r w:rsidRPr="00642E56">
        <w:t xml:space="preserve">ORR is responsible for </w:t>
      </w:r>
      <w:hyperlink r:id="rId25" w:history="1">
        <w:r w:rsidRPr="00C369B2">
          <w:rPr>
            <w:rStyle w:val="Hyperlink"/>
          </w:rPr>
          <w:t>railway licencing in Great Britain</w:t>
        </w:r>
      </w:hyperlink>
      <w:r w:rsidR="00642E56" w:rsidRPr="00642E56">
        <w:t>, which includes setting and issuing licences to a wide range of operators. Licensees include:</w:t>
      </w:r>
    </w:p>
    <w:p w14:paraId="427464F6" w14:textId="3D8CEC13" w:rsidR="00642E56" w:rsidRDefault="00642E56" w:rsidP="00642E56">
      <w:pPr>
        <w:pStyle w:val="NormalBulletround"/>
      </w:pPr>
      <w:r>
        <w:t xml:space="preserve">passenger train operating companies (TOCs) – including </w:t>
      </w:r>
      <w:r w:rsidR="00AE3B57">
        <w:t>public</w:t>
      </w:r>
      <w:r>
        <w:t xml:space="preserve"> sector contract operators, charter operators and open access </w:t>
      </w:r>
      <w:proofErr w:type="gramStart"/>
      <w:r>
        <w:t>operators</w:t>
      </w:r>
      <w:proofErr w:type="gramEnd"/>
      <w:r w:rsidR="00794B84">
        <w:t xml:space="preserve"> </w:t>
      </w:r>
    </w:p>
    <w:p w14:paraId="6C75FAD2" w14:textId="1E9CAE4C" w:rsidR="005553F7" w:rsidRDefault="00642E56" w:rsidP="00642E56">
      <w:pPr>
        <w:pStyle w:val="NormalBulletround"/>
      </w:pPr>
      <w:r>
        <w:t>freight operating companies (FOC</w:t>
      </w:r>
      <w:r w:rsidR="00A04855">
        <w:t>s</w:t>
      </w:r>
      <w:r>
        <w:t>)</w:t>
      </w:r>
    </w:p>
    <w:p w14:paraId="15992426" w14:textId="5AA82447" w:rsidR="00642E56" w:rsidRDefault="00642E56" w:rsidP="00642E56">
      <w:pPr>
        <w:pStyle w:val="NormalBulletround"/>
      </w:pPr>
      <w:r>
        <w:t>network operators and infrastructure managers (including Network Rail)</w:t>
      </w:r>
    </w:p>
    <w:p w14:paraId="5C559CBB" w14:textId="2953665F" w:rsidR="00642E56" w:rsidRDefault="00642E56" w:rsidP="00642E56">
      <w:pPr>
        <w:pStyle w:val="NormalBulletround"/>
      </w:pPr>
      <w:r>
        <w:t xml:space="preserve">engineering, maintenance and rolling stock manufacturing </w:t>
      </w:r>
      <w:proofErr w:type="gramStart"/>
      <w:r>
        <w:t>companies</w:t>
      </w:r>
      <w:proofErr w:type="gramEnd"/>
    </w:p>
    <w:p w14:paraId="122C180D" w14:textId="6B7F0E0C" w:rsidR="00631FB3" w:rsidRDefault="00631FB3" w:rsidP="00631FB3">
      <w:pPr>
        <w:pStyle w:val="SingleNum"/>
        <w:numPr>
          <w:ilvl w:val="0"/>
          <w:numId w:val="0"/>
        </w:numPr>
      </w:pPr>
      <w:r>
        <w:t>Licences</w:t>
      </w:r>
      <w:r w:rsidR="006A2E7B">
        <w:t xml:space="preserve">, and </w:t>
      </w:r>
      <w:r w:rsidR="006A2E7B" w:rsidRPr="006A2E7B">
        <w:t>Statement</w:t>
      </w:r>
      <w:r w:rsidR="006A2E7B">
        <w:t>s</w:t>
      </w:r>
      <w:r w:rsidR="006A2E7B" w:rsidRPr="006A2E7B">
        <w:t xml:space="preserve"> of National Regulatory Provisions</w:t>
      </w:r>
      <w:r>
        <w:t xml:space="preserve"> </w:t>
      </w:r>
      <w:r w:rsidR="006A2E7B">
        <w:t xml:space="preserve">(SNRPs) associated with them, </w:t>
      </w:r>
      <w:r>
        <w:t>help ensure operators are 'fit and proper' to run a railway</w:t>
      </w:r>
      <w:r w:rsidR="000B5767">
        <w:t xml:space="preserve"> and provide a means for ORR </w:t>
      </w:r>
      <w:r>
        <w:t>hold individual operators to account in the public interest.</w:t>
      </w:r>
    </w:p>
    <w:p w14:paraId="53F6973A" w14:textId="0FED53FB" w:rsidR="0091373E" w:rsidRDefault="0091373E" w:rsidP="00642E56">
      <w:pPr>
        <w:rPr>
          <w:rFonts w:cs="Arial"/>
        </w:rPr>
      </w:pPr>
      <w:r>
        <w:rPr>
          <w:rFonts w:cs="Arial"/>
        </w:rPr>
        <w:t xml:space="preserve">There are approximately 65 active licence holders across seven different </w:t>
      </w:r>
      <w:hyperlink r:id="rId26">
        <w:r w:rsidRPr="4593E018">
          <w:rPr>
            <w:rStyle w:val="Hyperlink"/>
            <w:rFonts w:cs="Arial"/>
          </w:rPr>
          <w:t>licence or SNRP types</w:t>
        </w:r>
      </w:hyperlink>
      <w:r>
        <w:rPr>
          <w:rFonts w:cs="Arial"/>
        </w:rPr>
        <w:t xml:space="preserve"> (passenger, passenger SNRP, Freight SNRP, non-passenger, station, light maintenance depot, and network). One licence holder may have more than one licence (</w:t>
      </w:r>
      <w:proofErr w:type="gramStart"/>
      <w:r>
        <w:rPr>
          <w:rFonts w:cs="Arial"/>
        </w:rPr>
        <w:t>e.g.</w:t>
      </w:r>
      <w:proofErr w:type="gramEnd"/>
      <w:r>
        <w:rPr>
          <w:rFonts w:cs="Arial"/>
        </w:rPr>
        <w:t xml:space="preserve"> both a passenger licence and a station licence)</w:t>
      </w:r>
      <w:r w:rsidR="00AC69B9">
        <w:rPr>
          <w:rFonts w:cs="Arial"/>
        </w:rPr>
        <w:t xml:space="preserve">. </w:t>
      </w:r>
      <w:r w:rsidR="00FF4ABE">
        <w:rPr>
          <w:rFonts w:cs="Arial"/>
        </w:rPr>
        <w:t xml:space="preserve">All current licences are </w:t>
      </w:r>
      <w:hyperlink r:id="rId27">
        <w:r w:rsidR="00FF4ABE" w:rsidRPr="37DCCFD4">
          <w:rPr>
            <w:rStyle w:val="Hyperlink"/>
            <w:rFonts w:cs="Arial"/>
          </w:rPr>
          <w:t>published on the ORR</w:t>
        </w:r>
        <w:r w:rsidR="00AC69B9" w:rsidRPr="37DCCFD4">
          <w:rPr>
            <w:rStyle w:val="Hyperlink"/>
            <w:rFonts w:cs="Arial"/>
          </w:rPr>
          <w:t xml:space="preserve"> website</w:t>
        </w:r>
      </w:hyperlink>
      <w:r w:rsidR="00AC69B9" w:rsidRPr="37DCCFD4">
        <w:rPr>
          <w:rFonts w:cs="Arial"/>
        </w:rPr>
        <w:t>.</w:t>
      </w:r>
      <w:r w:rsidRPr="37DCCFD4">
        <w:rPr>
          <w:rFonts w:cs="Arial"/>
        </w:rPr>
        <w:t xml:space="preserve"> </w:t>
      </w:r>
    </w:p>
    <w:p w14:paraId="14C8475B" w14:textId="2C910EEE" w:rsidR="00642E56" w:rsidRPr="00AE3B57" w:rsidRDefault="00AE3B57" w:rsidP="00642E56">
      <w:pPr>
        <w:rPr>
          <w:b/>
          <w:bCs/>
        </w:rPr>
      </w:pPr>
      <w:r>
        <w:rPr>
          <w:b/>
          <w:bCs/>
        </w:rPr>
        <w:t>Environmental licence conditions</w:t>
      </w:r>
    </w:p>
    <w:p w14:paraId="49F77234" w14:textId="7C0F67C9" w:rsidR="000677BF" w:rsidRPr="000677BF" w:rsidRDefault="00586827" w:rsidP="006E55C1">
      <w:r>
        <w:lastRenderedPageBreak/>
        <w:t>Under the “Environmental Matters” obligations</w:t>
      </w:r>
      <w:r w:rsidR="00AD13C5">
        <w:t xml:space="preserve"> (usually licence condition 10</w:t>
      </w:r>
      <w:r w:rsidR="00A04855">
        <w:t xml:space="preserve"> – see Annex A</w:t>
      </w:r>
      <w:r w:rsidR="00AD13C5">
        <w:t>)</w:t>
      </w:r>
      <w:r>
        <w:t xml:space="preserve"> </w:t>
      </w:r>
      <w:r w:rsidR="00400823">
        <w:t>licence</w:t>
      </w:r>
      <w:r w:rsidR="006A2E7B" w:rsidRPr="000677BF">
        <w:t xml:space="preserve"> </w:t>
      </w:r>
      <w:r>
        <w:t xml:space="preserve">holders are </w:t>
      </w:r>
      <w:r w:rsidR="006A2E7B" w:rsidRPr="000677BF">
        <w:t>require</w:t>
      </w:r>
      <w:r>
        <w:t xml:space="preserve">d </w:t>
      </w:r>
      <w:r w:rsidR="006A2E7B" w:rsidRPr="000677BF">
        <w:t>to</w:t>
      </w:r>
      <w:r w:rsidR="000677BF" w:rsidRPr="000677BF">
        <w:t xml:space="preserve"> establish a written policy designed to protect the environment from the effect of licensed activities, together with operational objectives and management arrangements to give effect to that policy</w:t>
      </w:r>
      <w:r w:rsidR="00996A36">
        <w:t>.</w:t>
      </w:r>
      <w:r w:rsidR="000677BF" w:rsidRPr="000677BF">
        <w:t xml:space="preserve"> </w:t>
      </w:r>
      <w:r w:rsidR="00996A36">
        <w:t>T</w:t>
      </w:r>
      <w:r w:rsidR="000677BF" w:rsidRPr="000677BF">
        <w:t xml:space="preserve">ogether </w:t>
      </w:r>
      <w:r w:rsidR="00996A36">
        <w:t xml:space="preserve">these are </w:t>
      </w:r>
      <w:r w:rsidR="000677BF" w:rsidRPr="000677BF">
        <w:t>referred to as “environmental arrangements” or “EAs”.</w:t>
      </w:r>
      <w:r w:rsidR="000677BF">
        <w:t xml:space="preserve"> Licence holders’ EAs must </w:t>
      </w:r>
      <w:r w:rsidR="00FE342A">
        <w:t>“</w:t>
      </w:r>
      <w:r w:rsidR="000677BF" w:rsidRPr="000677BF">
        <w:t>take due account</w:t>
      </w:r>
      <w:r w:rsidR="00FE342A">
        <w:t>”</w:t>
      </w:r>
      <w:r w:rsidR="000677BF" w:rsidRPr="000677BF">
        <w:t xml:space="preserve"> of any relevant guidance issued by ORR</w:t>
      </w:r>
      <w:r w:rsidR="000677BF">
        <w:t xml:space="preserve"> and be reviewed periodically and otherwise as appropriate.</w:t>
      </w:r>
      <w:r w:rsidR="00517418">
        <w:t xml:space="preserve"> </w:t>
      </w:r>
    </w:p>
    <w:p w14:paraId="0B3691C4" w14:textId="6EF24008" w:rsidR="00996A36" w:rsidRDefault="00996A36" w:rsidP="000677BF">
      <w:pPr>
        <w:spacing w:before="360"/>
      </w:pPr>
      <w:r>
        <w:t xml:space="preserve">Following </w:t>
      </w:r>
      <w:r w:rsidR="00FE342A" w:rsidRPr="00A04855">
        <w:t>consultation</w:t>
      </w:r>
      <w:r>
        <w:rPr>
          <w:rFonts w:eastAsia="Times New Roman"/>
        </w:rPr>
        <w:t xml:space="preserve">, in September 2022 we updated our </w:t>
      </w:r>
      <w:hyperlink r:id="rId28" w:history="1">
        <w:r w:rsidR="000677BF">
          <w:rPr>
            <w:rStyle w:val="Hyperlink"/>
          </w:rPr>
          <w:t>guidance on environmental arrangements for railway licence holders</w:t>
        </w:r>
      </w:hyperlink>
      <w:r>
        <w:rPr>
          <w:rStyle w:val="Hyperlink"/>
        </w:rPr>
        <w:t>.</w:t>
      </w:r>
      <w:r w:rsidR="00FE342A">
        <w:t xml:space="preserve"> </w:t>
      </w:r>
      <w:r>
        <w:t>This guidance applies to all licensed railway operators</w:t>
      </w:r>
      <w:r w:rsidR="00AD13C5">
        <w:t>. It</w:t>
      </w:r>
      <w:r w:rsidR="000677BF">
        <w:t xml:space="preserve"> </w:t>
      </w:r>
      <w:r>
        <w:t>is intended to assist in fulfilling the environmental obligations of licence holders and to contribute to the objective of environmental protection and improvement.</w:t>
      </w:r>
    </w:p>
    <w:p w14:paraId="365A2AF1" w14:textId="7666157E" w:rsidR="000677BF" w:rsidRDefault="001760B7" w:rsidP="000677BF">
      <w:pPr>
        <w:spacing w:before="360"/>
      </w:pPr>
      <w:r>
        <w:t xml:space="preserve">ORR has not previously undertaken a structured review of this licence requirement. Our updated </w:t>
      </w:r>
      <w:r w:rsidR="00996A36">
        <w:t>guidance</w:t>
      </w:r>
      <w:r w:rsidR="006174C2">
        <w:t xml:space="preserve"> </w:t>
      </w:r>
      <w:r w:rsidR="000677BF">
        <w:t xml:space="preserve">stated that we may conduct and publish the conclusions of a wider review of industry adherence to </w:t>
      </w:r>
      <w:r w:rsidR="00EC50D2">
        <w:t>our guidance</w:t>
      </w:r>
      <w:r w:rsidR="000677BF">
        <w:t>, with the aim of promoting good practice across the industry and improved environmental performance. The purpose of this invitation to tender is to initiate such a review.</w:t>
      </w:r>
    </w:p>
    <w:p w14:paraId="2503CFD6" w14:textId="4453E8F3" w:rsidR="0091373E" w:rsidRPr="007E39E9" w:rsidRDefault="0091373E" w:rsidP="0091373E">
      <w:r>
        <w:rPr>
          <w:rFonts w:cs="Arial"/>
        </w:rPr>
        <w:t xml:space="preserve">Each licence holder is likely to have just one set of EAs, even if they hold multiple licence types. However, we would expect a licence holders EAs to cover </w:t>
      </w:r>
      <w:proofErr w:type="gramStart"/>
      <w:r>
        <w:rPr>
          <w:rFonts w:cs="Arial"/>
        </w:rPr>
        <w:t>all of</w:t>
      </w:r>
      <w:proofErr w:type="gramEnd"/>
      <w:r>
        <w:rPr>
          <w:rFonts w:cs="Arial"/>
        </w:rPr>
        <w:t xml:space="preserve"> the activities for which they are licen</w:t>
      </w:r>
      <w:r w:rsidR="008C277A">
        <w:rPr>
          <w:rFonts w:cs="Arial"/>
        </w:rPr>
        <w:t>s</w:t>
      </w:r>
      <w:r>
        <w:rPr>
          <w:rFonts w:cs="Arial"/>
        </w:rPr>
        <w:t>ed.</w:t>
      </w:r>
    </w:p>
    <w:p w14:paraId="3AD1DD96" w14:textId="0C5F2CAE" w:rsidR="001A29CB" w:rsidRDefault="00F20E70" w:rsidP="001A29CB">
      <w:pPr>
        <w:pStyle w:val="Heading3"/>
      </w:pPr>
      <w:bookmarkStart w:id="11" w:name="_Toc144206848"/>
      <w:r>
        <w:t>2.2 Project Objectives and Scope</w:t>
      </w:r>
      <w:bookmarkEnd w:id="11"/>
    </w:p>
    <w:p w14:paraId="0596558B" w14:textId="656E71C8" w:rsidR="001A29CB" w:rsidRPr="001A29CB" w:rsidRDefault="001A29CB" w:rsidP="006B147A">
      <w:pPr>
        <w:pStyle w:val="Heading4"/>
      </w:pPr>
      <w:r>
        <w:t>Objectives</w:t>
      </w:r>
    </w:p>
    <w:p w14:paraId="1BFED6D4" w14:textId="501A54A0" w:rsidR="00983751" w:rsidRDefault="00983751" w:rsidP="008E25EB">
      <w:r>
        <w:t>The project objective is to assess licence holders’ environmental arrangements with reference to (</w:t>
      </w:r>
      <w:proofErr w:type="spellStart"/>
      <w:r>
        <w:t>i</w:t>
      </w:r>
      <w:proofErr w:type="spellEnd"/>
      <w:r>
        <w:t xml:space="preserve">) licence compliance, (ii) </w:t>
      </w:r>
      <w:r w:rsidR="00AC69B9">
        <w:t xml:space="preserve">alignment with </w:t>
      </w:r>
      <w:r>
        <w:t xml:space="preserve">ORR guidance, and (iii) quality, </w:t>
      </w:r>
      <w:proofErr w:type="gramStart"/>
      <w:r>
        <w:t>in order to</w:t>
      </w:r>
      <w:proofErr w:type="gramEnd"/>
      <w:r>
        <w:t xml:space="preserve"> create a reputational incentive for licensees.</w:t>
      </w:r>
    </w:p>
    <w:p w14:paraId="2D7458FA" w14:textId="15784DD6" w:rsidR="00983751" w:rsidRDefault="00983751" w:rsidP="000C3168">
      <w:pPr>
        <w:pStyle w:val="Heading4"/>
      </w:pPr>
      <w:r>
        <w:t>Scope</w:t>
      </w:r>
    </w:p>
    <w:p w14:paraId="42F7D077" w14:textId="41B21C4F" w:rsidR="00D000A5" w:rsidRDefault="00983751" w:rsidP="007C43C1">
      <w:r>
        <w:t>T</w:t>
      </w:r>
      <w:r w:rsidR="00310EB9">
        <w:t xml:space="preserve">he project </w:t>
      </w:r>
      <w:r>
        <w:t xml:space="preserve">is to </w:t>
      </w:r>
      <w:r w:rsidR="00400823">
        <w:t>establish</w:t>
      </w:r>
      <w:r w:rsidR="00866DF4">
        <w:t>, in the following parts</w:t>
      </w:r>
      <w:r w:rsidR="000C3168">
        <w:t>:</w:t>
      </w:r>
    </w:p>
    <w:p w14:paraId="7E75C73A" w14:textId="4A710FCA" w:rsidR="00235859" w:rsidRDefault="0E9146FA" w:rsidP="00400823">
      <w:pPr>
        <w:pStyle w:val="ListNumber"/>
        <w:numPr>
          <w:ilvl w:val="0"/>
          <w:numId w:val="0"/>
        </w:numPr>
      </w:pPr>
      <w:r w:rsidRPr="678CB21A">
        <w:rPr>
          <w:b/>
          <w:bCs/>
        </w:rPr>
        <w:t xml:space="preserve">1. </w:t>
      </w:r>
      <w:r w:rsidR="2383167B" w:rsidRPr="678CB21A">
        <w:rPr>
          <w:b/>
          <w:bCs/>
        </w:rPr>
        <w:t>All l</w:t>
      </w:r>
      <w:r w:rsidR="27A7AE86" w:rsidRPr="678CB21A">
        <w:rPr>
          <w:b/>
          <w:bCs/>
        </w:rPr>
        <w:t>icence holder</w:t>
      </w:r>
      <w:r w:rsidR="79F8AA40" w:rsidRPr="678CB21A">
        <w:rPr>
          <w:b/>
          <w:bCs/>
        </w:rPr>
        <w:t>s’</w:t>
      </w:r>
      <w:r w:rsidR="27A7AE86" w:rsidRPr="678CB21A">
        <w:rPr>
          <w:b/>
          <w:bCs/>
        </w:rPr>
        <w:t xml:space="preserve"> </w:t>
      </w:r>
      <w:r w:rsidR="509285C6" w:rsidRPr="678CB21A">
        <w:rPr>
          <w:b/>
          <w:bCs/>
        </w:rPr>
        <w:t xml:space="preserve">adherence to </w:t>
      </w:r>
      <w:r w:rsidR="3FFC69D0" w:rsidRPr="678CB21A">
        <w:rPr>
          <w:b/>
          <w:bCs/>
        </w:rPr>
        <w:t xml:space="preserve">the </w:t>
      </w:r>
      <w:r w:rsidR="2383167B" w:rsidRPr="678CB21A">
        <w:rPr>
          <w:b/>
          <w:bCs/>
        </w:rPr>
        <w:t>environmental</w:t>
      </w:r>
      <w:r w:rsidR="27A7AE86" w:rsidRPr="678CB21A">
        <w:rPr>
          <w:b/>
          <w:bCs/>
        </w:rPr>
        <w:t xml:space="preserve"> </w:t>
      </w:r>
      <w:r w:rsidR="3FFC69D0" w:rsidRPr="678CB21A">
        <w:rPr>
          <w:b/>
          <w:bCs/>
        </w:rPr>
        <w:t>requirements of the licences</w:t>
      </w:r>
      <w:r w:rsidR="1FF1C4AA" w:rsidRPr="678CB21A">
        <w:rPr>
          <w:b/>
          <w:bCs/>
        </w:rPr>
        <w:t>,</w:t>
      </w:r>
      <w:r w:rsidR="1FF1C4AA">
        <w:t xml:space="preserve"> in respect of:</w:t>
      </w:r>
    </w:p>
    <w:p w14:paraId="1AC8D4DE" w14:textId="77777777" w:rsidR="00517418" w:rsidRDefault="00517418" w:rsidP="00517418">
      <w:pPr>
        <w:pStyle w:val="ListNumber"/>
        <w:numPr>
          <w:ilvl w:val="0"/>
          <w:numId w:val="0"/>
        </w:numPr>
      </w:pPr>
    </w:p>
    <w:p w14:paraId="44C97A0E" w14:textId="48C9F094" w:rsidR="00517418" w:rsidRPr="00A263EF" w:rsidRDefault="00DC2FD6" w:rsidP="008B5228">
      <w:pPr>
        <w:pStyle w:val="Bulletalpha"/>
      </w:pPr>
      <w:r>
        <w:t xml:space="preserve"> </w:t>
      </w:r>
      <w:r w:rsidR="00871B6D">
        <w:t xml:space="preserve">Adherence with </w:t>
      </w:r>
      <w:r w:rsidR="00983751">
        <w:t xml:space="preserve">all </w:t>
      </w:r>
      <w:r w:rsidR="00871B6D">
        <w:t>c</w:t>
      </w:r>
      <w:r w:rsidR="00517418" w:rsidRPr="00A263EF">
        <w:t xml:space="preserve">ore </w:t>
      </w:r>
      <w:r w:rsidR="00871B6D">
        <w:t xml:space="preserve">licence </w:t>
      </w:r>
      <w:r w:rsidR="00517418" w:rsidRPr="00A263EF">
        <w:t>requirements</w:t>
      </w:r>
      <w:r w:rsidR="00983751">
        <w:t xml:space="preserve"> on environmental matters</w:t>
      </w:r>
      <w:r w:rsidR="000C7F46">
        <w:t xml:space="preserve">, </w:t>
      </w:r>
      <w:r w:rsidR="00B313B7">
        <w:t xml:space="preserve">including </w:t>
      </w:r>
      <w:r w:rsidR="006011C5">
        <w:t>whether</w:t>
      </w:r>
      <w:r w:rsidR="00517418" w:rsidRPr="00A263EF">
        <w:t>:</w:t>
      </w:r>
    </w:p>
    <w:p w14:paraId="1D014206" w14:textId="5D71D472" w:rsidR="008E25EB" w:rsidRDefault="00517418" w:rsidP="004D2AA8">
      <w:pPr>
        <w:pStyle w:val="Bullet-"/>
        <w:numPr>
          <w:ilvl w:val="0"/>
          <w:numId w:val="25"/>
        </w:numPr>
        <w:spacing w:after="0"/>
      </w:pPr>
      <w:r>
        <w:lastRenderedPageBreak/>
        <w:t xml:space="preserve">the licence holders have </w:t>
      </w:r>
      <w:r w:rsidR="008E25EB">
        <w:t>EAs in place</w:t>
      </w:r>
      <w:r w:rsidR="005A7624">
        <w:t xml:space="preserve"> (a policy and a set of </w:t>
      </w:r>
      <w:r w:rsidR="002E015B">
        <w:t xml:space="preserve">operational objectives and </w:t>
      </w:r>
      <w:r w:rsidR="005A7624">
        <w:t>management arrangements)</w:t>
      </w:r>
      <w:r w:rsidR="00B313B7">
        <w:t xml:space="preserve"> [</w:t>
      </w:r>
      <w:proofErr w:type="spellStart"/>
      <w:r w:rsidR="00B313B7">
        <w:t>LC14.1</w:t>
      </w:r>
      <w:proofErr w:type="spellEnd"/>
      <w:proofErr w:type="gramStart"/>
      <w:r w:rsidR="00B313B7">
        <w:t>]</w:t>
      </w:r>
      <w:r>
        <w:t>;</w:t>
      </w:r>
      <w:proofErr w:type="gramEnd"/>
    </w:p>
    <w:p w14:paraId="13435241" w14:textId="77777777" w:rsidR="004D2AA8" w:rsidRDefault="004D2AA8" w:rsidP="004D2AA8">
      <w:pPr>
        <w:pStyle w:val="Bullet-"/>
        <w:numPr>
          <w:ilvl w:val="0"/>
          <w:numId w:val="0"/>
        </w:numPr>
        <w:spacing w:after="0"/>
        <w:ind w:left="720"/>
      </w:pPr>
    </w:p>
    <w:p w14:paraId="464DBA9E" w14:textId="542C2420" w:rsidR="00517418" w:rsidRDefault="00B313B7" w:rsidP="004D2AA8">
      <w:pPr>
        <w:pStyle w:val="Bullet-"/>
        <w:numPr>
          <w:ilvl w:val="0"/>
          <w:numId w:val="25"/>
        </w:numPr>
        <w:spacing w:after="0"/>
      </w:pPr>
      <w:r>
        <w:t xml:space="preserve">there is evidence that the </w:t>
      </w:r>
      <w:r w:rsidR="008E25EB">
        <w:t>E</w:t>
      </w:r>
      <w:r w:rsidR="00B11DE5">
        <w:t>A</w:t>
      </w:r>
      <w:r w:rsidR="008E25EB">
        <w:t>s are periodically reviewed</w:t>
      </w:r>
      <w:r w:rsidR="00935609">
        <w:t>,</w:t>
      </w:r>
      <w:r w:rsidR="00517418">
        <w:t xml:space="preserve"> and when E</w:t>
      </w:r>
      <w:r w:rsidR="00B11DE5">
        <w:t>A</w:t>
      </w:r>
      <w:r w:rsidR="00517418">
        <w:t>s were last updated</w:t>
      </w:r>
      <w:r>
        <w:t xml:space="preserve"> [</w:t>
      </w:r>
      <w:proofErr w:type="spellStart"/>
      <w:r>
        <w:t>LC14.2</w:t>
      </w:r>
      <w:proofErr w:type="spellEnd"/>
      <w:proofErr w:type="gramStart"/>
      <w:r>
        <w:t>]</w:t>
      </w:r>
      <w:r w:rsidR="00517418">
        <w:t>;</w:t>
      </w:r>
      <w:proofErr w:type="gramEnd"/>
    </w:p>
    <w:p w14:paraId="47DE78FA" w14:textId="77777777" w:rsidR="004D2AA8" w:rsidRDefault="004D2AA8" w:rsidP="004D2AA8">
      <w:pPr>
        <w:pStyle w:val="Bullet-"/>
        <w:numPr>
          <w:ilvl w:val="0"/>
          <w:numId w:val="0"/>
        </w:numPr>
        <w:spacing w:after="0"/>
        <w:ind w:left="720"/>
      </w:pPr>
    </w:p>
    <w:p w14:paraId="0ED08183" w14:textId="67C9BC99" w:rsidR="00593331" w:rsidRDefault="00593331" w:rsidP="004D2AA8">
      <w:pPr>
        <w:pStyle w:val="Bullet-"/>
        <w:numPr>
          <w:ilvl w:val="0"/>
          <w:numId w:val="25"/>
        </w:numPr>
        <w:spacing w:after="0"/>
      </w:pPr>
      <w:r>
        <w:t>the E</w:t>
      </w:r>
      <w:r w:rsidR="00B11DE5">
        <w:t>A</w:t>
      </w:r>
      <w:r>
        <w:t xml:space="preserve">s cover </w:t>
      </w:r>
      <w:proofErr w:type="gramStart"/>
      <w:r>
        <w:t>all of</w:t>
      </w:r>
      <w:proofErr w:type="gramEnd"/>
      <w:r>
        <w:t xml:space="preserve"> the activities which the holder is licen</w:t>
      </w:r>
      <w:r w:rsidR="00AC08D7">
        <w:t>s</w:t>
      </w:r>
      <w:r>
        <w:t>ed to conduct</w:t>
      </w:r>
      <w:r w:rsidR="00B313B7">
        <w:t xml:space="preserve"> [LC14.4] (we note we are not expecting a</w:t>
      </w:r>
      <w:r w:rsidR="00AC08D7">
        <w:t>n</w:t>
      </w:r>
      <w:r w:rsidR="00B313B7">
        <w:t xml:space="preserve"> assessment of whether the licensee is operating in accordance with the EAs)</w:t>
      </w:r>
      <w:r w:rsidR="006011C5">
        <w:t>.</w:t>
      </w:r>
    </w:p>
    <w:p w14:paraId="2829F1B9" w14:textId="77777777" w:rsidR="004D2AA8" w:rsidRDefault="004D2AA8" w:rsidP="004D2AA8">
      <w:pPr>
        <w:pStyle w:val="Bullet-"/>
        <w:numPr>
          <w:ilvl w:val="0"/>
          <w:numId w:val="0"/>
        </w:numPr>
        <w:spacing w:after="0"/>
        <w:ind w:left="720"/>
      </w:pPr>
    </w:p>
    <w:p w14:paraId="703149CB" w14:textId="646528CC" w:rsidR="001A29CB" w:rsidRPr="008E25EB" w:rsidRDefault="00DC2FD6" w:rsidP="00400823">
      <w:pPr>
        <w:pStyle w:val="Bulletalpha"/>
      </w:pPr>
      <w:r>
        <w:t xml:space="preserve"> </w:t>
      </w:r>
      <w:r w:rsidR="00871B6D" w:rsidRPr="00A263EF">
        <w:t xml:space="preserve">How closely aligned </w:t>
      </w:r>
      <w:r w:rsidR="00983751">
        <w:t>the</w:t>
      </w:r>
      <w:r w:rsidR="00871B6D" w:rsidRPr="00A263EF">
        <w:t xml:space="preserve"> E</w:t>
      </w:r>
      <w:r w:rsidR="00B11DE5">
        <w:t>A</w:t>
      </w:r>
      <w:r w:rsidR="00871B6D" w:rsidRPr="00A263EF">
        <w:t xml:space="preserve">s are with </w:t>
      </w:r>
      <w:r w:rsidR="00983751">
        <w:t>ORR</w:t>
      </w:r>
      <w:r w:rsidR="00A66D3D" w:rsidRPr="00A263EF">
        <w:t xml:space="preserve"> </w:t>
      </w:r>
      <w:r w:rsidR="00517418" w:rsidRPr="00A263EF">
        <w:t>guidance</w:t>
      </w:r>
      <w:r w:rsidR="00A263EF">
        <w:t xml:space="preserve">, </w:t>
      </w:r>
      <w:r w:rsidR="00E96168">
        <w:t xml:space="preserve">that </w:t>
      </w:r>
      <w:r w:rsidR="00593331">
        <w:t>licence holders</w:t>
      </w:r>
      <w:r w:rsidR="00AC69B9">
        <w:t xml:space="preserve"> are required</w:t>
      </w:r>
      <w:r w:rsidR="008E25EB">
        <w:t xml:space="preserve"> to </w:t>
      </w:r>
      <w:r w:rsidR="00E96168">
        <w:t xml:space="preserve">“take </w:t>
      </w:r>
      <w:r w:rsidR="00AC69B9">
        <w:t xml:space="preserve">due </w:t>
      </w:r>
      <w:r w:rsidR="00E96168">
        <w:t>account of</w:t>
      </w:r>
      <w:r w:rsidR="00511EEE">
        <w:t>”</w:t>
      </w:r>
      <w:r w:rsidR="00AC69B9">
        <w:t>.</w:t>
      </w:r>
      <w:r w:rsidR="00A263EF">
        <w:t xml:space="preserve"> </w:t>
      </w:r>
    </w:p>
    <w:p w14:paraId="423C1202" w14:textId="675F6E31" w:rsidR="001A29CB" w:rsidRDefault="3D4BF99D" w:rsidP="00400823">
      <w:pPr>
        <w:pStyle w:val="ListNumber"/>
        <w:numPr>
          <w:ilvl w:val="0"/>
          <w:numId w:val="0"/>
        </w:numPr>
      </w:pPr>
      <w:r w:rsidRPr="19538216">
        <w:rPr>
          <w:b/>
          <w:bCs/>
        </w:rPr>
        <w:t xml:space="preserve">2. </w:t>
      </w:r>
      <w:r w:rsidR="373B84FB" w:rsidRPr="19538216">
        <w:rPr>
          <w:b/>
          <w:bCs/>
        </w:rPr>
        <w:t>T</w:t>
      </w:r>
      <w:r w:rsidR="08CFE8F0" w:rsidRPr="19538216">
        <w:rPr>
          <w:b/>
          <w:bCs/>
        </w:rPr>
        <w:t xml:space="preserve">he quality </w:t>
      </w:r>
      <w:r w:rsidR="3D3DBC90" w:rsidRPr="19538216">
        <w:rPr>
          <w:b/>
          <w:bCs/>
        </w:rPr>
        <w:t>of the</w:t>
      </w:r>
      <w:r w:rsidR="08CFE8F0" w:rsidRPr="19538216">
        <w:rPr>
          <w:b/>
          <w:bCs/>
        </w:rPr>
        <w:t xml:space="preserve"> EAs </w:t>
      </w:r>
      <w:r w:rsidR="2262887F" w:rsidRPr="19538216">
        <w:rPr>
          <w:b/>
          <w:bCs/>
        </w:rPr>
        <w:t xml:space="preserve">of all </w:t>
      </w:r>
      <w:r w:rsidR="2262887F" w:rsidRPr="00085BC4">
        <w:rPr>
          <w:b/>
          <w:bCs/>
        </w:rPr>
        <w:t>or a subset</w:t>
      </w:r>
      <w:r w:rsidR="2262887F" w:rsidRPr="19538216">
        <w:rPr>
          <w:b/>
          <w:bCs/>
        </w:rPr>
        <w:t xml:space="preserve"> of licence holders</w:t>
      </w:r>
      <w:r w:rsidR="00085BC4">
        <w:rPr>
          <w:b/>
          <w:bCs/>
        </w:rPr>
        <w:t xml:space="preserve"> (no less than 20)</w:t>
      </w:r>
      <w:r w:rsidR="2262887F" w:rsidRPr="19538216">
        <w:rPr>
          <w:b/>
          <w:bCs/>
        </w:rPr>
        <w:t>,</w:t>
      </w:r>
      <w:r w:rsidR="2262887F">
        <w:t xml:space="preserve"> </w:t>
      </w:r>
      <w:r w:rsidR="3D3DBC90">
        <w:t xml:space="preserve">at minimum relating </w:t>
      </w:r>
      <w:r w:rsidR="373B84FB">
        <w:t>to:</w:t>
      </w:r>
    </w:p>
    <w:p w14:paraId="5619FCB0" w14:textId="5EDE8D64" w:rsidR="001A29CB" w:rsidRDefault="005A7624" w:rsidP="004D2AA8">
      <w:pPr>
        <w:pStyle w:val="NormalBulletround"/>
        <w:numPr>
          <w:ilvl w:val="0"/>
          <w:numId w:val="24"/>
        </w:numPr>
      </w:pPr>
      <w:r>
        <w:t>t</w:t>
      </w:r>
      <w:r w:rsidR="001A29CB">
        <w:t xml:space="preserve">he environment </w:t>
      </w:r>
      <w:proofErr w:type="gramStart"/>
      <w:r w:rsidR="001A29CB">
        <w:t>policy</w:t>
      </w:r>
      <w:r>
        <w:t>;</w:t>
      </w:r>
      <w:proofErr w:type="gramEnd"/>
    </w:p>
    <w:p w14:paraId="48C7F516" w14:textId="173089FD" w:rsidR="001A29CB" w:rsidRDefault="005A7624" w:rsidP="004D2AA8">
      <w:pPr>
        <w:pStyle w:val="NormalBulletround"/>
        <w:numPr>
          <w:ilvl w:val="0"/>
          <w:numId w:val="24"/>
        </w:numPr>
      </w:pPr>
      <w:r>
        <w:t>the</w:t>
      </w:r>
      <w:r w:rsidR="001A29CB">
        <w:t xml:space="preserve"> management and governance arrangements around the policy</w:t>
      </w:r>
      <w:r>
        <w:t>; and</w:t>
      </w:r>
    </w:p>
    <w:p w14:paraId="52EEA28A" w14:textId="47175AA0" w:rsidR="001A29CB" w:rsidRPr="001A29CB" w:rsidRDefault="005A7624" w:rsidP="004D2AA8">
      <w:pPr>
        <w:pStyle w:val="NormalBulletround"/>
        <w:numPr>
          <w:ilvl w:val="0"/>
          <w:numId w:val="24"/>
        </w:numPr>
      </w:pPr>
      <w:r>
        <w:t>the</w:t>
      </w:r>
      <w:r w:rsidR="001A29CB">
        <w:t xml:space="preserve"> specific environmental objectives defined as part of the EAs</w:t>
      </w:r>
      <w:r>
        <w:t>.</w:t>
      </w:r>
    </w:p>
    <w:p w14:paraId="2DF888AC" w14:textId="7EACA9CB" w:rsidR="001451C5" w:rsidRPr="008112E3" w:rsidRDefault="0E9146FA" w:rsidP="001451C5">
      <w:pPr>
        <w:pStyle w:val="ListNumber"/>
        <w:numPr>
          <w:ilvl w:val="0"/>
          <w:numId w:val="0"/>
        </w:numPr>
        <w:rPr>
          <w:b/>
          <w:bCs/>
        </w:rPr>
      </w:pPr>
      <w:r w:rsidRPr="678CB21A">
        <w:rPr>
          <w:b/>
          <w:bCs/>
        </w:rPr>
        <w:t>3. Any</w:t>
      </w:r>
      <w:r w:rsidR="51F5B064" w:rsidRPr="678CB21A">
        <w:rPr>
          <w:b/>
          <w:bCs/>
        </w:rPr>
        <w:t xml:space="preserve"> e</w:t>
      </w:r>
      <w:r w:rsidR="410AEFA5" w:rsidRPr="678CB21A">
        <w:rPr>
          <w:b/>
          <w:bCs/>
        </w:rPr>
        <w:t>xisting</w:t>
      </w:r>
      <w:r w:rsidR="05F69D8D" w:rsidRPr="678CB21A">
        <w:rPr>
          <w:b/>
          <w:bCs/>
        </w:rPr>
        <w:t xml:space="preserve"> good practice </w:t>
      </w:r>
      <w:r w:rsidR="4766EFE8" w:rsidRPr="678CB21A">
        <w:rPr>
          <w:b/>
          <w:bCs/>
        </w:rPr>
        <w:t>or areas requiring improvement,</w:t>
      </w:r>
      <w:r w:rsidR="05F69D8D" w:rsidRPr="678CB21A">
        <w:rPr>
          <w:b/>
          <w:bCs/>
        </w:rPr>
        <w:t xml:space="preserve"> either generally or </w:t>
      </w:r>
      <w:r w:rsidR="3152F64F" w:rsidRPr="678CB21A">
        <w:rPr>
          <w:b/>
          <w:bCs/>
        </w:rPr>
        <w:t>in relation to</w:t>
      </w:r>
      <w:r w:rsidR="05F69D8D" w:rsidRPr="678CB21A">
        <w:rPr>
          <w:b/>
          <w:bCs/>
        </w:rPr>
        <w:t xml:space="preserve"> specific licence holders</w:t>
      </w:r>
      <w:r w:rsidR="51F5B064" w:rsidRPr="678CB21A">
        <w:rPr>
          <w:b/>
          <w:bCs/>
        </w:rPr>
        <w:t xml:space="preserve"> </w:t>
      </w:r>
      <w:r w:rsidR="05F69D8D" w:rsidRPr="678CB21A">
        <w:rPr>
          <w:b/>
          <w:bCs/>
        </w:rPr>
        <w:t>with the aim of improving environmental practice</w:t>
      </w:r>
      <w:r w:rsidR="51F5B064" w:rsidRPr="678CB21A">
        <w:rPr>
          <w:b/>
          <w:bCs/>
        </w:rPr>
        <w:t xml:space="preserve"> and monitoring</w:t>
      </w:r>
      <w:r w:rsidR="6C6A08D9" w:rsidRPr="678CB21A">
        <w:rPr>
          <w:b/>
          <w:bCs/>
        </w:rPr>
        <w:t>, or to ORR to improve our monitoring of adherence to the environmental matters licence condition</w:t>
      </w:r>
      <w:r w:rsidR="05F69D8D" w:rsidRPr="678CB21A">
        <w:rPr>
          <w:b/>
          <w:bCs/>
        </w:rPr>
        <w:t>.</w:t>
      </w:r>
    </w:p>
    <w:p w14:paraId="1BA5FB36" w14:textId="6DEFA3D8" w:rsidR="00DC2FD6" w:rsidRDefault="00DC2FD6" w:rsidP="006A0CE1">
      <w:r>
        <w:t xml:space="preserve">We have structured the three areas of work above so that a proportionate approach can be taken if necessary. </w:t>
      </w:r>
    </w:p>
    <w:p w14:paraId="4274FC84" w14:textId="4C173335" w:rsidR="0CB9DE61" w:rsidRDefault="0CB9DE61">
      <w:pPr>
        <w:rPr>
          <w:rFonts w:eastAsia="Arial" w:cs="Arial"/>
          <w:szCs w:val="24"/>
        </w:rPr>
      </w:pPr>
      <w:r w:rsidRPr="19538216">
        <w:rPr>
          <w:rFonts w:eastAsia="Arial" w:cs="Arial"/>
          <w:szCs w:val="24"/>
        </w:rPr>
        <w:t xml:space="preserve">Parts 1(a) and 1(b) are mandatory and must cover all active licence holders. </w:t>
      </w:r>
    </w:p>
    <w:p w14:paraId="18C3A747" w14:textId="77777777" w:rsidR="00085BC4" w:rsidRDefault="0CB9DE61">
      <w:pPr>
        <w:rPr>
          <w:rFonts w:eastAsia="Arial" w:cs="Arial"/>
          <w:szCs w:val="24"/>
        </w:rPr>
      </w:pPr>
      <w:r w:rsidRPr="19538216">
        <w:rPr>
          <w:rFonts w:eastAsia="Arial" w:cs="Arial"/>
          <w:szCs w:val="24"/>
        </w:rPr>
        <w:t xml:space="preserve">Parts 2 is </w:t>
      </w:r>
      <w:proofErr w:type="gramStart"/>
      <w:r w:rsidRPr="19538216">
        <w:rPr>
          <w:rFonts w:eastAsia="Arial" w:cs="Arial"/>
          <w:szCs w:val="24"/>
        </w:rPr>
        <w:t>mandatory</w:t>
      </w:r>
      <w:proofErr w:type="gramEnd"/>
      <w:r w:rsidRPr="19538216">
        <w:rPr>
          <w:rFonts w:eastAsia="Arial" w:cs="Arial"/>
          <w:szCs w:val="24"/>
        </w:rPr>
        <w:t xml:space="preserve"> and it</w:t>
      </w:r>
      <w:r w:rsidR="5AC16203" w:rsidRPr="19538216">
        <w:rPr>
          <w:rFonts w:eastAsia="Arial" w:cs="Arial"/>
          <w:szCs w:val="24"/>
        </w:rPr>
        <w:t xml:space="preserve"> is </w:t>
      </w:r>
      <w:r w:rsidRPr="19538216">
        <w:rPr>
          <w:rFonts w:eastAsia="Arial" w:cs="Arial"/>
          <w:szCs w:val="24"/>
        </w:rPr>
        <w:t xml:space="preserve">desirable that it encompasses as wide a range of licence holders as possible, in as much detail as possible within the time and budget constraints. At minimum it must encompass </w:t>
      </w:r>
      <w:r w:rsidR="00085BC4">
        <w:rPr>
          <w:rFonts w:eastAsia="Arial" w:cs="Arial"/>
          <w:szCs w:val="24"/>
        </w:rPr>
        <w:t xml:space="preserve">20 </w:t>
      </w:r>
      <w:r w:rsidRPr="19538216">
        <w:rPr>
          <w:rFonts w:eastAsia="Arial" w:cs="Arial"/>
          <w:szCs w:val="24"/>
        </w:rPr>
        <w:t xml:space="preserve">licence holders. </w:t>
      </w:r>
    </w:p>
    <w:p w14:paraId="3324EA3B" w14:textId="19DB9A85" w:rsidR="0CB9DE61" w:rsidRDefault="0CB9DE61">
      <w:pPr>
        <w:rPr>
          <w:rFonts w:eastAsia="Arial" w:cs="Arial"/>
          <w:szCs w:val="24"/>
        </w:rPr>
      </w:pPr>
      <w:r w:rsidRPr="19538216">
        <w:rPr>
          <w:rFonts w:eastAsia="Arial" w:cs="Arial"/>
          <w:szCs w:val="24"/>
        </w:rPr>
        <w:t>We recognise that it may not be possible to conduct a detailed review of all licence holders, as such bidders could involve a sample. If bidders are to propose to focus on a subset of licence holders, they should explain which licence holders, and why. Proposals will be assessed on which is likely to have the maximum impact.</w:t>
      </w:r>
    </w:p>
    <w:p w14:paraId="76B50707" w14:textId="77777777" w:rsidR="00085BC4" w:rsidRDefault="0CB9DE61" w:rsidP="006A0CE1">
      <w:pPr>
        <w:rPr>
          <w:rFonts w:eastAsia="Arial" w:cs="Arial"/>
          <w:szCs w:val="24"/>
        </w:rPr>
      </w:pPr>
      <w:r w:rsidRPr="19538216">
        <w:rPr>
          <w:rFonts w:eastAsia="Arial" w:cs="Arial"/>
          <w:szCs w:val="24"/>
        </w:rPr>
        <w:t>Part 3 is mandatory.</w:t>
      </w:r>
    </w:p>
    <w:p w14:paraId="03A3569D" w14:textId="0FF2F531" w:rsidR="003B774D" w:rsidRDefault="00AF17B8" w:rsidP="006A0CE1">
      <w:r>
        <w:t xml:space="preserve">The </w:t>
      </w:r>
      <w:r w:rsidR="003B774D">
        <w:t xml:space="preserve">successful bidder </w:t>
      </w:r>
      <w:r w:rsidR="000F2699" w:rsidRPr="000F2699">
        <w:t>will propose a methodology for reviewing the quality of the arrangements in place</w:t>
      </w:r>
      <w:r w:rsidR="000F2699">
        <w:t xml:space="preserve">, </w:t>
      </w:r>
      <w:r w:rsidR="000F2699" w:rsidRPr="000F2699">
        <w:t xml:space="preserve">such as </w:t>
      </w:r>
      <w:r w:rsidR="004213D2" w:rsidRPr="000F2699">
        <w:t>well-structured</w:t>
      </w:r>
      <w:r w:rsidR="000F2699" w:rsidRPr="000F2699">
        <w:t xml:space="preserve"> systems and processes including </w:t>
      </w:r>
      <w:r w:rsidR="000F2699" w:rsidRPr="000F2699">
        <w:lastRenderedPageBreak/>
        <w:t>appropriate oversight and reporting arrangements</w:t>
      </w:r>
      <w:r w:rsidR="000F2699">
        <w:t>. Bidders are</w:t>
      </w:r>
      <w:r w:rsidR="000F2699" w:rsidRPr="000F2699">
        <w:t xml:space="preserve"> not expected to </w:t>
      </w:r>
      <w:r w:rsidR="000F2699">
        <w:t xml:space="preserve">assess licence holders’ </w:t>
      </w:r>
      <w:r w:rsidR="000F2699" w:rsidRPr="000F2699">
        <w:t>day</w:t>
      </w:r>
      <w:r w:rsidR="000F2699">
        <w:t>-</w:t>
      </w:r>
      <w:r w:rsidR="000F2699" w:rsidRPr="000F2699">
        <w:t>to</w:t>
      </w:r>
      <w:r w:rsidR="000F2699">
        <w:t>-</w:t>
      </w:r>
      <w:r w:rsidR="000F2699" w:rsidRPr="000F2699">
        <w:t xml:space="preserve">day compliance with the </w:t>
      </w:r>
      <w:r w:rsidR="000F2699">
        <w:t>EAs</w:t>
      </w:r>
      <w:r w:rsidR="00935609">
        <w:t>.</w:t>
      </w:r>
    </w:p>
    <w:p w14:paraId="3A24B17D" w14:textId="5CAE84E1" w:rsidR="006A0CE1" w:rsidRDefault="00D619A5" w:rsidP="006A0CE1">
      <w:r>
        <w:t>Network Rail is a significant licence holder</w:t>
      </w:r>
      <w:r w:rsidR="00610E35">
        <w:t xml:space="preserve"> with a significant </w:t>
      </w:r>
      <w:r>
        <w:t>environmental</w:t>
      </w:r>
      <w:r w:rsidR="00610E35">
        <w:t xml:space="preserve"> impact</w:t>
      </w:r>
      <w:r>
        <w:t xml:space="preserve">, given the scale of </w:t>
      </w:r>
      <w:r w:rsidR="00610E35">
        <w:t>its</w:t>
      </w:r>
      <w:r>
        <w:t xml:space="preserve"> estate and activities.</w:t>
      </w:r>
      <w:r w:rsidR="008E42C9">
        <w:t xml:space="preserve"> </w:t>
      </w:r>
      <w:r w:rsidR="00FF11BE">
        <w:t>A</w:t>
      </w:r>
      <w:r w:rsidR="008E42C9">
        <w:t xml:space="preserve">lthough </w:t>
      </w:r>
      <w:r w:rsidR="00610E35">
        <w:t>it</w:t>
      </w:r>
      <w:r w:rsidR="008E42C9" w:rsidDel="00610E35">
        <w:t xml:space="preserve"> </w:t>
      </w:r>
      <w:r w:rsidR="008E42C9">
        <w:t xml:space="preserve">is in scope of this work, </w:t>
      </w:r>
      <w:r w:rsidR="00610E35">
        <w:t xml:space="preserve">since </w:t>
      </w:r>
      <w:r w:rsidR="008E42C9">
        <w:t xml:space="preserve">ORR already </w:t>
      </w:r>
      <w:r w:rsidR="00EB0176">
        <w:t>closely</w:t>
      </w:r>
      <w:r w:rsidR="008E42C9">
        <w:t xml:space="preserve"> monitors Network Rail’s environmental performance</w:t>
      </w:r>
      <w:r w:rsidR="00610E35">
        <w:t xml:space="preserve">, </w:t>
      </w:r>
      <w:r w:rsidR="008E42C9">
        <w:t xml:space="preserve">the successful bidder should not spend </w:t>
      </w:r>
      <w:r w:rsidR="008F0F60">
        <w:t xml:space="preserve">significantly </w:t>
      </w:r>
      <w:r w:rsidR="008E42C9">
        <w:t xml:space="preserve">more time and resources on Network Rail than </w:t>
      </w:r>
      <w:r w:rsidR="00610E35">
        <w:t>on other licen</w:t>
      </w:r>
      <w:r w:rsidR="000E0817">
        <w:t>c</w:t>
      </w:r>
      <w:r w:rsidR="00610E35">
        <w:t>e</w:t>
      </w:r>
      <w:r w:rsidR="00FF11BE">
        <w:t xml:space="preserve"> holders</w:t>
      </w:r>
      <w:r w:rsidR="008E42C9">
        <w:t>.</w:t>
      </w:r>
    </w:p>
    <w:p w14:paraId="76383D5B" w14:textId="636549F0" w:rsidR="006B147A" w:rsidRDefault="00E034CD" w:rsidP="006B147A">
      <w:pPr>
        <w:pStyle w:val="Heading4"/>
      </w:pPr>
      <w:r>
        <w:t>Source material</w:t>
      </w:r>
    </w:p>
    <w:p w14:paraId="4F3D80DE" w14:textId="2CA0D090" w:rsidR="0055549F" w:rsidRDefault="40911A96" w:rsidP="006B147A">
      <w:r>
        <w:t xml:space="preserve">All licence holders have been </w:t>
      </w:r>
      <w:hyperlink r:id="rId29">
        <w:r w:rsidRPr="19538216">
          <w:rPr>
            <w:rStyle w:val="Hyperlink"/>
          </w:rPr>
          <w:t>informed of the review</w:t>
        </w:r>
      </w:hyperlink>
      <w:r>
        <w:t xml:space="preserve"> and have been </w:t>
      </w:r>
      <w:r w:rsidR="45739D55">
        <w:t xml:space="preserve">asked </w:t>
      </w:r>
      <w:r>
        <w:t xml:space="preserve">to </w:t>
      </w:r>
      <w:r w:rsidR="6B6B24D0">
        <w:t>submit their most up to date</w:t>
      </w:r>
      <w:r>
        <w:t xml:space="preserve"> EAs to ORR. </w:t>
      </w:r>
      <w:r w:rsidR="6B6B24D0">
        <w:t>We will share these</w:t>
      </w:r>
      <w:r w:rsidR="7BC59168">
        <w:t xml:space="preserve"> </w:t>
      </w:r>
      <w:r>
        <w:t>with the successful bidder following the award of contract</w:t>
      </w:r>
      <w:r w:rsidR="3DC5C68B">
        <w:t xml:space="preserve"> </w:t>
      </w:r>
      <w:r w:rsidR="768E5B98">
        <w:t xml:space="preserve">(this will be a maximum of </w:t>
      </w:r>
      <w:r w:rsidR="47EBAD26">
        <w:t xml:space="preserve">approximately </w:t>
      </w:r>
      <w:r w:rsidR="768E5B98">
        <w:t xml:space="preserve">65 </w:t>
      </w:r>
      <w:r w:rsidR="47EBAD26">
        <w:t>sets of EAs</w:t>
      </w:r>
      <w:r w:rsidR="398523E6">
        <w:t>, but may be fewer</w:t>
      </w:r>
      <w:r w:rsidR="768E5B98">
        <w:t>).</w:t>
      </w:r>
    </w:p>
    <w:p w14:paraId="180460F3" w14:textId="42830396" w:rsidR="00C00CB3" w:rsidRDefault="00C00CB3" w:rsidP="006B147A">
      <w:r>
        <w:t>The successful bidder is not expected to seek out licence holders’ EAs or contact them to obtain them if they have not been provided to ORR.</w:t>
      </w:r>
      <w:r w:rsidR="00BF6752">
        <w:t xml:space="preserve"> </w:t>
      </w:r>
    </w:p>
    <w:p w14:paraId="2ACF9E21" w14:textId="6696CA89" w:rsidR="008A4659" w:rsidRDefault="00600307" w:rsidP="006B147A">
      <w:pPr>
        <w:pStyle w:val="Heading4"/>
      </w:pPr>
      <w:r>
        <w:t>GDPR requirements</w:t>
      </w:r>
    </w:p>
    <w:p w14:paraId="56AB6673" w14:textId="4B435EEA" w:rsidR="008A4659" w:rsidRDefault="008A4659" w:rsidP="007C43C1">
      <w:pPr>
        <w:rPr>
          <w:rStyle w:val="normaltextrun"/>
          <w:rFonts w:cs="Arial"/>
          <w:color w:val="000000"/>
          <w:shd w:val="clear" w:color="auto" w:fill="FFFFFF"/>
        </w:rPr>
      </w:pPr>
      <w:r>
        <w:rPr>
          <w:rFonts w:cs="Arial"/>
        </w:rPr>
        <w:t>We do not envisage any personal data will need to be handled as part of this project.</w:t>
      </w:r>
      <w:r w:rsidR="00D000A5">
        <w:rPr>
          <w:rFonts w:cs="Arial"/>
        </w:rPr>
        <w:t xml:space="preserve"> </w:t>
      </w:r>
      <w:r>
        <w:rPr>
          <w:rFonts w:cs="Arial"/>
        </w:rPr>
        <w:t xml:space="preserve">However, commercially sensitive information </w:t>
      </w:r>
      <w:r w:rsidR="00600307">
        <w:rPr>
          <w:rFonts w:cs="Arial"/>
        </w:rPr>
        <w:t xml:space="preserve">may form part of the </w:t>
      </w:r>
      <w:proofErr w:type="gramStart"/>
      <w:r w:rsidR="00600307">
        <w:rPr>
          <w:rFonts w:cs="Arial"/>
        </w:rPr>
        <w:t>EAs</w:t>
      </w:r>
      <w:proofErr w:type="gramEnd"/>
      <w:r w:rsidR="007E39E9">
        <w:rPr>
          <w:rFonts w:cs="Arial"/>
        </w:rPr>
        <w:t xml:space="preserve"> and the successful bidder will be required to sign a confidentiality agreement with ORR</w:t>
      </w:r>
      <w:r w:rsidR="00600307">
        <w:rPr>
          <w:rFonts w:cs="Arial"/>
        </w:rPr>
        <w:t xml:space="preserve">. </w:t>
      </w:r>
      <w:r w:rsidR="00600307">
        <w:rPr>
          <w:rStyle w:val="normaltextrun"/>
          <w:rFonts w:cs="Arial"/>
          <w:color w:val="000000"/>
          <w:shd w:val="clear" w:color="auto" w:fill="FFFFFF"/>
        </w:rPr>
        <w:t>Bidders should explain how they will ensure compliance with relevant GDPR requirements. Bidders should also confirm how any sensitive data will be kept secure.</w:t>
      </w:r>
      <w:r w:rsidR="00997C72">
        <w:rPr>
          <w:rStyle w:val="normaltextrun"/>
          <w:rFonts w:cs="Arial"/>
          <w:color w:val="000000"/>
          <w:shd w:val="clear" w:color="auto" w:fill="FFFFFF"/>
        </w:rPr>
        <w:t xml:space="preserve"> </w:t>
      </w:r>
    </w:p>
    <w:p w14:paraId="5E739F42" w14:textId="40C5CEA3" w:rsidR="006B147A" w:rsidRDefault="006B147A" w:rsidP="006B147A">
      <w:pPr>
        <w:pStyle w:val="Heading4"/>
      </w:pPr>
      <w:r>
        <w:t>Report</w:t>
      </w:r>
    </w:p>
    <w:p w14:paraId="72E03A36" w14:textId="36C2B605" w:rsidR="00600307" w:rsidRDefault="00600307" w:rsidP="007C43C1">
      <w:pPr>
        <w:rPr>
          <w:rStyle w:val="eop"/>
          <w:rFonts w:cs="Arial"/>
          <w:color w:val="000000"/>
          <w:shd w:val="clear" w:color="auto" w:fill="FFFFFF"/>
        </w:rPr>
      </w:pPr>
      <w:r>
        <w:rPr>
          <w:rStyle w:val="normaltextrun"/>
          <w:rFonts w:cs="Arial"/>
          <w:color w:val="000000"/>
          <w:shd w:val="clear" w:color="auto" w:fill="FFFFFF"/>
        </w:rPr>
        <w:t xml:space="preserve">A </w:t>
      </w:r>
      <w:r w:rsidR="00F2180C">
        <w:rPr>
          <w:rStyle w:val="normaltextrun"/>
          <w:rFonts w:cs="Arial"/>
          <w:color w:val="000000"/>
          <w:shd w:val="clear" w:color="auto" w:fill="FFFFFF"/>
        </w:rPr>
        <w:t>full</w:t>
      </w:r>
      <w:r>
        <w:rPr>
          <w:rStyle w:val="normaltextrun"/>
          <w:rFonts w:cs="Arial"/>
          <w:color w:val="000000"/>
          <w:shd w:val="clear" w:color="auto" w:fill="FFFFFF"/>
        </w:rPr>
        <w:t xml:space="preserve"> report on the review’s findings must be provided</w:t>
      </w:r>
      <w:r w:rsidR="00757DB9">
        <w:rPr>
          <w:rStyle w:val="normaltextrun"/>
          <w:rFonts w:cs="Arial"/>
          <w:color w:val="000000"/>
          <w:shd w:val="clear" w:color="auto" w:fill="FFFFFF"/>
        </w:rPr>
        <w:t>,</w:t>
      </w:r>
      <w:r>
        <w:rPr>
          <w:rStyle w:val="normaltextrun"/>
          <w:rFonts w:cs="Arial"/>
          <w:color w:val="000000"/>
          <w:shd w:val="clear" w:color="auto" w:fill="FFFFFF"/>
        </w:rPr>
        <w:t xml:space="preserve"> which ORR </w:t>
      </w:r>
      <w:r w:rsidR="00BA09BD">
        <w:rPr>
          <w:rStyle w:val="normaltextrun"/>
          <w:rFonts w:cs="Arial"/>
          <w:color w:val="000000"/>
          <w:shd w:val="clear" w:color="auto" w:fill="FFFFFF"/>
        </w:rPr>
        <w:t>may</w:t>
      </w:r>
      <w:r w:rsidR="00F2180C">
        <w:rPr>
          <w:rStyle w:val="normaltextrun"/>
          <w:rFonts w:cs="Arial"/>
          <w:color w:val="000000"/>
          <w:shd w:val="clear" w:color="auto" w:fill="FFFFFF"/>
        </w:rPr>
        <w:t xml:space="preserve"> </w:t>
      </w:r>
      <w:r>
        <w:rPr>
          <w:rStyle w:val="normaltextrun"/>
          <w:rFonts w:cs="Arial"/>
          <w:color w:val="000000"/>
          <w:shd w:val="clear" w:color="auto" w:fill="FFFFFF"/>
        </w:rPr>
        <w:t xml:space="preserve">publish </w:t>
      </w:r>
      <w:r w:rsidR="00F2180C">
        <w:rPr>
          <w:rStyle w:val="normaltextrun"/>
          <w:rFonts w:cs="Arial"/>
          <w:color w:val="000000"/>
          <w:shd w:val="clear" w:color="auto" w:fill="FFFFFF"/>
        </w:rPr>
        <w:t>in full or in part</w:t>
      </w:r>
      <w:r w:rsidR="003413E6">
        <w:rPr>
          <w:rStyle w:val="normaltextrun"/>
          <w:rFonts w:cs="Arial"/>
          <w:color w:val="000000"/>
          <w:shd w:val="clear" w:color="auto" w:fill="FFFFFF"/>
        </w:rPr>
        <w:t xml:space="preserve"> </w:t>
      </w:r>
      <w:r>
        <w:rPr>
          <w:rStyle w:val="normaltextrun"/>
          <w:rFonts w:cs="Arial"/>
          <w:color w:val="000000"/>
          <w:shd w:val="clear" w:color="auto" w:fill="FFFFFF"/>
        </w:rPr>
        <w:t>on its website.</w:t>
      </w:r>
      <w:r>
        <w:rPr>
          <w:rStyle w:val="eop"/>
          <w:rFonts w:cs="Arial"/>
          <w:color w:val="000000"/>
          <w:shd w:val="clear" w:color="auto" w:fill="FFFFFF"/>
        </w:rPr>
        <w:t> </w:t>
      </w:r>
      <w:r w:rsidR="003413E6">
        <w:rPr>
          <w:rStyle w:val="eop"/>
          <w:rFonts w:cs="Arial"/>
          <w:color w:val="000000"/>
          <w:shd w:val="clear" w:color="auto" w:fill="FFFFFF"/>
        </w:rPr>
        <w:t xml:space="preserve">The report should provide ORR with essential information on </w:t>
      </w:r>
      <w:proofErr w:type="gramStart"/>
      <w:r w:rsidR="003413E6">
        <w:rPr>
          <w:rStyle w:val="eop"/>
          <w:rFonts w:cs="Arial"/>
          <w:color w:val="000000"/>
          <w:shd w:val="clear" w:color="auto" w:fill="FFFFFF"/>
        </w:rPr>
        <w:t>compliance, but</w:t>
      </w:r>
      <w:proofErr w:type="gramEnd"/>
      <w:r w:rsidR="003413E6">
        <w:rPr>
          <w:rStyle w:val="eop"/>
          <w:rFonts w:cs="Arial"/>
          <w:color w:val="000000"/>
          <w:shd w:val="clear" w:color="auto" w:fill="FFFFFF"/>
        </w:rPr>
        <w:t xml:space="preserve"> should also be drafted in such a way that it engages the industry and encourages adoption of best practice.</w:t>
      </w:r>
      <w:r w:rsidR="00EB0176">
        <w:rPr>
          <w:rStyle w:val="eop"/>
          <w:rFonts w:cs="Arial"/>
          <w:color w:val="000000"/>
          <w:shd w:val="clear" w:color="auto" w:fill="FFFFFF"/>
        </w:rPr>
        <w:t xml:space="preserve"> We will work with the successful bidder to </w:t>
      </w:r>
      <w:r w:rsidR="006C77E2">
        <w:rPr>
          <w:rStyle w:val="eop"/>
          <w:rFonts w:cs="Arial"/>
          <w:color w:val="000000"/>
          <w:shd w:val="clear" w:color="auto" w:fill="FFFFFF"/>
        </w:rPr>
        <w:t xml:space="preserve">agree an appropriate structure for the report, which may include </w:t>
      </w:r>
      <w:r w:rsidR="000F2699">
        <w:rPr>
          <w:rStyle w:val="eop"/>
          <w:rFonts w:cs="Arial"/>
          <w:color w:val="000000"/>
          <w:shd w:val="clear" w:color="auto" w:fill="FFFFFF"/>
        </w:rPr>
        <w:t>an</w:t>
      </w:r>
      <w:r w:rsidR="006C77E2">
        <w:rPr>
          <w:rStyle w:val="eop"/>
          <w:rFonts w:cs="Arial"/>
          <w:color w:val="000000"/>
          <w:shd w:val="clear" w:color="auto" w:fill="FFFFFF"/>
        </w:rPr>
        <w:t xml:space="preserve"> annex for more detailed information.</w:t>
      </w:r>
    </w:p>
    <w:p w14:paraId="580253A9" w14:textId="01463585" w:rsidR="001B1190" w:rsidRDefault="001B1190" w:rsidP="007C43C1">
      <w:pPr>
        <w:rPr>
          <w:rStyle w:val="eop"/>
          <w:rFonts w:cs="Arial"/>
          <w:color w:val="000000"/>
          <w:shd w:val="clear" w:color="auto" w:fill="FFFFFF"/>
        </w:rPr>
      </w:pPr>
      <w:r>
        <w:rPr>
          <w:rStyle w:val="eop"/>
          <w:rFonts w:cs="Arial"/>
          <w:color w:val="000000"/>
          <w:shd w:val="clear" w:color="auto" w:fill="FFFFFF"/>
        </w:rPr>
        <w:t>The report should</w:t>
      </w:r>
      <w:r w:rsidR="00C67869">
        <w:rPr>
          <w:rStyle w:val="eop"/>
          <w:rFonts w:cs="Arial"/>
          <w:color w:val="000000"/>
          <w:shd w:val="clear" w:color="auto" w:fill="FFFFFF"/>
        </w:rPr>
        <w:t xml:space="preserve"> deliver the project objectives </w:t>
      </w:r>
      <w:r w:rsidR="00BA09BD">
        <w:rPr>
          <w:rStyle w:val="eop"/>
          <w:rFonts w:cs="Arial"/>
          <w:color w:val="000000"/>
          <w:shd w:val="clear" w:color="auto" w:fill="FFFFFF"/>
        </w:rPr>
        <w:t>1(a), 1(b), 2 and 3 stated above.</w:t>
      </w:r>
      <w:r w:rsidR="006C77E2">
        <w:rPr>
          <w:rStyle w:val="eop"/>
          <w:rFonts w:cs="Arial"/>
          <w:color w:val="000000"/>
          <w:shd w:val="clear" w:color="auto" w:fill="FFFFFF"/>
        </w:rPr>
        <w:t xml:space="preserve"> It must meet our accessibility requirements set out in 2.3 below.</w:t>
      </w:r>
    </w:p>
    <w:p w14:paraId="69A75C90" w14:textId="4E7D31A8" w:rsidR="003F3CB0" w:rsidRDefault="003F3CB0" w:rsidP="003F3CB0">
      <w:pPr>
        <w:pStyle w:val="Heading3"/>
      </w:pPr>
      <w:bookmarkStart w:id="12" w:name="_Toc144206849"/>
      <w:r w:rsidRPr="003F3CB0">
        <w:t>2.3 Project Outputs, Deliverables and Contract Management</w:t>
      </w:r>
      <w:bookmarkEnd w:id="12"/>
    </w:p>
    <w:p w14:paraId="5F7B9CDB" w14:textId="38DFBE8C" w:rsidR="00896CBE" w:rsidRDefault="00896CBE" w:rsidP="00896CBE">
      <w:r>
        <w:t xml:space="preserve">In </w:t>
      </w:r>
      <w:r w:rsidR="000B330F">
        <w:t>deliver</w:t>
      </w:r>
      <w:r w:rsidR="006C77E2">
        <w:t>ing</w:t>
      </w:r>
      <w:r w:rsidR="000B330F">
        <w:t xml:space="preserve"> </w:t>
      </w:r>
      <w:r w:rsidR="000B330F">
        <w:rPr>
          <w:rFonts w:asciiTheme="minorBidi" w:eastAsia="Times New Roman" w:hAnsiTheme="minorBidi"/>
          <w:bCs/>
          <w:szCs w:val="24"/>
        </w:rPr>
        <w:t>project requirements 1(a), 1(b), 2 and 3</w:t>
      </w:r>
      <w:r>
        <w:t xml:space="preserve">, the successful bidder </w:t>
      </w:r>
      <w:r w:rsidR="006C77E2">
        <w:t>must provide</w:t>
      </w:r>
      <w:r>
        <w:t>:</w:t>
      </w:r>
    </w:p>
    <w:p w14:paraId="0204AEBE" w14:textId="5E15DF81" w:rsidR="00BF6752" w:rsidRDefault="00BF6752" w:rsidP="00896CBE">
      <w:pPr>
        <w:pStyle w:val="NormalBulletround"/>
      </w:pPr>
      <w:r>
        <w:lastRenderedPageBreak/>
        <w:t xml:space="preserve">a delivery plan agreed with </w:t>
      </w:r>
      <w:proofErr w:type="gramStart"/>
      <w:r>
        <w:t>ORR;</w:t>
      </w:r>
      <w:proofErr w:type="gramEnd"/>
    </w:p>
    <w:p w14:paraId="243D797E" w14:textId="5ADD975D" w:rsidR="00896CBE" w:rsidRDefault="003413E6" w:rsidP="00896CBE">
      <w:pPr>
        <w:pStyle w:val="NormalBulletround"/>
      </w:pPr>
      <w:r>
        <w:t>a</w:t>
      </w:r>
      <w:r w:rsidR="00896CBE">
        <w:t xml:space="preserve">n interim presentation of emerging </w:t>
      </w:r>
      <w:proofErr w:type="gramStart"/>
      <w:r w:rsidR="00896CBE">
        <w:t>findings</w:t>
      </w:r>
      <w:r>
        <w:t>;</w:t>
      </w:r>
      <w:proofErr w:type="gramEnd"/>
    </w:p>
    <w:p w14:paraId="41EDCB9E" w14:textId="4435BAAF" w:rsidR="00896CBE" w:rsidRDefault="000C5CED" w:rsidP="00896CBE">
      <w:pPr>
        <w:pStyle w:val="NormalBulletround"/>
      </w:pPr>
      <w:r>
        <w:t xml:space="preserve">a </w:t>
      </w:r>
      <w:r w:rsidR="003413E6">
        <w:t>d</w:t>
      </w:r>
      <w:r w:rsidR="00896CBE">
        <w:t xml:space="preserve">raft report for ORR comment which details the findings, conclusions and </w:t>
      </w:r>
      <w:r w:rsidR="00757DB9">
        <w:t xml:space="preserve">any </w:t>
      </w:r>
      <w:proofErr w:type="gramStart"/>
      <w:r w:rsidR="00896CBE">
        <w:t>recommendations</w:t>
      </w:r>
      <w:r w:rsidR="003413E6">
        <w:t>;</w:t>
      </w:r>
      <w:proofErr w:type="gramEnd"/>
    </w:p>
    <w:p w14:paraId="73310541" w14:textId="0ED07F05" w:rsidR="00896CBE" w:rsidRDefault="00896CBE" w:rsidP="00896CBE">
      <w:pPr>
        <w:pStyle w:val="NormalBulletround"/>
      </w:pPr>
      <w:r>
        <w:rPr>
          <w:lang w:eastAsia="en-GB"/>
        </w:rPr>
        <w:t>a</w:t>
      </w:r>
      <w:r w:rsidRPr="0037036D">
        <w:rPr>
          <w:lang w:eastAsia="en-GB"/>
        </w:rPr>
        <w:t xml:space="preserve"> final version of the report that addresses ORR’s feedback and comments</w:t>
      </w:r>
      <w:r w:rsidR="003413E6">
        <w:rPr>
          <w:lang w:eastAsia="en-GB"/>
        </w:rPr>
        <w:t>; and</w:t>
      </w:r>
    </w:p>
    <w:p w14:paraId="71029FF8" w14:textId="3C5E5CE5" w:rsidR="00896CBE" w:rsidRDefault="00896CBE" w:rsidP="00896CBE">
      <w:pPr>
        <w:pStyle w:val="NormalBulletround"/>
      </w:pPr>
      <w:r>
        <w:rPr>
          <w:lang w:eastAsia="en-GB"/>
        </w:rPr>
        <w:t>a presentation of the report</w:t>
      </w:r>
      <w:r w:rsidR="004550CA">
        <w:rPr>
          <w:lang w:eastAsia="en-GB"/>
        </w:rPr>
        <w:t>’</w:t>
      </w:r>
      <w:r>
        <w:rPr>
          <w:lang w:eastAsia="en-GB"/>
        </w:rPr>
        <w:t>s final key findings and recommendations</w:t>
      </w:r>
      <w:r w:rsidR="003413E6">
        <w:rPr>
          <w:lang w:eastAsia="en-GB"/>
        </w:rPr>
        <w:t>.</w:t>
      </w:r>
    </w:p>
    <w:p w14:paraId="656C556E" w14:textId="52CEEF9D" w:rsidR="00896CBE" w:rsidRPr="00896CBE" w:rsidRDefault="00896CBE" w:rsidP="00896CBE">
      <w:pPr>
        <w:pStyle w:val="SingleNum"/>
        <w:numPr>
          <w:ilvl w:val="0"/>
          <w:numId w:val="0"/>
        </w:numPr>
        <w:rPr>
          <w:rFonts w:eastAsia="Times New Roman"/>
        </w:rPr>
      </w:pPr>
      <w:r w:rsidRPr="0037036D">
        <w:rPr>
          <w:lang w:val="en-US" w:eastAsia="en-GB"/>
        </w:rPr>
        <w:t xml:space="preserve">We </w:t>
      </w:r>
      <w:r>
        <w:rPr>
          <w:lang w:val="en-US" w:eastAsia="en-GB"/>
        </w:rPr>
        <w:t>may</w:t>
      </w:r>
      <w:r w:rsidRPr="0037036D">
        <w:rPr>
          <w:lang w:val="en-US" w:eastAsia="en-GB"/>
        </w:rPr>
        <w:t xml:space="preserve"> publish the consultant report</w:t>
      </w:r>
      <w:r w:rsidR="004E1737">
        <w:rPr>
          <w:lang w:val="en-US" w:eastAsia="en-GB"/>
        </w:rPr>
        <w:t xml:space="preserve"> in full or in part</w:t>
      </w:r>
      <w:r w:rsidRPr="0037036D">
        <w:rPr>
          <w:lang w:val="en-US" w:eastAsia="en-GB"/>
        </w:rPr>
        <w:t>, a</w:t>
      </w:r>
      <w:r w:rsidR="0026509D">
        <w:rPr>
          <w:lang w:val="en-US" w:eastAsia="en-GB"/>
        </w:rPr>
        <w:t>s</w:t>
      </w:r>
      <w:r w:rsidRPr="0037036D">
        <w:rPr>
          <w:lang w:val="en-US" w:eastAsia="en-GB"/>
        </w:rPr>
        <w:t xml:space="preserve"> well as refer to </w:t>
      </w:r>
      <w:proofErr w:type="gramStart"/>
      <w:r w:rsidRPr="0037036D">
        <w:rPr>
          <w:lang w:val="en-US" w:eastAsia="en-GB"/>
        </w:rPr>
        <w:t>results</w:t>
      </w:r>
      <w:proofErr w:type="gramEnd"/>
      <w:r w:rsidRPr="0037036D">
        <w:rPr>
          <w:lang w:val="en-US" w:eastAsia="en-GB"/>
        </w:rPr>
        <w:t xml:space="preserve"> of the </w:t>
      </w:r>
      <w:r>
        <w:rPr>
          <w:lang w:val="en-US" w:eastAsia="en-GB"/>
        </w:rPr>
        <w:t>review and its recommendations in any of our publications.</w:t>
      </w:r>
      <w:r w:rsidRPr="0037036D">
        <w:rPr>
          <w:lang w:val="en-US" w:eastAsia="en-GB"/>
        </w:rPr>
        <w:t xml:space="preserve"> Therefore, </w:t>
      </w:r>
      <w:r>
        <w:rPr>
          <w:lang w:val="en-US" w:eastAsia="en-GB"/>
        </w:rPr>
        <w:t xml:space="preserve">ORR </w:t>
      </w:r>
      <w:r w:rsidRPr="0037036D">
        <w:rPr>
          <w:rFonts w:eastAsia="Times New Roman"/>
        </w:rPr>
        <w:t>will own the intellectual property rights in any documentation/outputs produced under the contract.</w:t>
      </w:r>
    </w:p>
    <w:p w14:paraId="06F6DB57" w14:textId="650720C7" w:rsidR="00B27CD3" w:rsidRPr="00600307" w:rsidRDefault="00B27CD3" w:rsidP="00B27CD3">
      <w:pPr>
        <w:rPr>
          <w:rFonts w:cs="Arial"/>
          <w:color w:val="000000"/>
          <w:shd w:val="clear" w:color="auto" w:fill="FFFFFF"/>
        </w:rPr>
      </w:pPr>
      <w:r>
        <w:rPr>
          <w:rStyle w:val="normaltextrun"/>
          <w:rFonts w:cs="Arial"/>
          <w:color w:val="000000"/>
          <w:shd w:val="clear" w:color="auto" w:fill="FFFFFF"/>
        </w:rPr>
        <w:t xml:space="preserve">As a public body we are legally required to comply with accessibility guidelines. Any report must be in a format that meets web accessibility regulations: </w:t>
      </w:r>
      <w:hyperlink r:id="rId30" w:tgtFrame="_blank" w:history="1">
        <w:r>
          <w:rPr>
            <w:rStyle w:val="normaltextrun"/>
            <w:rFonts w:cs="Arial"/>
            <w:color w:val="0563C1"/>
            <w:u w:val="single"/>
            <w:shd w:val="clear" w:color="auto" w:fill="FFFFFF"/>
          </w:rPr>
          <w:t>Guidelines for writing accessible reports for ORR - Guidance for external suppliers | Office of Rail and Road</w:t>
        </w:r>
      </w:hyperlink>
      <w:r w:rsidR="006C77E2">
        <w:rPr>
          <w:rStyle w:val="normaltextrun"/>
          <w:rFonts w:cs="Arial"/>
          <w:color w:val="0563C1"/>
          <w:u w:val="single"/>
          <w:shd w:val="clear" w:color="auto" w:fill="FFFFFF"/>
        </w:rPr>
        <w:t xml:space="preserve">. </w:t>
      </w:r>
      <w:r w:rsidR="006C77E2">
        <w:rPr>
          <w:rStyle w:val="eop"/>
          <w:rFonts w:cs="Arial"/>
          <w:color w:val="000000"/>
          <w:shd w:val="clear" w:color="auto" w:fill="FFFFFF"/>
        </w:rPr>
        <w:t>This includes</w:t>
      </w:r>
      <w:r>
        <w:rPr>
          <w:rStyle w:val="eop"/>
          <w:rFonts w:cs="Arial"/>
          <w:color w:val="000000"/>
          <w:shd w:val="clear" w:color="auto" w:fill="FFFFFF"/>
        </w:rPr>
        <w:t xml:space="preserve"> that any charts or tables </w:t>
      </w:r>
      <w:r w:rsidR="006C77E2">
        <w:rPr>
          <w:rStyle w:val="eop"/>
          <w:rFonts w:cs="Arial"/>
          <w:color w:val="000000"/>
          <w:shd w:val="clear" w:color="auto" w:fill="FFFFFF"/>
        </w:rPr>
        <w:t>must be</w:t>
      </w:r>
      <w:r>
        <w:rPr>
          <w:rStyle w:val="eop"/>
          <w:rFonts w:cs="Arial"/>
          <w:color w:val="000000"/>
          <w:shd w:val="clear" w:color="auto" w:fill="FFFFFF"/>
        </w:rPr>
        <w:t xml:space="preserve"> produced in line with our guidance on accessibility.</w:t>
      </w:r>
    </w:p>
    <w:p w14:paraId="04C312D2" w14:textId="77777777" w:rsidR="00896CBE" w:rsidRDefault="00896CBE" w:rsidP="00896CBE">
      <w:pPr>
        <w:pStyle w:val="Heading4"/>
      </w:pPr>
      <w:r>
        <w:t>Contract Management Requirements</w:t>
      </w:r>
    </w:p>
    <w:p w14:paraId="4AB5B6BD" w14:textId="77777777" w:rsidR="00896CBE" w:rsidRPr="00E22B4D" w:rsidRDefault="00896CBE" w:rsidP="00896CBE">
      <w:pPr>
        <w:pStyle w:val="Numberedparagraphdouble"/>
        <w:numPr>
          <w:ilvl w:val="0"/>
          <w:numId w:val="0"/>
        </w:numPr>
        <w:ind w:left="851" w:hanging="851"/>
      </w:pPr>
      <w:r>
        <w:t>The contract management requirements for this project are:</w:t>
      </w:r>
    </w:p>
    <w:p w14:paraId="38305032" w14:textId="77777777" w:rsidR="00896CBE" w:rsidRPr="00E22B4D" w:rsidRDefault="00896CBE" w:rsidP="00896CBE">
      <w:pPr>
        <w:pStyle w:val="Bulletround"/>
        <w:rPr>
          <w:rFonts w:asciiTheme="minorBidi" w:hAnsiTheme="minorBidi"/>
          <w:szCs w:val="24"/>
          <w:lang w:val="en-US" w:eastAsia="en-GB"/>
        </w:rPr>
      </w:pPr>
      <w:r w:rsidRPr="00E22B4D">
        <w:rPr>
          <w:rFonts w:asciiTheme="minorBidi" w:hAnsiTheme="minorBidi"/>
          <w:szCs w:val="24"/>
          <w:lang w:val="en-US" w:eastAsia="en-GB"/>
        </w:rPr>
        <w:t xml:space="preserve">an initial kick off </w:t>
      </w:r>
      <w:proofErr w:type="gramStart"/>
      <w:r w:rsidRPr="00E22B4D">
        <w:rPr>
          <w:rFonts w:asciiTheme="minorBidi" w:hAnsiTheme="minorBidi"/>
          <w:szCs w:val="24"/>
          <w:lang w:val="en-US" w:eastAsia="en-GB"/>
        </w:rPr>
        <w:t>meeting;</w:t>
      </w:r>
      <w:proofErr w:type="gramEnd"/>
    </w:p>
    <w:p w14:paraId="30815858" w14:textId="179AA1F6" w:rsidR="00896CBE" w:rsidRPr="00E22B4D" w:rsidRDefault="00896CBE" w:rsidP="00896CBE">
      <w:pPr>
        <w:pStyle w:val="Bulletround"/>
        <w:rPr>
          <w:rFonts w:asciiTheme="minorBidi" w:hAnsiTheme="minorBidi"/>
          <w:szCs w:val="24"/>
          <w:lang w:val="en-US" w:eastAsia="en-GB"/>
        </w:rPr>
      </w:pPr>
      <w:r w:rsidRPr="00E22B4D">
        <w:rPr>
          <w:rFonts w:asciiTheme="minorBidi" w:hAnsiTheme="minorBidi"/>
          <w:szCs w:val="24"/>
          <w:lang w:val="en-US" w:eastAsia="en-GB"/>
        </w:rPr>
        <w:t xml:space="preserve">a meeting to agree </w:t>
      </w:r>
      <w:r>
        <w:rPr>
          <w:rFonts w:asciiTheme="minorBidi" w:hAnsiTheme="minorBidi"/>
          <w:szCs w:val="24"/>
          <w:lang w:val="en-US" w:eastAsia="en-GB"/>
        </w:rPr>
        <w:t xml:space="preserve">the plan for conducing the </w:t>
      </w:r>
      <w:proofErr w:type="gramStart"/>
      <w:r>
        <w:rPr>
          <w:rFonts w:asciiTheme="minorBidi" w:hAnsiTheme="minorBidi"/>
          <w:szCs w:val="24"/>
          <w:lang w:val="en-US" w:eastAsia="en-GB"/>
        </w:rPr>
        <w:t>review</w:t>
      </w:r>
      <w:r w:rsidRPr="00E22B4D">
        <w:rPr>
          <w:rFonts w:asciiTheme="minorBidi" w:hAnsiTheme="minorBidi"/>
          <w:szCs w:val="24"/>
          <w:lang w:val="en-US" w:eastAsia="en-GB"/>
        </w:rPr>
        <w:t>;</w:t>
      </w:r>
      <w:proofErr w:type="gramEnd"/>
    </w:p>
    <w:p w14:paraId="6D26FB10" w14:textId="21D2E3E4" w:rsidR="00896CBE" w:rsidRPr="00E22B4D" w:rsidRDefault="00896CBE" w:rsidP="00896CBE">
      <w:pPr>
        <w:pStyle w:val="Bulletround"/>
        <w:rPr>
          <w:rFonts w:asciiTheme="minorBidi" w:hAnsiTheme="minorBidi"/>
          <w:szCs w:val="24"/>
          <w:lang w:val="en-US" w:eastAsia="en-GB"/>
        </w:rPr>
      </w:pPr>
      <w:r w:rsidRPr="00E22B4D">
        <w:rPr>
          <w:rFonts w:asciiTheme="minorBidi" w:hAnsiTheme="minorBidi"/>
          <w:szCs w:val="24"/>
          <w:lang w:val="en-US" w:eastAsia="en-GB"/>
        </w:rPr>
        <w:t xml:space="preserve">weekly updates by e-mail </w:t>
      </w:r>
      <w:r>
        <w:rPr>
          <w:rFonts w:asciiTheme="minorBidi" w:hAnsiTheme="minorBidi"/>
          <w:szCs w:val="24"/>
          <w:lang w:val="en-US" w:eastAsia="en-GB"/>
        </w:rPr>
        <w:t>and fortnightly update meetings between ORR and the successful bidder</w:t>
      </w:r>
    </w:p>
    <w:p w14:paraId="757A913D" w14:textId="77777777" w:rsidR="00896CBE" w:rsidRPr="00E22B4D" w:rsidRDefault="00896CBE" w:rsidP="00896CBE">
      <w:pPr>
        <w:pStyle w:val="Bulletround"/>
        <w:rPr>
          <w:rFonts w:asciiTheme="minorBidi" w:hAnsiTheme="minorBidi"/>
          <w:szCs w:val="24"/>
          <w:lang w:val="en-US" w:eastAsia="en-GB"/>
        </w:rPr>
      </w:pPr>
      <w:r w:rsidRPr="00E22B4D">
        <w:rPr>
          <w:rFonts w:asciiTheme="minorBidi" w:hAnsiTheme="minorBidi"/>
          <w:szCs w:val="24"/>
          <w:lang w:val="en-US" w:eastAsia="en-GB"/>
        </w:rPr>
        <w:t xml:space="preserve">a meeting to discuss emerging findings; and </w:t>
      </w:r>
    </w:p>
    <w:p w14:paraId="7A22CA64" w14:textId="77777777" w:rsidR="00896CBE" w:rsidRPr="00E22B4D" w:rsidRDefault="00896CBE" w:rsidP="00896CBE">
      <w:pPr>
        <w:pStyle w:val="Bulletround"/>
        <w:rPr>
          <w:rFonts w:asciiTheme="minorBidi" w:hAnsiTheme="minorBidi"/>
          <w:szCs w:val="24"/>
          <w:lang w:val="en-US" w:eastAsia="en-GB"/>
        </w:rPr>
      </w:pPr>
      <w:r w:rsidRPr="00E22B4D">
        <w:rPr>
          <w:rFonts w:asciiTheme="minorBidi" w:hAnsiTheme="minorBidi"/>
          <w:szCs w:val="24"/>
          <w:lang w:val="en-US" w:eastAsia="en-GB"/>
        </w:rPr>
        <w:t>a meeting to discuss ORR feedback on the draft report.</w:t>
      </w:r>
    </w:p>
    <w:p w14:paraId="23BB5AA3" w14:textId="327D6ACF" w:rsidR="00896CBE" w:rsidRPr="00E22B4D" w:rsidRDefault="00896CBE" w:rsidP="00896CBE">
      <w:pPr>
        <w:shd w:val="clear" w:color="auto" w:fill="FFFFFF"/>
        <w:spacing w:line="240" w:lineRule="auto"/>
        <w:rPr>
          <w:rFonts w:asciiTheme="minorBidi" w:eastAsia="Times New Roman" w:hAnsiTheme="minorBidi"/>
          <w:color w:val="000000"/>
          <w:szCs w:val="24"/>
          <w:lang w:eastAsia="en-GB"/>
        </w:rPr>
      </w:pPr>
      <w:r w:rsidRPr="00B24EA2">
        <w:rPr>
          <w:rFonts w:asciiTheme="minorBidi" w:eastAsia="Times New Roman" w:hAnsiTheme="minorBidi"/>
          <w:color w:val="000000"/>
          <w:szCs w:val="24"/>
          <w:lang w:eastAsia="en-GB"/>
        </w:rPr>
        <w:t xml:space="preserve">We will work flexibly with the consultant to discuss progress or any emerging issues, as necessary. </w:t>
      </w:r>
    </w:p>
    <w:p w14:paraId="75F8969E" w14:textId="18013AB0" w:rsidR="00D6160E" w:rsidRDefault="00AF7AF9" w:rsidP="00AF7AF9">
      <w:pPr>
        <w:pStyle w:val="Heading3"/>
      </w:pPr>
      <w:bookmarkStart w:id="13" w:name="_Toc144206850"/>
      <w:r>
        <w:t xml:space="preserve">2.4 </w:t>
      </w:r>
      <w:bookmarkStart w:id="14" w:name="_Hlk143008892"/>
      <w:r>
        <w:t>Project Timescales</w:t>
      </w:r>
      <w:bookmarkEnd w:id="14"/>
      <w:bookmarkEnd w:id="13"/>
    </w:p>
    <w:p w14:paraId="1ABE9EBE" w14:textId="77777777" w:rsidR="00D67250" w:rsidRPr="00BA74DA" w:rsidRDefault="00D67250" w:rsidP="00D67250">
      <w:pPr>
        <w:shd w:val="clear" w:color="auto" w:fill="FFFFFF" w:themeFill="background1"/>
        <w:autoSpaceDE w:val="0"/>
        <w:autoSpaceDN w:val="0"/>
        <w:adjustRightInd w:val="0"/>
        <w:rPr>
          <w:rFonts w:cs="Arial"/>
          <w:color w:val="000000"/>
          <w:szCs w:val="24"/>
          <w:lang w:eastAsia="en-GB"/>
        </w:rPr>
      </w:pPr>
      <w:r w:rsidRPr="00BA74DA">
        <w:rPr>
          <w:rFonts w:cs="Arial"/>
          <w:color w:val="000000" w:themeColor="text1"/>
          <w:szCs w:val="24"/>
          <w:lang w:eastAsia="en-GB"/>
        </w:rPr>
        <w:t>We expect bidders to set out their proposed timescales for the work, but we have set out an indicative timeline below. Bidders should highlight any expected deviations from this.</w:t>
      </w:r>
    </w:p>
    <w:p w14:paraId="32DC687A" w14:textId="77777777" w:rsidR="00D67250" w:rsidRPr="00A01FEE" w:rsidRDefault="00D67250" w:rsidP="00D67250">
      <w:pPr>
        <w:pStyle w:val="Bulletround"/>
        <w:rPr>
          <w:szCs w:val="24"/>
          <w:lang w:eastAsia="en-GB"/>
        </w:rPr>
      </w:pPr>
      <w:r w:rsidRPr="00A01FEE">
        <w:rPr>
          <w:color w:val="000000" w:themeColor="text1"/>
          <w:szCs w:val="24"/>
          <w:lang w:eastAsia="en-GB"/>
        </w:rPr>
        <w:t xml:space="preserve">Kick-off meeting and </w:t>
      </w:r>
      <w:r w:rsidRPr="00A01FEE">
        <w:rPr>
          <w:szCs w:val="24"/>
          <w:lang w:eastAsia="en-GB"/>
        </w:rPr>
        <w:t xml:space="preserve">commencement w/c </w:t>
      </w:r>
      <w:r w:rsidR="00F14BFE" w:rsidRPr="00A01FEE">
        <w:rPr>
          <w:szCs w:val="24"/>
          <w:lang w:eastAsia="en-GB"/>
        </w:rPr>
        <w:t>30 October</w:t>
      </w:r>
      <w:r w:rsidRPr="00A01FEE">
        <w:rPr>
          <w:szCs w:val="24"/>
          <w:lang w:eastAsia="en-GB"/>
        </w:rPr>
        <w:t xml:space="preserve"> 2023</w:t>
      </w:r>
    </w:p>
    <w:p w14:paraId="3FBD89FB" w14:textId="78B4AE04" w:rsidR="00D67250" w:rsidRPr="00A01FEE" w:rsidRDefault="00BF6752" w:rsidP="00D67250">
      <w:pPr>
        <w:pStyle w:val="Bulletround"/>
        <w:rPr>
          <w:szCs w:val="24"/>
          <w:lang w:eastAsia="en-GB"/>
        </w:rPr>
      </w:pPr>
      <w:r>
        <w:rPr>
          <w:szCs w:val="24"/>
          <w:lang w:eastAsia="en-GB"/>
        </w:rPr>
        <w:lastRenderedPageBreak/>
        <w:t>The</w:t>
      </w:r>
      <w:r w:rsidR="00D67250" w:rsidRPr="00A01FEE">
        <w:rPr>
          <w:szCs w:val="24"/>
          <w:lang w:eastAsia="en-GB"/>
        </w:rPr>
        <w:t xml:space="preserve"> final </w:t>
      </w:r>
      <w:r>
        <w:rPr>
          <w:szCs w:val="24"/>
          <w:lang w:eastAsia="en-GB"/>
        </w:rPr>
        <w:t xml:space="preserve">ORR approved </w:t>
      </w:r>
      <w:r w:rsidR="00D67250" w:rsidRPr="00A01FEE">
        <w:rPr>
          <w:szCs w:val="24"/>
          <w:lang w:eastAsia="en-GB"/>
        </w:rPr>
        <w:t xml:space="preserve">report </w:t>
      </w:r>
      <w:r>
        <w:rPr>
          <w:szCs w:val="24"/>
          <w:lang w:eastAsia="en-GB"/>
        </w:rPr>
        <w:t>should</w:t>
      </w:r>
      <w:r w:rsidR="00D67250" w:rsidRPr="00A01FEE">
        <w:rPr>
          <w:szCs w:val="24"/>
          <w:lang w:eastAsia="en-GB"/>
        </w:rPr>
        <w:t xml:space="preserve"> be provided </w:t>
      </w:r>
      <w:r w:rsidR="00A01FEE" w:rsidRPr="00A01FEE">
        <w:rPr>
          <w:szCs w:val="24"/>
          <w:lang w:eastAsia="en-GB"/>
        </w:rPr>
        <w:t>to ORR before the end of February 2024</w:t>
      </w:r>
      <w:r>
        <w:rPr>
          <w:szCs w:val="24"/>
          <w:lang w:eastAsia="en-GB"/>
        </w:rPr>
        <w:t>.</w:t>
      </w:r>
    </w:p>
    <w:p w14:paraId="76E3EE61" w14:textId="53285D8A" w:rsidR="00AF7AF9" w:rsidRDefault="00AF7AF9" w:rsidP="00AF7AF9">
      <w:pPr>
        <w:pStyle w:val="Heading3"/>
      </w:pPr>
      <w:bookmarkStart w:id="15" w:name="_Toc144206851"/>
      <w:r w:rsidRPr="00AF7AF9">
        <w:t>2.5 Budget and Payment Schedule</w:t>
      </w:r>
      <w:bookmarkEnd w:id="15"/>
    </w:p>
    <w:p w14:paraId="7D86A410" w14:textId="3A770AC4" w:rsidR="00D401C8" w:rsidRDefault="00D401C8" w:rsidP="00D401C8">
      <w:r>
        <w:t>The maximum budget for this piece of work is £</w:t>
      </w:r>
      <w:r w:rsidR="00FC7B76">
        <w:t>50,000</w:t>
      </w:r>
      <w:r>
        <w:t xml:space="preserve"> (inc. of expenses, exc. of VAT).</w:t>
      </w:r>
    </w:p>
    <w:p w14:paraId="09AB67C1" w14:textId="496E08DA" w:rsidR="00D401C8" w:rsidRPr="00F14BFE" w:rsidRDefault="00D401C8" w:rsidP="00F14BFE">
      <w:pPr>
        <w:pStyle w:val="Heading4"/>
        <w:rPr>
          <w:color w:val="auto"/>
        </w:rPr>
      </w:pPr>
      <w:r w:rsidRPr="00F14BFE">
        <w:rPr>
          <w:color w:val="auto"/>
        </w:rPr>
        <w:t>Payment Options</w:t>
      </w:r>
    </w:p>
    <w:p w14:paraId="0FB80C9E" w14:textId="77777777" w:rsidR="00D401C8" w:rsidRDefault="00D401C8" w:rsidP="00D401C8">
      <w:r>
        <w:t>Payment of the total fee will be on the delivery and acceptance by ORR of all required outputs and/or deliverables.</w:t>
      </w:r>
    </w:p>
    <w:p w14:paraId="3BB5AE4A" w14:textId="4C2DE6EF" w:rsidR="00AF7AF9" w:rsidRDefault="00AF7AF9" w:rsidP="00AF7AF9">
      <w:pPr>
        <w:pStyle w:val="Heading3"/>
      </w:pPr>
      <w:bookmarkStart w:id="16" w:name="_Toc144206852"/>
      <w:r w:rsidRPr="00AF7AF9">
        <w:t>2.6 Further project related information for bidders</w:t>
      </w:r>
      <w:bookmarkEnd w:id="16"/>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B0C873C" w14:textId="25B706BF" w:rsidR="00C26E3E" w:rsidRPr="00B73C52" w:rsidRDefault="00C26E3E" w:rsidP="00C946D5">
      <w:pPr>
        <w:rPr>
          <w:b/>
          <w:bCs/>
          <w:color w:val="B1173B"/>
        </w:rPr>
      </w:pPr>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 xml:space="preserve">That the Contractor assumes unconditional responsibility for the overall work and its </w:t>
      </w:r>
      <w:proofErr w:type="gramStart"/>
      <w:r>
        <w:t>quality;</w:t>
      </w:r>
      <w:proofErr w:type="gramEnd"/>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3ECB0A16" w:rsidR="00C26E3E" w:rsidRDefault="00C26E3E" w:rsidP="00C26E3E">
      <w:r>
        <w:lastRenderedPageBreak/>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7" w:name="_Toc144206853"/>
      <w:r>
        <w:lastRenderedPageBreak/>
        <w:t>Tender Response and Evaluation Criteria</w:t>
      </w:r>
      <w:bookmarkEnd w:id="17"/>
    </w:p>
    <w:p w14:paraId="6C9F4B20" w14:textId="5CFF035D" w:rsidR="001768F1" w:rsidRDefault="001768F1" w:rsidP="001768F1">
      <w:pPr>
        <w:pStyle w:val="Heading3"/>
      </w:pPr>
      <w:bookmarkStart w:id="18" w:name="_Toc144206854"/>
      <w:r>
        <w:t>3.1 The Tender Response</w:t>
      </w:r>
      <w:bookmarkEnd w:id="18"/>
    </w:p>
    <w:p w14:paraId="33A2C61B" w14:textId="63D4DC91" w:rsidR="001768F1" w:rsidRDefault="001768F1" w:rsidP="001768F1">
      <w:r>
        <w:t xml:space="preserve">The proposals for this project should include an outline of how bidders will meet the requirement outlined in section </w:t>
      </w:r>
      <w:r w:rsidR="004550CA">
        <w:t>2</w:t>
      </w:r>
      <w:r>
        <w:t xml:space="preserve"> “Statement of Requirement”. The following information should be included</w:t>
      </w:r>
      <w:r w:rsidR="00A31298">
        <w:t>:</w:t>
      </w:r>
    </w:p>
    <w:p w14:paraId="0696CABC" w14:textId="13E563FF" w:rsidR="001768F1" w:rsidRPr="001E7C87" w:rsidRDefault="001768F1" w:rsidP="001A29CB">
      <w:pPr>
        <w:pStyle w:val="NormalBulletalpha"/>
        <w:numPr>
          <w:ilvl w:val="1"/>
          <w:numId w:val="14"/>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7364919A" w:rsidR="001768F1" w:rsidRDefault="00A31298" w:rsidP="001E7C87">
      <w:pPr>
        <w:pStyle w:val="NormalBullet-"/>
      </w:pPr>
      <w:r>
        <w:t>Set out a methodology and proposal for how the bidder is to approach the work</w:t>
      </w:r>
      <w:r w:rsidR="00721A90">
        <w:t xml:space="preserve"> </w:t>
      </w:r>
      <w:r w:rsidR="00721A90" w:rsidRPr="00935A99">
        <w:t xml:space="preserve">including the scope of licence holders whose EAs the </w:t>
      </w:r>
      <w:r w:rsidR="00935A99" w:rsidRPr="00935A99">
        <w:t>bidder</w:t>
      </w:r>
      <w:r w:rsidR="00721A90" w:rsidRPr="00935A99">
        <w:t xml:space="preserve"> proposes to review in detail</w:t>
      </w:r>
      <w:r w:rsidR="00935A99">
        <w:t xml:space="preserve"> and how this approach is likely to have most </w:t>
      </w:r>
      <w:proofErr w:type="gramStart"/>
      <w:r w:rsidR="00935A99">
        <w:t>impact</w:t>
      </w:r>
      <w:r>
        <w:t>;</w:t>
      </w:r>
      <w:proofErr w:type="gramEnd"/>
    </w:p>
    <w:p w14:paraId="0B8FCCD3" w14:textId="1A24A681" w:rsidR="00A31298" w:rsidRDefault="001768F1" w:rsidP="00A31298">
      <w:pPr>
        <w:pStyle w:val="NormalBullet-"/>
      </w:pPr>
      <w:r>
        <w:t xml:space="preserve">Details of your assumptions and/or constraints/dependencies made in relation to the </w:t>
      </w:r>
      <w:proofErr w:type="gramStart"/>
      <w:r>
        <w:t>project</w:t>
      </w:r>
      <w:r w:rsidR="003413E6" w:rsidRPr="00A31298">
        <w:t>;</w:t>
      </w:r>
      <w:proofErr w:type="gramEnd"/>
      <w:r>
        <w:t xml:space="preserve"> </w:t>
      </w:r>
    </w:p>
    <w:p w14:paraId="5DBC036E" w14:textId="7A92DA9B" w:rsidR="001768F1" w:rsidRDefault="001768F1" w:rsidP="001E7C87">
      <w:pPr>
        <w:pStyle w:val="NormalBullet-"/>
      </w:pPr>
      <w:r>
        <w:t xml:space="preserve">A project plan to show how outputs and deliverables will be produced within the required timescales, detailing the resources that will be </w:t>
      </w:r>
      <w:proofErr w:type="gramStart"/>
      <w:r>
        <w:t>allocated;</w:t>
      </w:r>
      <w:proofErr w:type="gramEnd"/>
    </w:p>
    <w:p w14:paraId="10DC7C63" w14:textId="7577BE12" w:rsidR="001768F1" w:rsidRDefault="001768F1" w:rsidP="001E7C87">
      <w:pPr>
        <w:pStyle w:val="NormalBullet-"/>
      </w:pPr>
      <w:r>
        <w:t xml:space="preserve">An understanding of the risks, and explain how they would be mitigated to ensure </w:t>
      </w:r>
      <w:proofErr w:type="gramStart"/>
      <w:r>
        <w:t>delivery</w:t>
      </w:r>
      <w:r w:rsidR="003413E6">
        <w:t>;</w:t>
      </w:r>
      <w:proofErr w:type="gramEnd"/>
    </w:p>
    <w:p w14:paraId="16625C17" w14:textId="458CDC1F" w:rsidR="001768F1" w:rsidRDefault="001768F1" w:rsidP="001E7C87">
      <w:pPr>
        <w:pStyle w:val="NormalBullet-"/>
      </w:pPr>
      <w:r>
        <w:t xml:space="preserve">What support bidders will require from </w:t>
      </w:r>
      <w:proofErr w:type="gramStart"/>
      <w:r>
        <w:t>ORR;</w:t>
      </w:r>
      <w:proofErr w:type="gramEnd"/>
      <w:r>
        <w:t xml:space="preserve"> </w:t>
      </w:r>
    </w:p>
    <w:p w14:paraId="2EE179AF" w14:textId="6742CEAC" w:rsidR="001768F1" w:rsidRPr="00721A90" w:rsidRDefault="001768F1" w:rsidP="00721A90">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4B1AA704" w:rsidR="001768F1" w:rsidRDefault="001768F1" w:rsidP="001E7C87">
      <w:pPr>
        <w:pStyle w:val="NormalBullet-"/>
      </w:pPr>
      <w:r>
        <w:t xml:space="preserve">Project roles and </w:t>
      </w:r>
      <w:proofErr w:type="gramStart"/>
      <w:r>
        <w:t>responsibilities</w:t>
      </w:r>
      <w:r w:rsidR="003413E6">
        <w:t>;</w:t>
      </w:r>
      <w:proofErr w:type="gramEnd"/>
      <w:r>
        <w:t xml:space="preserve"> </w:t>
      </w:r>
    </w:p>
    <w:p w14:paraId="4BD28B95" w14:textId="26BA7685" w:rsidR="001768F1" w:rsidRDefault="001768F1" w:rsidP="001E7C87">
      <w:pPr>
        <w:pStyle w:val="NormalBullet-"/>
      </w:pPr>
      <w:r>
        <w:lastRenderedPageBreak/>
        <w:t>Confirmation that you have carried out the necessary employment checks (</w:t>
      </w:r>
      <w:proofErr w:type="gramStart"/>
      <w:r>
        <w:t>e.g.</w:t>
      </w:r>
      <w:proofErr w:type="gramEnd"/>
      <w:r>
        <w:t xml:space="preserve"> right to work in the UK)</w:t>
      </w:r>
    </w:p>
    <w:p w14:paraId="5F3C04C1" w14:textId="4562D992" w:rsidR="001768F1" w:rsidRDefault="001768F1" w:rsidP="001E7C87">
      <w:pPr>
        <w:pStyle w:val="NormalBullet-"/>
      </w:pPr>
      <w:r>
        <w:t>Some relevant examples of previous work that bidders have carried out (</w:t>
      </w:r>
      <w:proofErr w:type="gramStart"/>
      <w:r>
        <w:t>e</w:t>
      </w:r>
      <w:r w:rsidR="00935A99">
        <w:t>.</w:t>
      </w:r>
      <w:r>
        <w:t>g.</w:t>
      </w:r>
      <w:proofErr w:type="gramEnd"/>
      <w:r>
        <w:t xml:space="preserve"> case studies)</w:t>
      </w:r>
      <w:r w:rsidRPr="004A24AB">
        <w:rPr>
          <w:color w:val="B1173B"/>
        </w:rPr>
        <w:t xml:space="preserve"> </w:t>
      </w:r>
      <w:r w:rsidR="00721A90" w:rsidRPr="00721A90">
        <w:t>and</w:t>
      </w:r>
      <w:r w:rsidRPr="00721A90">
        <w:t xml:space="preserve"> </w:t>
      </w:r>
      <w:r w:rsidR="00721A90">
        <w:t>d</w:t>
      </w:r>
      <w:r>
        <w:t>etails of at least two relevant reference projects along with contact details of clients</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0331333E" w:rsidR="001768F1" w:rsidRPr="001768F1" w:rsidRDefault="001768F1" w:rsidP="001768F1">
      <w:r>
        <w:t>Confirm whether you have any potential, actual or perceived conflicts of interest that may b</w:t>
      </w:r>
      <w:r w:rsidR="0054435D">
        <w:t>e</w:t>
      </w:r>
      <w:r>
        <w:t xml:space="preserve">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9" w:name="_Toc144206855"/>
      <w:r>
        <w:t>3.2 Evaluation Criteria</w:t>
      </w:r>
      <w:bookmarkEnd w:id="19"/>
    </w:p>
    <w:p w14:paraId="6EEA6FCE" w14:textId="77777777" w:rsidR="005C29ED" w:rsidRDefault="005C29ED" w:rsidP="005C29ED">
      <w:r>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 xml:space="preserve">Tender submitted in accordance with the conditions and instructions for </w:t>
      </w:r>
      <w:proofErr w:type="gramStart"/>
      <w:r>
        <w:t>tendering</w:t>
      </w:r>
      <w:proofErr w:type="gramEnd"/>
    </w:p>
    <w:p w14:paraId="41557F9E" w14:textId="76516727" w:rsidR="005C29ED" w:rsidRDefault="005C29ED" w:rsidP="005C29ED">
      <w:pPr>
        <w:pStyle w:val="NormalBulletround"/>
      </w:pPr>
      <w:r>
        <w:t xml:space="preserve">Tender submitted by the closing date and </w:t>
      </w:r>
      <w:proofErr w:type="gramStart"/>
      <w:r>
        <w:t>time</w:t>
      </w:r>
      <w:proofErr w:type="gramEnd"/>
    </w:p>
    <w:p w14:paraId="080DB46E" w14:textId="2BEF4A6A" w:rsidR="005C29ED" w:rsidRDefault="005C29ED" w:rsidP="005C29ED">
      <w:pPr>
        <w:pStyle w:val="NormalBulletround"/>
      </w:pPr>
      <w:r>
        <w:t>Compliance with contractual arrangements.</w:t>
      </w:r>
    </w:p>
    <w:p w14:paraId="092980E7" w14:textId="78A8FEC4" w:rsidR="005C29ED" w:rsidRDefault="005C29ED" w:rsidP="005C29ED">
      <w:r>
        <w:t>Tenders that are not compliant may be disqualified from the process.</w:t>
      </w:r>
      <w:r w:rsidR="0027150B">
        <w:t xml:space="preserve"> This includes non-compliance with the minimum number of licence holders to be subject to a detailed review specified in the project scope above.</w:t>
      </w:r>
      <w:r>
        <w:t xml:space="preserve"> We reserve the right to clarify any issues regarding a Bidder’s compliance. It will be at ORR's sole discretion whether to include the relevant Bidder’s response in the next stage of the process. </w:t>
      </w:r>
    </w:p>
    <w:p w14:paraId="1842D25F" w14:textId="1188D4E1" w:rsidR="005C29ED" w:rsidRDefault="005C29ED" w:rsidP="005C29ED">
      <w:r>
        <w:lastRenderedPageBreak/>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64796142" w:rsidR="005C29ED" w:rsidRDefault="005C29ED" w:rsidP="00D61976">
      <w:pPr>
        <w:pStyle w:val="Heading4"/>
      </w:pPr>
      <w:r>
        <w:t xml:space="preserve">Methodology </w:t>
      </w:r>
      <w:r w:rsidRPr="00374BAE">
        <w:rPr>
          <w:color w:val="B1173B"/>
        </w:rPr>
        <w:t>(</w:t>
      </w:r>
      <w:r w:rsidR="00CA51D5">
        <w:rPr>
          <w:color w:val="B1173B"/>
        </w:rPr>
        <w:t>3</w:t>
      </w:r>
      <w:r w:rsidR="00A8496F">
        <w:rPr>
          <w:color w:val="B1173B"/>
        </w:rPr>
        <w:t>5</w:t>
      </w:r>
      <w:r w:rsidRPr="00374BAE">
        <w:rPr>
          <w:color w:val="B1173B"/>
        </w:rPr>
        <w:t>%)</w:t>
      </w:r>
    </w:p>
    <w:p w14:paraId="00314D37" w14:textId="13929DF1" w:rsidR="005C29ED" w:rsidRDefault="005C29ED" w:rsidP="005C29ED">
      <w:r>
        <w:t xml:space="preserve">The proposal should set out the methodology by which the project requirement will be initiated, </w:t>
      </w:r>
      <w:proofErr w:type="gramStart"/>
      <w:r>
        <w:t>delivered</w:t>
      </w:r>
      <w:proofErr w:type="gramEnd"/>
      <w:r>
        <w:t xml:space="preserve"> and concluded. </w:t>
      </w:r>
      <w:proofErr w:type="gramStart"/>
      <w:r>
        <w:t>In particular, it</w:t>
      </w:r>
      <w:proofErr w:type="gramEnd"/>
      <w:r>
        <w:t xml:space="preserve"> must:</w:t>
      </w:r>
    </w:p>
    <w:p w14:paraId="7E6BD4F3" w14:textId="46E34B33" w:rsidR="005C29ED" w:rsidRDefault="005C29ED" w:rsidP="001A29CB">
      <w:pPr>
        <w:pStyle w:val="NormalBulletalpha"/>
        <w:numPr>
          <w:ilvl w:val="1"/>
          <w:numId w:val="15"/>
        </w:numPr>
      </w:pPr>
      <w:r>
        <w:t xml:space="preserve">Explain the methodology and delivery mechanisms to ensure that the requirements of this specification are met in terms of </w:t>
      </w:r>
      <w:proofErr w:type="gramStart"/>
      <w:r>
        <w:t>quality;</w:t>
      </w:r>
      <w:proofErr w:type="gramEnd"/>
    </w:p>
    <w:p w14:paraId="09D5614C" w14:textId="452BA05B" w:rsidR="005C29ED" w:rsidRDefault="005C29ED" w:rsidP="001A29CB">
      <w:pPr>
        <w:pStyle w:val="NormalBulletalpha"/>
        <w:numPr>
          <w:ilvl w:val="1"/>
          <w:numId w:val="15"/>
        </w:numPr>
      </w:pPr>
      <w:r>
        <w:t xml:space="preserve">Explain how your organisation will work in partnership with ORR’s project manager to ensure that the requirement is </w:t>
      </w:r>
      <w:proofErr w:type="gramStart"/>
      <w:r>
        <w:t>met</w:t>
      </w:r>
      <w:r w:rsidR="0022333A">
        <w:t>;</w:t>
      </w:r>
      <w:proofErr w:type="gramEnd"/>
    </w:p>
    <w:p w14:paraId="20F61952" w14:textId="77777777" w:rsidR="001C43EA" w:rsidRDefault="005C29ED" w:rsidP="0099043F">
      <w:pPr>
        <w:pStyle w:val="NormalBulletalpha"/>
        <w:numPr>
          <w:ilvl w:val="1"/>
          <w:numId w:val="15"/>
        </w:numPr>
      </w:pPr>
      <w:r>
        <w:t xml:space="preserve">Explain </w:t>
      </w:r>
      <w:r w:rsidR="0082164A">
        <w:t xml:space="preserve">whether and </w:t>
      </w:r>
      <w:r>
        <w:t xml:space="preserve">how your organisation will engage with external </w:t>
      </w:r>
      <w:proofErr w:type="gramStart"/>
      <w:r>
        <w:t>stakeholders;</w:t>
      </w:r>
      <w:proofErr w:type="gramEnd"/>
    </w:p>
    <w:p w14:paraId="09DB644F" w14:textId="3D8E4700" w:rsidR="005C29ED" w:rsidRDefault="005C29ED" w:rsidP="00350594">
      <w:pPr>
        <w:pStyle w:val="Heading4"/>
      </w:pPr>
      <w:r>
        <w:t xml:space="preserve">Delivery </w:t>
      </w:r>
      <w:r w:rsidRPr="00374BAE">
        <w:rPr>
          <w:color w:val="B1173B"/>
        </w:rPr>
        <w:t>(</w:t>
      </w:r>
      <w:r w:rsidR="00CA51D5">
        <w:rPr>
          <w:color w:val="B1173B"/>
        </w:rPr>
        <w:t>2</w:t>
      </w:r>
      <w:r w:rsidR="00F55D53">
        <w:rPr>
          <w:color w:val="B1173B"/>
        </w:rPr>
        <w:t>5</w:t>
      </w:r>
      <w:r w:rsidRPr="00374BAE">
        <w:rPr>
          <w:color w:val="B1173B"/>
        </w:rPr>
        <w:t>%)</w:t>
      </w:r>
    </w:p>
    <w:p w14:paraId="40A3EF8F" w14:textId="77777777"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4B0ADE80" w:rsidR="005C29ED" w:rsidRDefault="005C29ED" w:rsidP="001A29CB">
      <w:pPr>
        <w:pStyle w:val="NormalBulletalpha"/>
        <w:numPr>
          <w:ilvl w:val="1"/>
          <w:numId w:val="16"/>
        </w:numPr>
      </w:pPr>
      <w:r>
        <w:t xml:space="preserve">Explain how this work will be delivered to timescale and how milestones will be met, detailing the resources that will be allocated to each </w:t>
      </w:r>
      <w:proofErr w:type="gramStart"/>
      <w:r>
        <w:t>stage;</w:t>
      </w:r>
      <w:proofErr w:type="gramEnd"/>
      <w:r>
        <w:t xml:space="preserv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w:t>
      </w:r>
      <w:proofErr w:type="gramStart"/>
      <w:r>
        <w:t>delivery;</w:t>
      </w:r>
      <w:proofErr w:type="gramEnd"/>
      <w:r>
        <w:t xml:space="preserve">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7FE99D48" w:rsidR="005C29ED" w:rsidRPr="00374BAE" w:rsidRDefault="005C29ED" w:rsidP="00350594">
      <w:pPr>
        <w:pStyle w:val="Heading4"/>
        <w:rPr>
          <w:color w:val="B1173B"/>
        </w:rPr>
      </w:pPr>
      <w:r>
        <w:t xml:space="preserve">Experience </w:t>
      </w:r>
      <w:r w:rsidRPr="00374BAE">
        <w:rPr>
          <w:color w:val="B1173B"/>
        </w:rPr>
        <w:t>(</w:t>
      </w:r>
      <w:r w:rsidR="00CA51D5">
        <w:rPr>
          <w:color w:val="B1173B"/>
        </w:rPr>
        <w:t>20</w:t>
      </w:r>
      <w:r w:rsidRPr="00374BAE">
        <w:rPr>
          <w:color w:val="B1173B"/>
        </w:rPr>
        <w:t>%)</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52FFA8B9" w:rsidR="005C29ED" w:rsidRDefault="005C29ED" w:rsidP="001A29CB">
      <w:pPr>
        <w:pStyle w:val="NormalBulletalpha"/>
        <w:numPr>
          <w:ilvl w:val="1"/>
          <w:numId w:val="17"/>
        </w:numPr>
      </w:pPr>
      <w:r>
        <w:t xml:space="preserve">Provide CVs of the consultants who will be delivering the </w:t>
      </w:r>
      <w:proofErr w:type="gramStart"/>
      <w:r>
        <w:t>project;</w:t>
      </w:r>
      <w:proofErr w:type="gramEnd"/>
      <w:r>
        <w:t xml:space="preserve"> </w:t>
      </w:r>
    </w:p>
    <w:p w14:paraId="1146D7A1" w14:textId="34F8B340" w:rsidR="005C29ED" w:rsidRDefault="005C29ED" w:rsidP="001A29CB">
      <w:pPr>
        <w:pStyle w:val="NormalBulletalpha"/>
        <w:numPr>
          <w:ilvl w:val="1"/>
          <w:numId w:val="17"/>
        </w:numPr>
      </w:pPr>
      <w:r>
        <w:t>Highlight the organisation’s relevant experience for this project, submitting examples of similar projects.</w:t>
      </w:r>
    </w:p>
    <w:p w14:paraId="370476F8" w14:textId="06737EA0" w:rsidR="005C29ED" w:rsidRDefault="005C29ED" w:rsidP="00350594">
      <w:pPr>
        <w:pStyle w:val="Heading4"/>
      </w:pPr>
      <w:r>
        <w:lastRenderedPageBreak/>
        <w:t xml:space="preserve">Cost / Value for money </w:t>
      </w:r>
      <w:r w:rsidRPr="00374BAE">
        <w:rPr>
          <w:color w:val="B1173B"/>
        </w:rPr>
        <w:t>(</w:t>
      </w:r>
      <w:r w:rsidR="00A8496F">
        <w:rPr>
          <w:color w:val="B1173B"/>
        </w:rPr>
        <w:t>2</w:t>
      </w:r>
      <w:r w:rsidR="00F55D53">
        <w:rPr>
          <w:color w:val="B1173B"/>
        </w:rPr>
        <w:t>0</w:t>
      </w:r>
      <w:r w:rsidRPr="00374BAE">
        <w:rPr>
          <w:color w:val="B1173B"/>
        </w:rPr>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 xml:space="preserve">Extensive experience in their specialist field, in which they are nationally or internationally renowned as an expert. Extensive experience of leading or directing major, </w:t>
            </w:r>
            <w:proofErr w:type="gramStart"/>
            <w:r w:rsidRPr="003E3E52">
              <w:t>complex</w:t>
            </w:r>
            <w:proofErr w:type="gramEnd"/>
            <w:r w:rsidRPr="003E3E52">
              <w:t xml:space="preserve">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lastRenderedPageBreak/>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 xml:space="preserve">Excellent response fully addressing the requirement and providing significant additional evidence of how the criterion has been met and how value would be </w:t>
            </w:r>
            <w:proofErr w:type="gramStart"/>
            <w:r w:rsidRPr="00437772">
              <w:rPr>
                <w:rFonts w:eastAsia="Calibri" w:cs="Arial"/>
                <w:sz w:val="22"/>
                <w:lang w:val="en-US" w:eastAsia="en-GB"/>
              </w:rPr>
              <w:t>added</w:t>
            </w:r>
            <w:proofErr w:type="gramEnd"/>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lastRenderedPageBreak/>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20" w:name="_Toc144206856"/>
      <w:r w:rsidRPr="002D3643">
        <w:lastRenderedPageBreak/>
        <w:t xml:space="preserve">Procurement </w:t>
      </w:r>
      <w:r>
        <w:t>P</w:t>
      </w:r>
      <w:r w:rsidRPr="002D3643">
        <w:t>rocedures</w:t>
      </w:r>
      <w:bookmarkEnd w:id="20"/>
      <w:r w:rsidRPr="002D3643">
        <w:t xml:space="preserve"> </w:t>
      </w:r>
    </w:p>
    <w:p w14:paraId="038D890E" w14:textId="0486BC01" w:rsidR="00400432" w:rsidRDefault="00400432" w:rsidP="00400432">
      <w:pPr>
        <w:pStyle w:val="Heading3"/>
      </w:pPr>
      <w:bookmarkStart w:id="21" w:name="_Toc144206857"/>
      <w:r>
        <w:t>Tendering Timetable</w:t>
      </w:r>
      <w:bookmarkEnd w:id="21"/>
    </w:p>
    <w:p w14:paraId="04007131" w14:textId="213E10EB" w:rsidR="00C26E3E" w:rsidRDefault="00400432" w:rsidP="00400432">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00293199">
        <w:trPr>
          <w:tblHeader/>
        </w:trPr>
        <w:tc>
          <w:tcPr>
            <w:tcW w:w="5569" w:type="dxa"/>
            <w:tcBorders>
              <w:bottom w:val="single" w:sz="12" w:space="0" w:color="FFFFFF"/>
            </w:tcBorders>
            <w:shd w:val="solid" w:color="253268" w:themeColor="dark2" w:fill="253268" w:themeFill="dark2"/>
          </w:tcPr>
          <w:p w14:paraId="0D9AD0CD" w14:textId="77777777" w:rsidR="00400432" w:rsidRPr="00400432" w:rsidRDefault="00400432" w:rsidP="00400432">
            <w:pPr>
              <w:pStyle w:val="TblHeading"/>
            </w:pPr>
            <w:r w:rsidRPr="00400432">
              <w:t>Element</w:t>
            </w:r>
          </w:p>
        </w:tc>
        <w:tc>
          <w:tcPr>
            <w:tcW w:w="4069" w:type="dxa"/>
            <w:tcBorders>
              <w:bottom w:val="single" w:sz="12" w:space="0" w:color="FFFFFF"/>
            </w:tcBorders>
            <w:shd w:val="solid" w:color="253268" w:themeColor="dark2" w:fill="253268" w:themeFill="dark2"/>
          </w:tcPr>
          <w:p w14:paraId="0749132E" w14:textId="77777777" w:rsidR="00400432" w:rsidRPr="00400432" w:rsidRDefault="00400432" w:rsidP="00400432">
            <w:pPr>
              <w:pStyle w:val="TblHeading"/>
            </w:pPr>
            <w:r w:rsidRPr="00400432">
              <w:t>Timescale</w:t>
            </w:r>
          </w:p>
        </w:tc>
      </w:tr>
      <w:tr w:rsidR="00400432" w:rsidRPr="00400432" w14:paraId="36ED9179" w14:textId="77777777" w:rsidTr="00293199">
        <w:tc>
          <w:tcPr>
            <w:tcW w:w="5569" w:type="dxa"/>
            <w:tcBorders>
              <w:bottom w:val="single" w:sz="12" w:space="0" w:color="FFFFFF"/>
            </w:tcBorders>
            <w:shd w:val="solid" w:color="FFFFFF" w:fill="FFFFFF"/>
          </w:tcPr>
          <w:p w14:paraId="32B5FFC6" w14:textId="77777777" w:rsidR="00400432" w:rsidRPr="00400432" w:rsidRDefault="00400432" w:rsidP="00400432">
            <w:pPr>
              <w:pStyle w:val="TblText"/>
            </w:pPr>
            <w:r w:rsidRPr="00400432">
              <w:t>Invitation to tender issued</w:t>
            </w:r>
          </w:p>
        </w:tc>
        <w:tc>
          <w:tcPr>
            <w:tcW w:w="4069" w:type="dxa"/>
            <w:tcBorders>
              <w:bottom w:val="single" w:sz="12" w:space="0" w:color="FFFFFF"/>
            </w:tcBorders>
            <w:shd w:val="solid" w:color="FFFFFF" w:fill="FFFFFF"/>
          </w:tcPr>
          <w:p w14:paraId="0B221E35" w14:textId="6C2B1A80" w:rsidR="00400432" w:rsidRPr="00400432" w:rsidRDefault="004D2AA8" w:rsidP="00400432">
            <w:pPr>
              <w:pStyle w:val="TblText"/>
            </w:pPr>
            <w:r>
              <w:t>0</w:t>
            </w:r>
            <w:r w:rsidR="00293199">
              <w:t>6 September 2023</w:t>
            </w:r>
          </w:p>
        </w:tc>
      </w:tr>
      <w:tr w:rsidR="00400432" w:rsidRPr="00400432" w14:paraId="42283B80" w14:textId="77777777" w:rsidTr="00293199">
        <w:tc>
          <w:tcPr>
            <w:tcW w:w="5569" w:type="dxa"/>
            <w:tcBorders>
              <w:bottom w:val="single" w:sz="12" w:space="0" w:color="FFFFFF"/>
            </w:tcBorders>
            <w:shd w:val="solid" w:color="E4E7F5" w:themeColor="text2" w:themeTint="19" w:fill="E4E7F5" w:themeFill="text2" w:themeFillTint="19"/>
          </w:tcPr>
          <w:p w14:paraId="52F2ADF7" w14:textId="77777777" w:rsidR="00400432" w:rsidRPr="00400432" w:rsidRDefault="00400432" w:rsidP="00400432">
            <w:pPr>
              <w:pStyle w:val="TblText"/>
            </w:pPr>
            <w:r w:rsidRPr="00400432">
              <w:t>Deadline for the submission of clarification questions</w:t>
            </w:r>
          </w:p>
        </w:tc>
        <w:tc>
          <w:tcPr>
            <w:tcW w:w="4069" w:type="dxa"/>
            <w:tcBorders>
              <w:bottom w:val="single" w:sz="12" w:space="0" w:color="FFFFFF"/>
            </w:tcBorders>
            <w:shd w:val="solid" w:color="E4E7F5" w:themeColor="text2" w:themeTint="19" w:fill="E4E7F5" w:themeFill="text2" w:themeFillTint="19"/>
          </w:tcPr>
          <w:p w14:paraId="4308C2DC" w14:textId="6C698584" w:rsidR="00400432" w:rsidRPr="00400432" w:rsidRDefault="00293199" w:rsidP="00400432">
            <w:pPr>
              <w:pStyle w:val="TblText"/>
            </w:pPr>
            <w:r>
              <w:t>27 September 2023</w:t>
            </w:r>
            <w:r w:rsidR="00D90596">
              <w:t xml:space="preserve"> 12 noon</w:t>
            </w:r>
          </w:p>
        </w:tc>
      </w:tr>
      <w:tr w:rsidR="00400432" w:rsidRPr="00400432" w14:paraId="66301268" w14:textId="77777777" w:rsidTr="00293199">
        <w:tc>
          <w:tcPr>
            <w:tcW w:w="5569" w:type="dxa"/>
            <w:tcBorders>
              <w:bottom w:val="single" w:sz="12" w:space="0" w:color="FFFFFF"/>
            </w:tcBorders>
            <w:shd w:val="solid" w:color="FFFFFF" w:fill="FFFFFF"/>
          </w:tcPr>
          <w:p w14:paraId="1C7F8594" w14:textId="77777777" w:rsidR="00400432" w:rsidRPr="00400432" w:rsidRDefault="00400432" w:rsidP="00400432">
            <w:pPr>
              <w:pStyle w:val="TblText"/>
            </w:pPr>
            <w:r w:rsidRPr="00400432">
              <w:t>Deadline for submission of proposals</w:t>
            </w:r>
          </w:p>
        </w:tc>
        <w:tc>
          <w:tcPr>
            <w:tcW w:w="4069" w:type="dxa"/>
            <w:tcBorders>
              <w:bottom w:val="single" w:sz="12" w:space="0" w:color="FFFFFF"/>
            </w:tcBorders>
            <w:shd w:val="solid" w:color="FFFFFF" w:fill="FFFFFF"/>
          </w:tcPr>
          <w:p w14:paraId="63343DB4" w14:textId="4CA4879A" w:rsidR="00400432" w:rsidRPr="00400432" w:rsidRDefault="004D2AA8" w:rsidP="00400432">
            <w:pPr>
              <w:pStyle w:val="TblText"/>
            </w:pPr>
            <w:r>
              <w:t>0</w:t>
            </w:r>
            <w:r w:rsidR="00293199">
              <w:t>4 October 2023</w:t>
            </w:r>
            <w:r w:rsidR="00D90596">
              <w:t xml:space="preserve"> 12 noon</w:t>
            </w:r>
          </w:p>
        </w:tc>
      </w:tr>
      <w:tr w:rsidR="00400432" w:rsidRPr="00400432" w14:paraId="2D3D0936" w14:textId="77777777" w:rsidTr="00293199">
        <w:tc>
          <w:tcPr>
            <w:tcW w:w="5569" w:type="dxa"/>
            <w:tcBorders>
              <w:bottom w:val="single" w:sz="12" w:space="0" w:color="FFFFFF"/>
            </w:tcBorders>
            <w:shd w:val="solid" w:color="E4E7F5" w:themeColor="text2" w:themeTint="19" w:fill="E4E7F5" w:themeFill="text2" w:themeFillTint="19"/>
          </w:tcPr>
          <w:p w14:paraId="6556047B" w14:textId="77777777" w:rsidR="00400432" w:rsidRPr="00400432" w:rsidRDefault="00400432" w:rsidP="00400432">
            <w:pPr>
              <w:pStyle w:val="TblText"/>
            </w:pPr>
            <w:r w:rsidRPr="00400432">
              <w:t>Award contract</w:t>
            </w:r>
          </w:p>
        </w:tc>
        <w:tc>
          <w:tcPr>
            <w:tcW w:w="4069" w:type="dxa"/>
            <w:tcBorders>
              <w:bottom w:val="single" w:sz="12" w:space="0" w:color="FFFFFF"/>
            </w:tcBorders>
            <w:shd w:val="solid" w:color="E4E7F5" w:themeColor="text2" w:themeTint="19" w:fill="E4E7F5" w:themeFill="text2" w:themeFillTint="19"/>
          </w:tcPr>
          <w:p w14:paraId="2FF6E1B1" w14:textId="5006EF20" w:rsidR="00400432" w:rsidRPr="00400432" w:rsidRDefault="00293199" w:rsidP="00400432">
            <w:pPr>
              <w:pStyle w:val="TblText"/>
            </w:pPr>
            <w:r>
              <w:t>w/c 23 October</w:t>
            </w:r>
          </w:p>
        </w:tc>
      </w:tr>
      <w:tr w:rsidR="00400432" w:rsidRPr="00400432" w14:paraId="3E83975E" w14:textId="77777777" w:rsidTr="00293199">
        <w:tc>
          <w:tcPr>
            <w:tcW w:w="5569" w:type="dxa"/>
            <w:shd w:val="solid" w:color="FFFFFF" w:fill="FFFFFF"/>
          </w:tcPr>
          <w:p w14:paraId="19972227" w14:textId="77777777" w:rsidR="00400432" w:rsidRPr="00400432" w:rsidRDefault="00400432" w:rsidP="00400432">
            <w:pPr>
              <w:pStyle w:val="TblText"/>
            </w:pPr>
            <w:r w:rsidRPr="00400432">
              <w:t>Project Inception Meeting</w:t>
            </w:r>
          </w:p>
        </w:tc>
        <w:tc>
          <w:tcPr>
            <w:tcW w:w="4069" w:type="dxa"/>
            <w:shd w:val="solid" w:color="FFFFFF" w:fill="FFFFFF"/>
          </w:tcPr>
          <w:p w14:paraId="5605FB39" w14:textId="725C8E09" w:rsidR="00400432" w:rsidRPr="00400432" w:rsidRDefault="00293199" w:rsidP="00400432">
            <w:pPr>
              <w:pStyle w:val="TblText"/>
            </w:pPr>
            <w:r>
              <w:t>w/c 30 October</w:t>
            </w:r>
          </w:p>
        </w:tc>
      </w:tr>
    </w:tbl>
    <w:p w14:paraId="3DFADB3D" w14:textId="77777777" w:rsidR="00433557" w:rsidRDefault="00433557" w:rsidP="000A0438">
      <w:pPr>
        <w:pStyle w:val="Heading3"/>
      </w:pPr>
      <w:bookmarkStart w:id="22" w:name="_Toc144206858"/>
      <w:r>
        <w:t>Tendering Instructions and Guidance</w:t>
      </w:r>
      <w:bookmarkEnd w:id="22"/>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accepted. Bidders have the facility to upload later versions of tenders until the closing date/time. </w:t>
      </w:r>
    </w:p>
    <w:p w14:paraId="78FF1853" w14:textId="77777777" w:rsidR="00433557" w:rsidRDefault="00433557" w:rsidP="00433557">
      <w:r>
        <w:t xml:space="preserve">Please submit the Form of Tender and Disclaimer certificate along with your proposal. If you are already registered on our </w:t>
      </w:r>
      <w:proofErr w:type="spellStart"/>
      <w:r>
        <w:t>eTendering</w:t>
      </w:r>
      <w:proofErr w:type="spellEnd"/>
      <w:r>
        <w:t xml:space="preserve"> portal but have forgotten your login details, please contact the portal administrator.</w:t>
      </w:r>
    </w:p>
    <w:p w14:paraId="6D553397" w14:textId="77777777" w:rsidR="00433557" w:rsidRDefault="00433557" w:rsidP="00433557">
      <w:r>
        <w:lastRenderedPageBreak/>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w:t>
      </w:r>
      <w:proofErr w:type="gramStart"/>
      <w:r>
        <w:t>supplier</w:t>
      </w:r>
      <w:proofErr w:type="gramEnd"/>
      <w:r>
        <w:t xml:space="preserve">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 xml:space="preserve">References provided as part of the tender may be approached during the tender </w:t>
      </w:r>
      <w:proofErr w:type="gramStart"/>
      <w:r>
        <w:t>stage</w:t>
      </w:r>
      <w:proofErr w:type="gramEnd"/>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31"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w:t>
      </w:r>
      <w:proofErr w:type="gramStart"/>
      <w:r>
        <w:t>responsibilities</w:t>
      </w:r>
      <w:proofErr w:type="gramEnd"/>
      <w:r>
        <w:t xml:space="preserve">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w:t>
      </w:r>
      <w:r>
        <w:lastRenderedPageBreak/>
        <w:t xml:space="preserve">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4F76E43E"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1F1EF405" w:rsidR="00D2517B" w:rsidRPr="00D2517B" w:rsidRDefault="00D2517B" w:rsidP="00D2517B">
            <w:pPr>
              <w:pStyle w:val="TblHeading"/>
            </w:pPr>
            <w:r w:rsidRPr="00D2517B">
              <w:t>Existing Wording</w:t>
            </w:r>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t>Typically</w:t>
      </w:r>
      <w:proofErr w:type="gramEnd"/>
      <w:r>
        <w:t xml:space="preserve">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lastRenderedPageBreak/>
        <w:t>performance metrics and management of them</w:t>
      </w:r>
    </w:p>
    <w:p w14:paraId="6EF2FC26" w14:textId="50C8AAC7" w:rsidR="00D2517B" w:rsidRDefault="00D2517B" w:rsidP="00585CEE">
      <w:pPr>
        <w:pStyle w:val="NormalBulletround"/>
      </w:pPr>
      <w:r>
        <w:t xml:space="preserve">plans for management of underperformance and its financial </w:t>
      </w:r>
      <w:proofErr w:type="gramStart"/>
      <w:r>
        <w:t>impact</w:t>
      </w:r>
      <w:proofErr w:type="gramEnd"/>
    </w:p>
    <w:p w14:paraId="7AC03503" w14:textId="3D4C7866" w:rsidR="00D2517B" w:rsidRDefault="00D2517B" w:rsidP="00585CEE">
      <w:pPr>
        <w:pStyle w:val="NormalBulletround"/>
      </w:pPr>
      <w:r>
        <w:t xml:space="preserve">governance arrangements including through supply chains where significant contract value rests with </w:t>
      </w:r>
      <w:proofErr w:type="gramStart"/>
      <w:r>
        <w:t>subcontractors</w:t>
      </w:r>
      <w:proofErr w:type="gramEnd"/>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current;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0F6BAD9D" w14:textId="77B46F4D" w:rsidR="003F3CB0" w:rsidRDefault="00517418" w:rsidP="00517418">
      <w:pPr>
        <w:pStyle w:val="AnnexH2"/>
      </w:pPr>
      <w:bookmarkStart w:id="23" w:name="_Toc144206859"/>
      <w:r>
        <w:lastRenderedPageBreak/>
        <w:t>‘Environmental Matters’ Licence Condition</w:t>
      </w:r>
      <w:bookmarkEnd w:id="23"/>
    </w:p>
    <w:p w14:paraId="6B57A23A" w14:textId="09D223A6" w:rsidR="00517418" w:rsidRDefault="006D1A51" w:rsidP="006D1A51">
      <w:pPr>
        <w:pStyle w:val="AnnexParagraph"/>
      </w:pPr>
      <w:r>
        <w:t>Although t</w:t>
      </w:r>
      <w:r w:rsidR="00517418">
        <w:t>here are a range of licences in the rail industry, all model licences current</w:t>
      </w:r>
      <w:r w:rsidR="005733E2">
        <w:t>ly</w:t>
      </w:r>
      <w:r w:rsidR="00517418">
        <w:t xml:space="preserve"> carry an ‘environmental matters’ licence condition. In most cases, the environmental matters licence condition is worded as set out below</w:t>
      </w:r>
      <w:r w:rsidR="00A36463">
        <w:t>.</w:t>
      </w:r>
      <w:r>
        <w:t xml:space="preserve"> </w:t>
      </w:r>
      <w:r w:rsidR="00A36463">
        <w:t>E</w:t>
      </w:r>
      <w:r>
        <w:t>xception</w:t>
      </w:r>
      <w:r w:rsidR="00A36463">
        <w:t>s</w:t>
      </w:r>
      <w:r>
        <w:t xml:space="preserve"> </w:t>
      </w:r>
      <w:r w:rsidR="00A36463">
        <w:t xml:space="preserve">are subject to only </w:t>
      </w:r>
      <w:r>
        <w:t xml:space="preserve">very minor variations, which do not substantially alter the requirements set out </w:t>
      </w:r>
      <w:r w:rsidR="00385F16">
        <w:t xml:space="preserve">in the </w:t>
      </w:r>
      <w:r>
        <w:t>environmental matters condition</w:t>
      </w:r>
      <w:r w:rsidR="002353DA">
        <w:t>.</w:t>
      </w:r>
    </w:p>
    <w:p w14:paraId="3C64051C" w14:textId="77777777" w:rsidR="00517418" w:rsidRPr="006D1A51" w:rsidRDefault="00517418" w:rsidP="00517418">
      <w:pPr>
        <w:pStyle w:val="AnnexParagraph"/>
        <w:numPr>
          <w:ilvl w:val="0"/>
          <w:numId w:val="0"/>
        </w:numPr>
        <w:ind w:left="851"/>
        <w:rPr>
          <w:b/>
          <w:bCs/>
        </w:rPr>
      </w:pPr>
      <w:r w:rsidRPr="006D1A51">
        <w:rPr>
          <w:b/>
          <w:bCs/>
        </w:rPr>
        <w:t xml:space="preserve">Condition 10: Environmental Matters </w:t>
      </w:r>
    </w:p>
    <w:p w14:paraId="6F630090" w14:textId="77777777" w:rsidR="00517418" w:rsidRDefault="00517418" w:rsidP="00A22FEF">
      <w:pPr>
        <w:pStyle w:val="AnnexParagraph"/>
        <w:numPr>
          <w:ilvl w:val="0"/>
          <w:numId w:val="0"/>
        </w:numPr>
        <w:ind w:left="851" w:hanging="131"/>
      </w:pPr>
      <w:r>
        <w:t xml:space="preserve">1. The licence holder shall establish a written policy designed to protect the environment from the effect of licensed activities, together with operational objectives and management arrangements (together “the environmental arrangements”). </w:t>
      </w:r>
    </w:p>
    <w:p w14:paraId="2E656421" w14:textId="77777777" w:rsidR="00385F16" w:rsidRDefault="00517418" w:rsidP="00A22FEF">
      <w:pPr>
        <w:pStyle w:val="AnnexParagraph"/>
        <w:numPr>
          <w:ilvl w:val="0"/>
          <w:numId w:val="0"/>
        </w:numPr>
        <w:ind w:left="851" w:hanging="131"/>
      </w:pPr>
      <w:r>
        <w:t xml:space="preserve">2. The environmental arrangements shall: </w:t>
      </w:r>
    </w:p>
    <w:p w14:paraId="5C3382E9" w14:textId="77777777" w:rsidR="00646C90" w:rsidRDefault="00517418" w:rsidP="00646C90">
      <w:pPr>
        <w:pStyle w:val="AnnexParagraph"/>
        <w:numPr>
          <w:ilvl w:val="0"/>
          <w:numId w:val="0"/>
        </w:numPr>
        <w:ind w:left="851"/>
      </w:pPr>
      <w:r>
        <w:t xml:space="preserve">(a) take due account of any relevant guidance issued by </w:t>
      </w:r>
      <w:proofErr w:type="gramStart"/>
      <w:r>
        <w:t>ORR;</w:t>
      </w:r>
      <w:proofErr w:type="gramEnd"/>
      <w:r>
        <w:t xml:space="preserve"> </w:t>
      </w:r>
    </w:p>
    <w:p w14:paraId="1437E7F1" w14:textId="77777777" w:rsidR="00646C90" w:rsidRDefault="00517418" w:rsidP="00646C90">
      <w:pPr>
        <w:pStyle w:val="AnnexParagraph"/>
        <w:numPr>
          <w:ilvl w:val="0"/>
          <w:numId w:val="0"/>
        </w:numPr>
        <w:ind w:left="851"/>
      </w:pPr>
      <w:r>
        <w:t xml:space="preserve">(b) be effective within six months beginning with the day on which this licence comes into force; and </w:t>
      </w:r>
    </w:p>
    <w:p w14:paraId="56424420" w14:textId="30CBC456" w:rsidR="00517418" w:rsidRDefault="00517418" w:rsidP="00EC50D2">
      <w:pPr>
        <w:pStyle w:val="AnnexParagraph"/>
        <w:numPr>
          <w:ilvl w:val="0"/>
          <w:numId w:val="0"/>
        </w:numPr>
        <w:ind w:left="851"/>
      </w:pPr>
      <w:r>
        <w:t xml:space="preserve">(c) be reviewed by the licence holder periodically, and otherwise as appropriate. </w:t>
      </w:r>
    </w:p>
    <w:p w14:paraId="1B35921E" w14:textId="77777777" w:rsidR="00517418" w:rsidRDefault="00517418" w:rsidP="00A22FEF">
      <w:pPr>
        <w:pStyle w:val="AnnexParagraph"/>
        <w:numPr>
          <w:ilvl w:val="0"/>
          <w:numId w:val="0"/>
        </w:numPr>
        <w:ind w:left="851" w:hanging="131"/>
      </w:pPr>
      <w:r>
        <w:t xml:space="preserve">3. Nothing contained in paragraph 1 shall oblige the licence holder to undertake any action that entails excessive cost taking into account all the circumstances, including the nature and scale of operations of the type carried out by the licence holder. </w:t>
      </w:r>
    </w:p>
    <w:p w14:paraId="28518DDA" w14:textId="0232CA37" w:rsidR="00517418" w:rsidRDefault="00517418" w:rsidP="00A22FEF">
      <w:pPr>
        <w:pStyle w:val="AnnexParagraph"/>
        <w:numPr>
          <w:ilvl w:val="0"/>
          <w:numId w:val="0"/>
        </w:numPr>
        <w:ind w:left="851" w:hanging="131"/>
      </w:pPr>
      <w:r>
        <w:t xml:space="preserve">4. The licence holder shall, upon establishment and any material modification of the environmental arrangements, promptly send ORR a current copy of the policy together with a summary of the operational objectives and management arrangements. </w:t>
      </w:r>
    </w:p>
    <w:p w14:paraId="130553C4" w14:textId="673A1649" w:rsidR="003F3CB0" w:rsidRPr="003F3CB0" w:rsidRDefault="00517418" w:rsidP="00A22FEF">
      <w:pPr>
        <w:pStyle w:val="AnnexParagraph"/>
        <w:numPr>
          <w:ilvl w:val="0"/>
          <w:numId w:val="0"/>
        </w:numPr>
        <w:ind w:left="851" w:hanging="131"/>
        <w:sectPr w:rsidR="003F3CB0" w:rsidRPr="003F3CB0" w:rsidSect="003102AB">
          <w:headerReference w:type="even" r:id="rId32"/>
          <w:headerReference w:type="default" r:id="rId33"/>
          <w:pgSz w:w="11906" w:h="16838" w:code="9"/>
          <w:pgMar w:top="1418" w:right="1134" w:bottom="1134" w:left="1134" w:header="709" w:footer="709" w:gutter="0"/>
          <w:cols w:space="708"/>
          <w:docGrid w:linePitch="360"/>
        </w:sectPr>
      </w:pPr>
      <w:r>
        <w:t>5. The licence holder shall act with regard to the policy and operational objectives and use its reasonable endeavours to operate the management arrangements effectively.</w:t>
      </w: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4FA169D6">
            <wp:extent cx="792294" cy="320633"/>
            <wp:effectExtent l="0" t="0" r="8255" b="3810"/>
            <wp:docPr id="23" name="Picture 23"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7777777" w:rsidR="00D25F7E" w:rsidRDefault="00D25F7E" w:rsidP="00D25F7E">
      <w:pPr>
        <w:pStyle w:val="Copyrighttext"/>
      </w:pPr>
      <w:r>
        <w:t>© Crown copyright 2022</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35" w:history="1">
        <w:r w:rsidRPr="00D25F7E">
          <w:rPr>
            <w:rStyle w:val="Hyperlink"/>
          </w:rPr>
          <w:t>nationalarchives.gov.uk/doc/open-government-licence/version/3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36" w:history="1">
        <w:r w:rsidR="008F0B87">
          <w:rPr>
            <w:rStyle w:val="Hyperlink"/>
          </w:rPr>
          <w:t>Contracts Finder - GOV.UK (www.gov.uk)</w:t>
        </w:r>
      </w:hyperlink>
    </w:p>
    <w:p w14:paraId="2D68CC5D" w14:textId="2AE9329A" w:rsidR="00D25F7E" w:rsidRPr="00D25F7E" w:rsidRDefault="00D25F7E" w:rsidP="00D25F7E">
      <w:pPr>
        <w:pStyle w:val="Copyrighttext"/>
      </w:pPr>
      <w:r>
        <w:t xml:space="preserve">Any enquiries regarding this publication should be sent to us at </w:t>
      </w:r>
      <w:hyperlink r:id="rId37" w:history="1">
        <w:r w:rsidR="008F0B87" w:rsidRPr="00C9621C">
          <w:rPr>
            <w:rStyle w:val="Hyperlink"/>
          </w:rPr>
          <w:t>procurementteam@orr.gov.uk</w:t>
        </w:r>
      </w:hyperlink>
      <w:r w:rsidR="008F0B87">
        <w:t xml:space="preserve"> </w:t>
      </w:r>
    </w:p>
    <w:sectPr w:rsidR="00D25F7E" w:rsidRPr="00D25F7E" w:rsidSect="00D25F7E">
      <w:headerReference w:type="even" r:id="rId38"/>
      <w:headerReference w:type="default" r:id="rId39"/>
      <w:footerReference w:type="even" r:id="rId40"/>
      <w:footerReference w:type="default" r:id="rId41"/>
      <w:headerReference w:type="first" r:id="rId42"/>
      <w:footerReference w:type="first" r:id="rId43"/>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38B93" w14:textId="77777777" w:rsidR="00FC6860" w:rsidRDefault="00FC6860" w:rsidP="00555585">
      <w:pPr>
        <w:spacing w:after="0" w:line="240" w:lineRule="auto"/>
      </w:pPr>
      <w:r>
        <w:separator/>
      </w:r>
    </w:p>
  </w:endnote>
  <w:endnote w:type="continuationSeparator" w:id="0">
    <w:p w14:paraId="5161A000" w14:textId="77777777" w:rsidR="00FC6860" w:rsidRDefault="00FC6860" w:rsidP="00555585">
      <w:pPr>
        <w:spacing w:after="0" w:line="240" w:lineRule="auto"/>
      </w:pPr>
      <w:r>
        <w:continuationSeparator/>
      </w:r>
    </w:p>
  </w:endnote>
  <w:endnote w:type="continuationNotice" w:id="1">
    <w:p w14:paraId="331BD904" w14:textId="77777777" w:rsidR="00C214C6" w:rsidRDefault="00C214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2614" w14:textId="77777777" w:rsidR="00FC6860" w:rsidRPr="00904857" w:rsidRDefault="00FC6860" w:rsidP="003102AB">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6A43" w14:textId="77777777" w:rsidR="00FC6860" w:rsidRPr="00904857" w:rsidRDefault="00FC6860" w:rsidP="003102AB">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BC6C" w14:textId="77777777" w:rsidR="00D25F7E" w:rsidRDefault="00D25F7E" w:rsidP="003102AB">
    <w:pPr>
      <w:pStyle w:val="Footer"/>
    </w:pPr>
  </w:p>
  <w:p w14:paraId="30922858" w14:textId="77777777" w:rsidR="00D25F7E" w:rsidRDefault="00D25F7E" w:rsidP="003102AB">
    <w:pPr>
      <w:pStyle w:val="Footer"/>
    </w:pPr>
  </w:p>
  <w:p w14:paraId="722278C7" w14:textId="77777777" w:rsidR="00D25F7E" w:rsidRDefault="00D25F7E" w:rsidP="003102AB">
    <w:pPr>
      <w:pStyle w:val="Footer"/>
    </w:pPr>
  </w:p>
  <w:p w14:paraId="2F806F11" w14:textId="77777777" w:rsidR="00D25F7E" w:rsidRDefault="00D25F7E" w:rsidP="003102AB">
    <w:pPr>
      <w:pStyle w:val="Footer"/>
    </w:pPr>
  </w:p>
  <w:p w14:paraId="6D31B3EB" w14:textId="77777777" w:rsidR="00D25F7E" w:rsidRDefault="00D25F7E" w:rsidP="003102AB">
    <w:pPr>
      <w:pStyle w:val="Footer"/>
    </w:pPr>
  </w:p>
  <w:p w14:paraId="26D028EC" w14:textId="77777777" w:rsidR="00D25F7E" w:rsidRPr="004A743E" w:rsidRDefault="00D25F7E" w:rsidP="003102AB">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02F2" w14:textId="77777777" w:rsidR="00FC6860" w:rsidRPr="00904857" w:rsidRDefault="00FC6860" w:rsidP="003102AB">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C8DF" w14:textId="77777777" w:rsidR="00FC6860" w:rsidRDefault="00FC6860" w:rsidP="003102AB">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3102AB">
    <w:pPr>
      <w:pStyle w:val="Footer"/>
    </w:pPr>
  </w:p>
  <w:p w14:paraId="71EA0EA7" w14:textId="77777777" w:rsidR="00FC6860" w:rsidRDefault="00FC6860" w:rsidP="003102AB">
    <w:pPr>
      <w:pStyle w:val="Footer"/>
    </w:pPr>
  </w:p>
  <w:p w14:paraId="3B410CFC" w14:textId="77777777" w:rsidR="00FC6860" w:rsidRDefault="00FC6860" w:rsidP="003102AB">
    <w:pPr>
      <w:pStyle w:val="Footer"/>
    </w:pPr>
  </w:p>
  <w:p w14:paraId="499C042D" w14:textId="77777777" w:rsidR="00FC6860" w:rsidRDefault="00FC6860" w:rsidP="003102AB">
    <w:pPr>
      <w:pStyle w:val="Footer"/>
    </w:pPr>
  </w:p>
  <w:p w14:paraId="01590A05" w14:textId="77777777" w:rsidR="00FC6860" w:rsidRDefault="00FC6860" w:rsidP="003102AB">
    <w:pPr>
      <w:pStyle w:val="Footer"/>
    </w:pPr>
  </w:p>
  <w:p w14:paraId="4FE202DC" w14:textId="77777777" w:rsidR="00FC6860" w:rsidRDefault="00FC6860" w:rsidP="003102AB">
    <w:pPr>
      <w:pStyle w:val="Footer"/>
    </w:pPr>
  </w:p>
  <w:p w14:paraId="2C948FBC" w14:textId="77777777" w:rsidR="00FC6860" w:rsidRDefault="00FC6860" w:rsidP="003102AB">
    <w:pPr>
      <w:pStyle w:val="Footer"/>
    </w:pPr>
  </w:p>
  <w:p w14:paraId="5A5AEE1F" w14:textId="77777777" w:rsidR="00FC6860" w:rsidRPr="00904857" w:rsidRDefault="00FC6860" w:rsidP="003102A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F3991" w14:textId="77777777" w:rsidR="00FC6860" w:rsidRDefault="00FC6860" w:rsidP="00555585">
      <w:pPr>
        <w:spacing w:after="0" w:line="240" w:lineRule="auto"/>
      </w:pPr>
      <w:r>
        <w:separator/>
      </w:r>
    </w:p>
  </w:footnote>
  <w:footnote w:type="continuationSeparator" w:id="0">
    <w:p w14:paraId="5419A348" w14:textId="77777777" w:rsidR="00FC6860" w:rsidRDefault="00FC6860" w:rsidP="00555585">
      <w:pPr>
        <w:spacing w:after="0" w:line="240" w:lineRule="auto"/>
      </w:pPr>
      <w:r>
        <w:continuationSeparator/>
      </w:r>
    </w:p>
  </w:footnote>
  <w:footnote w:type="continuationNotice" w:id="1">
    <w:p w14:paraId="069E83E2" w14:textId="77777777" w:rsidR="00C214C6" w:rsidRDefault="00C214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24EF" w14:textId="77777777" w:rsidR="00FC6860" w:rsidRDefault="00FC6860" w:rsidP="003102AB">
    <w:pPr>
      <w:pStyle w:val="Header"/>
      <w:spacing w:before="720"/>
    </w:pPr>
    <w:r>
      <w:rPr>
        <w:noProof/>
        <w:lang w:eastAsia="en-GB"/>
      </w:rPr>
      <w:drawing>
        <wp:inline distT="0" distB="0" distL="0" distR="0" wp14:anchorId="7E13B473" wp14:editId="54FEA347">
          <wp:extent cx="1616149" cy="1233038"/>
          <wp:effectExtent l="0" t="0" r="3175" b="0"/>
          <wp:docPr id="4" name="Picture 4"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76036" w14:textId="77777777" w:rsidR="00A22FEF" w:rsidRDefault="00A22FEF" w:rsidP="00A22FE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A22FEF">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r w:rsidR="004D2AA8">
      <w:fldChar w:fldCharType="begin"/>
    </w:r>
    <w:r w:rsidR="004D2AA8">
      <w:instrText>DOCVARIABLE  txtHdr  \* MERGEFORMAT</w:instrText>
    </w:r>
    <w:r w:rsidR="004D2AA8">
      <w:fldChar w:fldCharType="separate"/>
    </w:r>
    <w:r w:rsidRPr="00A22FEF">
      <w:rPr>
        <w:b w:val="0"/>
        <w:bCs/>
        <w:lang w:val="en-US"/>
      </w:rPr>
      <w:instrText>ITT</w:instrText>
    </w:r>
    <w:r w:rsidR="004D2AA8">
      <w:rPr>
        <w:b w:val="0"/>
        <w:bCs/>
        <w:lang w:val="en-US"/>
      </w:rPr>
      <w:fldChar w:fldCharType="end"/>
    </w:r>
    <w:r w:rsidRPr="00AC3B7A">
      <w:instrText xml:space="preserve"> = "Error! No document variable supplied." " " </w:instrText>
    </w:r>
    <w:r w:rsidR="004D2AA8">
      <w:fldChar w:fldCharType="begin"/>
    </w:r>
    <w:r w:rsidR="004D2AA8">
      <w:instrText>DOCVARIABLE  txtHdr \* MERGEFORMAT</w:instrText>
    </w:r>
    <w:r w:rsidR="004D2AA8">
      <w:fldChar w:fldCharType="separate"/>
    </w:r>
    <w:r>
      <w:instrText>ITT</w:instrText>
    </w:r>
    <w:r w:rsidR="004D2AA8">
      <w:fldChar w:fldCharType="end"/>
    </w:r>
    <w:r w:rsidRPr="00AC3B7A">
      <w:instrText xml:space="preserve"> \* MERGEFORMAT </w:instrText>
    </w:r>
    <w:r w:rsidRPr="00A1673D">
      <w:fldChar w:fldCharType="separate"/>
    </w:r>
    <w:r>
      <w:rPr>
        <w:noProof/>
      </w:rPr>
      <w:t>ITT</w:t>
    </w:r>
    <w:r w:rsidRPr="00A1673D">
      <w:fldChar w:fldCharType="end"/>
    </w:r>
  </w:p>
  <w:p w14:paraId="787800DB" w14:textId="6B42125D" w:rsidR="00D25F7E" w:rsidRDefault="00D25F7E" w:rsidP="00A22F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380D" w14:textId="77777777" w:rsidR="00FC6860" w:rsidRDefault="00FC6860" w:rsidP="003102AB">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EF3B" w14:textId="76548C6C" w:rsidR="00D25F7E" w:rsidRDefault="00D25F7E" w:rsidP="003102AB">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00340073" w:rsidRPr="00A22FEF">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rsidR="00340073">
      <w:instrText>Office of Rail and Road</w:instrText>
    </w:r>
    <w:r>
      <w:fldChar w:fldCharType="end"/>
    </w:r>
    <w:r w:rsidRPr="00AC3B7A">
      <w:instrText xml:space="preserve"> \* MERGEFORMAT </w:instrText>
    </w:r>
    <w:r w:rsidRPr="00A1673D">
      <w:fldChar w:fldCharType="separate"/>
    </w:r>
    <w:r w:rsidR="00340073">
      <w:rPr>
        <w:noProof/>
      </w:rPr>
      <w:t>Office of Rail and Road</w:t>
    </w:r>
    <w:r w:rsidRPr="00A1673D">
      <w:fldChar w:fldCharType="end"/>
    </w:r>
    <w:r>
      <w:t xml:space="preserve"> | </w:t>
    </w:r>
    <w:r w:rsidRPr="00A1673D">
      <w:fldChar w:fldCharType="begin"/>
    </w:r>
    <w:r w:rsidRPr="00AC3B7A">
      <w:instrText xml:space="preserve"> IF </w:instrText>
    </w:r>
    <w:r w:rsidR="004D2AA8">
      <w:fldChar w:fldCharType="begin"/>
    </w:r>
    <w:r w:rsidR="004D2AA8">
      <w:instrText>DOCVARIABLE  txtHdr  \* MERGEFORMAT</w:instrText>
    </w:r>
    <w:r w:rsidR="004D2AA8">
      <w:fldChar w:fldCharType="separate"/>
    </w:r>
    <w:r w:rsidR="00340073" w:rsidRPr="00A22FEF">
      <w:rPr>
        <w:b w:val="0"/>
        <w:bCs/>
        <w:lang w:val="en-US"/>
      </w:rPr>
      <w:instrText>ITT</w:instrText>
    </w:r>
    <w:r w:rsidR="004D2AA8">
      <w:rPr>
        <w:b w:val="0"/>
        <w:bCs/>
        <w:lang w:val="en-US"/>
      </w:rPr>
      <w:fldChar w:fldCharType="end"/>
    </w:r>
    <w:r w:rsidRPr="00AC3B7A">
      <w:instrText xml:space="preserve"> = "Error! No document variable supplied." " " </w:instrText>
    </w:r>
    <w:r w:rsidR="004D2AA8">
      <w:fldChar w:fldCharType="begin"/>
    </w:r>
    <w:r w:rsidR="004D2AA8">
      <w:instrText>DOCVARIABLE  txtHdr \* MERGEFORMAT</w:instrText>
    </w:r>
    <w:r w:rsidR="004D2AA8">
      <w:fldChar w:fldCharType="separate"/>
    </w:r>
    <w:r w:rsidR="00340073">
      <w:instrText>ITT</w:instrText>
    </w:r>
    <w:r w:rsidR="004D2AA8">
      <w:fldChar w:fldCharType="end"/>
    </w:r>
    <w:r w:rsidRPr="00AC3B7A">
      <w:instrText xml:space="preserve"> \* MERGEFORMAT </w:instrText>
    </w:r>
    <w:r w:rsidRPr="00A1673D">
      <w:fldChar w:fldCharType="separate"/>
    </w:r>
    <w:r w:rsidR="00340073">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3AF1" w14:textId="77777777" w:rsidR="00852E5A" w:rsidRPr="00FC6860" w:rsidRDefault="00852E5A" w:rsidP="00FC6860">
    <w:pPr>
      <w:pStyle w:val="Header"/>
    </w:pPr>
    <w:bookmarkStart w:id="24" w:name="bmkBackPage"/>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2F7196"/>
    <w:multiLevelType w:val="multilevel"/>
    <w:tmpl w:val="F626CF74"/>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134"/>
        </w:tabs>
        <w:ind w:left="1134"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2" w15:restartNumberingAfterBreak="0">
    <w:nsid w:val="118439F5"/>
    <w:multiLevelType w:val="multilevel"/>
    <w:tmpl w:val="0B3EB1C4"/>
    <w:numStyleLink w:val="ORRBoxed"/>
  </w:abstractNum>
  <w:abstractNum w:abstractNumId="3" w15:restartNumberingAfterBreak="0">
    <w:nsid w:val="138756B1"/>
    <w:multiLevelType w:val="multilevel"/>
    <w:tmpl w:val="D79C245A"/>
    <w:numStyleLink w:val="ORRNormalList"/>
  </w:abstractNum>
  <w:abstractNum w:abstractNumId="4"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6" w15:restartNumberingAfterBreak="0">
    <w:nsid w:val="1D4E6742"/>
    <w:multiLevelType w:val="hybridMultilevel"/>
    <w:tmpl w:val="420E6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36443"/>
    <w:multiLevelType w:val="multilevel"/>
    <w:tmpl w:val="FEF47FD2"/>
    <w:numStyleLink w:val="ORRSummary"/>
  </w:abstractNum>
  <w:abstractNum w:abstractNumId="8" w15:restartNumberingAfterBreak="0">
    <w:nsid w:val="34847195"/>
    <w:multiLevelType w:val="hybridMultilevel"/>
    <w:tmpl w:val="60C611D2"/>
    <w:lvl w:ilvl="0" w:tplc="4B4864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1B52B4"/>
    <w:multiLevelType w:val="hybridMultilevel"/>
    <w:tmpl w:val="37CE2600"/>
    <w:lvl w:ilvl="0" w:tplc="4B4864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E75F72"/>
    <w:multiLevelType w:val="hybridMultilevel"/>
    <w:tmpl w:val="0B587D8C"/>
    <w:lvl w:ilvl="0" w:tplc="DD3A9462">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1" w15:restartNumberingAfterBreak="0">
    <w:nsid w:val="3CFE27A6"/>
    <w:multiLevelType w:val="hybridMultilevel"/>
    <w:tmpl w:val="875A314C"/>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2" w15:restartNumberingAfterBreak="0">
    <w:nsid w:val="589B70F7"/>
    <w:multiLevelType w:val="multilevel"/>
    <w:tmpl w:val="0A66430E"/>
    <w:lvl w:ilvl="0">
      <w:start w:val="1"/>
      <w:numFmt w:val="decimal"/>
      <w:pStyle w:val="ListNumber"/>
      <w:lvlText w:val="%1."/>
      <w:lvlJc w:val="left"/>
      <w:pPr>
        <w:tabs>
          <w:tab w:val="num" w:pos="360"/>
        </w:tabs>
        <w:ind w:left="0" w:firstLine="0"/>
      </w:pPr>
      <w:rPr>
        <w:rFonts w:hint="default"/>
        <w:b/>
        <w:bCs/>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4"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15" w15:restartNumberingAfterBreak="0">
    <w:nsid w:val="68BD5682"/>
    <w:multiLevelType w:val="multilevel"/>
    <w:tmpl w:val="EAD453D0"/>
    <w:numStyleLink w:val="NumbListHighlight"/>
  </w:abstractNum>
  <w:abstractNum w:abstractNumId="16" w15:restartNumberingAfterBreak="0">
    <w:nsid w:val="68F70DFA"/>
    <w:multiLevelType w:val="hybridMultilevel"/>
    <w:tmpl w:val="A596D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8" w15:restartNumberingAfterBreak="0">
    <w:nsid w:val="7DDA5CB4"/>
    <w:multiLevelType w:val="multilevel"/>
    <w:tmpl w:val="6B204466"/>
    <w:numStyleLink w:val="ORRAnnex"/>
  </w:abstractNum>
  <w:num w:numId="1" w16cid:durableId="170343250">
    <w:abstractNumId w:val="17"/>
  </w:num>
  <w:num w:numId="2" w16cid:durableId="615990203">
    <w:abstractNumId w:val="4"/>
  </w:num>
  <w:num w:numId="3" w16cid:durableId="1539008159">
    <w:abstractNumId w:val="13"/>
  </w:num>
  <w:num w:numId="4" w16cid:durableId="1334801291">
    <w:abstractNumId w:val="5"/>
  </w:num>
  <w:num w:numId="5" w16cid:durableId="1708795862">
    <w:abstractNumId w:val="7"/>
  </w:num>
  <w:num w:numId="6" w16cid:durableId="1432780497">
    <w:abstractNumId w:val="2"/>
  </w:num>
  <w:num w:numId="7" w16cid:durableId="35012236">
    <w:abstractNumId w:val="1"/>
  </w:num>
  <w:num w:numId="8" w16cid:durableId="711077664">
    <w:abstractNumId w:val="0"/>
  </w:num>
  <w:num w:numId="9" w16cid:durableId="435447028">
    <w:abstractNumId w:val="14"/>
  </w:num>
  <w:num w:numId="10" w16cid:durableId="891042484">
    <w:abstractNumId w:val="15"/>
  </w:num>
  <w:num w:numId="11" w16cid:durableId="50661355">
    <w:abstractNumId w:val="3"/>
  </w:num>
  <w:num w:numId="12" w16cid:durableId="558327301">
    <w:abstractNumId w:val="18"/>
  </w:num>
  <w:num w:numId="13" w16cid:durableId="421416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52640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35217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8127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4356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68570">
    <w:abstractNumId w:val="12"/>
  </w:num>
  <w:num w:numId="19" w16cid:durableId="773551562">
    <w:abstractNumId w:val="6"/>
  </w:num>
  <w:num w:numId="20" w16cid:durableId="132523729">
    <w:abstractNumId w:val="16"/>
  </w:num>
  <w:num w:numId="21" w16cid:durableId="500973253">
    <w:abstractNumId w:val="10"/>
  </w:num>
  <w:num w:numId="22" w16cid:durableId="336276677">
    <w:abstractNumId w:val="11"/>
  </w:num>
  <w:num w:numId="23" w16cid:durableId="544873848">
    <w:abstractNumId w:val="3"/>
    <w:lvlOverride w:ilvl="0">
      <w:startOverride w:val="1"/>
      <w:lvl w:ilvl="0">
        <w:start w:val="1"/>
        <w:numFmt w:val="decimal"/>
        <w:pStyle w:val="SingleNum"/>
        <w:lvlText w:val=""/>
        <w:lvlJc w:val="left"/>
      </w:lvl>
    </w:lvlOverride>
    <w:lvlOverride w:ilvl="1">
      <w:startOverride w:val="1"/>
      <w:lvl w:ilvl="1">
        <w:start w:val="1"/>
        <w:numFmt w:val="decimal"/>
        <w:pStyle w:val="NormalBulletalpha"/>
        <w:lvlText w:val=""/>
        <w:lvlJc w:val="left"/>
      </w:lvl>
    </w:lvlOverride>
    <w:lvlOverride w:ilvl="2">
      <w:startOverride w:val="1"/>
      <w:lvl w:ilvl="2">
        <w:start w:val="1"/>
        <w:numFmt w:val="lowerRoman"/>
        <w:pStyle w:val="NormalBulletroman"/>
        <w:lvlText w:val="(%3)"/>
        <w:lvlJc w:val="left"/>
        <w:pPr>
          <w:tabs>
            <w:tab w:val="num" w:pos="1701"/>
          </w:tabs>
          <w:ind w:left="1701" w:hanging="567"/>
        </w:pPr>
        <w:rPr>
          <w:rFonts w:hint="default"/>
          <w:color w:val="auto"/>
        </w:rPr>
      </w:lvl>
    </w:lvlOverride>
    <w:lvlOverride w:ilvl="3">
      <w:startOverride w:val="1"/>
      <w:lvl w:ilvl="3">
        <w:start w:val="1"/>
        <w:numFmt w:val="decimal"/>
        <w:pStyle w:val="NormalBulletnumber"/>
        <w:lvlText w:val=""/>
        <w:lvlJc w:val="left"/>
      </w:lvl>
    </w:lvlOverride>
    <w:lvlOverride w:ilvl="4">
      <w:startOverride w:val="1"/>
      <w:lvl w:ilvl="4">
        <w:start w:val="1"/>
        <w:numFmt w:val="decimal"/>
        <w:pStyle w:val="NormalBulletround"/>
        <w:lvlText w:val=""/>
        <w:lvlJc w:val="left"/>
      </w:lvl>
    </w:lvlOverride>
    <w:lvlOverride w:ilvl="5">
      <w:startOverride w:val="1"/>
      <w:lvl w:ilvl="5">
        <w:start w:val="1"/>
        <w:numFmt w:val="decimal"/>
        <w:pStyle w:val="NormalBullet-"/>
        <w:lvlText w:val=""/>
        <w:lvlJc w:val="left"/>
      </w:lvl>
    </w:lvlOverride>
    <w:lvlOverride w:ilvl="6">
      <w:startOverride w:val="1"/>
      <w:lvl w:ilvl="6">
        <w:start w:val="1"/>
        <w:numFmt w:val="decimal"/>
        <w:pStyle w:val="NormalTableTitle"/>
        <w:lvlText w:val=""/>
        <w:lvlJc w:val="left"/>
      </w:lvl>
    </w:lvlOverride>
    <w:lvlOverride w:ilvl="7">
      <w:startOverride w:val="1"/>
      <w:lvl w:ilvl="7">
        <w:start w:val="1"/>
        <w:numFmt w:val="decimal"/>
        <w:pStyle w:val="NormalFigureTitle"/>
        <w:lvlText w:val=""/>
        <w:lvlJc w:val="left"/>
      </w:lvl>
    </w:lvlOverride>
  </w:num>
  <w:num w:numId="24" w16cid:durableId="175466524">
    <w:abstractNumId w:val="9"/>
  </w:num>
  <w:num w:numId="25" w16cid:durableId="2042239972">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0694A"/>
    <w:rsid w:val="0002210B"/>
    <w:rsid w:val="00032A58"/>
    <w:rsid w:val="0003350C"/>
    <w:rsid w:val="00036DEB"/>
    <w:rsid w:val="00037BD2"/>
    <w:rsid w:val="00042B65"/>
    <w:rsid w:val="00043DA2"/>
    <w:rsid w:val="0004428A"/>
    <w:rsid w:val="0005181F"/>
    <w:rsid w:val="00055500"/>
    <w:rsid w:val="000654B5"/>
    <w:rsid w:val="00066737"/>
    <w:rsid w:val="000677BF"/>
    <w:rsid w:val="000704CE"/>
    <w:rsid w:val="000735F1"/>
    <w:rsid w:val="00076B67"/>
    <w:rsid w:val="000833AF"/>
    <w:rsid w:val="00084783"/>
    <w:rsid w:val="00084972"/>
    <w:rsid w:val="0008514C"/>
    <w:rsid w:val="00085BC4"/>
    <w:rsid w:val="000876CB"/>
    <w:rsid w:val="0009126F"/>
    <w:rsid w:val="00091426"/>
    <w:rsid w:val="0009203F"/>
    <w:rsid w:val="000A0438"/>
    <w:rsid w:val="000A6DE7"/>
    <w:rsid w:val="000B0266"/>
    <w:rsid w:val="000B309A"/>
    <w:rsid w:val="000B330F"/>
    <w:rsid w:val="000B3818"/>
    <w:rsid w:val="000B5767"/>
    <w:rsid w:val="000B6176"/>
    <w:rsid w:val="000B6DC2"/>
    <w:rsid w:val="000C3168"/>
    <w:rsid w:val="000C5CED"/>
    <w:rsid w:val="000C7B66"/>
    <w:rsid w:val="000C7F46"/>
    <w:rsid w:val="000D2970"/>
    <w:rsid w:val="000E0817"/>
    <w:rsid w:val="000E135E"/>
    <w:rsid w:val="000E5AB1"/>
    <w:rsid w:val="000E5E49"/>
    <w:rsid w:val="000F2699"/>
    <w:rsid w:val="000F4554"/>
    <w:rsid w:val="000F5529"/>
    <w:rsid w:val="000F598B"/>
    <w:rsid w:val="000F66FC"/>
    <w:rsid w:val="000F70BB"/>
    <w:rsid w:val="000F7BB6"/>
    <w:rsid w:val="001012B6"/>
    <w:rsid w:val="00102F62"/>
    <w:rsid w:val="001055F2"/>
    <w:rsid w:val="00120892"/>
    <w:rsid w:val="0012193D"/>
    <w:rsid w:val="00122871"/>
    <w:rsid w:val="00124D1D"/>
    <w:rsid w:val="00137015"/>
    <w:rsid w:val="00141746"/>
    <w:rsid w:val="001451C5"/>
    <w:rsid w:val="001526A6"/>
    <w:rsid w:val="00155088"/>
    <w:rsid w:val="0015625B"/>
    <w:rsid w:val="00156D5F"/>
    <w:rsid w:val="00160B26"/>
    <w:rsid w:val="00162B03"/>
    <w:rsid w:val="001659DD"/>
    <w:rsid w:val="00175A76"/>
    <w:rsid w:val="001760B7"/>
    <w:rsid w:val="001768F1"/>
    <w:rsid w:val="00177DF1"/>
    <w:rsid w:val="00180E47"/>
    <w:rsid w:val="001858EB"/>
    <w:rsid w:val="00185CD6"/>
    <w:rsid w:val="00194E09"/>
    <w:rsid w:val="00195C79"/>
    <w:rsid w:val="0019775B"/>
    <w:rsid w:val="001A00F0"/>
    <w:rsid w:val="001A1058"/>
    <w:rsid w:val="001A29CB"/>
    <w:rsid w:val="001B1190"/>
    <w:rsid w:val="001B168A"/>
    <w:rsid w:val="001B3FD8"/>
    <w:rsid w:val="001B54A7"/>
    <w:rsid w:val="001B551F"/>
    <w:rsid w:val="001B5A48"/>
    <w:rsid w:val="001B62CD"/>
    <w:rsid w:val="001B71F8"/>
    <w:rsid w:val="001C43EA"/>
    <w:rsid w:val="001C60A4"/>
    <w:rsid w:val="001D097C"/>
    <w:rsid w:val="001D1536"/>
    <w:rsid w:val="001D3AF5"/>
    <w:rsid w:val="001D590D"/>
    <w:rsid w:val="001D5DF3"/>
    <w:rsid w:val="001E23F4"/>
    <w:rsid w:val="001E7C87"/>
    <w:rsid w:val="001F1140"/>
    <w:rsid w:val="001F55B8"/>
    <w:rsid w:val="0020297B"/>
    <w:rsid w:val="002063AE"/>
    <w:rsid w:val="002064AF"/>
    <w:rsid w:val="002077FD"/>
    <w:rsid w:val="0021084B"/>
    <w:rsid w:val="0021141B"/>
    <w:rsid w:val="0021395E"/>
    <w:rsid w:val="00213A9D"/>
    <w:rsid w:val="002162D4"/>
    <w:rsid w:val="00220F85"/>
    <w:rsid w:val="0022209D"/>
    <w:rsid w:val="0022333A"/>
    <w:rsid w:val="00224950"/>
    <w:rsid w:val="00225D2C"/>
    <w:rsid w:val="00225EFD"/>
    <w:rsid w:val="00225F45"/>
    <w:rsid w:val="002353DA"/>
    <w:rsid w:val="00235859"/>
    <w:rsid w:val="00240410"/>
    <w:rsid w:val="002459ED"/>
    <w:rsid w:val="0025242F"/>
    <w:rsid w:val="00253654"/>
    <w:rsid w:val="00257BE5"/>
    <w:rsid w:val="0026509D"/>
    <w:rsid w:val="0027150B"/>
    <w:rsid w:val="00272200"/>
    <w:rsid w:val="00276C64"/>
    <w:rsid w:val="0028034F"/>
    <w:rsid w:val="0028433A"/>
    <w:rsid w:val="00286CF2"/>
    <w:rsid w:val="0028735A"/>
    <w:rsid w:val="0029283C"/>
    <w:rsid w:val="00293199"/>
    <w:rsid w:val="00293D38"/>
    <w:rsid w:val="00297104"/>
    <w:rsid w:val="002A0298"/>
    <w:rsid w:val="002B7995"/>
    <w:rsid w:val="002C5A50"/>
    <w:rsid w:val="002C6E70"/>
    <w:rsid w:val="002D0E5B"/>
    <w:rsid w:val="002D3643"/>
    <w:rsid w:val="002D46DA"/>
    <w:rsid w:val="002D7981"/>
    <w:rsid w:val="002E015B"/>
    <w:rsid w:val="002E2DAD"/>
    <w:rsid w:val="002E7122"/>
    <w:rsid w:val="002F111F"/>
    <w:rsid w:val="002F2791"/>
    <w:rsid w:val="002F5466"/>
    <w:rsid w:val="002F56B7"/>
    <w:rsid w:val="0030237B"/>
    <w:rsid w:val="003027B1"/>
    <w:rsid w:val="003102AB"/>
    <w:rsid w:val="00310EB9"/>
    <w:rsid w:val="00311FD5"/>
    <w:rsid w:val="0031301D"/>
    <w:rsid w:val="003247A4"/>
    <w:rsid w:val="003366E7"/>
    <w:rsid w:val="00340073"/>
    <w:rsid w:val="003413E6"/>
    <w:rsid w:val="0034267E"/>
    <w:rsid w:val="0034288F"/>
    <w:rsid w:val="00343838"/>
    <w:rsid w:val="003457A0"/>
    <w:rsid w:val="00347F87"/>
    <w:rsid w:val="00350594"/>
    <w:rsid w:val="003520C1"/>
    <w:rsid w:val="003543C0"/>
    <w:rsid w:val="0035655E"/>
    <w:rsid w:val="0035753E"/>
    <w:rsid w:val="0036504A"/>
    <w:rsid w:val="00372316"/>
    <w:rsid w:val="00372ABD"/>
    <w:rsid w:val="003739AB"/>
    <w:rsid w:val="003743E7"/>
    <w:rsid w:val="00374BAE"/>
    <w:rsid w:val="003764B8"/>
    <w:rsid w:val="003764DC"/>
    <w:rsid w:val="00377E94"/>
    <w:rsid w:val="003813C5"/>
    <w:rsid w:val="00384699"/>
    <w:rsid w:val="00385387"/>
    <w:rsid w:val="00385F16"/>
    <w:rsid w:val="00385F6B"/>
    <w:rsid w:val="00386AF7"/>
    <w:rsid w:val="00386E0A"/>
    <w:rsid w:val="003B008E"/>
    <w:rsid w:val="003B09D0"/>
    <w:rsid w:val="003B1008"/>
    <w:rsid w:val="003B27DE"/>
    <w:rsid w:val="003B774D"/>
    <w:rsid w:val="003C0BDF"/>
    <w:rsid w:val="003C235E"/>
    <w:rsid w:val="003C247A"/>
    <w:rsid w:val="003C3449"/>
    <w:rsid w:val="003C3BA6"/>
    <w:rsid w:val="003C462A"/>
    <w:rsid w:val="003D0868"/>
    <w:rsid w:val="003D1485"/>
    <w:rsid w:val="003D1B7D"/>
    <w:rsid w:val="003D1CC2"/>
    <w:rsid w:val="003D30C6"/>
    <w:rsid w:val="003E13F6"/>
    <w:rsid w:val="003E1A78"/>
    <w:rsid w:val="003E2FAF"/>
    <w:rsid w:val="003E3E52"/>
    <w:rsid w:val="003E40D9"/>
    <w:rsid w:val="003E497C"/>
    <w:rsid w:val="003E5612"/>
    <w:rsid w:val="003E5A51"/>
    <w:rsid w:val="003E6BE3"/>
    <w:rsid w:val="003F1052"/>
    <w:rsid w:val="003F161B"/>
    <w:rsid w:val="003F3CB0"/>
    <w:rsid w:val="003F6E9D"/>
    <w:rsid w:val="00400432"/>
    <w:rsid w:val="00400823"/>
    <w:rsid w:val="00403C5B"/>
    <w:rsid w:val="00407533"/>
    <w:rsid w:val="00410615"/>
    <w:rsid w:val="004121D9"/>
    <w:rsid w:val="00414896"/>
    <w:rsid w:val="004213D2"/>
    <w:rsid w:val="0042552D"/>
    <w:rsid w:val="00425D4C"/>
    <w:rsid w:val="004276BA"/>
    <w:rsid w:val="004308C7"/>
    <w:rsid w:val="00433557"/>
    <w:rsid w:val="00433D4D"/>
    <w:rsid w:val="004372B6"/>
    <w:rsid w:val="0043752D"/>
    <w:rsid w:val="00437772"/>
    <w:rsid w:val="00442791"/>
    <w:rsid w:val="004462A6"/>
    <w:rsid w:val="00446747"/>
    <w:rsid w:val="00451C67"/>
    <w:rsid w:val="00452F29"/>
    <w:rsid w:val="00454D76"/>
    <w:rsid w:val="004550CA"/>
    <w:rsid w:val="00457556"/>
    <w:rsid w:val="00465E6B"/>
    <w:rsid w:val="00472A7C"/>
    <w:rsid w:val="00476327"/>
    <w:rsid w:val="00480A2D"/>
    <w:rsid w:val="0048300B"/>
    <w:rsid w:val="0048774B"/>
    <w:rsid w:val="00490915"/>
    <w:rsid w:val="00494943"/>
    <w:rsid w:val="00495203"/>
    <w:rsid w:val="00495AF8"/>
    <w:rsid w:val="004964CA"/>
    <w:rsid w:val="004A0056"/>
    <w:rsid w:val="004A0C10"/>
    <w:rsid w:val="004A24AB"/>
    <w:rsid w:val="004A6891"/>
    <w:rsid w:val="004A743E"/>
    <w:rsid w:val="004B2D5D"/>
    <w:rsid w:val="004B336F"/>
    <w:rsid w:val="004C0FAF"/>
    <w:rsid w:val="004C1FDD"/>
    <w:rsid w:val="004C2C09"/>
    <w:rsid w:val="004D1C50"/>
    <w:rsid w:val="004D2AA8"/>
    <w:rsid w:val="004D5D65"/>
    <w:rsid w:val="004E1737"/>
    <w:rsid w:val="004E57B7"/>
    <w:rsid w:val="004E5ACC"/>
    <w:rsid w:val="004E60C0"/>
    <w:rsid w:val="004F1038"/>
    <w:rsid w:val="004F2AE4"/>
    <w:rsid w:val="004F6111"/>
    <w:rsid w:val="004F723E"/>
    <w:rsid w:val="004F7EB3"/>
    <w:rsid w:val="00505E23"/>
    <w:rsid w:val="00511EEE"/>
    <w:rsid w:val="005165AD"/>
    <w:rsid w:val="00517418"/>
    <w:rsid w:val="00517E39"/>
    <w:rsid w:val="005206B4"/>
    <w:rsid w:val="00526956"/>
    <w:rsid w:val="00532B91"/>
    <w:rsid w:val="00534962"/>
    <w:rsid w:val="00536EB2"/>
    <w:rsid w:val="00544099"/>
    <w:rsid w:val="0054435D"/>
    <w:rsid w:val="00544E82"/>
    <w:rsid w:val="00546AF7"/>
    <w:rsid w:val="005553F7"/>
    <w:rsid w:val="0055549F"/>
    <w:rsid w:val="00555585"/>
    <w:rsid w:val="005612F3"/>
    <w:rsid w:val="005635FA"/>
    <w:rsid w:val="00571A82"/>
    <w:rsid w:val="005733E2"/>
    <w:rsid w:val="00574B16"/>
    <w:rsid w:val="00580A77"/>
    <w:rsid w:val="00585CEE"/>
    <w:rsid w:val="00586827"/>
    <w:rsid w:val="00591161"/>
    <w:rsid w:val="00593331"/>
    <w:rsid w:val="00595AEB"/>
    <w:rsid w:val="00596F73"/>
    <w:rsid w:val="005A7624"/>
    <w:rsid w:val="005B27FB"/>
    <w:rsid w:val="005B3ED1"/>
    <w:rsid w:val="005B621F"/>
    <w:rsid w:val="005B7791"/>
    <w:rsid w:val="005C0E21"/>
    <w:rsid w:val="005C29ED"/>
    <w:rsid w:val="005C5BD8"/>
    <w:rsid w:val="005C6471"/>
    <w:rsid w:val="005C78C8"/>
    <w:rsid w:val="005D0524"/>
    <w:rsid w:val="005D169D"/>
    <w:rsid w:val="005E1F2E"/>
    <w:rsid w:val="005E2129"/>
    <w:rsid w:val="005E2832"/>
    <w:rsid w:val="005E2FF2"/>
    <w:rsid w:val="005F12AF"/>
    <w:rsid w:val="005F217E"/>
    <w:rsid w:val="005F2187"/>
    <w:rsid w:val="005F2393"/>
    <w:rsid w:val="005F31A1"/>
    <w:rsid w:val="005F386D"/>
    <w:rsid w:val="005F74FA"/>
    <w:rsid w:val="00600307"/>
    <w:rsid w:val="006011C5"/>
    <w:rsid w:val="006023B5"/>
    <w:rsid w:val="00610E35"/>
    <w:rsid w:val="00613440"/>
    <w:rsid w:val="00615D12"/>
    <w:rsid w:val="006174C2"/>
    <w:rsid w:val="00617B7F"/>
    <w:rsid w:val="006242F0"/>
    <w:rsid w:val="006316B1"/>
    <w:rsid w:val="00631FB3"/>
    <w:rsid w:val="00632A37"/>
    <w:rsid w:val="00636173"/>
    <w:rsid w:val="006365CA"/>
    <w:rsid w:val="00637198"/>
    <w:rsid w:val="00637D6B"/>
    <w:rsid w:val="00640445"/>
    <w:rsid w:val="00642E56"/>
    <w:rsid w:val="00645EB9"/>
    <w:rsid w:val="006465D2"/>
    <w:rsid w:val="00646C90"/>
    <w:rsid w:val="00652705"/>
    <w:rsid w:val="0065616A"/>
    <w:rsid w:val="0066567C"/>
    <w:rsid w:val="006701F0"/>
    <w:rsid w:val="00680F51"/>
    <w:rsid w:val="00683A4B"/>
    <w:rsid w:val="00683F80"/>
    <w:rsid w:val="00691342"/>
    <w:rsid w:val="006A063F"/>
    <w:rsid w:val="006A0CE1"/>
    <w:rsid w:val="006A2E7B"/>
    <w:rsid w:val="006A4F2C"/>
    <w:rsid w:val="006A6751"/>
    <w:rsid w:val="006B10E9"/>
    <w:rsid w:val="006B147A"/>
    <w:rsid w:val="006B198C"/>
    <w:rsid w:val="006B27E0"/>
    <w:rsid w:val="006C004C"/>
    <w:rsid w:val="006C02BD"/>
    <w:rsid w:val="006C15DB"/>
    <w:rsid w:val="006C77E2"/>
    <w:rsid w:val="006D1A51"/>
    <w:rsid w:val="006D1DD8"/>
    <w:rsid w:val="006D2EE9"/>
    <w:rsid w:val="006D4741"/>
    <w:rsid w:val="006D6465"/>
    <w:rsid w:val="006E1B6F"/>
    <w:rsid w:val="006E214D"/>
    <w:rsid w:val="006E25F6"/>
    <w:rsid w:val="006E55C1"/>
    <w:rsid w:val="006F6490"/>
    <w:rsid w:val="006F663A"/>
    <w:rsid w:val="006F6DA0"/>
    <w:rsid w:val="00703BE0"/>
    <w:rsid w:val="00705CF5"/>
    <w:rsid w:val="007062A6"/>
    <w:rsid w:val="00713B94"/>
    <w:rsid w:val="00716CEC"/>
    <w:rsid w:val="00717537"/>
    <w:rsid w:val="007200CC"/>
    <w:rsid w:val="00721A90"/>
    <w:rsid w:val="00723D41"/>
    <w:rsid w:val="00724059"/>
    <w:rsid w:val="007246E1"/>
    <w:rsid w:val="00725DA6"/>
    <w:rsid w:val="00731F42"/>
    <w:rsid w:val="00732439"/>
    <w:rsid w:val="00734AF8"/>
    <w:rsid w:val="00744A1A"/>
    <w:rsid w:val="00745B89"/>
    <w:rsid w:val="00745F36"/>
    <w:rsid w:val="00752063"/>
    <w:rsid w:val="00755F22"/>
    <w:rsid w:val="0075633E"/>
    <w:rsid w:val="0075674E"/>
    <w:rsid w:val="00756E0D"/>
    <w:rsid w:val="00757472"/>
    <w:rsid w:val="00757DB9"/>
    <w:rsid w:val="00760514"/>
    <w:rsid w:val="00762C46"/>
    <w:rsid w:val="007679D8"/>
    <w:rsid w:val="00773068"/>
    <w:rsid w:val="00781F82"/>
    <w:rsid w:val="00785549"/>
    <w:rsid w:val="00785937"/>
    <w:rsid w:val="00785E0E"/>
    <w:rsid w:val="00790401"/>
    <w:rsid w:val="00790AD2"/>
    <w:rsid w:val="0079264A"/>
    <w:rsid w:val="00794B84"/>
    <w:rsid w:val="00796755"/>
    <w:rsid w:val="00796E71"/>
    <w:rsid w:val="007979A7"/>
    <w:rsid w:val="00797F75"/>
    <w:rsid w:val="007A1F12"/>
    <w:rsid w:val="007B1555"/>
    <w:rsid w:val="007C43C1"/>
    <w:rsid w:val="007D5014"/>
    <w:rsid w:val="007E2744"/>
    <w:rsid w:val="007E307A"/>
    <w:rsid w:val="007E39E9"/>
    <w:rsid w:val="007E4EC4"/>
    <w:rsid w:val="007E6E4B"/>
    <w:rsid w:val="007F3F24"/>
    <w:rsid w:val="007F4B75"/>
    <w:rsid w:val="007F61A4"/>
    <w:rsid w:val="007F6498"/>
    <w:rsid w:val="007F6B18"/>
    <w:rsid w:val="00806042"/>
    <w:rsid w:val="008112E3"/>
    <w:rsid w:val="008122F2"/>
    <w:rsid w:val="008145A2"/>
    <w:rsid w:val="0081555F"/>
    <w:rsid w:val="0081639D"/>
    <w:rsid w:val="008174A6"/>
    <w:rsid w:val="0082164A"/>
    <w:rsid w:val="008259D5"/>
    <w:rsid w:val="00826F5D"/>
    <w:rsid w:val="008277B1"/>
    <w:rsid w:val="00831EE0"/>
    <w:rsid w:val="0083798F"/>
    <w:rsid w:val="00841B8C"/>
    <w:rsid w:val="008420FD"/>
    <w:rsid w:val="008422F2"/>
    <w:rsid w:val="00845EDF"/>
    <w:rsid w:val="008475B8"/>
    <w:rsid w:val="00851E44"/>
    <w:rsid w:val="00852E5A"/>
    <w:rsid w:val="00856DAD"/>
    <w:rsid w:val="008624E2"/>
    <w:rsid w:val="008640BB"/>
    <w:rsid w:val="008667A9"/>
    <w:rsid w:val="00866DF4"/>
    <w:rsid w:val="00871B6D"/>
    <w:rsid w:val="00873479"/>
    <w:rsid w:val="0087426B"/>
    <w:rsid w:val="00874B72"/>
    <w:rsid w:val="00882BEF"/>
    <w:rsid w:val="00884568"/>
    <w:rsid w:val="00885126"/>
    <w:rsid w:val="008859B6"/>
    <w:rsid w:val="00886DE9"/>
    <w:rsid w:val="00890BB8"/>
    <w:rsid w:val="008911C0"/>
    <w:rsid w:val="00892CA9"/>
    <w:rsid w:val="00893F58"/>
    <w:rsid w:val="00894644"/>
    <w:rsid w:val="008946A7"/>
    <w:rsid w:val="00894D7D"/>
    <w:rsid w:val="00896CBE"/>
    <w:rsid w:val="00897355"/>
    <w:rsid w:val="00897A5A"/>
    <w:rsid w:val="008A1C58"/>
    <w:rsid w:val="008A1E4C"/>
    <w:rsid w:val="008A25C5"/>
    <w:rsid w:val="008A4659"/>
    <w:rsid w:val="008A7042"/>
    <w:rsid w:val="008B14E2"/>
    <w:rsid w:val="008B39F2"/>
    <w:rsid w:val="008B50A1"/>
    <w:rsid w:val="008B5228"/>
    <w:rsid w:val="008B59D1"/>
    <w:rsid w:val="008B6101"/>
    <w:rsid w:val="008B6DC1"/>
    <w:rsid w:val="008C091C"/>
    <w:rsid w:val="008C1870"/>
    <w:rsid w:val="008C277A"/>
    <w:rsid w:val="008C30D2"/>
    <w:rsid w:val="008D2477"/>
    <w:rsid w:val="008D4781"/>
    <w:rsid w:val="008D5E69"/>
    <w:rsid w:val="008D60C8"/>
    <w:rsid w:val="008E0F57"/>
    <w:rsid w:val="008E25EB"/>
    <w:rsid w:val="008E3D37"/>
    <w:rsid w:val="008E3E7D"/>
    <w:rsid w:val="008E42C9"/>
    <w:rsid w:val="008E61DF"/>
    <w:rsid w:val="008F04E0"/>
    <w:rsid w:val="008F0B87"/>
    <w:rsid w:val="008F0F60"/>
    <w:rsid w:val="008F18B3"/>
    <w:rsid w:val="008F1A0A"/>
    <w:rsid w:val="008F676D"/>
    <w:rsid w:val="00901C9A"/>
    <w:rsid w:val="0090243F"/>
    <w:rsid w:val="00903EB2"/>
    <w:rsid w:val="00903FBA"/>
    <w:rsid w:val="00904857"/>
    <w:rsid w:val="00905CCF"/>
    <w:rsid w:val="0090622E"/>
    <w:rsid w:val="00907F32"/>
    <w:rsid w:val="009102F8"/>
    <w:rsid w:val="00910E4A"/>
    <w:rsid w:val="009111CF"/>
    <w:rsid w:val="009112CF"/>
    <w:rsid w:val="0091373E"/>
    <w:rsid w:val="00913800"/>
    <w:rsid w:val="00914861"/>
    <w:rsid w:val="00916C88"/>
    <w:rsid w:val="00917106"/>
    <w:rsid w:val="00920472"/>
    <w:rsid w:val="00920F55"/>
    <w:rsid w:val="0092268F"/>
    <w:rsid w:val="00922A2A"/>
    <w:rsid w:val="00924399"/>
    <w:rsid w:val="009265DD"/>
    <w:rsid w:val="009319AE"/>
    <w:rsid w:val="009321BC"/>
    <w:rsid w:val="00935609"/>
    <w:rsid w:val="00935A99"/>
    <w:rsid w:val="009375BF"/>
    <w:rsid w:val="0094130E"/>
    <w:rsid w:val="009617D1"/>
    <w:rsid w:val="00963E0B"/>
    <w:rsid w:val="009646F5"/>
    <w:rsid w:val="00973BC6"/>
    <w:rsid w:val="009757DA"/>
    <w:rsid w:val="00981E60"/>
    <w:rsid w:val="009822CC"/>
    <w:rsid w:val="00982820"/>
    <w:rsid w:val="00983751"/>
    <w:rsid w:val="009852F9"/>
    <w:rsid w:val="0099043F"/>
    <w:rsid w:val="0099269F"/>
    <w:rsid w:val="00992B05"/>
    <w:rsid w:val="00994102"/>
    <w:rsid w:val="009942BE"/>
    <w:rsid w:val="00996A36"/>
    <w:rsid w:val="00997C72"/>
    <w:rsid w:val="009A5DA3"/>
    <w:rsid w:val="009B04F7"/>
    <w:rsid w:val="009B5565"/>
    <w:rsid w:val="009C3E78"/>
    <w:rsid w:val="009C7888"/>
    <w:rsid w:val="009D4BF5"/>
    <w:rsid w:val="009E0644"/>
    <w:rsid w:val="009E13FE"/>
    <w:rsid w:val="009E34CC"/>
    <w:rsid w:val="009E476E"/>
    <w:rsid w:val="009E742C"/>
    <w:rsid w:val="009F4755"/>
    <w:rsid w:val="009F5929"/>
    <w:rsid w:val="009F642E"/>
    <w:rsid w:val="00A00A07"/>
    <w:rsid w:val="00A01FEE"/>
    <w:rsid w:val="00A02455"/>
    <w:rsid w:val="00A03E79"/>
    <w:rsid w:val="00A04855"/>
    <w:rsid w:val="00A07856"/>
    <w:rsid w:val="00A107B3"/>
    <w:rsid w:val="00A12B6D"/>
    <w:rsid w:val="00A14898"/>
    <w:rsid w:val="00A17292"/>
    <w:rsid w:val="00A22FEF"/>
    <w:rsid w:val="00A263EF"/>
    <w:rsid w:val="00A27332"/>
    <w:rsid w:val="00A310F3"/>
    <w:rsid w:val="00A31298"/>
    <w:rsid w:val="00A32644"/>
    <w:rsid w:val="00A36463"/>
    <w:rsid w:val="00A3724D"/>
    <w:rsid w:val="00A37A9B"/>
    <w:rsid w:val="00A4008F"/>
    <w:rsid w:val="00A42FBD"/>
    <w:rsid w:val="00A5113C"/>
    <w:rsid w:val="00A525B9"/>
    <w:rsid w:val="00A575FC"/>
    <w:rsid w:val="00A64AB5"/>
    <w:rsid w:val="00A66AC8"/>
    <w:rsid w:val="00A66D3D"/>
    <w:rsid w:val="00A67863"/>
    <w:rsid w:val="00A70557"/>
    <w:rsid w:val="00A739EA"/>
    <w:rsid w:val="00A73FDA"/>
    <w:rsid w:val="00A77317"/>
    <w:rsid w:val="00A8496F"/>
    <w:rsid w:val="00A90826"/>
    <w:rsid w:val="00A913B9"/>
    <w:rsid w:val="00A93189"/>
    <w:rsid w:val="00A93476"/>
    <w:rsid w:val="00A95FB0"/>
    <w:rsid w:val="00AA713D"/>
    <w:rsid w:val="00AB3000"/>
    <w:rsid w:val="00AB6599"/>
    <w:rsid w:val="00AC08D7"/>
    <w:rsid w:val="00AC26CC"/>
    <w:rsid w:val="00AC3F17"/>
    <w:rsid w:val="00AC63A9"/>
    <w:rsid w:val="00AC69B9"/>
    <w:rsid w:val="00AD13C5"/>
    <w:rsid w:val="00AD6D58"/>
    <w:rsid w:val="00AE1221"/>
    <w:rsid w:val="00AE3B57"/>
    <w:rsid w:val="00AF17B8"/>
    <w:rsid w:val="00AF205E"/>
    <w:rsid w:val="00AF41B0"/>
    <w:rsid w:val="00AF5A70"/>
    <w:rsid w:val="00AF7AF9"/>
    <w:rsid w:val="00B017A5"/>
    <w:rsid w:val="00B04D1F"/>
    <w:rsid w:val="00B0622B"/>
    <w:rsid w:val="00B111AB"/>
    <w:rsid w:val="00B11DE5"/>
    <w:rsid w:val="00B20994"/>
    <w:rsid w:val="00B23045"/>
    <w:rsid w:val="00B2713B"/>
    <w:rsid w:val="00B2773F"/>
    <w:rsid w:val="00B27CD3"/>
    <w:rsid w:val="00B30895"/>
    <w:rsid w:val="00B30986"/>
    <w:rsid w:val="00B313B7"/>
    <w:rsid w:val="00B328C8"/>
    <w:rsid w:val="00B334A0"/>
    <w:rsid w:val="00B34AB1"/>
    <w:rsid w:val="00B34DB3"/>
    <w:rsid w:val="00B475F5"/>
    <w:rsid w:val="00B50669"/>
    <w:rsid w:val="00B509AD"/>
    <w:rsid w:val="00B5283A"/>
    <w:rsid w:val="00B546CE"/>
    <w:rsid w:val="00B548CB"/>
    <w:rsid w:val="00B56A4E"/>
    <w:rsid w:val="00B5762E"/>
    <w:rsid w:val="00B620BF"/>
    <w:rsid w:val="00B7284B"/>
    <w:rsid w:val="00B73C52"/>
    <w:rsid w:val="00B80C9B"/>
    <w:rsid w:val="00B81AB7"/>
    <w:rsid w:val="00B8365D"/>
    <w:rsid w:val="00B86091"/>
    <w:rsid w:val="00B906DF"/>
    <w:rsid w:val="00B91F92"/>
    <w:rsid w:val="00B927D4"/>
    <w:rsid w:val="00B946A3"/>
    <w:rsid w:val="00BA010D"/>
    <w:rsid w:val="00BA09BD"/>
    <w:rsid w:val="00BA3E54"/>
    <w:rsid w:val="00BA74DA"/>
    <w:rsid w:val="00BA75AF"/>
    <w:rsid w:val="00BD1EDB"/>
    <w:rsid w:val="00BD4428"/>
    <w:rsid w:val="00BE1FE1"/>
    <w:rsid w:val="00BE2981"/>
    <w:rsid w:val="00BF056F"/>
    <w:rsid w:val="00BF2BC5"/>
    <w:rsid w:val="00BF321E"/>
    <w:rsid w:val="00BF3BAC"/>
    <w:rsid w:val="00BF50D6"/>
    <w:rsid w:val="00BF6752"/>
    <w:rsid w:val="00C00032"/>
    <w:rsid w:val="00C00CB3"/>
    <w:rsid w:val="00C129B9"/>
    <w:rsid w:val="00C12DE6"/>
    <w:rsid w:val="00C15B7B"/>
    <w:rsid w:val="00C214C6"/>
    <w:rsid w:val="00C23E57"/>
    <w:rsid w:val="00C23E80"/>
    <w:rsid w:val="00C246CE"/>
    <w:rsid w:val="00C260C9"/>
    <w:rsid w:val="00C26E3E"/>
    <w:rsid w:val="00C32699"/>
    <w:rsid w:val="00C35494"/>
    <w:rsid w:val="00C369B2"/>
    <w:rsid w:val="00C42241"/>
    <w:rsid w:val="00C42B54"/>
    <w:rsid w:val="00C43F22"/>
    <w:rsid w:val="00C4471E"/>
    <w:rsid w:val="00C44B4E"/>
    <w:rsid w:val="00C50737"/>
    <w:rsid w:val="00C50F62"/>
    <w:rsid w:val="00C54CD1"/>
    <w:rsid w:val="00C57A84"/>
    <w:rsid w:val="00C6176E"/>
    <w:rsid w:val="00C61F00"/>
    <w:rsid w:val="00C63A2C"/>
    <w:rsid w:val="00C6719E"/>
    <w:rsid w:val="00C67869"/>
    <w:rsid w:val="00C7169D"/>
    <w:rsid w:val="00C76E4E"/>
    <w:rsid w:val="00C8418E"/>
    <w:rsid w:val="00C848C5"/>
    <w:rsid w:val="00C84CC1"/>
    <w:rsid w:val="00C855D2"/>
    <w:rsid w:val="00C91699"/>
    <w:rsid w:val="00C92422"/>
    <w:rsid w:val="00C92C30"/>
    <w:rsid w:val="00C946D5"/>
    <w:rsid w:val="00C97CC2"/>
    <w:rsid w:val="00C97F2B"/>
    <w:rsid w:val="00CA080B"/>
    <w:rsid w:val="00CA25B2"/>
    <w:rsid w:val="00CA2A88"/>
    <w:rsid w:val="00CA51D5"/>
    <w:rsid w:val="00CB359C"/>
    <w:rsid w:val="00CC0085"/>
    <w:rsid w:val="00CC21C9"/>
    <w:rsid w:val="00CC51FF"/>
    <w:rsid w:val="00CD62FF"/>
    <w:rsid w:val="00CD6C07"/>
    <w:rsid w:val="00CE2434"/>
    <w:rsid w:val="00CE4C99"/>
    <w:rsid w:val="00CE5EE2"/>
    <w:rsid w:val="00CE7358"/>
    <w:rsid w:val="00D00048"/>
    <w:rsid w:val="00D000A5"/>
    <w:rsid w:val="00D0044E"/>
    <w:rsid w:val="00D07E76"/>
    <w:rsid w:val="00D10D3A"/>
    <w:rsid w:val="00D16841"/>
    <w:rsid w:val="00D2010B"/>
    <w:rsid w:val="00D20E23"/>
    <w:rsid w:val="00D21C2C"/>
    <w:rsid w:val="00D2517B"/>
    <w:rsid w:val="00D25F7E"/>
    <w:rsid w:val="00D27573"/>
    <w:rsid w:val="00D27A96"/>
    <w:rsid w:val="00D3030F"/>
    <w:rsid w:val="00D3273A"/>
    <w:rsid w:val="00D353DB"/>
    <w:rsid w:val="00D401C8"/>
    <w:rsid w:val="00D40E5E"/>
    <w:rsid w:val="00D41CD9"/>
    <w:rsid w:val="00D42F12"/>
    <w:rsid w:val="00D435F4"/>
    <w:rsid w:val="00D477C4"/>
    <w:rsid w:val="00D55AD3"/>
    <w:rsid w:val="00D55BB5"/>
    <w:rsid w:val="00D6141A"/>
    <w:rsid w:val="00D6160E"/>
    <w:rsid w:val="00D61976"/>
    <w:rsid w:val="00D619A5"/>
    <w:rsid w:val="00D643F1"/>
    <w:rsid w:val="00D67250"/>
    <w:rsid w:val="00D7043B"/>
    <w:rsid w:val="00D7062B"/>
    <w:rsid w:val="00D70ECD"/>
    <w:rsid w:val="00D735B7"/>
    <w:rsid w:val="00D75F63"/>
    <w:rsid w:val="00D776B6"/>
    <w:rsid w:val="00D8563F"/>
    <w:rsid w:val="00D90596"/>
    <w:rsid w:val="00D91109"/>
    <w:rsid w:val="00D92143"/>
    <w:rsid w:val="00D973E5"/>
    <w:rsid w:val="00D97BF7"/>
    <w:rsid w:val="00DA0028"/>
    <w:rsid w:val="00DA02F0"/>
    <w:rsid w:val="00DA0DA7"/>
    <w:rsid w:val="00DA1456"/>
    <w:rsid w:val="00DA19CC"/>
    <w:rsid w:val="00DA39EF"/>
    <w:rsid w:val="00DA53DA"/>
    <w:rsid w:val="00DA5AE6"/>
    <w:rsid w:val="00DB0136"/>
    <w:rsid w:val="00DB02EF"/>
    <w:rsid w:val="00DB54FF"/>
    <w:rsid w:val="00DB7BCE"/>
    <w:rsid w:val="00DC0F9E"/>
    <w:rsid w:val="00DC2FD6"/>
    <w:rsid w:val="00DC6AE7"/>
    <w:rsid w:val="00DD1BE1"/>
    <w:rsid w:val="00DD1F06"/>
    <w:rsid w:val="00DD276E"/>
    <w:rsid w:val="00DD35AB"/>
    <w:rsid w:val="00DD6763"/>
    <w:rsid w:val="00DE21C3"/>
    <w:rsid w:val="00DE5974"/>
    <w:rsid w:val="00DE7876"/>
    <w:rsid w:val="00DF189F"/>
    <w:rsid w:val="00DF2553"/>
    <w:rsid w:val="00DF6946"/>
    <w:rsid w:val="00E034CD"/>
    <w:rsid w:val="00E03CCC"/>
    <w:rsid w:val="00E061E1"/>
    <w:rsid w:val="00E07C76"/>
    <w:rsid w:val="00E10006"/>
    <w:rsid w:val="00E104D1"/>
    <w:rsid w:val="00E11F8B"/>
    <w:rsid w:val="00E1699D"/>
    <w:rsid w:val="00E25F9C"/>
    <w:rsid w:val="00E31153"/>
    <w:rsid w:val="00E360E5"/>
    <w:rsid w:val="00E3647D"/>
    <w:rsid w:val="00E450CC"/>
    <w:rsid w:val="00E507FC"/>
    <w:rsid w:val="00E54EEF"/>
    <w:rsid w:val="00E55911"/>
    <w:rsid w:val="00E5669C"/>
    <w:rsid w:val="00E61A8D"/>
    <w:rsid w:val="00E63058"/>
    <w:rsid w:val="00E638CC"/>
    <w:rsid w:val="00E73450"/>
    <w:rsid w:val="00E73568"/>
    <w:rsid w:val="00E8348A"/>
    <w:rsid w:val="00E871F3"/>
    <w:rsid w:val="00E9029F"/>
    <w:rsid w:val="00E90359"/>
    <w:rsid w:val="00E90510"/>
    <w:rsid w:val="00E94F29"/>
    <w:rsid w:val="00E955B8"/>
    <w:rsid w:val="00E96168"/>
    <w:rsid w:val="00E96219"/>
    <w:rsid w:val="00EA449D"/>
    <w:rsid w:val="00EA6405"/>
    <w:rsid w:val="00EB0176"/>
    <w:rsid w:val="00EB0DC4"/>
    <w:rsid w:val="00EB0EDA"/>
    <w:rsid w:val="00EB408D"/>
    <w:rsid w:val="00EB4D22"/>
    <w:rsid w:val="00EB64CF"/>
    <w:rsid w:val="00EB6E48"/>
    <w:rsid w:val="00EB72F2"/>
    <w:rsid w:val="00EC2A84"/>
    <w:rsid w:val="00EC3758"/>
    <w:rsid w:val="00EC4B09"/>
    <w:rsid w:val="00EC50D2"/>
    <w:rsid w:val="00EC5142"/>
    <w:rsid w:val="00EC6B13"/>
    <w:rsid w:val="00ED0A15"/>
    <w:rsid w:val="00ED3BA5"/>
    <w:rsid w:val="00ED6FD1"/>
    <w:rsid w:val="00EE0513"/>
    <w:rsid w:val="00EE278D"/>
    <w:rsid w:val="00EE516B"/>
    <w:rsid w:val="00EE5809"/>
    <w:rsid w:val="00EE5FED"/>
    <w:rsid w:val="00EF09B1"/>
    <w:rsid w:val="00EF33AC"/>
    <w:rsid w:val="00EF3FD3"/>
    <w:rsid w:val="00EF500D"/>
    <w:rsid w:val="00EF62CE"/>
    <w:rsid w:val="00F01773"/>
    <w:rsid w:val="00F052B9"/>
    <w:rsid w:val="00F052FD"/>
    <w:rsid w:val="00F056ED"/>
    <w:rsid w:val="00F1129E"/>
    <w:rsid w:val="00F14BFE"/>
    <w:rsid w:val="00F165F6"/>
    <w:rsid w:val="00F1780B"/>
    <w:rsid w:val="00F20E70"/>
    <w:rsid w:val="00F2180C"/>
    <w:rsid w:val="00F2241A"/>
    <w:rsid w:val="00F23344"/>
    <w:rsid w:val="00F24468"/>
    <w:rsid w:val="00F266B7"/>
    <w:rsid w:val="00F27257"/>
    <w:rsid w:val="00F309D3"/>
    <w:rsid w:val="00F30E75"/>
    <w:rsid w:val="00F33BA6"/>
    <w:rsid w:val="00F345E3"/>
    <w:rsid w:val="00F3535F"/>
    <w:rsid w:val="00F35764"/>
    <w:rsid w:val="00F373D0"/>
    <w:rsid w:val="00F41328"/>
    <w:rsid w:val="00F43966"/>
    <w:rsid w:val="00F4453E"/>
    <w:rsid w:val="00F521D3"/>
    <w:rsid w:val="00F52217"/>
    <w:rsid w:val="00F55D53"/>
    <w:rsid w:val="00F568CE"/>
    <w:rsid w:val="00F670B0"/>
    <w:rsid w:val="00F679B4"/>
    <w:rsid w:val="00F73415"/>
    <w:rsid w:val="00F76054"/>
    <w:rsid w:val="00F76E31"/>
    <w:rsid w:val="00F77418"/>
    <w:rsid w:val="00F77726"/>
    <w:rsid w:val="00F77DF3"/>
    <w:rsid w:val="00F83493"/>
    <w:rsid w:val="00F85D04"/>
    <w:rsid w:val="00F860CE"/>
    <w:rsid w:val="00F90A82"/>
    <w:rsid w:val="00F93A27"/>
    <w:rsid w:val="00F93B87"/>
    <w:rsid w:val="00F94A27"/>
    <w:rsid w:val="00F97820"/>
    <w:rsid w:val="00FA07A9"/>
    <w:rsid w:val="00FA2FBE"/>
    <w:rsid w:val="00FA767B"/>
    <w:rsid w:val="00FB16E2"/>
    <w:rsid w:val="00FB2EB2"/>
    <w:rsid w:val="00FB4478"/>
    <w:rsid w:val="00FB6DF4"/>
    <w:rsid w:val="00FB7A17"/>
    <w:rsid w:val="00FC0DF6"/>
    <w:rsid w:val="00FC2B73"/>
    <w:rsid w:val="00FC2C76"/>
    <w:rsid w:val="00FC3B60"/>
    <w:rsid w:val="00FC3E97"/>
    <w:rsid w:val="00FC5F22"/>
    <w:rsid w:val="00FC6860"/>
    <w:rsid w:val="00FC6AE4"/>
    <w:rsid w:val="00FC6D69"/>
    <w:rsid w:val="00FC7462"/>
    <w:rsid w:val="00FC7B76"/>
    <w:rsid w:val="00FD258F"/>
    <w:rsid w:val="00FD3F6E"/>
    <w:rsid w:val="00FD4279"/>
    <w:rsid w:val="00FD66CE"/>
    <w:rsid w:val="00FD6DCF"/>
    <w:rsid w:val="00FE2992"/>
    <w:rsid w:val="00FE342A"/>
    <w:rsid w:val="00FE40B6"/>
    <w:rsid w:val="00FF09BF"/>
    <w:rsid w:val="00FF11BE"/>
    <w:rsid w:val="00FF4ABE"/>
    <w:rsid w:val="0141F5AF"/>
    <w:rsid w:val="05F69D8D"/>
    <w:rsid w:val="0622C409"/>
    <w:rsid w:val="08CFE8F0"/>
    <w:rsid w:val="0CB9DE61"/>
    <w:rsid w:val="0E9146FA"/>
    <w:rsid w:val="126D6B70"/>
    <w:rsid w:val="12B52023"/>
    <w:rsid w:val="19538216"/>
    <w:rsid w:val="1A6138CF"/>
    <w:rsid w:val="1DB5E195"/>
    <w:rsid w:val="1EADA093"/>
    <w:rsid w:val="1FF1C4AA"/>
    <w:rsid w:val="20BCC487"/>
    <w:rsid w:val="2262887F"/>
    <w:rsid w:val="2383167B"/>
    <w:rsid w:val="242DCBCE"/>
    <w:rsid w:val="25DC400B"/>
    <w:rsid w:val="27A7AE86"/>
    <w:rsid w:val="29F7DB22"/>
    <w:rsid w:val="2C6427CC"/>
    <w:rsid w:val="2DF2258F"/>
    <w:rsid w:val="2EA4DA88"/>
    <w:rsid w:val="3128A322"/>
    <w:rsid w:val="3152F64F"/>
    <w:rsid w:val="36813D7A"/>
    <w:rsid w:val="373B84FB"/>
    <w:rsid w:val="37540662"/>
    <w:rsid w:val="37DCCFD4"/>
    <w:rsid w:val="398523E6"/>
    <w:rsid w:val="3A3939BA"/>
    <w:rsid w:val="3D3DBC90"/>
    <w:rsid w:val="3D4BF99D"/>
    <w:rsid w:val="3D603BEB"/>
    <w:rsid w:val="3DC5C68B"/>
    <w:rsid w:val="3DD7C7DB"/>
    <w:rsid w:val="3FFC69D0"/>
    <w:rsid w:val="4063EC75"/>
    <w:rsid w:val="40911A96"/>
    <w:rsid w:val="40BA788C"/>
    <w:rsid w:val="410AEFA5"/>
    <w:rsid w:val="426D8686"/>
    <w:rsid w:val="42A0A0CF"/>
    <w:rsid w:val="4439EA5D"/>
    <w:rsid w:val="447F1D20"/>
    <w:rsid w:val="45739D55"/>
    <w:rsid w:val="4593E018"/>
    <w:rsid w:val="4701335D"/>
    <w:rsid w:val="4766EFE8"/>
    <w:rsid w:val="47EBAD26"/>
    <w:rsid w:val="4B373429"/>
    <w:rsid w:val="4BD01F49"/>
    <w:rsid w:val="4C227319"/>
    <w:rsid w:val="4E1BDE36"/>
    <w:rsid w:val="509285C6"/>
    <w:rsid w:val="51F5B064"/>
    <w:rsid w:val="55595053"/>
    <w:rsid w:val="59E8AA00"/>
    <w:rsid w:val="5AC16203"/>
    <w:rsid w:val="619E6F2E"/>
    <w:rsid w:val="61C486FD"/>
    <w:rsid w:val="678CB21A"/>
    <w:rsid w:val="6B6B24D0"/>
    <w:rsid w:val="6BE9954F"/>
    <w:rsid w:val="6C6A08D9"/>
    <w:rsid w:val="716CA4A8"/>
    <w:rsid w:val="768E5B98"/>
    <w:rsid w:val="779CA4F7"/>
    <w:rsid w:val="78E172B0"/>
    <w:rsid w:val="79F8AA40"/>
    <w:rsid w:val="7AF3E089"/>
    <w:rsid w:val="7BC59168"/>
    <w:rsid w:val="7DF79C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29B3C586-A143-412E-8D2C-45DB5E5E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7"/>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5"/>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1"/>
      </w:numPr>
    </w:pPr>
  </w:style>
  <w:style w:type="paragraph" w:customStyle="1" w:styleId="Numberedparagraphdouble">
    <w:name w:val="Numbered paragraph (double)"/>
    <w:aliases w:val="Numbered paragraph (single)"/>
    <w:basedOn w:val="Normal"/>
    <w:uiPriority w:val="8"/>
    <w:qFormat/>
    <w:rsid w:val="00534962"/>
    <w:pPr>
      <w:numPr>
        <w:ilvl w:val="1"/>
        <w:numId w:val="7"/>
      </w:numPr>
    </w:pPr>
  </w:style>
  <w:style w:type="paragraph" w:customStyle="1" w:styleId="Bulletround">
    <w:name w:val="Bullet (round)"/>
    <w:aliases w:val="Bullet (square)"/>
    <w:basedOn w:val="Normal"/>
    <w:uiPriority w:val="10"/>
    <w:qFormat/>
    <w:rsid w:val="00534962"/>
    <w:pPr>
      <w:numPr>
        <w:ilvl w:val="5"/>
        <w:numId w:val="7"/>
      </w:numPr>
    </w:pPr>
  </w:style>
  <w:style w:type="paragraph" w:customStyle="1" w:styleId="Bullet-">
    <w:name w:val="Bullet (-)"/>
    <w:basedOn w:val="Normal"/>
    <w:uiPriority w:val="11"/>
    <w:qFormat/>
    <w:rsid w:val="00534962"/>
    <w:pPr>
      <w:numPr>
        <w:ilvl w:val="6"/>
        <w:numId w:val="7"/>
      </w:numPr>
    </w:pPr>
  </w:style>
  <w:style w:type="paragraph" w:customStyle="1" w:styleId="Bulletalpha">
    <w:name w:val="Bullet (alpha)"/>
    <w:basedOn w:val="Normal"/>
    <w:uiPriority w:val="11"/>
    <w:qFormat/>
    <w:rsid w:val="00534962"/>
    <w:pPr>
      <w:numPr>
        <w:ilvl w:val="2"/>
        <w:numId w:val="7"/>
      </w:numPr>
    </w:pPr>
  </w:style>
  <w:style w:type="paragraph" w:customStyle="1" w:styleId="Bulletroman">
    <w:name w:val="Bullet (roman)"/>
    <w:basedOn w:val="Normal"/>
    <w:uiPriority w:val="11"/>
    <w:qFormat/>
    <w:rsid w:val="00534962"/>
    <w:pPr>
      <w:numPr>
        <w:ilvl w:val="3"/>
        <w:numId w:val="7"/>
      </w:numPr>
    </w:pPr>
  </w:style>
  <w:style w:type="paragraph" w:customStyle="1" w:styleId="NormalBulletround">
    <w:name w:val="Normal Bullet (round)"/>
    <w:aliases w:val="Normal Bullet (square)"/>
    <w:basedOn w:val="Normal"/>
    <w:uiPriority w:val="4"/>
    <w:qFormat/>
    <w:rsid w:val="0021141B"/>
    <w:pPr>
      <w:numPr>
        <w:ilvl w:val="4"/>
        <w:numId w:val="11"/>
      </w:numPr>
    </w:pPr>
  </w:style>
  <w:style w:type="paragraph" w:customStyle="1" w:styleId="NormalBullet-">
    <w:name w:val="Normal Bullet (-)"/>
    <w:basedOn w:val="Normal"/>
    <w:uiPriority w:val="5"/>
    <w:qFormat/>
    <w:rsid w:val="0021141B"/>
    <w:pPr>
      <w:numPr>
        <w:ilvl w:val="5"/>
        <w:numId w:val="11"/>
      </w:numPr>
    </w:pPr>
  </w:style>
  <w:style w:type="paragraph" w:customStyle="1" w:styleId="NormalBulletalpha">
    <w:name w:val="Normal Bullet (alpha)"/>
    <w:basedOn w:val="Normal"/>
    <w:uiPriority w:val="5"/>
    <w:qFormat/>
    <w:rsid w:val="0021141B"/>
    <w:pPr>
      <w:numPr>
        <w:ilvl w:val="1"/>
        <w:numId w:val="11"/>
      </w:numPr>
    </w:pPr>
  </w:style>
  <w:style w:type="paragraph" w:customStyle="1" w:styleId="NormalBulletroman">
    <w:name w:val="Normal Bullet (roman)"/>
    <w:basedOn w:val="Normal"/>
    <w:uiPriority w:val="5"/>
    <w:qFormat/>
    <w:rsid w:val="0021141B"/>
    <w:pPr>
      <w:numPr>
        <w:ilvl w:val="2"/>
        <w:numId w:val="11"/>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2"/>
      </w:numPr>
    </w:pPr>
  </w:style>
  <w:style w:type="paragraph" w:customStyle="1" w:styleId="Boxedparagraph">
    <w:name w:val="Boxed paragraph"/>
    <w:basedOn w:val="Normal"/>
    <w:uiPriority w:val="13"/>
    <w:qFormat/>
    <w:rsid w:val="00534962"/>
    <w:pPr>
      <w:numPr>
        <w:numId w:val="6"/>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3"/>
      </w:numPr>
    </w:pPr>
  </w:style>
  <w:style w:type="paragraph" w:customStyle="1" w:styleId="Bulletchecklist">
    <w:name w:val="Bullet (checklist)"/>
    <w:basedOn w:val="Normal"/>
    <w:uiPriority w:val="14"/>
    <w:qFormat/>
    <w:rsid w:val="00534962"/>
    <w:pPr>
      <w:numPr>
        <w:numId w:val="4"/>
      </w:numPr>
    </w:pPr>
  </w:style>
  <w:style w:type="numbering" w:customStyle="1" w:styleId="ORRChecklist">
    <w:name w:val="ORRChecklist"/>
    <w:uiPriority w:val="99"/>
    <w:rsid w:val="00534962"/>
    <w:pPr>
      <w:numPr>
        <w:numId w:val="4"/>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A22FEF"/>
    <w:pPr>
      <w:tabs>
        <w:tab w:val="right" w:pos="9628"/>
      </w:tabs>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7"/>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7"/>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11"/>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7"/>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0"/>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8"/>
      </w:numPr>
    </w:pPr>
  </w:style>
  <w:style w:type="paragraph" w:customStyle="1" w:styleId="HighlightPurpleWide">
    <w:name w:val="HighlightPurpleWide"/>
    <w:basedOn w:val="Normal"/>
    <w:uiPriority w:val="15"/>
    <w:qFormat/>
    <w:rsid w:val="00894D7D"/>
    <w:pPr>
      <w:numPr>
        <w:ilvl w:val="1"/>
        <w:numId w:val="10"/>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0"/>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12"/>
      </w:numPr>
    </w:pPr>
  </w:style>
  <w:style w:type="paragraph" w:customStyle="1" w:styleId="AnnexParagraph">
    <w:name w:val="Annex Paragraph"/>
    <w:basedOn w:val="Normal"/>
    <w:uiPriority w:val="22"/>
    <w:qFormat/>
    <w:rsid w:val="008A25C5"/>
    <w:pPr>
      <w:numPr>
        <w:ilvl w:val="1"/>
        <w:numId w:val="12"/>
      </w:numPr>
    </w:pPr>
  </w:style>
  <w:style w:type="numbering" w:customStyle="1" w:styleId="ORRAnnex">
    <w:name w:val="ORRAnnex"/>
    <w:uiPriority w:val="99"/>
    <w:rsid w:val="008A25C5"/>
    <w:pPr>
      <w:numPr>
        <w:numId w:val="9"/>
      </w:numPr>
    </w:pPr>
  </w:style>
  <w:style w:type="paragraph" w:customStyle="1" w:styleId="AnnexBulletAlpha">
    <w:name w:val="Annex Bullet (Alpha)"/>
    <w:basedOn w:val="Normal"/>
    <w:uiPriority w:val="24"/>
    <w:qFormat/>
    <w:rsid w:val="008A25C5"/>
    <w:pPr>
      <w:numPr>
        <w:ilvl w:val="2"/>
        <w:numId w:val="12"/>
      </w:numPr>
    </w:pPr>
  </w:style>
  <w:style w:type="paragraph" w:customStyle="1" w:styleId="AnnexBulletroman">
    <w:name w:val="Annex Bullet (roman)"/>
    <w:basedOn w:val="Normal"/>
    <w:uiPriority w:val="24"/>
    <w:qFormat/>
    <w:rsid w:val="008A25C5"/>
    <w:pPr>
      <w:numPr>
        <w:ilvl w:val="3"/>
        <w:numId w:val="12"/>
      </w:numPr>
    </w:pPr>
  </w:style>
  <w:style w:type="paragraph" w:customStyle="1" w:styleId="AnnexBulletnumber">
    <w:name w:val="Annex Bullet (number)"/>
    <w:basedOn w:val="Normal"/>
    <w:uiPriority w:val="25"/>
    <w:qFormat/>
    <w:rsid w:val="008A25C5"/>
    <w:pPr>
      <w:numPr>
        <w:ilvl w:val="4"/>
        <w:numId w:val="12"/>
      </w:numPr>
    </w:pPr>
  </w:style>
  <w:style w:type="paragraph" w:customStyle="1" w:styleId="AnnexBulletround">
    <w:name w:val="Annex Bullet (round)"/>
    <w:basedOn w:val="Normal"/>
    <w:uiPriority w:val="23"/>
    <w:qFormat/>
    <w:rsid w:val="008A25C5"/>
    <w:pPr>
      <w:numPr>
        <w:ilvl w:val="5"/>
        <w:numId w:val="12"/>
      </w:numPr>
    </w:pPr>
  </w:style>
  <w:style w:type="paragraph" w:customStyle="1" w:styleId="AnnexBullet-">
    <w:name w:val="Annex Bullet (-)"/>
    <w:basedOn w:val="Normal"/>
    <w:uiPriority w:val="24"/>
    <w:qFormat/>
    <w:rsid w:val="008A25C5"/>
    <w:pPr>
      <w:numPr>
        <w:ilvl w:val="6"/>
        <w:numId w:val="12"/>
      </w:numPr>
    </w:pPr>
  </w:style>
  <w:style w:type="paragraph" w:customStyle="1" w:styleId="AnnexTableTitle">
    <w:name w:val="Annex TableTitle"/>
    <w:basedOn w:val="Normal"/>
    <w:next w:val="AnnexParagraph"/>
    <w:uiPriority w:val="18"/>
    <w:qFormat/>
    <w:rsid w:val="008A25C5"/>
    <w:pPr>
      <w:numPr>
        <w:ilvl w:val="7"/>
        <w:numId w:val="12"/>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11"/>
      </w:numPr>
    </w:pPr>
    <w:rPr>
      <w:b/>
    </w:rPr>
  </w:style>
  <w:style w:type="paragraph" w:customStyle="1" w:styleId="NormalFigureTitle">
    <w:name w:val="Normal FigureTitle"/>
    <w:basedOn w:val="Normal"/>
    <w:next w:val="Normal"/>
    <w:uiPriority w:val="26"/>
    <w:qFormat/>
    <w:rsid w:val="0021141B"/>
    <w:pPr>
      <w:keepNext/>
      <w:keepLines/>
      <w:numPr>
        <w:ilvl w:val="7"/>
        <w:numId w:val="11"/>
      </w:numPr>
    </w:pPr>
    <w:rPr>
      <w:b/>
    </w:rPr>
  </w:style>
  <w:style w:type="paragraph" w:customStyle="1" w:styleId="AnnexFigureTitle">
    <w:name w:val="Annex FigureTitle"/>
    <w:basedOn w:val="Normal"/>
    <w:next w:val="Normal"/>
    <w:uiPriority w:val="26"/>
    <w:rsid w:val="008A25C5"/>
    <w:pPr>
      <w:keepNext/>
      <w:keepLines/>
      <w:numPr>
        <w:ilvl w:val="8"/>
        <w:numId w:val="12"/>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18"/>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18"/>
      </w:numPr>
      <w:suppressAutoHyphens/>
      <w:spacing w:before="120" w:after="120" w:line="240" w:lineRule="auto"/>
    </w:pPr>
    <w:rPr>
      <w:rFonts w:eastAsia="Times New Roman" w:cs="Times New Roman"/>
      <w:bCs/>
      <w:szCs w:val="20"/>
    </w:rPr>
  </w:style>
  <w:style w:type="paragraph" w:styleId="ListNumber">
    <w:name w:val="List Number"/>
    <w:rsid w:val="00400432"/>
    <w:pPr>
      <w:numPr>
        <w:numId w:val="18"/>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paragraph" w:styleId="NormalWeb">
    <w:name w:val="Normal (Web)"/>
    <w:basedOn w:val="Normal"/>
    <w:uiPriority w:val="99"/>
    <w:semiHidden/>
    <w:unhideWhenUsed/>
    <w:rsid w:val="005553F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8E25EB"/>
  </w:style>
  <w:style w:type="character" w:customStyle="1" w:styleId="eop">
    <w:name w:val="eop"/>
    <w:basedOn w:val="DefaultParagraphFont"/>
    <w:rsid w:val="00600307"/>
  </w:style>
  <w:style w:type="character" w:styleId="Mention">
    <w:name w:val="Mention"/>
    <w:basedOn w:val="DefaultParagraphFont"/>
    <w:uiPriority w:val="99"/>
    <w:unhideWhenUsed/>
    <w:rsid w:val="00B860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2390">
      <w:bodyDiv w:val="1"/>
      <w:marLeft w:val="0"/>
      <w:marRight w:val="0"/>
      <w:marTop w:val="0"/>
      <w:marBottom w:val="0"/>
      <w:divBdr>
        <w:top w:val="none" w:sz="0" w:space="0" w:color="auto"/>
        <w:left w:val="none" w:sz="0" w:space="0" w:color="auto"/>
        <w:bottom w:val="none" w:sz="0" w:space="0" w:color="auto"/>
        <w:right w:val="none" w:sz="0" w:space="0" w:color="auto"/>
      </w:divBdr>
      <w:divsChild>
        <w:div w:id="1314677126">
          <w:marLeft w:val="0"/>
          <w:marRight w:val="0"/>
          <w:marTop w:val="0"/>
          <w:marBottom w:val="0"/>
          <w:divBdr>
            <w:top w:val="none" w:sz="0" w:space="0" w:color="auto"/>
            <w:left w:val="none" w:sz="0" w:space="0" w:color="auto"/>
            <w:bottom w:val="none" w:sz="0" w:space="0" w:color="auto"/>
            <w:right w:val="none" w:sz="0" w:space="0" w:color="auto"/>
          </w:divBdr>
        </w:div>
        <w:div w:id="1874148478">
          <w:marLeft w:val="0"/>
          <w:marRight w:val="0"/>
          <w:marTop w:val="0"/>
          <w:marBottom w:val="0"/>
          <w:divBdr>
            <w:top w:val="none" w:sz="0" w:space="0" w:color="auto"/>
            <w:left w:val="none" w:sz="0" w:space="0" w:color="auto"/>
            <w:bottom w:val="none" w:sz="0" w:space="0" w:color="auto"/>
            <w:right w:val="none" w:sz="0" w:space="0" w:color="auto"/>
          </w:divBdr>
        </w:div>
      </w:divsChild>
    </w:div>
    <w:div w:id="206766676">
      <w:bodyDiv w:val="1"/>
      <w:marLeft w:val="0"/>
      <w:marRight w:val="0"/>
      <w:marTop w:val="0"/>
      <w:marBottom w:val="0"/>
      <w:divBdr>
        <w:top w:val="none" w:sz="0" w:space="0" w:color="auto"/>
        <w:left w:val="none" w:sz="0" w:space="0" w:color="auto"/>
        <w:bottom w:val="none" w:sz="0" w:space="0" w:color="auto"/>
        <w:right w:val="none" w:sz="0" w:space="0" w:color="auto"/>
      </w:divBdr>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293825328">
      <w:bodyDiv w:val="1"/>
      <w:marLeft w:val="0"/>
      <w:marRight w:val="0"/>
      <w:marTop w:val="0"/>
      <w:marBottom w:val="0"/>
      <w:divBdr>
        <w:top w:val="none" w:sz="0" w:space="0" w:color="auto"/>
        <w:left w:val="none" w:sz="0" w:space="0" w:color="auto"/>
        <w:bottom w:val="none" w:sz="0" w:space="0" w:color="auto"/>
        <w:right w:val="none" w:sz="0" w:space="0" w:color="auto"/>
      </w:divBdr>
    </w:div>
    <w:div w:id="1412511038">
      <w:bodyDiv w:val="1"/>
      <w:marLeft w:val="0"/>
      <w:marRight w:val="0"/>
      <w:marTop w:val="0"/>
      <w:marBottom w:val="0"/>
      <w:divBdr>
        <w:top w:val="none" w:sz="0" w:space="0" w:color="auto"/>
        <w:left w:val="none" w:sz="0" w:space="0" w:color="auto"/>
        <w:bottom w:val="none" w:sz="0" w:space="0" w:color="auto"/>
        <w:right w:val="none" w:sz="0" w:space="0" w:color="auto"/>
      </w:divBdr>
    </w:div>
    <w:div w:id="1538856843">
      <w:bodyDiv w:val="1"/>
      <w:marLeft w:val="0"/>
      <w:marRight w:val="0"/>
      <w:marTop w:val="0"/>
      <w:marBottom w:val="0"/>
      <w:divBdr>
        <w:top w:val="none" w:sz="0" w:space="0" w:color="auto"/>
        <w:left w:val="none" w:sz="0" w:space="0" w:color="auto"/>
        <w:bottom w:val="none" w:sz="0" w:space="0" w:color="auto"/>
        <w:right w:val="none" w:sz="0" w:space="0" w:color="auto"/>
      </w:divBdr>
    </w:div>
    <w:div w:id="1967391930">
      <w:bodyDiv w:val="1"/>
      <w:marLeft w:val="0"/>
      <w:marRight w:val="0"/>
      <w:marTop w:val="0"/>
      <w:marBottom w:val="0"/>
      <w:divBdr>
        <w:top w:val="none" w:sz="0" w:space="0" w:color="auto"/>
        <w:left w:val="none" w:sz="0" w:space="0" w:color="auto"/>
        <w:bottom w:val="none" w:sz="0" w:space="0" w:color="auto"/>
        <w:right w:val="none" w:sz="0" w:space="0" w:color="auto"/>
      </w:divBdr>
    </w:div>
    <w:div w:id="2073119054">
      <w:bodyDiv w:val="1"/>
      <w:marLeft w:val="0"/>
      <w:marRight w:val="0"/>
      <w:marTop w:val="0"/>
      <w:marBottom w:val="0"/>
      <w:divBdr>
        <w:top w:val="none" w:sz="0" w:space="0" w:color="auto"/>
        <w:left w:val="none" w:sz="0" w:space="0" w:color="auto"/>
        <w:bottom w:val="none" w:sz="0" w:space="0" w:color="auto"/>
        <w:right w:val="none" w:sz="0" w:space="0" w:color="auto"/>
      </w:divBdr>
      <w:divsChild>
        <w:div w:id="236210698">
          <w:marLeft w:val="0"/>
          <w:marRight w:val="0"/>
          <w:marTop w:val="0"/>
          <w:marBottom w:val="0"/>
          <w:divBdr>
            <w:top w:val="none" w:sz="0" w:space="0" w:color="auto"/>
            <w:left w:val="none" w:sz="0" w:space="0" w:color="auto"/>
            <w:bottom w:val="none" w:sz="0" w:space="0" w:color="auto"/>
            <w:right w:val="none" w:sz="0" w:space="0" w:color="auto"/>
          </w:divBdr>
        </w:div>
        <w:div w:id="763501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orr.gov.uk/guidance-compliance/rail/operator-licences-exemptions/model-licences-and-licence-exemptions" TargetMode="External"/><Relationship Id="rId39" Type="http://schemas.openxmlformats.org/officeDocument/2006/relationships/header" Target="header9.xml"/><Relationship Id="rId21" Type="http://schemas.openxmlformats.org/officeDocument/2006/relationships/footer" Target="footer5.xml"/><Relationship Id="rId34" Type="http://schemas.openxmlformats.org/officeDocument/2006/relationships/image" Target="media/image4.png"/><Relationship Id="rId42" Type="http://schemas.openxmlformats.org/officeDocument/2006/relationships/header" Target="header10.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orr.gov.uk/sites/default/files/2023-08/2023-07-28-letter-to-licence-holders-on-environmental-arrangement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ssb.co.uk/sustainability" TargetMode="External"/><Relationship Id="rId32" Type="http://schemas.openxmlformats.org/officeDocument/2006/relationships/header" Target="header6.xml"/><Relationship Id="rId37" Type="http://schemas.openxmlformats.org/officeDocument/2006/relationships/hyperlink" Target="mailto:procurementteam@orr.gov.uk" TargetMode="External"/><Relationship Id="rId40" Type="http://schemas.openxmlformats.org/officeDocument/2006/relationships/footer" Target="footer6.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orr.gov.uk/sites/default/files/2022-09/sustainable-development-policy-statement.pdf" TargetMode="External"/><Relationship Id="rId28" Type="http://schemas.openxmlformats.org/officeDocument/2006/relationships/hyperlink" Target="https://www.orr.gov.uk/sites/default/files/2022-09/environmental-arrangements-for-railway-licence-holders.pdf" TargetMode="External"/><Relationship Id="rId36" Type="http://schemas.openxmlformats.org/officeDocument/2006/relationships/hyperlink" Target="https://www.gov.uk/contracts-finder"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www.orr.gov.uk/media/23638"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orr.gov.uk/" TargetMode="External"/><Relationship Id="rId27" Type="http://schemas.openxmlformats.org/officeDocument/2006/relationships/hyperlink" Target="https://www.orr.gov.uk/guidance-compliance/rail/operator-licences-exemptions/current-licences" TargetMode="External"/><Relationship Id="rId30" Type="http://schemas.openxmlformats.org/officeDocument/2006/relationships/hyperlink" Target="https://www.orr.gov.uk/media/23638" TargetMode="External"/><Relationship Id="rId35" Type="http://schemas.openxmlformats.org/officeDocument/2006/relationships/hyperlink" Target="http:\\www.nationalarchives.gov.uk/doc/open-government-licence/version/3" TargetMode="External"/><Relationship Id="rId43" Type="http://schemas.openxmlformats.org/officeDocument/2006/relationships/footer" Target="footer8.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orr.gov.uk/guidance-compliance/rail/operator-licences-exemptions/licensing-railway" TargetMode="External"/><Relationship Id="rId33" Type="http://schemas.openxmlformats.org/officeDocument/2006/relationships/header" Target="header7.xml"/><Relationship Id="rId38" Type="http://schemas.openxmlformats.org/officeDocument/2006/relationships/header" Target="header8.xml"/><Relationship Id="rId4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9356F"/>
    <w:rsid w:val="000B1AC2"/>
    <w:rsid w:val="000F03BB"/>
    <w:rsid w:val="001D34EA"/>
    <w:rsid w:val="002C0021"/>
    <w:rsid w:val="003F7B92"/>
    <w:rsid w:val="00843948"/>
    <w:rsid w:val="009554EC"/>
    <w:rsid w:val="009E0644"/>
    <w:rsid w:val="00A161ED"/>
    <w:rsid w:val="00A257DF"/>
    <w:rsid w:val="00A72823"/>
    <w:rsid w:val="00A80937"/>
    <w:rsid w:val="00BB37B7"/>
    <w:rsid w:val="00C14ED2"/>
    <w:rsid w:val="00D70A7B"/>
    <w:rsid w:val="00E310FF"/>
    <w:rsid w:val="00E4356D"/>
    <w:rsid w:val="00EF176D"/>
    <w:rsid w:val="00F06A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10FF"/>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2023-09-06T00:00:00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9E3660EBFD794FAC8CC622100493A1" ma:contentTypeVersion="8" ma:contentTypeDescription="Create a new document." ma:contentTypeScope="" ma:versionID="fa98a1ee30c430960af606075165186f">
  <xsd:schema xmlns:xsd="http://www.w3.org/2001/XMLSchema" xmlns:xs="http://www.w3.org/2001/XMLSchema" xmlns:p="http://schemas.microsoft.com/office/2006/metadata/properties" xmlns:ns2="7f7e12b7-c00d-4027-ae63-b4d42f1a8d9f" xmlns:ns3="8fd4a9aa-832b-421e-abda-1997669950b2" targetNamespace="http://schemas.microsoft.com/office/2006/metadata/properties" ma:root="true" ma:fieldsID="e2a82583dc0fe7487b9bb5bc383d7cc4" ns2:_="" ns3:_="">
    <xsd:import namespace="7f7e12b7-c00d-4027-ae63-b4d42f1a8d9f"/>
    <xsd:import namespace="8fd4a9aa-832b-421e-abda-1997669950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e12b7-c00d-4027-ae63-b4d42f1a8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d4a9aa-832b-421e-abda-1997669950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customXml/itemProps3.xml><?xml version="1.0" encoding="utf-8"?>
<ds:datastoreItem xmlns:ds="http://schemas.openxmlformats.org/officeDocument/2006/customXml" ds:itemID="{3BD4BA40-CC32-4B16-8ABE-E1A8324A67D8}">
  <ds:schemaRefs>
    <ds:schemaRef ds:uri="http://purl.org/dc/elements/1.1/"/>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8fd4a9aa-832b-421e-abda-1997669950b2"/>
    <ds:schemaRef ds:uri="7f7e12b7-c00d-4027-ae63-b4d42f1a8d9f"/>
    <ds:schemaRef ds:uri="http://purl.org/dc/dcmitype/"/>
    <ds:schemaRef ds:uri="http://purl.org/dc/terms/"/>
  </ds:schemaRefs>
</ds:datastoreItem>
</file>

<file path=customXml/itemProps4.xml><?xml version="1.0" encoding="utf-8"?>
<ds:datastoreItem xmlns:ds="http://schemas.openxmlformats.org/officeDocument/2006/customXml" ds:itemID="{C2AFD68A-ED8E-42F0-AE6E-C5684C54F9D3}">
  <ds:schemaRefs>
    <ds:schemaRef ds:uri="http://schemas.microsoft.com/sharepoint/v3/contenttype/forms"/>
  </ds:schemaRefs>
</ds:datastoreItem>
</file>

<file path=customXml/itemProps5.xml><?xml version="1.0" encoding="utf-8"?>
<ds:datastoreItem xmlns:ds="http://schemas.openxmlformats.org/officeDocument/2006/customXml" ds:itemID="{B3771DED-6F34-40D3-856F-7188C5C95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e12b7-c00d-4027-ae63-b4d42f1a8d9f"/>
    <ds:schemaRef ds:uri="8fd4a9aa-832b-421e-abda-199766995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Long Report</Template>
  <TotalTime>29</TotalTime>
  <Pages>25</Pages>
  <Words>5558</Words>
  <Characters>31681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2023 review of railway licence holders’ environmental arrangements</dc:subject>
  <dc:creator>Angeriz-Santos, Paula</dc:creator>
  <cp:keywords/>
  <dc:description/>
  <cp:lastModifiedBy>Augusto, Barbara</cp:lastModifiedBy>
  <cp:revision>7</cp:revision>
  <cp:lastPrinted>2023-08-22T13:22:00Z</cp:lastPrinted>
  <dcterms:created xsi:type="dcterms:W3CDTF">2023-09-04T12:36:00Z</dcterms:created>
  <dcterms:modified xsi:type="dcterms:W3CDTF">2023-09-06T09:40:00Z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2ef96-5e05-4e14-bf42-f76c4ba3e2da_Enabled">
    <vt:lpwstr>true</vt:lpwstr>
  </property>
  <property fmtid="{D5CDD505-2E9C-101B-9397-08002B2CF9AE}" pid="3" name="MSIP_Label_b352ef96-5e05-4e14-bf42-f76c4ba3e2da_SetDate">
    <vt:lpwstr>2023-04-27T11:40:53Z</vt:lpwstr>
  </property>
  <property fmtid="{D5CDD505-2E9C-101B-9397-08002B2CF9AE}" pid="4" name="MSIP_Label_b352ef96-5e05-4e14-bf42-f76c4ba3e2da_Method">
    <vt:lpwstr>Standard</vt:lpwstr>
  </property>
  <property fmtid="{D5CDD505-2E9C-101B-9397-08002B2CF9AE}" pid="5" name="MSIP_Label_b352ef96-5e05-4e14-bf42-f76c4ba3e2da_Name">
    <vt:lpwstr>Official - Label</vt:lpwstr>
  </property>
  <property fmtid="{D5CDD505-2E9C-101B-9397-08002B2CF9AE}" pid="6" name="MSIP_Label_b352ef96-5e05-4e14-bf42-f76c4ba3e2da_SiteId">
    <vt:lpwstr>23237996-7f3a-4394-80f5-460cbc07613b</vt:lpwstr>
  </property>
  <property fmtid="{D5CDD505-2E9C-101B-9397-08002B2CF9AE}" pid="7" name="MSIP_Label_b352ef96-5e05-4e14-bf42-f76c4ba3e2da_ActionId">
    <vt:lpwstr>f2ec6aab-939a-4bb7-8471-44bf04bba67b</vt:lpwstr>
  </property>
  <property fmtid="{D5CDD505-2E9C-101B-9397-08002B2CF9AE}" pid="8" name="MSIP_Label_b352ef96-5e05-4e14-bf42-f76c4ba3e2da_ContentBits">
    <vt:lpwstr>0</vt:lpwstr>
  </property>
  <property fmtid="{D5CDD505-2E9C-101B-9397-08002B2CF9AE}" pid="9" name="ContentTypeId">
    <vt:lpwstr>0x010100F79E3660EBFD794FAC8CC622100493A1</vt:lpwstr>
  </property>
</Properties>
</file>