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012" w:rsidRDefault="004C301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4C3012" w:rsidRDefault="004C3012" w:rsidP="00014683"/>
                          <w:p w:rsidR="004C3012" w:rsidRDefault="004C3012" w:rsidP="00014683"/>
                          <w:p w:rsidR="004C3012" w:rsidRDefault="004C3012" w:rsidP="00014683"/>
                          <w:p w:rsidR="004C3012" w:rsidRDefault="004C3012" w:rsidP="00014683"/>
                          <w:p w:rsidR="004C3012" w:rsidRDefault="004C3012" w:rsidP="00014683"/>
                          <w:p w:rsidR="004C3012" w:rsidRDefault="004C301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4C3012" w:rsidRDefault="004C3012" w:rsidP="00014683"/>
                          <w:p w:rsidR="004C3012" w:rsidRDefault="004C3012" w:rsidP="00014683">
                            <w:pPr>
                              <w:rPr>
                                <w:sz w:val="12"/>
                                <w:szCs w:val="12"/>
                              </w:rPr>
                            </w:pPr>
                          </w:p>
                          <w:p w:rsidR="004C3012" w:rsidRDefault="004C3012" w:rsidP="00014683">
                            <w:pPr>
                              <w:rPr>
                                <w:sz w:val="12"/>
                                <w:szCs w:val="12"/>
                              </w:rPr>
                            </w:pPr>
                          </w:p>
                          <w:p w:rsidR="004C3012" w:rsidRPr="00CF0E13" w:rsidRDefault="004C3012" w:rsidP="00014683">
                            <w:pPr>
                              <w:rPr>
                                <w:sz w:val="12"/>
                                <w:szCs w:val="12"/>
                              </w:rPr>
                            </w:pPr>
                          </w:p>
                          <w:p w:rsidR="004C3012" w:rsidRDefault="004C3012" w:rsidP="00014683">
                            <w:pPr>
                              <w:rPr>
                                <w:sz w:val="16"/>
                                <w:szCs w:val="16"/>
                              </w:rPr>
                            </w:pPr>
                          </w:p>
                          <w:p w:rsidR="004C3012" w:rsidRPr="00CF0E13" w:rsidRDefault="004C3012" w:rsidP="00014683">
                            <w:pPr>
                              <w:rPr>
                                <w:sz w:val="12"/>
                                <w:szCs w:val="12"/>
                              </w:rPr>
                            </w:pPr>
                          </w:p>
                          <w:p w:rsidR="004C3012" w:rsidRDefault="004C3012" w:rsidP="00014683"/>
                          <w:p w:rsidR="004C3012" w:rsidRPr="00613154" w:rsidRDefault="004C3012" w:rsidP="00014683">
                            <w:pPr>
                              <w:rPr>
                                <w:sz w:val="16"/>
                                <w:szCs w:val="16"/>
                              </w:rPr>
                            </w:pPr>
                          </w:p>
                          <w:p w:rsidR="004C3012" w:rsidRDefault="004C3012" w:rsidP="00014683"/>
                          <w:p w:rsidR="004C3012" w:rsidRDefault="004C3012"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4C3012" w:rsidRDefault="004C301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4C3012" w:rsidRDefault="004C3012" w:rsidP="00014683"/>
                    <w:p w:rsidR="004C3012" w:rsidRDefault="004C3012" w:rsidP="00014683"/>
                    <w:p w:rsidR="004C3012" w:rsidRDefault="004C3012" w:rsidP="00014683"/>
                    <w:p w:rsidR="004C3012" w:rsidRDefault="004C3012" w:rsidP="00014683"/>
                    <w:p w:rsidR="004C3012" w:rsidRDefault="004C3012" w:rsidP="00014683"/>
                    <w:p w:rsidR="004C3012" w:rsidRDefault="004C301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4C3012" w:rsidRDefault="004C3012" w:rsidP="00014683"/>
                    <w:p w:rsidR="004C3012" w:rsidRDefault="004C3012" w:rsidP="00014683">
                      <w:pPr>
                        <w:rPr>
                          <w:sz w:val="12"/>
                          <w:szCs w:val="12"/>
                        </w:rPr>
                      </w:pPr>
                    </w:p>
                    <w:p w:rsidR="004C3012" w:rsidRDefault="004C3012" w:rsidP="00014683">
                      <w:pPr>
                        <w:rPr>
                          <w:sz w:val="12"/>
                          <w:szCs w:val="12"/>
                        </w:rPr>
                      </w:pPr>
                    </w:p>
                    <w:p w:rsidR="004C3012" w:rsidRPr="00CF0E13" w:rsidRDefault="004C3012" w:rsidP="00014683">
                      <w:pPr>
                        <w:rPr>
                          <w:sz w:val="12"/>
                          <w:szCs w:val="12"/>
                        </w:rPr>
                      </w:pPr>
                    </w:p>
                    <w:p w:rsidR="004C3012" w:rsidRDefault="004C3012" w:rsidP="00014683">
                      <w:pPr>
                        <w:rPr>
                          <w:sz w:val="16"/>
                          <w:szCs w:val="16"/>
                        </w:rPr>
                      </w:pPr>
                    </w:p>
                    <w:p w:rsidR="004C3012" w:rsidRPr="00CF0E13" w:rsidRDefault="004C3012" w:rsidP="00014683">
                      <w:pPr>
                        <w:rPr>
                          <w:sz w:val="12"/>
                          <w:szCs w:val="12"/>
                        </w:rPr>
                      </w:pPr>
                    </w:p>
                    <w:p w:rsidR="004C3012" w:rsidRDefault="004C3012" w:rsidP="00014683"/>
                    <w:p w:rsidR="004C3012" w:rsidRPr="00613154" w:rsidRDefault="004C3012" w:rsidP="00014683">
                      <w:pPr>
                        <w:rPr>
                          <w:sz w:val="16"/>
                          <w:szCs w:val="16"/>
                        </w:rPr>
                      </w:pPr>
                    </w:p>
                    <w:p w:rsidR="004C3012" w:rsidRDefault="004C3012" w:rsidP="00014683"/>
                    <w:p w:rsidR="004C3012" w:rsidRDefault="004C3012"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4C3012" w:rsidRPr="009A7473" w:rsidRDefault="004C3012" w:rsidP="004C3012">
      <w:pPr>
        <w:tabs>
          <w:tab w:val="left" w:pos="3969"/>
          <w:tab w:val="left" w:pos="7797"/>
        </w:tabs>
        <w:ind w:left="3969" w:right="515"/>
        <w:rPr>
          <w:b/>
          <w:sz w:val="24"/>
          <w:szCs w:val="24"/>
        </w:rPr>
      </w:pPr>
      <w:r>
        <w:rPr>
          <w:b/>
          <w:sz w:val="24"/>
          <w:szCs w:val="24"/>
        </w:rPr>
        <w:t>Estate Revaluation for Annual Reports and Accounts.</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4C3012">
        <w:rPr>
          <w:rFonts w:cs="Arial"/>
          <w:sz w:val="22"/>
          <w:szCs w:val="22"/>
        </w:rPr>
        <w:tab/>
      </w:r>
      <w:r w:rsidR="004C3012" w:rsidRPr="004C3012">
        <w:rPr>
          <w:sz w:val="22"/>
          <w:szCs w:val="22"/>
        </w:rPr>
        <w:t>Louise Parnell</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4C3012">
        <w:rPr>
          <w:rFonts w:cs="Arial"/>
          <w:sz w:val="22"/>
          <w:szCs w:val="22"/>
        </w:rPr>
        <w:tab/>
      </w:r>
      <w:r w:rsidR="004C3012" w:rsidRPr="004C3012">
        <w:rPr>
          <w:sz w:val="22"/>
          <w:szCs w:val="22"/>
        </w:rPr>
        <w:t>19/01/2018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EE61A3">
        <w:t>3</w:t>
      </w:r>
    </w:p>
    <w:p w:rsidR="003D10E0" w:rsidRDefault="003D10E0" w:rsidP="003D10E0">
      <w:pPr>
        <w:pStyle w:val="ListParagraph"/>
      </w:pPr>
      <w:r>
        <w:t>1.1</w:t>
      </w:r>
      <w:r>
        <w:tab/>
        <w:t>Company Background</w:t>
      </w:r>
      <w:r>
        <w:tab/>
      </w:r>
      <w:r>
        <w:tab/>
      </w:r>
      <w:r>
        <w:tab/>
      </w:r>
      <w:r>
        <w:tab/>
      </w:r>
      <w:r>
        <w:tab/>
      </w:r>
      <w:r w:rsidR="00EE61A3">
        <w:t>3</w:t>
      </w:r>
    </w:p>
    <w:p w:rsidR="003D10E0" w:rsidRDefault="00EE61A3"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EE61A3">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EE61A3">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132D5">
        <w:t>9</w:t>
      </w:r>
    </w:p>
    <w:p w:rsidR="006F0DF0" w:rsidRDefault="00535C01" w:rsidP="006F0DF0">
      <w:pPr>
        <w:pStyle w:val="ListParagraph"/>
      </w:pPr>
      <w:r>
        <w:t>3.</w:t>
      </w:r>
      <w:r w:rsidR="00DF1BCA">
        <w:t>2</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DF1BCA" w:rsidP="006F0DF0">
      <w:pPr>
        <w:pStyle w:val="ListParagraph"/>
      </w:pPr>
      <w:r>
        <w:t>3.3</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w:t>
      </w:r>
      <w:r w:rsidR="00DF1BCA">
        <w:t>4</w:t>
      </w:r>
      <w:r w:rsidR="001633F4">
        <w:tab/>
      </w:r>
      <w:r w:rsidR="00FB07B1">
        <w:t>Compliance</w:t>
      </w:r>
      <w:r w:rsidR="001633F4">
        <w:tab/>
      </w:r>
      <w:r w:rsidR="001633F4">
        <w:tab/>
      </w:r>
      <w:r w:rsidR="001633F4">
        <w:tab/>
      </w:r>
      <w:r w:rsidR="001633F4">
        <w:tab/>
      </w:r>
      <w:r w:rsidR="001633F4">
        <w:tab/>
      </w:r>
      <w:r w:rsidR="001633F4">
        <w:tab/>
      </w:r>
      <w:r w:rsidR="00B132D5">
        <w:t>10</w:t>
      </w:r>
    </w:p>
    <w:p w:rsidR="00FB07B1" w:rsidRDefault="00DF1BCA" w:rsidP="00FB07B1">
      <w:pPr>
        <w:pStyle w:val="ListParagraph"/>
      </w:pPr>
      <w:r>
        <w:t>3.5</w:t>
      </w:r>
      <w:r w:rsidR="00FB07B1">
        <w:tab/>
        <w:t>Evaluation</w:t>
      </w:r>
      <w:r w:rsidR="00FB07B1">
        <w:tab/>
      </w:r>
      <w:r w:rsidR="00FB07B1">
        <w:tab/>
      </w:r>
      <w:r w:rsidR="00FB07B1">
        <w:tab/>
      </w:r>
      <w:r w:rsidR="00FB07B1">
        <w:tab/>
      </w:r>
      <w:r w:rsidR="00FB07B1">
        <w:tab/>
      </w:r>
      <w:r w:rsidR="00FB07B1">
        <w:tab/>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w:t>
      </w:r>
      <w:r w:rsidR="00EE61A3">
        <w:t>1</w:t>
      </w:r>
    </w:p>
    <w:p w:rsidR="00084C2C" w:rsidRDefault="001633F4" w:rsidP="00EB7FAE">
      <w:pPr>
        <w:pStyle w:val="ListParagraph"/>
      </w:pPr>
      <w:r>
        <w:t>4.1</w:t>
      </w:r>
      <w:r>
        <w:tab/>
        <w:t>Introduction</w:t>
      </w:r>
      <w:r>
        <w:tab/>
      </w:r>
      <w:r>
        <w:tab/>
      </w:r>
      <w:r>
        <w:tab/>
      </w:r>
      <w:r>
        <w:tab/>
      </w:r>
      <w:r>
        <w:tab/>
      </w:r>
      <w:r>
        <w:tab/>
      </w:r>
      <w:r w:rsidR="00EE61A3">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EE61A3">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EE61A3">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EE61A3">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EE61A3">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EE61A3">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EE61A3">
        <w:t>2</w:t>
      </w:r>
    </w:p>
    <w:p w:rsidR="009C597D" w:rsidRDefault="001633F4" w:rsidP="009C597D">
      <w:pPr>
        <w:ind w:firstLine="709"/>
      </w:pPr>
      <w:r>
        <w:t>4.4</w:t>
      </w:r>
      <w:r w:rsidR="00EB7FAE">
        <w:tab/>
      </w:r>
      <w:r w:rsidR="009C597D">
        <w:t>NML Procurement P</w:t>
      </w:r>
      <w:r w:rsidR="00E36462">
        <w:t>rotocol</w:t>
      </w:r>
      <w:r w:rsidR="00EE61A3">
        <w:tab/>
      </w:r>
      <w:r w:rsidR="00EE61A3">
        <w:tab/>
      </w:r>
      <w:r w:rsidR="00EE61A3">
        <w:tab/>
      </w:r>
      <w:r w:rsidR="00EE61A3">
        <w:tab/>
      </w:r>
      <w:r w:rsidR="00EE61A3">
        <w:tab/>
        <w:t>12</w:t>
      </w:r>
    </w:p>
    <w:p w:rsidR="00EB7FAE" w:rsidRDefault="001633F4" w:rsidP="00084C2C">
      <w:pPr>
        <w:ind w:firstLine="709"/>
      </w:pPr>
      <w:r>
        <w:t>4.</w:t>
      </w:r>
      <w:r w:rsidR="00DF1BCA">
        <w:t>5</w:t>
      </w:r>
      <w:r w:rsidR="00EB7FAE">
        <w:tab/>
        <w:t>Timetable</w:t>
      </w:r>
      <w:r w:rsidR="00EB7FAE">
        <w:tab/>
      </w:r>
      <w:r w:rsidR="00EB7FAE">
        <w:tab/>
      </w:r>
      <w:r w:rsidR="00EB7FAE">
        <w:tab/>
      </w:r>
      <w:r w:rsidR="00EB7FAE">
        <w:tab/>
      </w:r>
      <w:r w:rsidR="00EB7FAE">
        <w:tab/>
      </w:r>
      <w:r w:rsidR="00084C2C">
        <w:tab/>
      </w:r>
      <w:r>
        <w:t>1</w:t>
      </w:r>
      <w:r w:rsidR="00EE61A3">
        <w:t>3</w:t>
      </w:r>
    </w:p>
    <w:p w:rsidR="00EB7FAE" w:rsidRDefault="001633F4" w:rsidP="00084C2C">
      <w:pPr>
        <w:ind w:firstLine="709"/>
      </w:pPr>
      <w:r>
        <w:t>4.</w:t>
      </w:r>
      <w:r w:rsidR="00DF1BCA">
        <w:t>6</w:t>
      </w:r>
      <w:r w:rsidR="00EB7FAE">
        <w:tab/>
        <w:t>Contractual Considerations</w:t>
      </w:r>
      <w:r w:rsidR="00EB7FAE">
        <w:tab/>
      </w:r>
      <w:r w:rsidR="00EB7FAE">
        <w:tab/>
      </w:r>
      <w:r w:rsidR="00EB7FAE">
        <w:tab/>
      </w:r>
      <w:r w:rsidR="00EB7FAE">
        <w:tab/>
      </w:r>
      <w:r w:rsidR="00084C2C">
        <w:tab/>
      </w:r>
      <w:r>
        <w:t>1</w:t>
      </w:r>
      <w:r w:rsidR="00EE61A3">
        <w:t>3</w:t>
      </w:r>
    </w:p>
    <w:p w:rsidR="001633F4" w:rsidRDefault="001633F4" w:rsidP="00084C2C">
      <w:pPr>
        <w:ind w:firstLine="709"/>
      </w:pPr>
      <w:r>
        <w:t>4.</w:t>
      </w:r>
      <w:r w:rsidR="00DF1BCA">
        <w:t>7</w:t>
      </w:r>
      <w:r>
        <w:tab/>
        <w:t>Costs</w:t>
      </w:r>
      <w:r>
        <w:tab/>
      </w:r>
      <w:r>
        <w:tab/>
      </w:r>
      <w:r>
        <w:tab/>
      </w:r>
      <w:r>
        <w:tab/>
      </w:r>
      <w:r>
        <w:tab/>
      </w:r>
      <w:r>
        <w:tab/>
      </w:r>
      <w:r>
        <w:tab/>
        <w:t>1</w:t>
      </w:r>
      <w:r w:rsidR="00EE61A3">
        <w:t>3</w:t>
      </w:r>
    </w:p>
    <w:p w:rsidR="00841D15" w:rsidRDefault="00841D15" w:rsidP="00084C2C">
      <w:pPr>
        <w:ind w:firstLine="709"/>
      </w:pPr>
      <w:r>
        <w:t>4.</w:t>
      </w:r>
      <w:r w:rsidR="00DF1BCA">
        <w:t>8</w:t>
      </w:r>
      <w:r>
        <w:t xml:space="preserve"> </w:t>
      </w:r>
      <w:r>
        <w:tab/>
      </w:r>
      <w:r w:rsidRPr="00841D15">
        <w:rPr>
          <w:rFonts w:cs="Arial"/>
          <w:szCs w:val="18"/>
        </w:rPr>
        <w:t>Summary of Documents to be returned as part of Submission</w:t>
      </w:r>
      <w:r w:rsidR="00EE61A3">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EE61A3">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EE61A3">
        <w:t>4</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EE61A3">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EE61A3" w:rsidRDefault="00EE61A3" w:rsidP="00084C2C">
      <w:pPr>
        <w:spacing w:line="240" w:lineRule="auto"/>
        <w:rPr>
          <w:rFonts w:cs="Arial"/>
          <w:szCs w:val="18"/>
        </w:rPr>
      </w:pPr>
      <w:r>
        <w:rPr>
          <w:rFonts w:cs="Arial"/>
          <w:szCs w:val="18"/>
        </w:rPr>
        <w:t>Appendix C</w:t>
      </w:r>
      <w:r w:rsidR="00DD3F9D" w:rsidRPr="00084C2C">
        <w:rPr>
          <w:rFonts w:cs="Arial"/>
          <w:szCs w:val="18"/>
        </w:rPr>
        <w:tab/>
        <w:t>–</w:t>
      </w:r>
      <w:r w:rsidR="00DD3F9D" w:rsidRPr="00084C2C">
        <w:rPr>
          <w:rFonts w:cs="Arial"/>
          <w:szCs w:val="18"/>
        </w:rPr>
        <w:tab/>
      </w:r>
      <w:r w:rsidR="00487B83" w:rsidRPr="00487B83">
        <w:rPr>
          <w:rFonts w:cs="Arial"/>
          <w:szCs w:val="18"/>
        </w:rPr>
        <w:t>NMGM 2016 2017 Account Final</w:t>
      </w:r>
    </w:p>
    <w:p w:rsidR="00DD3F9D" w:rsidRPr="00084C2C" w:rsidRDefault="00EE61A3" w:rsidP="00084C2C">
      <w:pPr>
        <w:spacing w:line="240" w:lineRule="auto"/>
        <w:rPr>
          <w:rFonts w:cs="Arial"/>
          <w:szCs w:val="18"/>
        </w:rPr>
      </w:pPr>
      <w:r>
        <w:rPr>
          <w:rFonts w:cs="Arial"/>
          <w:szCs w:val="18"/>
        </w:rPr>
        <w:t xml:space="preserve">Appendix D </w:t>
      </w:r>
      <w:r>
        <w:rPr>
          <w:rFonts w:cs="Arial"/>
          <w:szCs w:val="18"/>
        </w:rPr>
        <w:tab/>
        <w:t>-</w:t>
      </w:r>
      <w:r>
        <w:rPr>
          <w:rFonts w:cs="Arial"/>
          <w:szCs w:val="18"/>
        </w:rPr>
        <w:tab/>
        <w:t xml:space="preserve">NML </w:t>
      </w:r>
      <w:r w:rsidRPr="00EE61A3">
        <w:rPr>
          <w:rFonts w:cs="Arial"/>
          <w:szCs w:val="18"/>
        </w:rPr>
        <w:t>Property overview 2015 without plans</w:t>
      </w: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4C3012" w:rsidRPr="004C3012" w:rsidRDefault="004C3012" w:rsidP="004C3012">
      <w:pPr>
        <w:keepNext/>
        <w:keepLines/>
        <w:tabs>
          <w:tab w:val="left" w:pos="576"/>
          <w:tab w:val="left" w:pos="1152"/>
          <w:tab w:val="left" w:pos="1728"/>
          <w:tab w:val="left" w:pos="5760"/>
        </w:tabs>
        <w:suppressAutoHyphens/>
        <w:spacing w:before="80" w:line="240" w:lineRule="atLeast"/>
        <w:outlineLvl w:val="2"/>
        <w:rPr>
          <w:rFonts w:cs="Arial"/>
          <w:bCs/>
          <w:strike/>
          <w:sz w:val="22"/>
          <w:szCs w:val="22"/>
          <w:lang w:eastAsia="en-GB"/>
        </w:rPr>
      </w:pPr>
      <w:r w:rsidRPr="004C3012">
        <w:rPr>
          <w:sz w:val="22"/>
          <w:szCs w:val="22"/>
        </w:rPr>
        <w:t>National Museums of Liverpool (“NML”) require a desktop valuation of the land and buildings of their property assets as at 31 March 2018 to 31 March 2021 for inclusion in Financial Statements, using the Existing Use (EUV) and Depreciated Replacement Cost (DRC) method in accordance with Government Financial Reporting Manual (</w:t>
      </w:r>
      <w:proofErr w:type="spellStart"/>
      <w:r w:rsidRPr="004C3012">
        <w:rPr>
          <w:sz w:val="22"/>
          <w:szCs w:val="22"/>
        </w:rPr>
        <w:t>FReM</w:t>
      </w:r>
      <w:proofErr w:type="spellEnd"/>
      <w:r w:rsidRPr="004C3012">
        <w:rPr>
          <w:sz w:val="22"/>
          <w:szCs w:val="22"/>
        </w:rPr>
        <w:t xml:space="preserve">). </w:t>
      </w:r>
    </w:p>
    <w:p w:rsidR="004C3012" w:rsidRPr="004C3012" w:rsidRDefault="004C3012" w:rsidP="004C3012">
      <w:pPr>
        <w:keepNext/>
        <w:keepLines/>
        <w:tabs>
          <w:tab w:val="left" w:pos="576"/>
          <w:tab w:val="left" w:pos="1152"/>
          <w:tab w:val="left" w:pos="1728"/>
          <w:tab w:val="left" w:pos="5760"/>
        </w:tabs>
        <w:suppressAutoHyphens/>
        <w:spacing w:before="80" w:line="240" w:lineRule="atLeast"/>
        <w:ind w:left="-567"/>
        <w:outlineLvl w:val="2"/>
        <w:rPr>
          <w:rFonts w:cs="Arial"/>
          <w:bCs/>
          <w:strike/>
          <w:sz w:val="22"/>
          <w:szCs w:val="22"/>
          <w:lang w:eastAsia="en-GB"/>
        </w:rPr>
      </w:pPr>
    </w:p>
    <w:p w:rsidR="004C3012" w:rsidRPr="004C3012" w:rsidRDefault="004C3012" w:rsidP="004C3012">
      <w:pPr>
        <w:pStyle w:val="Default"/>
        <w:rPr>
          <w:sz w:val="22"/>
          <w:szCs w:val="22"/>
        </w:rPr>
      </w:pPr>
      <w:r w:rsidRPr="004C3012">
        <w:rPr>
          <w:sz w:val="22"/>
          <w:szCs w:val="22"/>
        </w:rPr>
        <w:t xml:space="preserve">The valuation should comply fully with the requirements of the RICS Valuation - Professional Standards 2014 (“Red Book”) (Amended April 2015) published by the Royal Institution of Chartered Surveyors. </w:t>
      </w:r>
    </w:p>
    <w:p w:rsidR="004C3012" w:rsidRPr="004C3012" w:rsidRDefault="004C3012" w:rsidP="004C3012">
      <w:pPr>
        <w:pStyle w:val="Default"/>
        <w:rPr>
          <w:sz w:val="22"/>
          <w:szCs w:val="22"/>
        </w:rPr>
      </w:pPr>
    </w:p>
    <w:p w:rsidR="004C3012" w:rsidRPr="004C3012" w:rsidRDefault="004C3012" w:rsidP="004C3012">
      <w:pPr>
        <w:pStyle w:val="Default"/>
        <w:rPr>
          <w:sz w:val="22"/>
          <w:szCs w:val="22"/>
        </w:rPr>
      </w:pPr>
      <w:r w:rsidRPr="004C3012">
        <w:rPr>
          <w:sz w:val="22"/>
          <w:szCs w:val="22"/>
        </w:rPr>
        <w:t xml:space="preserve">It should also refer to UKGN 7 Valuations for Charities for accounting periods on or after 1 January 2015 the new Charities SORPs, based on FRS 102. </w:t>
      </w:r>
    </w:p>
    <w:p w:rsidR="004C3012" w:rsidRPr="004C3012" w:rsidRDefault="004C3012" w:rsidP="004C3012">
      <w:pPr>
        <w:pStyle w:val="Default"/>
        <w:rPr>
          <w:sz w:val="22"/>
          <w:szCs w:val="22"/>
        </w:rPr>
      </w:pPr>
    </w:p>
    <w:p w:rsidR="004C3012" w:rsidRPr="004C3012" w:rsidRDefault="004C3012" w:rsidP="004C3012">
      <w:pPr>
        <w:pStyle w:val="Default"/>
        <w:rPr>
          <w:sz w:val="22"/>
          <w:szCs w:val="22"/>
        </w:rPr>
      </w:pPr>
    </w:p>
    <w:p w:rsidR="004C3012" w:rsidRPr="004C3012" w:rsidRDefault="004C3012" w:rsidP="004C3012">
      <w:pPr>
        <w:jc w:val="left"/>
        <w:rPr>
          <w:sz w:val="22"/>
          <w:szCs w:val="22"/>
        </w:rPr>
      </w:pPr>
      <w:r w:rsidRPr="004C3012">
        <w:rPr>
          <w:sz w:val="22"/>
          <w:szCs w:val="22"/>
        </w:rPr>
        <w:lastRenderedPageBreak/>
        <w:t>The requirements regarding qualifications, knowledge and skills should be met as set out in UK Practice Statement 1 and for independence and objectivity in Practice Statements 1.6 and 1.7 of the Red Book.</w:t>
      </w:r>
    </w:p>
    <w:p w:rsidR="004C3012" w:rsidRPr="004C3012" w:rsidRDefault="004C3012" w:rsidP="004C3012">
      <w:pPr>
        <w:jc w:val="left"/>
        <w:rPr>
          <w:sz w:val="22"/>
          <w:szCs w:val="22"/>
        </w:rPr>
      </w:pPr>
    </w:p>
    <w:p w:rsidR="004C3012" w:rsidRPr="004C3012" w:rsidRDefault="004C3012" w:rsidP="004C3012">
      <w:pPr>
        <w:jc w:val="left"/>
        <w:rPr>
          <w:sz w:val="22"/>
          <w:szCs w:val="22"/>
        </w:rPr>
      </w:pPr>
      <w:r w:rsidRPr="004C3012">
        <w:rPr>
          <w:sz w:val="22"/>
          <w:szCs w:val="22"/>
        </w:rPr>
        <w:t xml:space="preserve">The supplier must be an "external </w:t>
      </w:r>
      <w:proofErr w:type="spellStart"/>
      <w:r w:rsidRPr="004C3012">
        <w:rPr>
          <w:sz w:val="22"/>
          <w:szCs w:val="22"/>
        </w:rPr>
        <w:t>valuer</w:t>
      </w:r>
      <w:proofErr w:type="spellEnd"/>
      <w:r w:rsidRPr="004C3012">
        <w:rPr>
          <w:sz w:val="22"/>
          <w:szCs w:val="22"/>
        </w:rPr>
        <w:t>" as defined in RICS Valuation - Professional Standards 2014 (“Red Book”) issued by the Royal Institution of Chartered Surveyors.</w:t>
      </w:r>
    </w:p>
    <w:p w:rsidR="004C3012" w:rsidRPr="004C3012" w:rsidRDefault="004C3012" w:rsidP="004C3012">
      <w:pPr>
        <w:jc w:val="left"/>
        <w:rPr>
          <w:sz w:val="22"/>
          <w:szCs w:val="22"/>
        </w:rPr>
      </w:pPr>
    </w:p>
    <w:p w:rsidR="004C3012" w:rsidRPr="004C3012" w:rsidRDefault="004C3012" w:rsidP="004C3012">
      <w:pPr>
        <w:jc w:val="left"/>
        <w:rPr>
          <w:sz w:val="22"/>
          <w:szCs w:val="22"/>
        </w:rPr>
      </w:pPr>
      <w:r w:rsidRPr="004C3012">
        <w:rPr>
          <w:sz w:val="22"/>
          <w:szCs w:val="22"/>
        </w:rPr>
        <w:t>The Annual Report and Accounts is attached. The note on Fixed Assets Land &amp; Buildings is Note 6. Information on m</w:t>
      </w:r>
      <w:r w:rsidRPr="004C3012">
        <w:rPr>
          <w:sz w:val="22"/>
          <w:szCs w:val="22"/>
          <w:vertAlign w:val="superscript"/>
        </w:rPr>
        <w:t xml:space="preserve">2 </w:t>
      </w:r>
      <w:r w:rsidRPr="004C3012">
        <w:rPr>
          <w:sz w:val="22"/>
          <w:szCs w:val="22"/>
        </w:rPr>
        <w:t>may be provided on request.</w:t>
      </w:r>
    </w:p>
    <w:p w:rsidR="004C3012" w:rsidRPr="004C3012" w:rsidRDefault="004C3012" w:rsidP="004C3012">
      <w:pPr>
        <w:jc w:val="left"/>
        <w:rPr>
          <w:sz w:val="22"/>
          <w:szCs w:val="22"/>
        </w:rPr>
      </w:pPr>
    </w:p>
    <w:p w:rsidR="004C3012" w:rsidRPr="004C3012" w:rsidRDefault="004C3012" w:rsidP="004C3012">
      <w:pPr>
        <w:jc w:val="left"/>
        <w:rPr>
          <w:sz w:val="22"/>
          <w:szCs w:val="22"/>
        </w:rPr>
      </w:pPr>
      <w:r w:rsidRPr="004C3012">
        <w:rPr>
          <w:sz w:val="22"/>
          <w:szCs w:val="22"/>
        </w:rPr>
        <w:t>The last full inspection of the estate was @ 31 March 2017.</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4C3012"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 xml:space="preserve">s are asked to submit a formal tender for the </w:t>
      </w:r>
      <w:r w:rsidR="007D2610" w:rsidRPr="004C3012">
        <w:rPr>
          <w:rFonts w:cs="Arial"/>
          <w:sz w:val="22"/>
          <w:szCs w:val="22"/>
        </w:rPr>
        <w:t>“</w:t>
      </w:r>
      <w:r w:rsidR="004C3012">
        <w:rPr>
          <w:rFonts w:cs="Arial"/>
          <w:sz w:val="22"/>
          <w:szCs w:val="22"/>
        </w:rPr>
        <w:t xml:space="preserve">NML </w:t>
      </w:r>
      <w:r w:rsidR="004C3012" w:rsidRPr="004C3012">
        <w:rPr>
          <w:rFonts w:cs="Arial"/>
          <w:sz w:val="22"/>
          <w:szCs w:val="22"/>
        </w:rPr>
        <w:t>Estate Revaluation</w:t>
      </w:r>
      <w:r w:rsidR="007D2610" w:rsidRPr="004C3012">
        <w:rPr>
          <w:rFonts w:cs="Arial"/>
          <w:sz w:val="22"/>
          <w:szCs w:val="22"/>
          <w:lang w:val="en-US"/>
        </w:rPr>
        <w:t>”</w:t>
      </w:r>
      <w:r w:rsidR="007D2610" w:rsidRPr="004C3012">
        <w:rPr>
          <w:rFonts w:cs="Arial"/>
          <w:sz w:val="22"/>
          <w:szCs w:val="22"/>
        </w:rPr>
        <w:t xml:space="preserve">. </w:t>
      </w:r>
    </w:p>
    <w:p w:rsidR="007D2610" w:rsidRPr="00B23806" w:rsidRDefault="007D2610" w:rsidP="00521A37">
      <w:pPr>
        <w:spacing w:line="240" w:lineRule="auto"/>
        <w:rPr>
          <w:rFonts w:cs="Arial"/>
          <w:sz w:val="22"/>
          <w:szCs w:val="22"/>
        </w:rPr>
      </w:pPr>
    </w:p>
    <w:p w:rsidR="004C3012" w:rsidRPr="004C3012" w:rsidRDefault="004C3012" w:rsidP="004C3012">
      <w:pPr>
        <w:pStyle w:val="ReportText2"/>
        <w:spacing w:after="120" w:line="300" w:lineRule="auto"/>
        <w:ind w:left="0"/>
        <w:rPr>
          <w:rFonts w:cs="Arial"/>
          <w:sz w:val="22"/>
          <w:szCs w:val="22"/>
        </w:rPr>
      </w:pPr>
      <w:r w:rsidRPr="004C3012">
        <w:rPr>
          <w:rFonts w:cs="Arial"/>
          <w:sz w:val="22"/>
          <w:szCs w:val="22"/>
        </w:rPr>
        <w:t>Suppliers are asked to submit a formal tender for the desktop revaluations of NML’s estate as at 31</w:t>
      </w:r>
      <w:r w:rsidRPr="004C3012">
        <w:rPr>
          <w:rFonts w:cs="Arial"/>
          <w:sz w:val="22"/>
          <w:szCs w:val="22"/>
          <w:vertAlign w:val="superscript"/>
        </w:rPr>
        <w:t>st</w:t>
      </w:r>
      <w:r w:rsidRPr="004C3012">
        <w:rPr>
          <w:rFonts w:cs="Arial"/>
          <w:sz w:val="22"/>
          <w:szCs w:val="22"/>
        </w:rPr>
        <w:t xml:space="preserve"> March 2018 to 31 March 2021 for inclusion in the Annual Report and Accounts. Tendering is required by NMLs procurement processes that ensure that NML is adhering to Public Procurement guidelines. </w:t>
      </w:r>
    </w:p>
    <w:p w:rsidR="004C3012" w:rsidRPr="004C3012" w:rsidRDefault="004C3012" w:rsidP="004C3012">
      <w:pPr>
        <w:spacing w:after="120"/>
        <w:rPr>
          <w:rFonts w:cs="Arial"/>
          <w:sz w:val="22"/>
          <w:szCs w:val="22"/>
        </w:rPr>
      </w:pPr>
    </w:p>
    <w:p w:rsidR="000A5E08" w:rsidRPr="00B23806" w:rsidRDefault="000A5E08" w:rsidP="00521A37">
      <w:pPr>
        <w:spacing w:line="240" w:lineRule="auto"/>
        <w:jc w:val="left"/>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4C3012">
        <w:rPr>
          <w:rFonts w:cs="Arial"/>
          <w:sz w:val="22"/>
          <w:szCs w:val="22"/>
        </w:rPr>
        <w:t xml:space="preserve">NML </w:t>
      </w:r>
      <w:r w:rsidR="004C3012" w:rsidRPr="004C3012">
        <w:rPr>
          <w:rFonts w:cs="Arial"/>
          <w:sz w:val="22"/>
          <w:szCs w:val="22"/>
        </w:rPr>
        <w:t>Estate Revaluation</w:t>
      </w:r>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4C3012">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4C3012" w:rsidP="00EE61A3">
            <w:pPr>
              <w:spacing w:line="240" w:lineRule="auto"/>
              <w:rPr>
                <w:rFonts w:eastAsiaTheme="minorHAnsi" w:cs="Arial"/>
                <w:b/>
                <w:bCs/>
                <w:color w:val="FF0000"/>
                <w:sz w:val="22"/>
                <w:szCs w:val="22"/>
              </w:rPr>
            </w:pPr>
            <w:r>
              <w:rPr>
                <w:rFonts w:eastAsiaTheme="minorHAnsi" w:cs="Arial"/>
                <w:b/>
                <w:bCs/>
                <w:color w:val="FF0000"/>
                <w:sz w:val="22"/>
                <w:szCs w:val="22"/>
              </w:rPr>
              <w:t>3</w:t>
            </w:r>
            <w:r w:rsidR="00EE61A3">
              <w:rPr>
                <w:rFonts w:eastAsiaTheme="minorHAnsi" w:cs="Arial"/>
                <w:b/>
                <w:bCs/>
                <w:color w:val="FF0000"/>
                <w:sz w:val="22"/>
                <w:szCs w:val="22"/>
              </w:rPr>
              <w:t>0</w:t>
            </w:r>
            <w:r w:rsidR="00897B31" w:rsidRPr="00B23806">
              <w:rPr>
                <w:rFonts w:eastAsiaTheme="minorHAnsi" w:cs="Arial"/>
                <w:b/>
                <w:bCs/>
                <w:color w:val="FF0000"/>
                <w:sz w:val="22"/>
                <w:szCs w:val="22"/>
              </w:rPr>
              <w:t>/</w:t>
            </w:r>
            <w:r>
              <w:rPr>
                <w:rFonts w:eastAsiaTheme="minorHAnsi" w:cs="Arial"/>
                <w:b/>
                <w:bCs/>
                <w:color w:val="FF0000"/>
                <w:sz w:val="22"/>
                <w:szCs w:val="22"/>
              </w:rPr>
              <w:t>01</w:t>
            </w:r>
            <w:r w:rsidR="00897B31" w:rsidRPr="00B23806">
              <w:rPr>
                <w:rFonts w:eastAsiaTheme="minorHAnsi" w:cs="Arial"/>
                <w:b/>
                <w:bCs/>
                <w:color w:val="FF0000"/>
                <w:sz w:val="22"/>
                <w:szCs w:val="22"/>
              </w:rPr>
              <w:t>/</w:t>
            </w:r>
            <w:r>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4C3012" w:rsidP="00DF1BCA">
            <w:pPr>
              <w:rPr>
                <w:rFonts w:cs="Arial"/>
                <w:sz w:val="22"/>
                <w:szCs w:val="22"/>
              </w:rPr>
            </w:pPr>
            <w:r>
              <w:rPr>
                <w:rFonts w:eastAsiaTheme="minorHAnsi" w:cs="Arial"/>
                <w:b/>
                <w:bCs/>
                <w:color w:val="FF0000"/>
                <w:sz w:val="22"/>
                <w:szCs w:val="22"/>
              </w:rPr>
              <w:t>1</w:t>
            </w:r>
            <w:r w:rsidR="00DF1BCA">
              <w:rPr>
                <w:rFonts w:eastAsiaTheme="minorHAnsi" w:cs="Arial"/>
                <w:b/>
                <w:bCs/>
                <w:color w:val="FF0000"/>
                <w:sz w:val="22"/>
                <w:szCs w:val="22"/>
              </w:rPr>
              <w:t>3</w:t>
            </w:r>
            <w:r>
              <w:rPr>
                <w:rFonts w:eastAsiaTheme="minorHAnsi" w:cs="Arial"/>
                <w:b/>
                <w:bCs/>
                <w:color w:val="FF0000"/>
                <w:sz w:val="22"/>
                <w:szCs w:val="22"/>
              </w:rPr>
              <w:t>/02/2018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DF1BCA" w:rsidP="00DF1BCA">
            <w:pPr>
              <w:rPr>
                <w:rFonts w:cs="Arial"/>
                <w:sz w:val="22"/>
                <w:szCs w:val="22"/>
              </w:rPr>
            </w:pPr>
            <w:r>
              <w:rPr>
                <w:rFonts w:eastAsiaTheme="minorHAnsi" w:cs="Arial"/>
                <w:b/>
                <w:bCs/>
                <w:color w:val="FF0000"/>
                <w:sz w:val="22"/>
                <w:szCs w:val="22"/>
              </w:rPr>
              <w:t>16</w:t>
            </w:r>
            <w:r w:rsidR="004C3012">
              <w:rPr>
                <w:rFonts w:eastAsiaTheme="minorHAnsi" w:cs="Arial"/>
                <w:b/>
                <w:bCs/>
                <w:color w:val="FF0000"/>
                <w:sz w:val="22"/>
                <w:szCs w:val="22"/>
              </w:rPr>
              <w:t>/02/2018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EE61A3" w:rsidP="00DF1BCA">
            <w:pPr>
              <w:rPr>
                <w:rFonts w:cs="Arial"/>
                <w:b/>
                <w:sz w:val="22"/>
                <w:szCs w:val="22"/>
              </w:rPr>
            </w:pPr>
            <w:r>
              <w:rPr>
                <w:rFonts w:eastAsiaTheme="minorHAnsi" w:cs="Arial"/>
                <w:b/>
                <w:bCs/>
                <w:color w:val="FF0000"/>
                <w:sz w:val="22"/>
                <w:szCs w:val="22"/>
              </w:rPr>
              <w:t>19</w:t>
            </w:r>
            <w:r w:rsidR="004C3012">
              <w:rPr>
                <w:rFonts w:eastAsiaTheme="minorHAnsi" w:cs="Arial"/>
                <w:b/>
                <w:bCs/>
                <w:color w:val="FF0000"/>
                <w:sz w:val="22"/>
                <w:szCs w:val="22"/>
              </w:rPr>
              <w:t>/02/2018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EE61A3" w:rsidP="00EE61A3">
            <w:pPr>
              <w:rPr>
                <w:rFonts w:eastAsiaTheme="minorHAnsi" w:cs="Arial"/>
                <w:b/>
                <w:bCs/>
                <w:color w:val="FF0000"/>
                <w:sz w:val="22"/>
                <w:szCs w:val="22"/>
              </w:rPr>
            </w:pPr>
            <w:r>
              <w:rPr>
                <w:rFonts w:eastAsiaTheme="minorHAnsi" w:cs="Arial"/>
                <w:b/>
                <w:bCs/>
                <w:color w:val="FF0000"/>
                <w:sz w:val="22"/>
                <w:szCs w:val="22"/>
              </w:rPr>
              <w:t>19</w:t>
            </w:r>
            <w:r w:rsidR="004C3012">
              <w:rPr>
                <w:rFonts w:eastAsiaTheme="minorHAnsi" w:cs="Arial"/>
                <w:b/>
                <w:bCs/>
                <w:color w:val="FF0000"/>
                <w:sz w:val="22"/>
                <w:szCs w:val="22"/>
              </w:rPr>
              <w:t>/02/2018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DF1BCA" w:rsidP="00EE61A3">
            <w:pPr>
              <w:rPr>
                <w:rFonts w:cs="Arial"/>
                <w:sz w:val="22"/>
                <w:szCs w:val="22"/>
              </w:rPr>
            </w:pPr>
            <w:r>
              <w:rPr>
                <w:rFonts w:eastAsiaTheme="minorHAnsi" w:cs="Arial"/>
                <w:b/>
                <w:bCs/>
                <w:color w:val="FF0000"/>
                <w:sz w:val="22"/>
                <w:szCs w:val="22"/>
              </w:rPr>
              <w:t>2</w:t>
            </w:r>
            <w:r w:rsidR="00EE61A3">
              <w:rPr>
                <w:rFonts w:eastAsiaTheme="minorHAnsi" w:cs="Arial"/>
                <w:b/>
                <w:bCs/>
                <w:color w:val="FF0000"/>
                <w:sz w:val="22"/>
                <w:szCs w:val="22"/>
              </w:rPr>
              <w:t>2</w:t>
            </w:r>
            <w:r w:rsidR="004C3012">
              <w:rPr>
                <w:rFonts w:eastAsiaTheme="minorHAnsi" w:cs="Arial"/>
                <w:b/>
                <w:bCs/>
                <w:color w:val="FF0000"/>
                <w:sz w:val="22"/>
                <w:szCs w:val="22"/>
              </w:rPr>
              <w:t>/0</w:t>
            </w:r>
            <w:r>
              <w:rPr>
                <w:rFonts w:eastAsiaTheme="minorHAnsi" w:cs="Arial"/>
                <w:b/>
                <w:bCs/>
                <w:color w:val="FF0000"/>
                <w:sz w:val="22"/>
                <w:szCs w:val="22"/>
              </w:rPr>
              <w:t>2</w:t>
            </w:r>
            <w:r w:rsidR="004C3012">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DF1BCA" w:rsidP="00EE61A3">
            <w:pPr>
              <w:rPr>
                <w:rFonts w:cs="Arial"/>
                <w:sz w:val="22"/>
                <w:szCs w:val="22"/>
              </w:rPr>
            </w:pPr>
            <w:r>
              <w:rPr>
                <w:rFonts w:eastAsiaTheme="minorHAnsi" w:cs="Arial"/>
                <w:b/>
                <w:bCs/>
                <w:color w:val="FF0000"/>
                <w:sz w:val="22"/>
                <w:szCs w:val="22"/>
              </w:rPr>
              <w:t>2</w:t>
            </w:r>
            <w:r w:rsidR="00EE61A3">
              <w:rPr>
                <w:rFonts w:eastAsiaTheme="minorHAnsi" w:cs="Arial"/>
                <w:b/>
                <w:bCs/>
                <w:color w:val="FF0000"/>
                <w:sz w:val="22"/>
                <w:szCs w:val="22"/>
              </w:rPr>
              <w:t>2</w:t>
            </w:r>
            <w:r w:rsidR="004C3012">
              <w:rPr>
                <w:rFonts w:eastAsiaTheme="minorHAnsi" w:cs="Arial"/>
                <w:b/>
                <w:bCs/>
                <w:color w:val="FF0000"/>
                <w:sz w:val="22"/>
                <w:szCs w:val="22"/>
              </w:rPr>
              <w:t>/0</w:t>
            </w:r>
            <w:r>
              <w:rPr>
                <w:rFonts w:eastAsiaTheme="minorHAnsi" w:cs="Arial"/>
                <w:b/>
                <w:bCs/>
                <w:color w:val="FF0000"/>
                <w:sz w:val="22"/>
                <w:szCs w:val="22"/>
              </w:rPr>
              <w:t>2</w:t>
            </w:r>
            <w:r w:rsidR="004C3012">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DF1BCA" w:rsidP="00EE61A3">
            <w:pPr>
              <w:rPr>
                <w:rFonts w:cs="Arial"/>
                <w:sz w:val="22"/>
                <w:szCs w:val="22"/>
              </w:rPr>
            </w:pPr>
            <w:r>
              <w:rPr>
                <w:rFonts w:eastAsiaTheme="minorHAnsi" w:cs="Arial"/>
                <w:b/>
                <w:bCs/>
                <w:color w:val="FF0000"/>
                <w:sz w:val="22"/>
                <w:szCs w:val="22"/>
              </w:rPr>
              <w:t>0</w:t>
            </w:r>
            <w:r w:rsidR="00EE61A3">
              <w:rPr>
                <w:rFonts w:eastAsiaTheme="minorHAnsi" w:cs="Arial"/>
                <w:b/>
                <w:bCs/>
                <w:color w:val="FF0000"/>
                <w:sz w:val="22"/>
                <w:szCs w:val="22"/>
              </w:rPr>
              <w:t>5</w:t>
            </w:r>
            <w:r w:rsidR="004C3012">
              <w:rPr>
                <w:rFonts w:eastAsiaTheme="minorHAnsi" w:cs="Arial"/>
                <w:b/>
                <w:bCs/>
                <w:color w:val="FF0000"/>
                <w:sz w:val="22"/>
                <w:szCs w:val="22"/>
              </w:rPr>
              <w:t>/03/2018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4C3012" w:rsidP="004C3012">
            <w:pPr>
              <w:spacing w:line="240" w:lineRule="auto"/>
              <w:rPr>
                <w:rFonts w:eastAsiaTheme="minorHAnsi" w:cs="Arial"/>
                <w:sz w:val="22"/>
                <w:szCs w:val="22"/>
              </w:rPr>
            </w:pPr>
            <w:r>
              <w:rPr>
                <w:rFonts w:cs="Arial"/>
                <w:sz w:val="22"/>
                <w:szCs w:val="22"/>
              </w:rPr>
              <w:t>Contract Completion</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4C3012" w:rsidP="00DF1BCA">
            <w:pPr>
              <w:spacing w:line="240" w:lineRule="auto"/>
              <w:rPr>
                <w:rFonts w:eastAsiaTheme="minorHAnsi" w:cs="Arial"/>
                <w:b/>
                <w:bCs/>
                <w:color w:val="FF0000"/>
                <w:sz w:val="22"/>
                <w:szCs w:val="22"/>
              </w:rPr>
            </w:pPr>
            <w:r>
              <w:rPr>
                <w:rFonts w:eastAsiaTheme="minorHAnsi" w:cs="Arial"/>
                <w:b/>
                <w:bCs/>
                <w:color w:val="FF0000"/>
                <w:sz w:val="22"/>
                <w:szCs w:val="22"/>
              </w:rPr>
              <w:t>31/0</w:t>
            </w:r>
            <w:r w:rsidR="00DF1BCA">
              <w:rPr>
                <w:rFonts w:eastAsiaTheme="minorHAnsi" w:cs="Arial"/>
                <w:b/>
                <w:bCs/>
                <w:color w:val="FF0000"/>
                <w:sz w:val="22"/>
                <w:szCs w:val="22"/>
              </w:rPr>
              <w:t>3</w:t>
            </w:r>
            <w:r>
              <w:rPr>
                <w:rFonts w:eastAsiaTheme="minorHAnsi" w:cs="Arial"/>
                <w:b/>
                <w:bCs/>
                <w:color w:val="FF0000"/>
                <w:sz w:val="22"/>
                <w:szCs w:val="22"/>
              </w:rPr>
              <w:t>/2018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00DF1BCA">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titled </w:t>
      </w:r>
      <w:r w:rsidR="004C3012">
        <w:rPr>
          <w:rFonts w:cs="Arial"/>
          <w:sz w:val="22"/>
          <w:szCs w:val="22"/>
        </w:rPr>
        <w:t xml:space="preserve">“NML </w:t>
      </w:r>
      <w:r w:rsidR="004C3012" w:rsidRPr="004C3012">
        <w:rPr>
          <w:rFonts w:cs="Arial"/>
          <w:sz w:val="22"/>
          <w:szCs w:val="22"/>
        </w:rPr>
        <w:t>Estate Revaluation</w:t>
      </w:r>
      <w:r w:rsidR="004C3012">
        <w:rPr>
          <w:rFonts w:cs="Arial"/>
          <w:sz w:val="22"/>
          <w:szCs w:val="22"/>
        </w:rPr>
        <w:t>”</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Noon on</w:t>
      </w:r>
      <w:r w:rsidR="00EE61A3">
        <w:rPr>
          <w:rFonts w:cs="Arial"/>
          <w:b/>
          <w:sz w:val="22"/>
          <w:szCs w:val="22"/>
        </w:rPr>
        <w:t xml:space="preserve"> 19</w:t>
      </w:r>
      <w:r w:rsidR="00EE61A3" w:rsidRPr="00EE61A3">
        <w:rPr>
          <w:rFonts w:cs="Arial"/>
          <w:b/>
          <w:sz w:val="22"/>
          <w:szCs w:val="22"/>
          <w:vertAlign w:val="superscript"/>
        </w:rPr>
        <w:t>th</w:t>
      </w:r>
      <w:r w:rsidR="00EE61A3">
        <w:rPr>
          <w:rFonts w:cs="Arial"/>
          <w:b/>
          <w:sz w:val="22"/>
          <w:szCs w:val="22"/>
        </w:rPr>
        <w:t xml:space="preserve"> February 2018</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EE61A3">
        <w:rPr>
          <w:rFonts w:cs="Arial"/>
          <w:b/>
          <w:sz w:val="22"/>
          <w:szCs w:val="22"/>
        </w:rPr>
        <w:t>19</w:t>
      </w:r>
      <w:r w:rsidR="00EE61A3" w:rsidRPr="00EE61A3">
        <w:rPr>
          <w:rFonts w:cs="Arial"/>
          <w:b/>
          <w:sz w:val="22"/>
          <w:szCs w:val="22"/>
          <w:vertAlign w:val="superscript"/>
        </w:rPr>
        <w:t>th</w:t>
      </w:r>
      <w:r w:rsidR="00EE61A3">
        <w:rPr>
          <w:rFonts w:cs="Arial"/>
          <w:b/>
          <w:sz w:val="22"/>
          <w:szCs w:val="22"/>
        </w:rPr>
        <w:t xml:space="preserve"> February 2018</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DF1BCA">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DF1BCA">
        <w:rPr>
          <w:rFonts w:cs="Arial"/>
          <w:b/>
          <w:sz w:val="22"/>
          <w:szCs w:val="22"/>
        </w:rPr>
        <w:t>5</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DF1BCA">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DF1BCA">
        <w:tc>
          <w:tcPr>
            <w:tcW w:w="971" w:type="dxa"/>
          </w:tcPr>
          <w:p w:rsidR="00B154C4" w:rsidRPr="00DF1BCA" w:rsidRDefault="00B154C4" w:rsidP="00521A37">
            <w:pPr>
              <w:spacing w:line="240" w:lineRule="auto"/>
              <w:rPr>
                <w:rFonts w:cs="Arial"/>
                <w:sz w:val="22"/>
                <w:szCs w:val="22"/>
              </w:rPr>
            </w:pPr>
            <w:r w:rsidRPr="00DF1BCA">
              <w:rPr>
                <w:rFonts w:cs="Arial"/>
                <w:sz w:val="22"/>
                <w:szCs w:val="22"/>
              </w:rPr>
              <w:t>Quality</w:t>
            </w:r>
          </w:p>
        </w:tc>
        <w:tc>
          <w:tcPr>
            <w:tcW w:w="6108" w:type="dxa"/>
          </w:tcPr>
          <w:p w:rsidR="00B154C4" w:rsidRPr="00DF1BCA" w:rsidRDefault="00DF1BCA" w:rsidP="00DF1BCA">
            <w:pPr>
              <w:spacing w:line="240" w:lineRule="auto"/>
              <w:rPr>
                <w:rFonts w:cs="Arial"/>
                <w:sz w:val="22"/>
                <w:szCs w:val="22"/>
              </w:rPr>
            </w:pPr>
            <w:r w:rsidRPr="00DF1BCA">
              <w:rPr>
                <w:rFonts w:cs="Arial"/>
                <w:sz w:val="22"/>
                <w:szCs w:val="22"/>
              </w:rPr>
              <w:t>Experience of successful valuations in the sector</w:t>
            </w:r>
          </w:p>
        </w:tc>
        <w:tc>
          <w:tcPr>
            <w:tcW w:w="1165" w:type="dxa"/>
          </w:tcPr>
          <w:p w:rsidR="00B154C4" w:rsidRPr="00DF1BCA" w:rsidRDefault="00DF1BCA" w:rsidP="00521A37">
            <w:pPr>
              <w:pStyle w:val="ReportText2"/>
              <w:spacing w:after="0" w:line="240" w:lineRule="auto"/>
              <w:ind w:left="0"/>
              <w:jc w:val="left"/>
              <w:rPr>
                <w:rFonts w:cs="Arial"/>
                <w:sz w:val="22"/>
                <w:szCs w:val="22"/>
              </w:rPr>
            </w:pPr>
            <w:r>
              <w:rPr>
                <w:rFonts w:cs="Arial"/>
                <w:sz w:val="22"/>
                <w:szCs w:val="22"/>
              </w:rPr>
              <w:t>10</w:t>
            </w:r>
          </w:p>
        </w:tc>
      </w:tr>
      <w:tr w:rsidR="00DF1BCA" w:rsidRPr="00B23806" w:rsidTr="00DF1BCA">
        <w:tc>
          <w:tcPr>
            <w:tcW w:w="971" w:type="dxa"/>
          </w:tcPr>
          <w:p w:rsidR="00DF1BCA" w:rsidRPr="00DF1BCA" w:rsidRDefault="00DF1BCA" w:rsidP="00521A37">
            <w:pPr>
              <w:spacing w:line="240" w:lineRule="auto"/>
              <w:rPr>
                <w:rFonts w:cs="Arial"/>
                <w:sz w:val="22"/>
                <w:szCs w:val="22"/>
              </w:rPr>
            </w:pPr>
          </w:p>
        </w:tc>
        <w:tc>
          <w:tcPr>
            <w:tcW w:w="6108" w:type="dxa"/>
          </w:tcPr>
          <w:p w:rsidR="00DF1BCA" w:rsidRPr="00DF1BCA" w:rsidRDefault="00DF1BCA" w:rsidP="000C075A">
            <w:pPr>
              <w:rPr>
                <w:rFonts w:cs="Arial"/>
                <w:sz w:val="22"/>
                <w:szCs w:val="22"/>
              </w:rPr>
            </w:pPr>
            <w:r w:rsidRPr="00DF1BCA">
              <w:rPr>
                <w:rFonts w:cs="Arial"/>
                <w:sz w:val="22"/>
                <w:szCs w:val="22"/>
              </w:rPr>
              <w:t xml:space="preserve">Demonstration of ability to value as per the </w:t>
            </w:r>
            <w:proofErr w:type="spellStart"/>
            <w:r w:rsidRPr="00DF1BCA">
              <w:rPr>
                <w:rFonts w:cs="Arial"/>
                <w:sz w:val="22"/>
                <w:szCs w:val="22"/>
              </w:rPr>
              <w:t>FReM</w:t>
            </w:r>
            <w:proofErr w:type="spellEnd"/>
            <w:r w:rsidRPr="00DF1BCA">
              <w:rPr>
                <w:rFonts w:cs="Arial"/>
                <w:sz w:val="22"/>
                <w:szCs w:val="22"/>
              </w:rPr>
              <w:t xml:space="preserve"> , FRS 102, SORP 2015  </w:t>
            </w:r>
            <w:proofErr w:type="spellStart"/>
            <w:r w:rsidRPr="00DF1BCA">
              <w:rPr>
                <w:rFonts w:cs="Arial"/>
                <w:sz w:val="22"/>
                <w:szCs w:val="22"/>
              </w:rPr>
              <w:t>ie</w:t>
            </w:r>
            <w:proofErr w:type="spellEnd"/>
            <w:r w:rsidRPr="00DF1BCA">
              <w:rPr>
                <w:rFonts w:cs="Arial"/>
                <w:sz w:val="22"/>
                <w:szCs w:val="22"/>
              </w:rPr>
              <w:t xml:space="preserve"> Fair Value</w:t>
            </w:r>
          </w:p>
        </w:tc>
        <w:tc>
          <w:tcPr>
            <w:tcW w:w="1165" w:type="dxa"/>
          </w:tcPr>
          <w:p w:rsidR="00DF1BCA" w:rsidRPr="00DF1BCA" w:rsidRDefault="00DF1BCA" w:rsidP="00521A37">
            <w:pPr>
              <w:pStyle w:val="ReportText2"/>
              <w:spacing w:after="0" w:line="240" w:lineRule="auto"/>
              <w:ind w:left="0"/>
              <w:jc w:val="left"/>
              <w:rPr>
                <w:rFonts w:cs="Arial"/>
                <w:sz w:val="22"/>
                <w:szCs w:val="22"/>
              </w:rPr>
            </w:pPr>
            <w:r>
              <w:rPr>
                <w:rFonts w:cs="Arial"/>
                <w:sz w:val="22"/>
                <w:szCs w:val="22"/>
              </w:rPr>
              <w:t>25</w:t>
            </w:r>
          </w:p>
        </w:tc>
      </w:tr>
      <w:tr w:rsidR="00DF1BCA" w:rsidRPr="00B23806" w:rsidTr="00DF1BCA">
        <w:tc>
          <w:tcPr>
            <w:tcW w:w="971" w:type="dxa"/>
          </w:tcPr>
          <w:p w:rsidR="00DF1BCA" w:rsidRPr="00DF1BCA" w:rsidRDefault="00DF1BCA" w:rsidP="00763DA8">
            <w:pPr>
              <w:spacing w:line="240" w:lineRule="auto"/>
              <w:rPr>
                <w:rFonts w:cs="Arial"/>
                <w:sz w:val="22"/>
                <w:szCs w:val="22"/>
              </w:rPr>
            </w:pPr>
          </w:p>
        </w:tc>
        <w:tc>
          <w:tcPr>
            <w:tcW w:w="6108" w:type="dxa"/>
          </w:tcPr>
          <w:p w:rsidR="00DF1BCA" w:rsidRPr="00DF1BCA" w:rsidRDefault="00DF1BCA" w:rsidP="000C075A">
            <w:pPr>
              <w:rPr>
                <w:rFonts w:cs="Arial"/>
                <w:sz w:val="22"/>
                <w:szCs w:val="22"/>
              </w:rPr>
            </w:pPr>
            <w:r w:rsidRPr="00DF1BCA">
              <w:rPr>
                <w:rFonts w:cs="Arial"/>
                <w:sz w:val="22"/>
                <w:szCs w:val="22"/>
              </w:rPr>
              <w:t>Quality of example Report</w:t>
            </w:r>
          </w:p>
        </w:tc>
        <w:tc>
          <w:tcPr>
            <w:tcW w:w="1165" w:type="dxa"/>
          </w:tcPr>
          <w:p w:rsidR="00DF1BCA" w:rsidRPr="00DF1BCA" w:rsidRDefault="00DF1BCA" w:rsidP="00763DA8">
            <w:pPr>
              <w:pStyle w:val="ReportText2"/>
              <w:spacing w:after="0" w:line="240" w:lineRule="auto"/>
              <w:ind w:left="0"/>
              <w:jc w:val="left"/>
              <w:rPr>
                <w:rFonts w:cs="Arial"/>
                <w:sz w:val="22"/>
                <w:szCs w:val="22"/>
              </w:rPr>
            </w:pPr>
            <w:r>
              <w:rPr>
                <w:rFonts w:cs="Arial"/>
                <w:sz w:val="22"/>
                <w:szCs w:val="22"/>
              </w:rPr>
              <w:t>20</w:t>
            </w:r>
          </w:p>
        </w:tc>
      </w:tr>
      <w:tr w:rsidR="00B154C4" w:rsidRPr="00B23806" w:rsidTr="00DF1BCA">
        <w:tc>
          <w:tcPr>
            <w:tcW w:w="971" w:type="dxa"/>
          </w:tcPr>
          <w:p w:rsidR="00B154C4" w:rsidRPr="00DF1BCA" w:rsidRDefault="00B154C4" w:rsidP="00521A37">
            <w:pPr>
              <w:spacing w:line="240" w:lineRule="auto"/>
              <w:rPr>
                <w:rFonts w:cs="Arial"/>
                <w:sz w:val="22"/>
                <w:szCs w:val="22"/>
              </w:rPr>
            </w:pPr>
          </w:p>
        </w:tc>
        <w:tc>
          <w:tcPr>
            <w:tcW w:w="6108" w:type="dxa"/>
          </w:tcPr>
          <w:p w:rsidR="00B154C4" w:rsidRPr="00DF1BCA" w:rsidRDefault="00B154C4" w:rsidP="00521A37">
            <w:pPr>
              <w:spacing w:line="240" w:lineRule="auto"/>
              <w:rPr>
                <w:rFonts w:cs="Arial"/>
                <w:sz w:val="22"/>
                <w:szCs w:val="22"/>
              </w:rPr>
            </w:pPr>
          </w:p>
        </w:tc>
        <w:tc>
          <w:tcPr>
            <w:tcW w:w="1165" w:type="dxa"/>
          </w:tcPr>
          <w:p w:rsidR="00B154C4" w:rsidRPr="00DF1BCA" w:rsidRDefault="00B154C4" w:rsidP="00521A37">
            <w:pPr>
              <w:pStyle w:val="ReportText2"/>
              <w:spacing w:after="0" w:line="240" w:lineRule="auto"/>
              <w:ind w:left="0"/>
              <w:jc w:val="left"/>
              <w:rPr>
                <w:rFonts w:cs="Arial"/>
                <w:sz w:val="22"/>
                <w:szCs w:val="22"/>
              </w:rPr>
            </w:pPr>
          </w:p>
        </w:tc>
      </w:tr>
      <w:tr w:rsidR="00B154C4" w:rsidRPr="00B23806" w:rsidTr="00DF1BCA">
        <w:tc>
          <w:tcPr>
            <w:tcW w:w="971" w:type="dxa"/>
          </w:tcPr>
          <w:p w:rsidR="00B154C4" w:rsidRPr="00DF1BCA" w:rsidRDefault="00B154C4" w:rsidP="00FC7D4B">
            <w:pPr>
              <w:pStyle w:val="ReportText2"/>
              <w:tabs>
                <w:tab w:val="num" w:pos="1287"/>
              </w:tabs>
              <w:spacing w:after="0" w:line="240" w:lineRule="auto"/>
              <w:ind w:left="0"/>
              <w:jc w:val="left"/>
              <w:rPr>
                <w:rFonts w:cs="Arial"/>
                <w:sz w:val="22"/>
                <w:szCs w:val="22"/>
              </w:rPr>
            </w:pPr>
            <w:r w:rsidRPr="00DF1BCA">
              <w:rPr>
                <w:rFonts w:cs="Arial"/>
                <w:sz w:val="22"/>
                <w:szCs w:val="22"/>
              </w:rPr>
              <w:t>Cost</w:t>
            </w:r>
          </w:p>
        </w:tc>
        <w:tc>
          <w:tcPr>
            <w:tcW w:w="6108" w:type="dxa"/>
          </w:tcPr>
          <w:p w:rsidR="00B154C4" w:rsidRPr="00DF1BCA" w:rsidRDefault="00B154C4" w:rsidP="00B154C4">
            <w:pPr>
              <w:pStyle w:val="ReportText2"/>
              <w:tabs>
                <w:tab w:val="num" w:pos="1287"/>
              </w:tabs>
              <w:spacing w:after="0" w:line="240" w:lineRule="auto"/>
              <w:ind w:left="0"/>
              <w:jc w:val="left"/>
              <w:rPr>
                <w:rFonts w:cs="Arial"/>
                <w:sz w:val="22"/>
                <w:szCs w:val="22"/>
              </w:rPr>
            </w:pPr>
            <w:r w:rsidRPr="00DF1BCA">
              <w:rPr>
                <w:rFonts w:cs="Arial"/>
                <w:sz w:val="22"/>
                <w:szCs w:val="22"/>
              </w:rPr>
              <w:t>Initial Purchase cost</w:t>
            </w:r>
          </w:p>
        </w:tc>
        <w:tc>
          <w:tcPr>
            <w:tcW w:w="1165" w:type="dxa"/>
          </w:tcPr>
          <w:p w:rsidR="00B154C4" w:rsidRPr="00DF1BCA" w:rsidRDefault="00DF1BCA" w:rsidP="00DF1BCA">
            <w:pPr>
              <w:pStyle w:val="ReportText2"/>
              <w:spacing w:after="0" w:line="240" w:lineRule="auto"/>
              <w:ind w:left="0"/>
              <w:jc w:val="left"/>
              <w:rPr>
                <w:rFonts w:cs="Arial"/>
                <w:sz w:val="22"/>
                <w:szCs w:val="22"/>
              </w:rPr>
            </w:pPr>
            <w:r>
              <w:rPr>
                <w:rFonts w:cs="Arial"/>
                <w:sz w:val="22"/>
                <w:szCs w:val="22"/>
              </w:rPr>
              <w:t>45</w:t>
            </w:r>
          </w:p>
        </w:tc>
      </w:tr>
      <w:tr w:rsidR="00B154C4" w:rsidRPr="00B23806" w:rsidTr="00DF1BCA">
        <w:tc>
          <w:tcPr>
            <w:tcW w:w="971" w:type="dxa"/>
          </w:tcPr>
          <w:p w:rsidR="00B154C4" w:rsidRDefault="00B154C4" w:rsidP="00FC7D4B">
            <w:pPr>
              <w:pStyle w:val="ReportText2"/>
              <w:tabs>
                <w:tab w:val="num" w:pos="1287"/>
              </w:tabs>
              <w:spacing w:after="0" w:line="240" w:lineRule="auto"/>
              <w:ind w:left="0"/>
              <w:jc w:val="left"/>
              <w:rPr>
                <w:rFonts w:cs="Arial"/>
                <w:color w:val="00B050"/>
                <w:sz w:val="22"/>
                <w:szCs w:val="22"/>
              </w:rPr>
            </w:pPr>
          </w:p>
        </w:tc>
        <w:tc>
          <w:tcPr>
            <w:tcW w:w="6108" w:type="dxa"/>
          </w:tcPr>
          <w:p w:rsidR="00B154C4" w:rsidRPr="00B23806" w:rsidRDefault="00B154C4" w:rsidP="00FC7D4B">
            <w:pPr>
              <w:pStyle w:val="ReportText2"/>
              <w:tabs>
                <w:tab w:val="num" w:pos="1287"/>
              </w:tabs>
              <w:spacing w:after="0" w:line="240" w:lineRule="auto"/>
              <w:ind w:left="0"/>
              <w:jc w:val="left"/>
              <w:rPr>
                <w:rFonts w:cs="Arial"/>
                <w:color w:val="00B050"/>
                <w:sz w:val="22"/>
                <w:szCs w:val="22"/>
              </w:rPr>
            </w:pPr>
          </w:p>
        </w:tc>
        <w:tc>
          <w:tcPr>
            <w:tcW w:w="1165" w:type="dxa"/>
          </w:tcPr>
          <w:p w:rsidR="00B154C4" w:rsidRDefault="00B154C4" w:rsidP="00521A37">
            <w:pPr>
              <w:pStyle w:val="ReportText2"/>
              <w:spacing w:after="0" w:line="240" w:lineRule="auto"/>
              <w:ind w:left="0"/>
              <w:jc w:val="left"/>
              <w:rPr>
                <w:rFonts w:cs="Arial"/>
                <w:color w:val="00B050"/>
                <w:sz w:val="22"/>
                <w:szCs w:val="22"/>
              </w:rPr>
            </w:pPr>
          </w:p>
        </w:tc>
      </w:tr>
      <w:tr w:rsidR="00B154C4" w:rsidRPr="00B23806" w:rsidTr="00DF1BCA">
        <w:tc>
          <w:tcPr>
            <w:tcW w:w="971" w:type="dxa"/>
          </w:tcPr>
          <w:p w:rsidR="00B154C4" w:rsidRDefault="00B154C4" w:rsidP="00FC7D4B">
            <w:pPr>
              <w:pStyle w:val="ReportText2"/>
              <w:tabs>
                <w:tab w:val="num" w:pos="1287"/>
              </w:tabs>
              <w:spacing w:after="0" w:line="240" w:lineRule="auto"/>
              <w:ind w:left="0"/>
              <w:jc w:val="left"/>
              <w:rPr>
                <w:rFonts w:cs="Arial"/>
                <w:color w:val="00B050"/>
                <w:sz w:val="22"/>
                <w:szCs w:val="22"/>
              </w:rPr>
            </w:pPr>
          </w:p>
        </w:tc>
        <w:tc>
          <w:tcPr>
            <w:tcW w:w="6108" w:type="dxa"/>
          </w:tcPr>
          <w:p w:rsidR="00B154C4" w:rsidRPr="00B23806" w:rsidRDefault="00B154C4" w:rsidP="00FC7D4B">
            <w:pPr>
              <w:pStyle w:val="ReportText2"/>
              <w:tabs>
                <w:tab w:val="num" w:pos="1287"/>
              </w:tabs>
              <w:spacing w:after="0" w:line="240" w:lineRule="auto"/>
              <w:ind w:left="0"/>
              <w:jc w:val="left"/>
              <w:rPr>
                <w:rFonts w:cs="Arial"/>
                <w:color w:val="00B050"/>
                <w:sz w:val="22"/>
                <w:szCs w:val="22"/>
              </w:rPr>
            </w:pPr>
          </w:p>
        </w:tc>
        <w:tc>
          <w:tcPr>
            <w:tcW w:w="1165" w:type="dxa"/>
          </w:tcPr>
          <w:p w:rsidR="00B154C4" w:rsidRDefault="00B154C4" w:rsidP="00521A37">
            <w:pPr>
              <w:pStyle w:val="ReportText2"/>
              <w:spacing w:after="0" w:line="240" w:lineRule="auto"/>
              <w:ind w:left="0"/>
              <w:jc w:val="left"/>
              <w:rPr>
                <w:rFonts w:cs="Arial"/>
                <w:color w:val="00B050"/>
                <w:sz w:val="22"/>
                <w:szCs w:val="22"/>
              </w:rPr>
            </w:pPr>
          </w:p>
        </w:tc>
      </w:tr>
      <w:tr w:rsidR="00B154C4" w:rsidRPr="00B23806" w:rsidTr="00DF1BCA">
        <w:tc>
          <w:tcPr>
            <w:tcW w:w="971" w:type="dxa"/>
          </w:tcPr>
          <w:p w:rsidR="00B154C4" w:rsidRPr="00B23806" w:rsidRDefault="00B154C4" w:rsidP="00521A37">
            <w:pPr>
              <w:pStyle w:val="ReportText2"/>
              <w:spacing w:after="0" w:line="240" w:lineRule="auto"/>
              <w:ind w:left="0"/>
              <w:jc w:val="left"/>
              <w:rPr>
                <w:rFonts w:cs="Arial"/>
                <w:b/>
                <w:sz w:val="22"/>
                <w:szCs w:val="22"/>
              </w:rPr>
            </w:pP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100</w:t>
            </w:r>
          </w:p>
        </w:tc>
      </w:tr>
      <w:tr w:rsidR="00A92EAE" w:rsidRPr="00B23806" w:rsidTr="00DF1BCA">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r w:rsidR="00A92EAE" w:rsidRPr="00B23806" w:rsidTr="00DF1BCA">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DF1BCA" w:rsidRDefault="00A92EAE" w:rsidP="007A6969">
            <w:pPr>
              <w:pStyle w:val="ReportText2"/>
              <w:spacing w:after="0" w:line="240" w:lineRule="auto"/>
              <w:ind w:left="0"/>
              <w:jc w:val="left"/>
              <w:rPr>
                <w:rFonts w:cs="Arial"/>
                <w:b/>
                <w:sz w:val="22"/>
                <w:szCs w:val="22"/>
              </w:rPr>
            </w:pPr>
            <w:r w:rsidRPr="00DF1BCA">
              <w:rPr>
                <w:rFonts w:cs="Arial"/>
                <w:b/>
                <w:sz w:val="22"/>
                <w:szCs w:val="22"/>
              </w:rPr>
              <w:t>Minimum Quality Score threshold</w:t>
            </w:r>
            <w:r w:rsidR="006157F8" w:rsidRPr="00DF1BCA">
              <w:rPr>
                <w:rFonts w:cs="Arial"/>
                <w:b/>
                <w:sz w:val="22"/>
                <w:szCs w:val="22"/>
              </w:rPr>
              <w:t xml:space="preserve"> (</w:t>
            </w:r>
            <w:r w:rsidR="007A6969">
              <w:rPr>
                <w:rFonts w:cs="Arial"/>
                <w:b/>
                <w:sz w:val="22"/>
                <w:szCs w:val="22"/>
              </w:rPr>
              <w:t>55</w:t>
            </w:r>
            <w:bookmarkStart w:id="55" w:name="_GoBack"/>
            <w:bookmarkEnd w:id="55"/>
            <w:r w:rsidR="006157F8" w:rsidRPr="00DF1BCA">
              <w:rPr>
                <w:rFonts w:cs="Arial"/>
                <w:b/>
                <w:sz w:val="22"/>
                <w:szCs w:val="22"/>
              </w:rPr>
              <w:t>%)</w:t>
            </w:r>
          </w:p>
        </w:tc>
        <w:tc>
          <w:tcPr>
            <w:tcW w:w="1165" w:type="dxa"/>
          </w:tcPr>
          <w:p w:rsidR="00A92EAE" w:rsidRPr="00DF1BCA" w:rsidRDefault="007A6969" w:rsidP="00521A37">
            <w:pPr>
              <w:pStyle w:val="ReportText2"/>
              <w:spacing w:after="0" w:line="240" w:lineRule="auto"/>
              <w:ind w:left="0"/>
              <w:jc w:val="left"/>
              <w:rPr>
                <w:rFonts w:cs="Arial"/>
                <w:b/>
                <w:sz w:val="22"/>
                <w:szCs w:val="22"/>
              </w:rPr>
            </w:pPr>
            <w:r>
              <w:rPr>
                <w:rFonts w:cs="Arial"/>
                <w:b/>
                <w:sz w:val="22"/>
                <w:szCs w:val="22"/>
              </w:rPr>
              <w:t>3</w:t>
            </w:r>
            <w:r w:rsidR="00A92EAE" w:rsidRPr="00DF1BCA">
              <w:rPr>
                <w:rFonts w:cs="Arial"/>
                <w:b/>
                <w:sz w:val="22"/>
                <w:szCs w:val="22"/>
              </w:rPr>
              <w:t>0</w:t>
            </w:r>
          </w:p>
        </w:tc>
      </w:tr>
      <w:tr w:rsidR="00A92EAE" w:rsidRPr="00B23806" w:rsidTr="00DF1BCA">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DF1BCA" w:rsidRDefault="00A92EAE" w:rsidP="00521A37">
      <w:pPr>
        <w:pStyle w:val="ReportText1"/>
        <w:spacing w:after="0" w:line="240" w:lineRule="auto"/>
        <w:ind w:left="0"/>
        <w:rPr>
          <w:rFonts w:cs="Arial"/>
          <w:b/>
          <w:sz w:val="22"/>
          <w:szCs w:val="22"/>
        </w:rPr>
      </w:pPr>
      <w:r w:rsidRPr="00DF1BCA">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A92EAE" w:rsidRDefault="00A92EAE"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1F05A4" w:rsidRPr="00687E32" w:rsidRDefault="001F05A4" w:rsidP="001F05A4">
      <w:pPr>
        <w:pStyle w:val="Bullets1Char"/>
        <w:spacing w:line="240" w:lineRule="auto"/>
        <w:ind w:left="567"/>
        <w:rPr>
          <w:rFonts w:cs="Arial"/>
          <w:sz w:val="22"/>
          <w:szCs w:val="22"/>
        </w:rPr>
      </w:pPr>
    </w:p>
    <w:p w:rsidR="001F05A4" w:rsidRPr="00687E32" w:rsidRDefault="00DF1BCA" w:rsidP="001F05A4">
      <w:pPr>
        <w:pStyle w:val="Heading3"/>
        <w:numPr>
          <w:ilvl w:val="0"/>
          <w:numId w:val="0"/>
        </w:numPr>
        <w:spacing w:after="0" w:line="240" w:lineRule="auto"/>
        <w:rPr>
          <w:rFonts w:cs="Arial"/>
          <w:sz w:val="22"/>
          <w:szCs w:val="22"/>
        </w:rPr>
      </w:pPr>
      <w:r>
        <w:rPr>
          <w:rFonts w:cs="Arial"/>
          <w:sz w:val="22"/>
          <w:szCs w:val="22"/>
        </w:rPr>
        <w:t>4.4</w:t>
      </w:r>
      <w:r w:rsidR="001F05A4"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EE61A3">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DF1BCA">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DF1BCA">
        <w:rPr>
          <w:rFonts w:cs="Arial"/>
          <w:sz w:val="22"/>
          <w:szCs w:val="22"/>
        </w:rPr>
        <w:t>31</w:t>
      </w:r>
      <w:r w:rsidR="00DF1BCA" w:rsidRPr="00DF1BCA">
        <w:rPr>
          <w:rFonts w:cs="Arial"/>
          <w:sz w:val="22"/>
          <w:szCs w:val="22"/>
          <w:vertAlign w:val="superscript"/>
        </w:rPr>
        <w:t>st</w:t>
      </w:r>
      <w:r w:rsidR="00DF1BCA">
        <w:rPr>
          <w:rFonts w:cs="Arial"/>
          <w:sz w:val="22"/>
          <w:szCs w:val="22"/>
        </w:rPr>
        <w:t xml:space="preserve"> March 2018</w:t>
      </w:r>
      <w:r w:rsidRPr="00687E32">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w:t>
      </w:r>
      <w:r w:rsidR="00DF1BCA">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DF1BCA"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DF1BCA"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9"/>
    <w:bookmarkEnd w:id="60"/>
    <w:p w:rsidR="00DF1BCA" w:rsidRDefault="00DF1BCA" w:rsidP="00DF1BCA">
      <w:pPr>
        <w:ind w:left="284" w:hanging="284"/>
        <w:rPr>
          <w:rFonts w:cs="Arial"/>
          <w:b/>
          <w:sz w:val="22"/>
          <w:szCs w:val="22"/>
          <w:lang w:val="en-US"/>
        </w:rPr>
      </w:pPr>
    </w:p>
    <w:p w:rsidR="00DF1BCA" w:rsidRPr="00DF1BCA" w:rsidRDefault="00DF1BCA" w:rsidP="00DF1BCA">
      <w:pPr>
        <w:spacing w:line="240" w:lineRule="auto"/>
        <w:ind w:left="284" w:hanging="284"/>
        <w:rPr>
          <w:rFonts w:cs="Arial"/>
          <w:sz w:val="22"/>
          <w:szCs w:val="22"/>
          <w:lang w:val="en-US"/>
        </w:rPr>
      </w:pPr>
      <w:r w:rsidRPr="00DF1BCA">
        <w:rPr>
          <w:rFonts w:cs="Arial"/>
          <w:b/>
          <w:sz w:val="22"/>
          <w:szCs w:val="22"/>
          <w:lang w:val="en-US"/>
        </w:rPr>
        <w:t>Commission Brief</w:t>
      </w:r>
    </w:p>
    <w:p w:rsidR="00DF1BCA" w:rsidRPr="00DF1BCA" w:rsidRDefault="00DF1BCA" w:rsidP="00DF1BCA">
      <w:pPr>
        <w:spacing w:line="240" w:lineRule="auto"/>
        <w:rPr>
          <w:rFonts w:cs="Arial"/>
          <w:sz w:val="22"/>
          <w:szCs w:val="22"/>
          <w:lang w:val="en-US"/>
        </w:rPr>
      </w:pPr>
      <w:r w:rsidRPr="00DF1BCA">
        <w:rPr>
          <w:rFonts w:cs="Arial"/>
          <w:sz w:val="22"/>
          <w:szCs w:val="22"/>
          <w:lang w:val="en-US"/>
        </w:rPr>
        <w:t xml:space="preserve">The appointment is to be in accordance with the standard form of contract attached and shall be inclusive of any associated costs. </w:t>
      </w:r>
    </w:p>
    <w:p w:rsidR="00DF1BCA" w:rsidRPr="00DF1BCA" w:rsidRDefault="00DF1BCA" w:rsidP="00DF1BCA">
      <w:pPr>
        <w:spacing w:line="240" w:lineRule="auto"/>
        <w:ind w:left="284" w:hanging="284"/>
        <w:rPr>
          <w:rFonts w:cs="Arial"/>
          <w:sz w:val="22"/>
          <w:szCs w:val="22"/>
          <w:lang w:val="en-US"/>
        </w:rPr>
      </w:pPr>
    </w:p>
    <w:p w:rsidR="00DF1BCA" w:rsidRPr="00DF1BCA" w:rsidRDefault="00DF1BCA" w:rsidP="00DF1BCA">
      <w:pPr>
        <w:spacing w:line="240" w:lineRule="auto"/>
        <w:rPr>
          <w:rFonts w:cs="Arial"/>
          <w:sz w:val="22"/>
          <w:szCs w:val="22"/>
          <w:lang w:val="en-US"/>
        </w:rPr>
      </w:pPr>
      <w:r w:rsidRPr="00DF1BCA">
        <w:rPr>
          <w:rFonts w:cs="Arial"/>
          <w:sz w:val="22"/>
          <w:szCs w:val="22"/>
          <w:lang w:val="en-US"/>
        </w:rPr>
        <w:t>The successful supplier will be required in the tender response to evidence their ability to meet the following requirements:</w:t>
      </w:r>
    </w:p>
    <w:p w:rsidR="00DF1BCA" w:rsidRPr="00DF1BCA" w:rsidRDefault="00DF1BCA" w:rsidP="00DF1BCA">
      <w:pPr>
        <w:pStyle w:val="Default"/>
        <w:jc w:val="both"/>
        <w:rPr>
          <w:sz w:val="22"/>
          <w:szCs w:val="22"/>
        </w:rPr>
      </w:pPr>
    </w:p>
    <w:p w:rsidR="00DF1BCA" w:rsidRPr="00DF1BCA" w:rsidRDefault="00DF1BCA" w:rsidP="00DF1BCA">
      <w:pPr>
        <w:spacing w:line="240" w:lineRule="auto"/>
        <w:rPr>
          <w:rFonts w:cs="Arial"/>
          <w:sz w:val="22"/>
          <w:szCs w:val="22"/>
        </w:rPr>
      </w:pPr>
      <w:r w:rsidRPr="00DF1BCA">
        <w:rPr>
          <w:rFonts w:cs="Arial"/>
          <w:sz w:val="22"/>
          <w:szCs w:val="22"/>
        </w:rPr>
        <w:t>NML’s statutory obligation is that valuations will be prepared to comply with FRS 102 “The Financial Reporting Standard Applicable in the UK and Republic of Ireland” and in particular Charities SORP (FRS 102). The FRS is a single financial reporting standard that applies to the financial statements of entities that are not applying EU-adopted IFRS, FRS 101 or FRS 105. FRS 102 is applicable for those relevant charities for reporting periods beginning on or after 1 January 2015.</w:t>
      </w:r>
    </w:p>
    <w:p w:rsidR="00DF1BCA" w:rsidRPr="00DF1BCA" w:rsidRDefault="00DF1BCA" w:rsidP="00DF1BCA">
      <w:pPr>
        <w:spacing w:line="240" w:lineRule="auto"/>
        <w:rPr>
          <w:rFonts w:cs="Arial"/>
          <w:sz w:val="22"/>
          <w:szCs w:val="22"/>
        </w:rPr>
      </w:pPr>
    </w:p>
    <w:p w:rsidR="00DF1BCA" w:rsidRPr="00DF1BCA" w:rsidRDefault="00DF1BCA" w:rsidP="00DF1BCA">
      <w:pPr>
        <w:spacing w:line="240" w:lineRule="auto"/>
        <w:rPr>
          <w:rFonts w:cs="Arial"/>
          <w:b/>
          <w:sz w:val="22"/>
          <w:szCs w:val="22"/>
        </w:rPr>
      </w:pPr>
      <w:r w:rsidRPr="00DF1BCA">
        <w:rPr>
          <w:rFonts w:cs="Arial"/>
          <w:b/>
          <w:sz w:val="22"/>
          <w:szCs w:val="22"/>
        </w:rPr>
        <w:t>You should;</w:t>
      </w:r>
    </w:p>
    <w:p w:rsidR="00DF1BCA" w:rsidRPr="00DF1BCA" w:rsidRDefault="00DF1BCA" w:rsidP="00DF1BCA">
      <w:pPr>
        <w:spacing w:line="240" w:lineRule="auto"/>
        <w:rPr>
          <w:rFonts w:cs="Arial"/>
          <w:sz w:val="22"/>
          <w:szCs w:val="22"/>
        </w:rPr>
      </w:pPr>
    </w:p>
    <w:p w:rsidR="00DF1BCA" w:rsidRPr="00DF1BCA" w:rsidRDefault="00DF1BCA" w:rsidP="00DF1BCA">
      <w:pPr>
        <w:spacing w:line="240" w:lineRule="auto"/>
        <w:rPr>
          <w:rFonts w:cs="Arial"/>
          <w:sz w:val="22"/>
          <w:szCs w:val="22"/>
        </w:rPr>
      </w:pPr>
      <w:r w:rsidRPr="00DF1BCA">
        <w:rPr>
          <w:rFonts w:cs="Arial"/>
          <w:sz w:val="22"/>
          <w:szCs w:val="22"/>
        </w:rPr>
        <w:t>Provide evidence of your organisation’s accreditation</w:t>
      </w:r>
    </w:p>
    <w:p w:rsidR="00DF1BCA" w:rsidRPr="00DF1BCA" w:rsidRDefault="00DF1BCA" w:rsidP="00DF1BCA">
      <w:pPr>
        <w:spacing w:line="240" w:lineRule="auto"/>
        <w:rPr>
          <w:rFonts w:cs="Arial"/>
          <w:sz w:val="22"/>
          <w:szCs w:val="22"/>
        </w:rPr>
      </w:pPr>
    </w:p>
    <w:p w:rsidR="00DF1BCA" w:rsidRPr="00DF1BCA" w:rsidRDefault="00DF1BCA" w:rsidP="00DF1BCA">
      <w:pPr>
        <w:spacing w:line="240" w:lineRule="auto"/>
        <w:rPr>
          <w:rFonts w:cs="Arial"/>
          <w:sz w:val="22"/>
          <w:szCs w:val="22"/>
        </w:rPr>
      </w:pPr>
      <w:r w:rsidRPr="00DF1BCA">
        <w:rPr>
          <w:rFonts w:cs="Arial"/>
          <w:sz w:val="22"/>
          <w:szCs w:val="22"/>
        </w:rPr>
        <w:t>Provide evidence of your organisation’s experience in the sector (Charity/Museum and Gallery)</w:t>
      </w:r>
    </w:p>
    <w:p w:rsidR="00DF1BCA" w:rsidRPr="00DF1BCA" w:rsidRDefault="00DF1BCA" w:rsidP="00DF1BCA">
      <w:pPr>
        <w:spacing w:line="240" w:lineRule="auto"/>
        <w:rPr>
          <w:rFonts w:cs="Arial"/>
          <w:sz w:val="22"/>
          <w:szCs w:val="22"/>
        </w:rPr>
      </w:pPr>
    </w:p>
    <w:p w:rsidR="00DF1BCA" w:rsidRPr="00DF1BCA" w:rsidRDefault="00DF1BCA" w:rsidP="00DF1BCA">
      <w:pPr>
        <w:spacing w:line="240" w:lineRule="auto"/>
        <w:rPr>
          <w:rFonts w:cs="Arial"/>
          <w:sz w:val="22"/>
          <w:szCs w:val="22"/>
          <w:lang w:val="en-US"/>
        </w:rPr>
      </w:pPr>
      <w:r w:rsidRPr="00DF1BCA">
        <w:rPr>
          <w:rFonts w:cs="Arial"/>
          <w:bCs/>
          <w:sz w:val="22"/>
          <w:szCs w:val="22"/>
        </w:rPr>
        <w:t xml:space="preserve">Provide a sample of suggested report i.e. Interim and Final Reports  </w:t>
      </w:r>
    </w:p>
    <w:p w:rsidR="00DF1BCA" w:rsidRPr="00DF1BCA" w:rsidRDefault="00DF1BCA" w:rsidP="00DF1BCA">
      <w:pPr>
        <w:spacing w:line="240" w:lineRule="auto"/>
        <w:rPr>
          <w:rFonts w:cs="Arial"/>
          <w:sz w:val="22"/>
          <w:szCs w:val="22"/>
          <w:lang w:val="en-US"/>
        </w:rPr>
      </w:pPr>
    </w:p>
    <w:p w:rsidR="00DF1BCA" w:rsidRPr="00DF1BCA" w:rsidRDefault="00DF1BCA" w:rsidP="00DF1BCA">
      <w:pPr>
        <w:spacing w:line="240" w:lineRule="auto"/>
        <w:rPr>
          <w:rFonts w:cs="Arial"/>
          <w:sz w:val="22"/>
          <w:szCs w:val="22"/>
          <w:lang w:val="en-US"/>
        </w:rPr>
      </w:pPr>
      <w:r w:rsidRPr="00DF1BCA">
        <w:rPr>
          <w:rFonts w:cs="Arial"/>
          <w:sz w:val="22"/>
          <w:szCs w:val="22"/>
          <w:lang w:val="en-US"/>
        </w:rPr>
        <w:t>Indicate your ability to meet our deadlines. The valuation exercise must be completed by 31</w:t>
      </w:r>
      <w:r w:rsidRPr="00DF1BCA">
        <w:rPr>
          <w:rFonts w:cs="Arial"/>
          <w:sz w:val="22"/>
          <w:szCs w:val="22"/>
          <w:vertAlign w:val="superscript"/>
          <w:lang w:val="en-US"/>
        </w:rPr>
        <w:t>st</w:t>
      </w:r>
      <w:r w:rsidRPr="00DF1BCA">
        <w:rPr>
          <w:rFonts w:cs="Arial"/>
          <w:sz w:val="22"/>
          <w:szCs w:val="22"/>
          <w:lang w:val="en-US"/>
        </w:rPr>
        <w:t xml:space="preserve"> March and final reports published, but the absolute deadline for incorporating into our Annual Report and Accounts, and for the statutory audit is 21 April 2018. </w:t>
      </w:r>
    </w:p>
    <w:p w:rsidR="00DF1BCA" w:rsidRPr="00DF1BCA" w:rsidRDefault="00DF1BCA" w:rsidP="00DF1BCA">
      <w:pPr>
        <w:spacing w:line="240" w:lineRule="auto"/>
        <w:rPr>
          <w:rFonts w:cs="Arial"/>
          <w:sz w:val="22"/>
          <w:szCs w:val="22"/>
          <w:lang w:val="en-US"/>
        </w:rPr>
      </w:pPr>
    </w:p>
    <w:p w:rsidR="00DF1BCA" w:rsidRPr="00DF1BCA" w:rsidRDefault="00DF1BCA" w:rsidP="00DF1BCA">
      <w:pPr>
        <w:pStyle w:val="Default"/>
        <w:jc w:val="both"/>
        <w:rPr>
          <w:b/>
          <w:bCs/>
          <w:sz w:val="22"/>
          <w:szCs w:val="22"/>
        </w:rPr>
      </w:pPr>
      <w:r w:rsidRPr="00DF1BCA">
        <w:rPr>
          <w:b/>
          <w:bCs/>
          <w:sz w:val="22"/>
          <w:szCs w:val="22"/>
        </w:rPr>
        <w:t>To carry out desktop valuations based on the following definitions;</w:t>
      </w:r>
    </w:p>
    <w:p w:rsidR="00DF1BCA" w:rsidRPr="00DF1BCA" w:rsidRDefault="00DF1BCA" w:rsidP="00DF1BCA">
      <w:pPr>
        <w:pStyle w:val="Default"/>
        <w:jc w:val="both"/>
        <w:rPr>
          <w:sz w:val="22"/>
          <w:szCs w:val="22"/>
        </w:rPr>
      </w:pPr>
    </w:p>
    <w:p w:rsidR="00DF1BCA" w:rsidRPr="00DF1BCA" w:rsidRDefault="00DF1BCA" w:rsidP="00DF1BCA">
      <w:pPr>
        <w:pStyle w:val="Default"/>
        <w:jc w:val="both"/>
        <w:rPr>
          <w:sz w:val="22"/>
          <w:szCs w:val="22"/>
          <w:u w:val="single"/>
        </w:rPr>
      </w:pPr>
      <w:r w:rsidRPr="00DF1BCA">
        <w:rPr>
          <w:bCs/>
          <w:sz w:val="22"/>
          <w:szCs w:val="22"/>
          <w:u w:val="single"/>
        </w:rPr>
        <w:t xml:space="preserve">Definition of Fair Value </w:t>
      </w:r>
    </w:p>
    <w:p w:rsidR="00DF1BCA" w:rsidRPr="00DF1BCA" w:rsidRDefault="00DF1BCA" w:rsidP="00DF1BCA">
      <w:pPr>
        <w:pStyle w:val="Default"/>
        <w:jc w:val="both"/>
        <w:rPr>
          <w:sz w:val="22"/>
          <w:szCs w:val="22"/>
        </w:rPr>
      </w:pPr>
      <w:r w:rsidRPr="00DF1BCA">
        <w:rPr>
          <w:sz w:val="22"/>
          <w:szCs w:val="22"/>
        </w:rPr>
        <w:t>For valuations of property to be included in financial statements in accordance with IFRS, the International Financial Reporting Standards prescribe Fair Value measurements basis defined in IFRS 13 ‘Fair Value Measurements’ as:</w:t>
      </w:r>
    </w:p>
    <w:p w:rsidR="00DF1BCA" w:rsidRPr="00DF1BCA" w:rsidRDefault="00DF1BCA" w:rsidP="00DF1BCA">
      <w:pPr>
        <w:pStyle w:val="Default"/>
        <w:jc w:val="both"/>
        <w:rPr>
          <w:sz w:val="22"/>
          <w:szCs w:val="22"/>
        </w:rPr>
      </w:pPr>
      <w:r w:rsidRPr="00DF1BCA">
        <w:rPr>
          <w:sz w:val="22"/>
          <w:szCs w:val="22"/>
        </w:rPr>
        <w:t xml:space="preserve"> </w:t>
      </w:r>
    </w:p>
    <w:p w:rsidR="00DF1BCA" w:rsidRPr="00DF1BCA" w:rsidRDefault="00DF1BCA" w:rsidP="00DF1BCA">
      <w:pPr>
        <w:pStyle w:val="Default"/>
        <w:jc w:val="both"/>
        <w:rPr>
          <w:sz w:val="22"/>
          <w:szCs w:val="22"/>
        </w:rPr>
      </w:pPr>
      <w:r w:rsidRPr="00DF1BCA">
        <w:rPr>
          <w:sz w:val="22"/>
          <w:szCs w:val="22"/>
        </w:rPr>
        <w:t>“Fair value is the amount for which an asset could be exchanged, a liability settled, or an equity instrument granted could be exchanged, between knowledgeable, willing parties in an arm’s length transaction. In the absence of any specific guidance provided in the relevant section of this FRS, where fair value measurement is permitted or required the guidance in paragraphs 11.27 to 11.32 shall be applied”.</w:t>
      </w:r>
    </w:p>
    <w:p w:rsidR="00DF1BCA" w:rsidRPr="00DF1BCA" w:rsidRDefault="00DF1BCA" w:rsidP="00DF1BCA">
      <w:pPr>
        <w:pStyle w:val="Default"/>
        <w:jc w:val="both"/>
        <w:rPr>
          <w:sz w:val="22"/>
          <w:szCs w:val="22"/>
        </w:rPr>
      </w:pPr>
      <w:r w:rsidRPr="00DF1BCA">
        <w:rPr>
          <w:sz w:val="22"/>
          <w:szCs w:val="22"/>
        </w:rPr>
        <w:t xml:space="preserve"> </w:t>
      </w:r>
    </w:p>
    <w:p w:rsidR="00DF1BCA" w:rsidRPr="00DF1BCA" w:rsidRDefault="00DF1BCA" w:rsidP="00DF1BCA">
      <w:pPr>
        <w:pStyle w:val="Default"/>
        <w:jc w:val="both"/>
        <w:rPr>
          <w:sz w:val="22"/>
          <w:szCs w:val="22"/>
          <w:u w:val="single"/>
        </w:rPr>
      </w:pPr>
      <w:r w:rsidRPr="00DF1BCA">
        <w:rPr>
          <w:bCs/>
          <w:sz w:val="22"/>
          <w:szCs w:val="22"/>
          <w:u w:val="single"/>
        </w:rPr>
        <w:t xml:space="preserve">Definition of Depreciated Replacement Cost (DRC) </w:t>
      </w:r>
    </w:p>
    <w:p w:rsidR="00DF1BCA" w:rsidRPr="00DF1BCA" w:rsidRDefault="00DF1BCA" w:rsidP="00DF1BCA">
      <w:pPr>
        <w:pStyle w:val="Default"/>
        <w:jc w:val="both"/>
        <w:rPr>
          <w:sz w:val="22"/>
          <w:szCs w:val="22"/>
        </w:rPr>
      </w:pPr>
      <w:r w:rsidRPr="00DF1BCA">
        <w:rPr>
          <w:sz w:val="22"/>
          <w:szCs w:val="22"/>
        </w:rPr>
        <w:t>Valuations are prepared on the basis of Depreciated Replacement Cost (DRC) which is defined in the Red Book as follows:</w:t>
      </w:r>
    </w:p>
    <w:p w:rsidR="00DF1BCA" w:rsidRPr="00DF1BCA" w:rsidRDefault="00DF1BCA" w:rsidP="00DF1BCA">
      <w:pPr>
        <w:pStyle w:val="Default"/>
        <w:jc w:val="both"/>
        <w:rPr>
          <w:sz w:val="22"/>
          <w:szCs w:val="22"/>
        </w:rPr>
      </w:pPr>
      <w:r w:rsidRPr="00DF1BCA">
        <w:rPr>
          <w:sz w:val="22"/>
          <w:szCs w:val="22"/>
        </w:rPr>
        <w:t xml:space="preserve"> </w:t>
      </w:r>
    </w:p>
    <w:p w:rsidR="00DF1BCA" w:rsidRPr="00DF1BCA" w:rsidRDefault="00DF1BCA" w:rsidP="00DF1BCA">
      <w:pPr>
        <w:tabs>
          <w:tab w:val="num" w:pos="360"/>
          <w:tab w:val="left" w:pos="576"/>
          <w:tab w:val="left" w:pos="1152"/>
          <w:tab w:val="left" w:pos="1728"/>
          <w:tab w:val="left" w:pos="5760"/>
        </w:tabs>
        <w:suppressAutoHyphens/>
        <w:spacing w:line="240" w:lineRule="auto"/>
        <w:rPr>
          <w:rFonts w:cs="Arial"/>
          <w:sz w:val="22"/>
          <w:szCs w:val="22"/>
        </w:rPr>
      </w:pPr>
      <w:r w:rsidRPr="00DF1BCA">
        <w:rPr>
          <w:rFonts w:cs="Arial"/>
          <w:sz w:val="22"/>
          <w:szCs w:val="22"/>
        </w:rPr>
        <w:t>“The current cost of replacing an asset with its modern equivalent asset less deductions for physical deterioration and all relevant forms of obsolescence and optimisation.”</w:t>
      </w:r>
    </w:p>
    <w:p w:rsidR="00DF1BCA" w:rsidRPr="00DF1BCA" w:rsidRDefault="00DF1BCA" w:rsidP="00DF1BCA">
      <w:pPr>
        <w:tabs>
          <w:tab w:val="num" w:pos="360"/>
          <w:tab w:val="left" w:pos="576"/>
          <w:tab w:val="left" w:pos="1152"/>
          <w:tab w:val="left" w:pos="1728"/>
          <w:tab w:val="left" w:pos="5760"/>
        </w:tabs>
        <w:suppressAutoHyphens/>
        <w:spacing w:line="240" w:lineRule="auto"/>
        <w:rPr>
          <w:rFonts w:cs="Arial"/>
          <w:sz w:val="22"/>
          <w:szCs w:val="22"/>
        </w:rPr>
      </w:pPr>
    </w:p>
    <w:p w:rsidR="00DF1BCA" w:rsidRPr="00DF1BCA" w:rsidRDefault="00DF1BCA" w:rsidP="00DF1BCA">
      <w:pPr>
        <w:pStyle w:val="Default"/>
        <w:jc w:val="both"/>
        <w:rPr>
          <w:sz w:val="22"/>
          <w:szCs w:val="22"/>
          <w:u w:val="single"/>
        </w:rPr>
      </w:pPr>
      <w:r w:rsidRPr="00DF1BCA">
        <w:rPr>
          <w:bCs/>
          <w:sz w:val="22"/>
          <w:szCs w:val="22"/>
          <w:u w:val="single"/>
        </w:rPr>
        <w:t xml:space="preserve">Definition of Market Rent </w:t>
      </w:r>
    </w:p>
    <w:p w:rsidR="00DF1BCA" w:rsidRPr="00DF1BCA" w:rsidRDefault="00DF1BCA" w:rsidP="00DF1BCA">
      <w:pPr>
        <w:pStyle w:val="Default"/>
        <w:jc w:val="both"/>
        <w:rPr>
          <w:sz w:val="22"/>
          <w:szCs w:val="22"/>
        </w:rPr>
      </w:pPr>
      <w:r w:rsidRPr="00DF1BCA">
        <w:rPr>
          <w:sz w:val="22"/>
          <w:szCs w:val="22"/>
        </w:rPr>
        <w:t xml:space="preserve">For rental value, the definition of Market Rent from the Red Book: </w:t>
      </w:r>
    </w:p>
    <w:p w:rsidR="00DF1BCA" w:rsidRPr="00DF1BCA" w:rsidRDefault="00DF1BCA" w:rsidP="00DF1BCA">
      <w:pPr>
        <w:pStyle w:val="Default"/>
        <w:jc w:val="both"/>
        <w:rPr>
          <w:sz w:val="22"/>
          <w:szCs w:val="22"/>
        </w:rPr>
      </w:pPr>
    </w:p>
    <w:p w:rsidR="00DF1BCA" w:rsidRPr="00DF1BCA" w:rsidRDefault="00DF1BCA" w:rsidP="00DF1BCA">
      <w:pPr>
        <w:pStyle w:val="Default"/>
        <w:jc w:val="both"/>
        <w:rPr>
          <w:sz w:val="22"/>
          <w:szCs w:val="22"/>
        </w:rPr>
      </w:pPr>
      <w:r w:rsidRPr="00DF1BCA">
        <w:rPr>
          <w:sz w:val="22"/>
          <w:szCs w:val="22"/>
        </w:rPr>
        <w:lastRenderedPageBreak/>
        <w:t>“The estimated amount for which a property would be leased on the valuation date between a willing lessor and a willing lessee on appropriate lease terms in an arm’s length transaction, after proper marketing and where the parties had each acted knowledgeably, prudently and without compulsion.”</w:t>
      </w:r>
    </w:p>
    <w:p w:rsidR="00DF1BCA" w:rsidRPr="00DF1BCA" w:rsidRDefault="00DF1BCA" w:rsidP="00DF1BCA">
      <w:pPr>
        <w:pStyle w:val="Default"/>
        <w:jc w:val="both"/>
        <w:rPr>
          <w:sz w:val="22"/>
          <w:szCs w:val="22"/>
        </w:rPr>
      </w:pPr>
      <w:r w:rsidRPr="00DF1BCA">
        <w:rPr>
          <w:sz w:val="22"/>
          <w:szCs w:val="22"/>
        </w:rPr>
        <w:t xml:space="preserve"> </w:t>
      </w:r>
    </w:p>
    <w:p w:rsidR="00DF1BCA" w:rsidRPr="00DF1BCA" w:rsidRDefault="00DF1BCA" w:rsidP="00DF1BCA">
      <w:pPr>
        <w:pStyle w:val="Default"/>
        <w:jc w:val="both"/>
        <w:rPr>
          <w:sz w:val="22"/>
          <w:szCs w:val="22"/>
          <w:u w:val="single"/>
        </w:rPr>
      </w:pPr>
      <w:r w:rsidRPr="00DF1BCA">
        <w:rPr>
          <w:bCs/>
          <w:sz w:val="22"/>
          <w:szCs w:val="22"/>
          <w:u w:val="single"/>
        </w:rPr>
        <w:t xml:space="preserve">Estimated Rental Value </w:t>
      </w:r>
    </w:p>
    <w:p w:rsidR="00DF1BCA" w:rsidRPr="00DF1BCA" w:rsidRDefault="00DF1BCA" w:rsidP="00DF1BCA">
      <w:pPr>
        <w:pStyle w:val="Default"/>
        <w:jc w:val="both"/>
        <w:rPr>
          <w:sz w:val="22"/>
          <w:szCs w:val="22"/>
        </w:rPr>
      </w:pPr>
      <w:r w:rsidRPr="00DF1BCA">
        <w:rPr>
          <w:sz w:val="22"/>
          <w:szCs w:val="22"/>
        </w:rPr>
        <w:t>Where appropriate ‘estimated rental value’ an opinion of the rent likely to be payable for a property, or space within a property, or on renewal of the existing lease on the same terms and conditions.</w:t>
      </w:r>
    </w:p>
    <w:p w:rsidR="00DF1BCA" w:rsidRPr="00DF1BCA" w:rsidRDefault="00DF1BCA" w:rsidP="00DF1BCA">
      <w:pPr>
        <w:pStyle w:val="Default"/>
        <w:jc w:val="both"/>
        <w:rPr>
          <w:sz w:val="22"/>
          <w:szCs w:val="22"/>
        </w:rPr>
      </w:pPr>
      <w:r w:rsidRPr="00DF1BCA">
        <w:rPr>
          <w:sz w:val="22"/>
          <w:szCs w:val="22"/>
        </w:rPr>
        <w:t xml:space="preserve"> </w:t>
      </w:r>
    </w:p>
    <w:p w:rsidR="00DF1BCA" w:rsidRPr="00DF1BCA" w:rsidRDefault="00DF1BCA" w:rsidP="00DF1BCA">
      <w:pPr>
        <w:pStyle w:val="Default"/>
        <w:jc w:val="both"/>
        <w:rPr>
          <w:b/>
          <w:bCs/>
          <w:sz w:val="22"/>
          <w:szCs w:val="22"/>
        </w:rPr>
      </w:pPr>
      <w:r w:rsidRPr="00DF1BCA">
        <w:rPr>
          <w:b/>
          <w:bCs/>
          <w:sz w:val="22"/>
          <w:szCs w:val="22"/>
        </w:rPr>
        <w:t>Valuation Date</w:t>
      </w:r>
    </w:p>
    <w:p w:rsidR="00DF1BCA" w:rsidRPr="00DF1BCA" w:rsidRDefault="00DF1BCA" w:rsidP="00DF1BCA">
      <w:pPr>
        <w:pStyle w:val="Default"/>
        <w:jc w:val="both"/>
        <w:rPr>
          <w:bCs/>
          <w:sz w:val="22"/>
          <w:szCs w:val="22"/>
        </w:rPr>
      </w:pPr>
      <w:r w:rsidRPr="00DF1BCA">
        <w:rPr>
          <w:bCs/>
          <w:sz w:val="22"/>
          <w:szCs w:val="22"/>
        </w:rPr>
        <w:t>The date of valuation will be 31 March for the respective year.</w:t>
      </w:r>
    </w:p>
    <w:p w:rsidR="00DF1BCA" w:rsidRPr="00DF1BCA" w:rsidRDefault="00DF1BCA" w:rsidP="00DF1BCA">
      <w:pPr>
        <w:pStyle w:val="Default"/>
        <w:jc w:val="both"/>
        <w:rPr>
          <w:b/>
          <w:bCs/>
          <w:sz w:val="22"/>
          <w:szCs w:val="22"/>
        </w:rPr>
      </w:pPr>
    </w:p>
    <w:p w:rsidR="00DF1BCA" w:rsidRPr="00DF1BCA" w:rsidRDefault="00DF1BCA" w:rsidP="00DF1BCA">
      <w:pPr>
        <w:pStyle w:val="Default"/>
        <w:jc w:val="both"/>
        <w:rPr>
          <w:sz w:val="22"/>
          <w:szCs w:val="22"/>
        </w:rPr>
      </w:pPr>
      <w:r w:rsidRPr="00DF1BCA">
        <w:rPr>
          <w:b/>
          <w:bCs/>
          <w:sz w:val="22"/>
          <w:szCs w:val="22"/>
        </w:rPr>
        <w:t xml:space="preserve">Inspections </w:t>
      </w:r>
    </w:p>
    <w:p w:rsidR="00DF1BCA" w:rsidRPr="00DF1BCA" w:rsidRDefault="00DF1BCA" w:rsidP="00DF1BCA">
      <w:pPr>
        <w:pStyle w:val="Default"/>
        <w:jc w:val="both"/>
        <w:rPr>
          <w:color w:val="FF0000"/>
          <w:sz w:val="22"/>
          <w:szCs w:val="22"/>
        </w:rPr>
      </w:pPr>
      <w:r w:rsidRPr="00DF1BCA">
        <w:rPr>
          <w:color w:val="FF0000"/>
          <w:sz w:val="22"/>
          <w:szCs w:val="22"/>
        </w:rPr>
        <w:t>The properties need not be physically inspected as per the guidance</w:t>
      </w:r>
    </w:p>
    <w:p w:rsidR="00DF1BCA" w:rsidRPr="00DF1BCA" w:rsidRDefault="00DF1BCA" w:rsidP="00DF1BCA">
      <w:pPr>
        <w:pStyle w:val="Default"/>
        <w:jc w:val="both"/>
        <w:rPr>
          <w:sz w:val="22"/>
          <w:szCs w:val="22"/>
        </w:rPr>
      </w:pPr>
    </w:p>
    <w:p w:rsidR="00DF1BCA" w:rsidRPr="00DF1BCA" w:rsidRDefault="00DF1BCA" w:rsidP="00DF1BCA">
      <w:pPr>
        <w:pStyle w:val="Default"/>
        <w:jc w:val="both"/>
        <w:rPr>
          <w:sz w:val="22"/>
          <w:szCs w:val="22"/>
        </w:rPr>
      </w:pPr>
      <w:r w:rsidRPr="00DF1BCA">
        <w:rPr>
          <w:b/>
          <w:bCs/>
          <w:sz w:val="22"/>
          <w:szCs w:val="22"/>
        </w:rPr>
        <w:t xml:space="preserve">Floor and Site Areas </w:t>
      </w:r>
      <w:r w:rsidRPr="00DF1BCA">
        <w:rPr>
          <w:sz w:val="22"/>
          <w:szCs w:val="22"/>
        </w:rPr>
        <w:t xml:space="preserve">- Floor areas and additional information will be provided by NML. All measurements and floor areas provided are approximate. </w:t>
      </w:r>
    </w:p>
    <w:p w:rsidR="00DF1BCA" w:rsidRPr="00DF1BCA" w:rsidRDefault="00DF1BCA" w:rsidP="00DF1BCA">
      <w:pPr>
        <w:pStyle w:val="Default"/>
        <w:jc w:val="both"/>
        <w:rPr>
          <w:sz w:val="22"/>
          <w:szCs w:val="22"/>
        </w:rPr>
      </w:pPr>
    </w:p>
    <w:p w:rsidR="00DF1BCA" w:rsidRPr="00DF1BCA" w:rsidRDefault="00DF1BCA" w:rsidP="00DF1BCA">
      <w:pPr>
        <w:tabs>
          <w:tab w:val="num" w:pos="360"/>
          <w:tab w:val="left" w:pos="576"/>
          <w:tab w:val="left" w:pos="1152"/>
          <w:tab w:val="left" w:pos="1728"/>
          <w:tab w:val="left" w:pos="5760"/>
        </w:tabs>
        <w:suppressAutoHyphens/>
        <w:spacing w:line="240" w:lineRule="auto"/>
        <w:rPr>
          <w:rFonts w:cs="Arial"/>
          <w:b/>
          <w:sz w:val="22"/>
          <w:szCs w:val="22"/>
          <w:lang w:eastAsia="en-GB"/>
        </w:rPr>
      </w:pPr>
      <w:r w:rsidRPr="00DF1BCA">
        <w:rPr>
          <w:rFonts w:cs="Arial"/>
          <w:b/>
          <w:sz w:val="22"/>
          <w:szCs w:val="22"/>
          <w:lang w:eastAsia="en-GB"/>
        </w:rPr>
        <w:t xml:space="preserve">Management </w:t>
      </w:r>
    </w:p>
    <w:p w:rsidR="00DF1BCA" w:rsidRPr="00DF1BCA" w:rsidRDefault="00DF1BCA" w:rsidP="00DF1BCA">
      <w:pPr>
        <w:tabs>
          <w:tab w:val="left" w:pos="576"/>
          <w:tab w:val="left" w:pos="1152"/>
          <w:tab w:val="left" w:pos="1728"/>
          <w:tab w:val="left" w:pos="5760"/>
        </w:tabs>
        <w:suppressAutoHyphens/>
        <w:spacing w:line="240" w:lineRule="auto"/>
        <w:rPr>
          <w:rFonts w:cs="Arial"/>
          <w:sz w:val="22"/>
          <w:szCs w:val="22"/>
          <w:lang w:eastAsia="en-GB"/>
        </w:rPr>
      </w:pPr>
      <w:r w:rsidRPr="00DF1BCA">
        <w:rPr>
          <w:rFonts w:cs="Arial"/>
          <w:sz w:val="22"/>
          <w:szCs w:val="22"/>
          <w:lang w:eastAsia="en-GB"/>
        </w:rPr>
        <w:t>Attend periodic meetings re the valuation to advise and discuss progress.</w:t>
      </w:r>
    </w:p>
    <w:p w:rsidR="00DF1BCA" w:rsidRPr="00DF1BCA" w:rsidRDefault="00DF1BCA" w:rsidP="00DF1BCA">
      <w:pPr>
        <w:tabs>
          <w:tab w:val="num" w:pos="360"/>
          <w:tab w:val="left" w:pos="576"/>
          <w:tab w:val="left" w:pos="1152"/>
          <w:tab w:val="left" w:pos="1728"/>
          <w:tab w:val="left" w:pos="5760"/>
        </w:tabs>
        <w:suppressAutoHyphens/>
        <w:spacing w:line="240" w:lineRule="auto"/>
        <w:rPr>
          <w:rFonts w:cs="Arial"/>
          <w:b/>
          <w:sz w:val="22"/>
          <w:szCs w:val="22"/>
          <w:lang w:eastAsia="en-GB"/>
        </w:rPr>
      </w:pPr>
      <w:r w:rsidRPr="00DF1BCA">
        <w:rPr>
          <w:rFonts w:cs="Arial"/>
          <w:b/>
          <w:sz w:val="22"/>
          <w:szCs w:val="22"/>
          <w:lang w:eastAsia="en-GB"/>
        </w:rPr>
        <w:t>Communication and External Responsibilities</w:t>
      </w:r>
    </w:p>
    <w:p w:rsidR="00DF1BCA" w:rsidRPr="00DF1BCA" w:rsidRDefault="00DF1BCA" w:rsidP="00DF1BCA">
      <w:pPr>
        <w:tabs>
          <w:tab w:val="left" w:pos="284"/>
          <w:tab w:val="left" w:pos="1152"/>
          <w:tab w:val="left" w:pos="1728"/>
          <w:tab w:val="left" w:pos="5760"/>
        </w:tabs>
        <w:suppressAutoHyphens/>
        <w:spacing w:line="240" w:lineRule="auto"/>
        <w:rPr>
          <w:rFonts w:cs="Arial"/>
          <w:sz w:val="22"/>
          <w:szCs w:val="22"/>
          <w:lang w:eastAsia="en-GB"/>
        </w:rPr>
      </w:pPr>
      <w:r w:rsidRPr="00DF1BCA">
        <w:rPr>
          <w:rFonts w:cs="Arial"/>
          <w:sz w:val="22"/>
          <w:szCs w:val="22"/>
          <w:lang w:eastAsia="en-GB"/>
        </w:rPr>
        <w:t>Communicate effectively within NML to produce interim and final valuation reports, on time.</w:t>
      </w:r>
    </w:p>
    <w:p w:rsidR="00DF1BCA" w:rsidRPr="00DF1BCA" w:rsidRDefault="00DF1BCA" w:rsidP="00DF1BCA">
      <w:pPr>
        <w:tabs>
          <w:tab w:val="num" w:pos="360"/>
        </w:tabs>
        <w:spacing w:line="240" w:lineRule="auto"/>
        <w:rPr>
          <w:rFonts w:cs="Arial"/>
          <w:b/>
          <w:bCs/>
          <w:sz w:val="22"/>
          <w:szCs w:val="22"/>
        </w:rPr>
      </w:pPr>
      <w:r w:rsidRPr="00DF1BCA">
        <w:rPr>
          <w:rFonts w:cs="Arial"/>
          <w:b/>
          <w:bCs/>
          <w:sz w:val="22"/>
          <w:szCs w:val="22"/>
        </w:rPr>
        <w:t>Other Requirements</w:t>
      </w:r>
    </w:p>
    <w:p w:rsidR="00DF1BCA" w:rsidRPr="00DF1BCA" w:rsidRDefault="00DF1BCA" w:rsidP="00DF1BCA">
      <w:pPr>
        <w:tabs>
          <w:tab w:val="num" w:pos="360"/>
        </w:tabs>
        <w:spacing w:line="240" w:lineRule="auto"/>
        <w:rPr>
          <w:rFonts w:cs="Arial"/>
          <w:bCs/>
          <w:sz w:val="22"/>
          <w:szCs w:val="22"/>
        </w:rPr>
      </w:pPr>
      <w:r w:rsidRPr="00DF1BCA">
        <w:rPr>
          <w:rFonts w:cs="Arial"/>
          <w:bCs/>
          <w:sz w:val="22"/>
          <w:szCs w:val="22"/>
        </w:rPr>
        <w:t>The supplier must liaise with the officers of NML, the Estates and Finance Departments, on all aspects of the valuation..</w:t>
      </w:r>
    </w:p>
    <w:p w:rsidR="00DF1BCA" w:rsidRPr="00DF1BCA" w:rsidRDefault="00DF1BCA" w:rsidP="00DF1BCA">
      <w:pPr>
        <w:tabs>
          <w:tab w:val="num" w:pos="360"/>
        </w:tabs>
        <w:spacing w:line="240" w:lineRule="auto"/>
        <w:rPr>
          <w:rFonts w:cs="Arial"/>
          <w:bCs/>
          <w:sz w:val="22"/>
          <w:szCs w:val="22"/>
        </w:rPr>
      </w:pPr>
    </w:p>
    <w:p w:rsidR="00DF1BCA" w:rsidRPr="00DF1BCA" w:rsidRDefault="00DF1BCA" w:rsidP="00DF1BCA">
      <w:pPr>
        <w:tabs>
          <w:tab w:val="left" w:pos="142"/>
          <w:tab w:val="num" w:pos="360"/>
          <w:tab w:val="left" w:pos="576"/>
          <w:tab w:val="left" w:pos="1152"/>
          <w:tab w:val="left" w:pos="1728"/>
          <w:tab w:val="left" w:pos="5760"/>
        </w:tabs>
        <w:suppressAutoHyphens/>
        <w:spacing w:line="240" w:lineRule="auto"/>
        <w:rPr>
          <w:rFonts w:cs="Arial"/>
          <w:b/>
          <w:sz w:val="22"/>
          <w:szCs w:val="22"/>
          <w:lang w:val="en-US"/>
        </w:rPr>
      </w:pPr>
      <w:r w:rsidRPr="00DF1BCA">
        <w:rPr>
          <w:rFonts w:cs="Arial"/>
          <w:b/>
          <w:sz w:val="22"/>
          <w:szCs w:val="22"/>
          <w:lang w:val="en-US"/>
        </w:rPr>
        <w:t>The supplier  must also:</w:t>
      </w:r>
    </w:p>
    <w:p w:rsidR="00DF1BCA" w:rsidRPr="00DF1BCA" w:rsidRDefault="00DF1BCA" w:rsidP="00DF1BCA">
      <w:pPr>
        <w:tabs>
          <w:tab w:val="left" w:pos="142"/>
          <w:tab w:val="left" w:pos="426"/>
          <w:tab w:val="left" w:pos="1152"/>
          <w:tab w:val="left" w:pos="1728"/>
          <w:tab w:val="left" w:pos="5760"/>
        </w:tabs>
        <w:suppressAutoHyphens/>
        <w:spacing w:line="240" w:lineRule="auto"/>
        <w:rPr>
          <w:rFonts w:cs="Arial"/>
          <w:sz w:val="22"/>
          <w:szCs w:val="22"/>
          <w:lang w:val="en-US"/>
        </w:rPr>
      </w:pPr>
      <w:r w:rsidRPr="00DF1BCA">
        <w:rPr>
          <w:rFonts w:cs="Arial"/>
          <w:sz w:val="22"/>
          <w:szCs w:val="22"/>
          <w:lang w:val="en-US"/>
        </w:rPr>
        <w:t>Uphold NML’s commitment to Equality and Diversity and promote non-discriminatory practices in all aspects of work undertaken.</w:t>
      </w:r>
    </w:p>
    <w:p w:rsidR="00DF1BCA" w:rsidRPr="00DF1BCA" w:rsidRDefault="00DF1BCA" w:rsidP="00DF1BCA">
      <w:pPr>
        <w:tabs>
          <w:tab w:val="left" w:pos="-142"/>
          <w:tab w:val="left" w:pos="0"/>
        </w:tabs>
        <w:spacing w:line="240" w:lineRule="auto"/>
        <w:rPr>
          <w:rFonts w:cs="Arial"/>
          <w:sz w:val="22"/>
          <w:szCs w:val="22"/>
        </w:rPr>
      </w:pPr>
      <w:r w:rsidRPr="00DF1BCA">
        <w:rPr>
          <w:rFonts w:cs="Arial"/>
          <w:sz w:val="22"/>
          <w:szCs w:val="22"/>
        </w:rPr>
        <w:t>Work within NML’s health and Safety Policies and procedures, Access Policy as well as other    appropriate practises and guidelines.</w:t>
      </w:r>
    </w:p>
    <w:p w:rsidR="009F4167" w:rsidRDefault="009F4167" w:rsidP="00DF1BCA">
      <w:pPr>
        <w:pStyle w:val="ReportText2"/>
        <w:tabs>
          <w:tab w:val="num" w:pos="0"/>
        </w:tabs>
        <w:spacing w:after="0" w:line="240" w:lineRule="auto"/>
        <w:ind w:left="0"/>
        <w:rPr>
          <w:rFonts w:cs="Arial"/>
          <w:sz w:val="22"/>
          <w:szCs w:val="22"/>
        </w:rPr>
      </w:pPr>
    </w:p>
    <w:sectPr w:rsidR="009F4167"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12" w:rsidRDefault="004C3012">
      <w:r>
        <w:separator/>
      </w:r>
    </w:p>
  </w:endnote>
  <w:endnote w:type="continuationSeparator" w:id="0">
    <w:p w:rsidR="004C3012" w:rsidRDefault="004C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4C3012" w:rsidTr="00BE66F7">
      <w:trPr>
        <w:trHeight w:val="1279"/>
      </w:trPr>
      <w:tc>
        <w:tcPr>
          <w:tcW w:w="250" w:type="dxa"/>
        </w:tcPr>
        <w:p w:rsidR="004C3012" w:rsidRDefault="004C3012">
          <w:pPr>
            <w:tabs>
              <w:tab w:val="left" w:pos="5792"/>
            </w:tabs>
            <w:spacing w:line="240" w:lineRule="auto"/>
            <w:rPr>
              <w:rFonts w:cs="Arial"/>
              <w:sz w:val="16"/>
            </w:rPr>
          </w:pPr>
        </w:p>
      </w:tc>
      <w:tc>
        <w:tcPr>
          <w:tcW w:w="8363" w:type="dxa"/>
        </w:tcPr>
        <w:p w:rsidR="004C3012" w:rsidRPr="008669A6" w:rsidRDefault="004C3012" w:rsidP="008669A6">
          <w:pPr>
            <w:tabs>
              <w:tab w:val="left" w:pos="5792"/>
            </w:tabs>
            <w:spacing w:line="240" w:lineRule="auto"/>
            <w:rPr>
              <w:rFonts w:cs="Arial"/>
              <w:b/>
              <w:bCs/>
              <w:color w:val="00001C"/>
              <w:sz w:val="15"/>
            </w:rPr>
          </w:pPr>
        </w:p>
      </w:tc>
    </w:tr>
  </w:tbl>
  <w:p w:rsidR="004C3012" w:rsidRDefault="004C3012">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4C3012">
      <w:trPr>
        <w:cantSplit/>
      </w:trPr>
      <w:tc>
        <w:tcPr>
          <w:tcW w:w="4644" w:type="dxa"/>
          <w:vAlign w:val="center"/>
        </w:tcPr>
        <w:p w:rsidR="004C3012" w:rsidRDefault="004C3012">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4C3012" w:rsidRDefault="004C3012">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7A6969">
            <w:rPr>
              <w:rStyle w:val="PageNumber"/>
              <w:noProof/>
            </w:rPr>
            <w:t>10</w:t>
          </w:r>
          <w:r>
            <w:rPr>
              <w:rStyle w:val="PageNumber"/>
            </w:rPr>
            <w:fldChar w:fldCharType="end"/>
          </w:r>
        </w:p>
      </w:tc>
    </w:tr>
  </w:tbl>
  <w:p w:rsidR="004C3012" w:rsidRDefault="004C3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12" w:rsidRDefault="004C3012">
      <w:r>
        <w:separator/>
      </w:r>
    </w:p>
  </w:footnote>
  <w:footnote w:type="continuationSeparator" w:id="0">
    <w:p w:rsidR="004C3012" w:rsidRDefault="004C3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4C3012">
      <w:tc>
        <w:tcPr>
          <w:tcW w:w="8472" w:type="dxa"/>
          <w:tcMar>
            <w:right w:w="28" w:type="dxa"/>
          </w:tcMar>
        </w:tcPr>
        <w:p w:rsidR="004C3012" w:rsidRDefault="004C3012">
          <w:pPr>
            <w:tabs>
              <w:tab w:val="left" w:pos="828"/>
              <w:tab w:val="right" w:pos="9152"/>
            </w:tabs>
            <w:rPr>
              <w:rFonts w:cs="Arial"/>
              <w:sz w:val="12"/>
            </w:rPr>
          </w:pPr>
        </w:p>
      </w:tc>
    </w:tr>
  </w:tbl>
  <w:p w:rsidR="004C3012" w:rsidRDefault="004C3012">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29"/>
  </w:num>
  <w:num w:numId="3">
    <w:abstractNumId w:val="33"/>
  </w:num>
  <w:num w:numId="4">
    <w:abstractNumId w:val="35"/>
  </w:num>
  <w:num w:numId="5">
    <w:abstractNumId w:val="8"/>
  </w:num>
  <w:num w:numId="6">
    <w:abstractNumId w:val="30"/>
  </w:num>
  <w:num w:numId="7">
    <w:abstractNumId w:val="28"/>
  </w:num>
  <w:num w:numId="8">
    <w:abstractNumId w:val="19"/>
  </w:num>
  <w:num w:numId="9">
    <w:abstractNumId w:val="34"/>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2"/>
  </w:num>
  <w:num w:numId="19">
    <w:abstractNumId w:val="31"/>
  </w:num>
  <w:num w:numId="20">
    <w:abstractNumId w:val="9"/>
  </w:num>
  <w:num w:numId="21">
    <w:abstractNumId w:val="22"/>
  </w:num>
  <w:num w:numId="22">
    <w:abstractNumId w:val="4"/>
  </w:num>
  <w:num w:numId="23">
    <w:abstractNumId w:val="3"/>
  </w:num>
  <w:num w:numId="24">
    <w:abstractNumId w:val="10"/>
  </w:num>
  <w:num w:numId="25">
    <w:abstractNumId w:val="27"/>
  </w:num>
  <w:num w:numId="26">
    <w:abstractNumId w:val="7"/>
  </w:num>
  <w:num w:numId="27">
    <w:abstractNumId w:val="12"/>
  </w:num>
  <w:num w:numId="28">
    <w:abstractNumId w:val="17"/>
  </w:num>
  <w:num w:numId="29">
    <w:abstractNumId w:val="11"/>
  </w:num>
  <w:num w:numId="30">
    <w:abstractNumId w:val="15"/>
  </w:num>
  <w:num w:numId="31">
    <w:abstractNumId w:val="25"/>
  </w:num>
  <w:num w:numId="32">
    <w:abstractNumId w:val="5"/>
  </w:num>
  <w:num w:numId="33">
    <w:abstractNumId w:val="6"/>
  </w:num>
  <w:num w:numId="34">
    <w:abstractNumId w:val="24"/>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475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A72CB"/>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87B83"/>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3012"/>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969"/>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1F44"/>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1BCA"/>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E61A3"/>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08BC-EBAE-4A2E-96CE-5CE73067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5017</Words>
  <Characters>26841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31795</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6</cp:revision>
  <cp:lastPrinted>2018-01-29T14:05:00Z</cp:lastPrinted>
  <dcterms:created xsi:type="dcterms:W3CDTF">2018-01-29T12:22:00Z</dcterms:created>
  <dcterms:modified xsi:type="dcterms:W3CDTF">2018-01-29T14:51:00Z</dcterms:modified>
</cp:coreProperties>
</file>