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2926"/>
        <w:gridCol w:w="7280"/>
      </w:tblGrid>
      <w:tr w:rsidR="002E4B2E" w:rsidRPr="00AA3128" w14:paraId="18C78F12" w14:textId="77777777" w:rsidTr="00730ECC">
        <w:tc>
          <w:tcPr>
            <w:tcW w:w="2926" w:type="dxa"/>
            <w:shd w:val="clear" w:color="auto" w:fill="A6A6A6" w:themeFill="background1" w:themeFillShade="A6"/>
          </w:tcPr>
          <w:p w14:paraId="4CE8601F" w14:textId="77777777" w:rsidR="002E4B2E" w:rsidRPr="0019444F" w:rsidRDefault="002E4B2E" w:rsidP="00D0640B">
            <w:pPr>
              <w:pStyle w:val="NoSpacing"/>
              <w:rPr>
                <w:b/>
              </w:rPr>
            </w:pPr>
            <w:bookmarkStart w:id="0" w:name="_GoBack"/>
            <w:bookmarkEnd w:id="0"/>
            <w:r w:rsidRPr="0019444F">
              <w:rPr>
                <w:b/>
              </w:rPr>
              <w:t>Service</w:t>
            </w:r>
          </w:p>
        </w:tc>
        <w:tc>
          <w:tcPr>
            <w:tcW w:w="7280" w:type="dxa"/>
            <w:shd w:val="clear" w:color="auto" w:fill="FFFFE5"/>
          </w:tcPr>
          <w:p w14:paraId="09BC52F7" w14:textId="77777777" w:rsidR="002E4B2E" w:rsidRPr="00AA3128" w:rsidRDefault="00BB32D5" w:rsidP="00D0640B">
            <w:pPr>
              <w:pStyle w:val="NoSpacing"/>
            </w:pPr>
            <w:r>
              <w:t>A</w:t>
            </w:r>
            <w:r w:rsidR="00B20F5A">
              <w:t>dult Community Services</w:t>
            </w:r>
          </w:p>
        </w:tc>
      </w:tr>
      <w:tr w:rsidR="002E4B2E" w:rsidRPr="00AA3128" w14:paraId="0BD91F27" w14:textId="77777777" w:rsidTr="00730ECC">
        <w:tc>
          <w:tcPr>
            <w:tcW w:w="2926" w:type="dxa"/>
            <w:shd w:val="clear" w:color="auto" w:fill="D9D9D9" w:themeFill="background1" w:themeFillShade="D9"/>
          </w:tcPr>
          <w:p w14:paraId="3AC86800" w14:textId="77777777" w:rsidR="002E4B2E" w:rsidRPr="0019444F" w:rsidRDefault="002E4B2E" w:rsidP="00D0640B">
            <w:pPr>
              <w:pStyle w:val="NoSpacing"/>
            </w:pPr>
            <w:r w:rsidRPr="0019444F">
              <w:t>Specification Reference</w:t>
            </w:r>
          </w:p>
        </w:tc>
        <w:tc>
          <w:tcPr>
            <w:tcW w:w="7280" w:type="dxa"/>
          </w:tcPr>
          <w:p w14:paraId="354AA643" w14:textId="77777777" w:rsidR="002E4B2E" w:rsidRPr="00AA3128" w:rsidRDefault="00634354" w:rsidP="00D83068">
            <w:pPr>
              <w:pStyle w:val="NoSpacing"/>
            </w:pPr>
            <w:r>
              <w:t>Specialist S</w:t>
            </w:r>
            <w:r w:rsidR="006131A4">
              <w:t xml:space="preserve">upport </w:t>
            </w:r>
            <w:r w:rsidR="00BB32D5">
              <w:t>Function</w:t>
            </w:r>
            <w:r w:rsidR="0023673B">
              <w:t>s</w:t>
            </w:r>
            <w:r w:rsidR="00D37E58">
              <w:t xml:space="preserve"> (Part </w:t>
            </w:r>
            <w:r w:rsidR="00D83068">
              <w:t>3</w:t>
            </w:r>
            <w:r w:rsidR="00D37E58">
              <w:t>)</w:t>
            </w:r>
          </w:p>
        </w:tc>
      </w:tr>
      <w:tr w:rsidR="002E4B2E" w:rsidRPr="00AA3128" w14:paraId="7ED192FE" w14:textId="77777777" w:rsidTr="00730ECC">
        <w:tc>
          <w:tcPr>
            <w:tcW w:w="2926" w:type="dxa"/>
            <w:shd w:val="clear" w:color="auto" w:fill="D9D9D9" w:themeFill="background1" w:themeFillShade="D9"/>
          </w:tcPr>
          <w:p w14:paraId="238CC13C" w14:textId="77777777" w:rsidR="002E4B2E" w:rsidRPr="0019444F" w:rsidRDefault="002E4B2E" w:rsidP="002E4B2E">
            <w:pPr>
              <w:pStyle w:val="NoSpacing"/>
            </w:pPr>
            <w:r w:rsidRPr="0019444F">
              <w:t>Period</w:t>
            </w:r>
          </w:p>
        </w:tc>
        <w:tc>
          <w:tcPr>
            <w:tcW w:w="7280" w:type="dxa"/>
          </w:tcPr>
          <w:p w14:paraId="69DDD8C3" w14:textId="77777777" w:rsidR="002E4B2E" w:rsidRPr="00AA3128" w:rsidRDefault="002E4B2E" w:rsidP="00AE4061">
            <w:pPr>
              <w:pStyle w:val="NoSpacing"/>
            </w:pPr>
          </w:p>
        </w:tc>
      </w:tr>
      <w:tr w:rsidR="002E4B2E" w:rsidRPr="00AA3128" w14:paraId="68208760" w14:textId="77777777" w:rsidTr="00730ECC">
        <w:tc>
          <w:tcPr>
            <w:tcW w:w="2926" w:type="dxa"/>
            <w:shd w:val="clear" w:color="auto" w:fill="D9D9D9" w:themeFill="background1" w:themeFillShade="D9"/>
          </w:tcPr>
          <w:p w14:paraId="49011887" w14:textId="77777777" w:rsidR="002E4B2E" w:rsidRPr="0019444F" w:rsidRDefault="002E4B2E" w:rsidP="00D0640B">
            <w:pPr>
              <w:pStyle w:val="NoSpacing"/>
            </w:pPr>
            <w:r w:rsidRPr="0019444F">
              <w:t>Last Updated</w:t>
            </w:r>
          </w:p>
        </w:tc>
        <w:tc>
          <w:tcPr>
            <w:tcW w:w="7280" w:type="dxa"/>
          </w:tcPr>
          <w:p w14:paraId="4A16CF6E" w14:textId="77777777" w:rsidR="002E4B2E" w:rsidRPr="00AA3128" w:rsidRDefault="002E4B2E" w:rsidP="00841483">
            <w:pPr>
              <w:pStyle w:val="NoSpacing"/>
            </w:pPr>
          </w:p>
        </w:tc>
      </w:tr>
      <w:tr w:rsidR="00570516" w:rsidRPr="00AA3128" w14:paraId="67FD1BC0" w14:textId="77777777" w:rsidTr="00730ECC">
        <w:tc>
          <w:tcPr>
            <w:tcW w:w="2926" w:type="dxa"/>
            <w:shd w:val="clear" w:color="auto" w:fill="D9D9D9" w:themeFill="background1" w:themeFillShade="D9"/>
          </w:tcPr>
          <w:p w14:paraId="42F6549A" w14:textId="77777777" w:rsidR="00570516" w:rsidRPr="0019444F" w:rsidRDefault="00570516" w:rsidP="00D0640B">
            <w:pPr>
              <w:pStyle w:val="NoSpacing"/>
            </w:pPr>
            <w:r>
              <w:t>Service Value</w:t>
            </w:r>
          </w:p>
        </w:tc>
        <w:tc>
          <w:tcPr>
            <w:tcW w:w="7280" w:type="dxa"/>
          </w:tcPr>
          <w:p w14:paraId="7F1872E8" w14:textId="77777777" w:rsidR="00570516" w:rsidRDefault="00570516" w:rsidP="00D0640B">
            <w:pPr>
              <w:pStyle w:val="NoSpacing"/>
            </w:pPr>
          </w:p>
        </w:tc>
      </w:tr>
    </w:tbl>
    <w:p w14:paraId="741E7D1F" w14:textId="77777777" w:rsidR="00D0640B" w:rsidRPr="002E4B2E" w:rsidRDefault="00D0640B" w:rsidP="00D0640B">
      <w:pPr>
        <w:pStyle w:val="NoSpacing"/>
      </w:pP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516"/>
        <w:gridCol w:w="9690"/>
      </w:tblGrid>
      <w:tr w:rsidR="00EC29B7" w:rsidRPr="00AA3128" w14:paraId="1B7523E3" w14:textId="77777777" w:rsidTr="00730ECC">
        <w:trPr>
          <w:trHeight w:val="284"/>
        </w:trPr>
        <w:tc>
          <w:tcPr>
            <w:tcW w:w="516" w:type="dxa"/>
            <w:tcBorders>
              <w:bottom w:val="single" w:sz="4" w:space="0" w:color="808080" w:themeColor="background1" w:themeShade="80"/>
            </w:tcBorders>
            <w:shd w:val="clear" w:color="auto" w:fill="A6A6A6" w:themeFill="background1" w:themeFillShade="A6"/>
          </w:tcPr>
          <w:p w14:paraId="50B30F70" w14:textId="77777777" w:rsidR="00EC29B7" w:rsidRPr="0019444F" w:rsidRDefault="00EC29B7" w:rsidP="006D238B">
            <w:pPr>
              <w:pStyle w:val="NoSpacing"/>
              <w:rPr>
                <w:b/>
                <w:sz w:val="20"/>
                <w:szCs w:val="20"/>
              </w:rPr>
            </w:pPr>
            <w:r w:rsidRPr="0019444F">
              <w:rPr>
                <w:b/>
                <w:sz w:val="20"/>
                <w:szCs w:val="20"/>
              </w:rPr>
              <w:t>1</w:t>
            </w:r>
          </w:p>
        </w:tc>
        <w:tc>
          <w:tcPr>
            <w:tcW w:w="9690" w:type="dxa"/>
            <w:tcBorders>
              <w:bottom w:val="single" w:sz="4" w:space="0" w:color="808080" w:themeColor="background1" w:themeShade="80"/>
            </w:tcBorders>
            <w:shd w:val="clear" w:color="auto" w:fill="A6A6A6" w:themeFill="background1" w:themeFillShade="A6"/>
          </w:tcPr>
          <w:p w14:paraId="00641B3A" w14:textId="77777777" w:rsidR="00EC29B7" w:rsidRPr="0019444F" w:rsidRDefault="00EC29B7" w:rsidP="00D32F1A">
            <w:pPr>
              <w:pStyle w:val="NoSpacing"/>
              <w:rPr>
                <w:b/>
              </w:rPr>
            </w:pPr>
            <w:r w:rsidRPr="0019444F">
              <w:rPr>
                <w:b/>
              </w:rPr>
              <w:t>Introduction and Context</w:t>
            </w:r>
          </w:p>
        </w:tc>
      </w:tr>
      <w:tr w:rsidR="00AA3128" w:rsidRPr="00AA3128" w14:paraId="4CFB0A20" w14:textId="77777777" w:rsidTr="00730ECC">
        <w:trPr>
          <w:trHeight w:val="284"/>
        </w:trPr>
        <w:tc>
          <w:tcPr>
            <w:tcW w:w="516" w:type="dxa"/>
            <w:shd w:val="clear" w:color="auto" w:fill="D9D9D9" w:themeFill="background1" w:themeFillShade="D9"/>
          </w:tcPr>
          <w:p w14:paraId="77EE8E8F" w14:textId="77777777" w:rsidR="00AA3128" w:rsidRPr="0019444F" w:rsidRDefault="00AA3128" w:rsidP="006D238B">
            <w:pPr>
              <w:pStyle w:val="NoSpacing"/>
              <w:rPr>
                <w:sz w:val="20"/>
                <w:szCs w:val="20"/>
              </w:rPr>
            </w:pPr>
            <w:r w:rsidRPr="0019444F">
              <w:rPr>
                <w:sz w:val="20"/>
                <w:szCs w:val="20"/>
              </w:rPr>
              <w:t>1.1</w:t>
            </w:r>
          </w:p>
        </w:tc>
        <w:tc>
          <w:tcPr>
            <w:tcW w:w="9690" w:type="dxa"/>
            <w:shd w:val="clear" w:color="auto" w:fill="D9D9D9" w:themeFill="background1" w:themeFillShade="D9"/>
          </w:tcPr>
          <w:p w14:paraId="15DFFD09" w14:textId="77777777" w:rsidR="00AA3128" w:rsidRPr="00AA3128" w:rsidRDefault="00805BA1" w:rsidP="00D32F1A">
            <w:pPr>
              <w:pStyle w:val="NoSpacing"/>
            </w:pPr>
            <w:r>
              <w:t>Summary/ Introduction</w:t>
            </w:r>
          </w:p>
        </w:tc>
      </w:tr>
      <w:tr w:rsidR="006D238B" w:rsidRPr="00AA3128" w14:paraId="6893777B" w14:textId="77777777" w:rsidTr="005C07B0">
        <w:trPr>
          <w:trHeight w:val="985"/>
        </w:trPr>
        <w:tc>
          <w:tcPr>
            <w:tcW w:w="10206" w:type="dxa"/>
            <w:gridSpan w:val="2"/>
            <w:shd w:val="clear" w:color="auto" w:fill="FFFFFF" w:themeFill="background1"/>
          </w:tcPr>
          <w:p w14:paraId="55C04EE2" w14:textId="77777777" w:rsidR="00951001" w:rsidRDefault="00951001" w:rsidP="00C369D1">
            <w:pPr>
              <w:pStyle w:val="NoSpacing"/>
              <w:jc w:val="both"/>
            </w:pPr>
            <w:r>
              <w:t xml:space="preserve">This specification </w:t>
            </w:r>
            <w:r w:rsidR="00DF7F9C">
              <w:t xml:space="preserve">sets out </w:t>
            </w:r>
            <w:r>
              <w:t xml:space="preserve">the requirements of the </w:t>
            </w:r>
            <w:r w:rsidR="00DF7F9C">
              <w:t>P</w:t>
            </w:r>
            <w:r>
              <w:t xml:space="preserve">rovider </w:t>
            </w:r>
            <w:r w:rsidR="00DF7F9C">
              <w:t xml:space="preserve">in relation to the </w:t>
            </w:r>
            <w:r w:rsidR="00B20D19">
              <w:t>s</w:t>
            </w:r>
            <w:r w:rsidR="00FB2D30">
              <w:t>pecialist</w:t>
            </w:r>
            <w:r>
              <w:t xml:space="preserve"> </w:t>
            </w:r>
            <w:r w:rsidR="00B20D19">
              <w:t>s</w:t>
            </w:r>
            <w:r w:rsidR="006131A4">
              <w:t xml:space="preserve">upport </w:t>
            </w:r>
            <w:r w:rsidR="00B20D19">
              <w:t>f</w:t>
            </w:r>
            <w:r w:rsidR="00DF7F9C">
              <w:t>unction</w:t>
            </w:r>
            <w:r w:rsidR="0023673B">
              <w:t>s</w:t>
            </w:r>
            <w:r w:rsidR="00032E6B">
              <w:t xml:space="preserve"> to be provided as part of the </w:t>
            </w:r>
            <w:r>
              <w:t xml:space="preserve">Adult Community Services. </w:t>
            </w:r>
            <w:r w:rsidR="00090D71" w:rsidRPr="00090D71">
              <w:t xml:space="preserve">This document should be read in conjunction with the </w:t>
            </w:r>
            <w:r w:rsidR="00C369D1">
              <w:t>G</w:t>
            </w:r>
            <w:r w:rsidR="00090D71">
              <w:t xml:space="preserve">eneric (Part 1) and the </w:t>
            </w:r>
            <w:r w:rsidR="00C369D1">
              <w:t>C</w:t>
            </w:r>
            <w:r w:rsidR="00090D71" w:rsidRPr="00090D71">
              <w:t>ore</w:t>
            </w:r>
            <w:r w:rsidR="00090D71">
              <w:t xml:space="preserve"> service specification (Part 2).</w:t>
            </w:r>
            <w:r w:rsidR="00090D71" w:rsidRPr="00090D71">
              <w:t xml:space="preserve">  All three documents provide the context to the complete service model and the required service functions to be provided by the Provider.  This document must be considered alongside the NHS Standard Contract which contains requirements laid out in General Conditions and Service Conditions.</w:t>
            </w:r>
          </w:p>
          <w:p w14:paraId="4D9F0519" w14:textId="77777777" w:rsidR="00BC483B" w:rsidRPr="0019444F" w:rsidRDefault="00BC483B" w:rsidP="00C369D1">
            <w:pPr>
              <w:pStyle w:val="NoSpacing"/>
              <w:jc w:val="both"/>
            </w:pPr>
          </w:p>
        </w:tc>
      </w:tr>
      <w:tr w:rsidR="005C07B0" w:rsidRPr="00AA3128" w14:paraId="3E47620F" w14:textId="77777777" w:rsidTr="00730ECC">
        <w:trPr>
          <w:trHeight w:val="284"/>
        </w:trPr>
        <w:tc>
          <w:tcPr>
            <w:tcW w:w="516" w:type="dxa"/>
            <w:shd w:val="clear" w:color="auto" w:fill="D9D9D9" w:themeFill="background1" w:themeFillShade="D9"/>
          </w:tcPr>
          <w:p w14:paraId="7C5B9CFF" w14:textId="77777777" w:rsidR="005C07B0" w:rsidRPr="0019444F" w:rsidRDefault="005C07B0" w:rsidP="006D238B">
            <w:pPr>
              <w:pStyle w:val="NoSpacing"/>
              <w:rPr>
                <w:sz w:val="20"/>
                <w:szCs w:val="20"/>
              </w:rPr>
            </w:pPr>
            <w:r>
              <w:rPr>
                <w:sz w:val="20"/>
                <w:szCs w:val="20"/>
              </w:rPr>
              <w:t>1.2</w:t>
            </w:r>
          </w:p>
        </w:tc>
        <w:tc>
          <w:tcPr>
            <w:tcW w:w="9690" w:type="dxa"/>
            <w:shd w:val="clear" w:color="auto" w:fill="D9D9D9" w:themeFill="background1" w:themeFillShade="D9"/>
          </w:tcPr>
          <w:p w14:paraId="61A2D161" w14:textId="77777777" w:rsidR="005C07B0" w:rsidRDefault="005C07B0" w:rsidP="00EC29B7">
            <w:pPr>
              <w:pStyle w:val="NoSpacing"/>
            </w:pPr>
            <w:r>
              <w:t>Strategic Context -</w:t>
            </w:r>
            <w:r w:rsidRPr="00AA3128">
              <w:t xml:space="preserve"> national </w:t>
            </w:r>
            <w:r>
              <w:t xml:space="preserve">and local </w:t>
            </w:r>
            <w:r w:rsidRPr="00AA3128">
              <w:t>policy</w:t>
            </w:r>
          </w:p>
        </w:tc>
      </w:tr>
      <w:tr w:rsidR="00E37254" w:rsidRPr="00E37254" w14:paraId="4C289CA7" w14:textId="77777777" w:rsidTr="003571DA">
        <w:trPr>
          <w:trHeight w:val="284"/>
        </w:trPr>
        <w:tc>
          <w:tcPr>
            <w:tcW w:w="10206" w:type="dxa"/>
            <w:gridSpan w:val="2"/>
            <w:shd w:val="clear" w:color="auto" w:fill="FFFFFF" w:themeFill="background1"/>
          </w:tcPr>
          <w:p w14:paraId="5389C1E6" w14:textId="77777777" w:rsidR="005C07B0" w:rsidRDefault="005C07B0" w:rsidP="00E37254">
            <w:pPr>
              <w:pStyle w:val="NoSpacing"/>
              <w:tabs>
                <w:tab w:val="left" w:pos="3420"/>
              </w:tabs>
              <w:rPr>
                <w:b/>
                <w:color w:val="00B050"/>
              </w:rPr>
            </w:pPr>
            <w:r w:rsidRPr="00E37254">
              <w:rPr>
                <w:b/>
                <w:color w:val="00B050"/>
              </w:rPr>
              <w:t xml:space="preserve">Please see Generic </w:t>
            </w:r>
            <w:r w:rsidR="00E37254">
              <w:rPr>
                <w:b/>
                <w:color w:val="00B050"/>
              </w:rPr>
              <w:t>Service Specification</w:t>
            </w:r>
          </w:p>
          <w:p w14:paraId="66E07656" w14:textId="77777777" w:rsidR="00994D83" w:rsidRPr="00E37254" w:rsidRDefault="00994D83" w:rsidP="00E37254">
            <w:pPr>
              <w:pStyle w:val="NoSpacing"/>
              <w:tabs>
                <w:tab w:val="left" w:pos="3420"/>
              </w:tabs>
              <w:rPr>
                <w:b/>
                <w:color w:val="00B050"/>
              </w:rPr>
            </w:pPr>
          </w:p>
        </w:tc>
      </w:tr>
      <w:tr w:rsidR="00EC29B7" w:rsidRPr="00AA3128" w14:paraId="1FB23F45" w14:textId="77777777" w:rsidTr="00730ECC">
        <w:trPr>
          <w:trHeight w:val="284"/>
        </w:trPr>
        <w:tc>
          <w:tcPr>
            <w:tcW w:w="516" w:type="dxa"/>
            <w:shd w:val="clear" w:color="auto" w:fill="D9D9D9" w:themeFill="background1" w:themeFillShade="D9"/>
          </w:tcPr>
          <w:p w14:paraId="4D0EA396" w14:textId="77777777" w:rsidR="00EC29B7" w:rsidRPr="0019444F" w:rsidRDefault="00AA3128" w:rsidP="006D238B">
            <w:pPr>
              <w:pStyle w:val="NoSpacing"/>
              <w:rPr>
                <w:sz w:val="20"/>
                <w:szCs w:val="20"/>
              </w:rPr>
            </w:pPr>
            <w:r w:rsidRPr="0019444F">
              <w:rPr>
                <w:sz w:val="20"/>
                <w:szCs w:val="20"/>
              </w:rPr>
              <w:t>1.</w:t>
            </w:r>
            <w:r w:rsidR="002D1F7A">
              <w:rPr>
                <w:sz w:val="20"/>
                <w:szCs w:val="20"/>
              </w:rPr>
              <w:t>3</w:t>
            </w:r>
          </w:p>
        </w:tc>
        <w:tc>
          <w:tcPr>
            <w:tcW w:w="9690" w:type="dxa"/>
            <w:shd w:val="clear" w:color="auto" w:fill="D9D9D9" w:themeFill="background1" w:themeFillShade="D9"/>
          </w:tcPr>
          <w:p w14:paraId="45A68111" w14:textId="77777777" w:rsidR="00EC29B7" w:rsidRPr="00AA3128" w:rsidRDefault="006D238B" w:rsidP="00EC29B7">
            <w:pPr>
              <w:pStyle w:val="NoSpacing"/>
            </w:pPr>
            <w:r>
              <w:t>National and l</w:t>
            </w:r>
            <w:r w:rsidR="00EC29B7" w:rsidRPr="00AA3128">
              <w:t>ocal trends</w:t>
            </w:r>
          </w:p>
        </w:tc>
      </w:tr>
      <w:tr w:rsidR="006D238B" w:rsidRPr="00AA3128" w14:paraId="0068008B" w14:textId="77777777" w:rsidTr="00D32F1A">
        <w:trPr>
          <w:trHeight w:val="284"/>
        </w:trPr>
        <w:tc>
          <w:tcPr>
            <w:tcW w:w="10206" w:type="dxa"/>
            <w:gridSpan w:val="2"/>
            <w:shd w:val="clear" w:color="auto" w:fill="auto"/>
          </w:tcPr>
          <w:p w14:paraId="14320898" w14:textId="77777777" w:rsidR="00841483" w:rsidRDefault="00BB53FB" w:rsidP="00E37254">
            <w:pPr>
              <w:pStyle w:val="NoSpacing"/>
              <w:jc w:val="both"/>
              <w:rPr>
                <w:b/>
                <w:color w:val="00AF50"/>
              </w:rPr>
            </w:pPr>
            <w:r>
              <w:rPr>
                <w:b/>
                <w:color w:val="00AF50"/>
              </w:rPr>
              <w:t xml:space="preserve">Please see Generic </w:t>
            </w:r>
            <w:r w:rsidR="00E37254">
              <w:rPr>
                <w:b/>
                <w:color w:val="00AF50"/>
              </w:rPr>
              <w:t>Service Specification</w:t>
            </w:r>
          </w:p>
          <w:p w14:paraId="5E80707B" w14:textId="77777777" w:rsidR="00994D83" w:rsidRPr="0019444F" w:rsidRDefault="00994D83" w:rsidP="00E37254">
            <w:pPr>
              <w:pStyle w:val="NoSpacing"/>
              <w:jc w:val="both"/>
            </w:pPr>
          </w:p>
        </w:tc>
      </w:tr>
      <w:tr w:rsidR="00B20F5A" w:rsidRPr="00D0262D" w14:paraId="11B55A4D" w14:textId="77777777" w:rsidTr="000E6662">
        <w:trPr>
          <w:trHeight w:val="284"/>
        </w:trPr>
        <w:tc>
          <w:tcPr>
            <w:tcW w:w="5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tcPr>
          <w:p w14:paraId="30E99084" w14:textId="77777777" w:rsidR="00B20F5A" w:rsidRPr="00D0262D" w:rsidRDefault="00D0262D" w:rsidP="0085381B">
            <w:pPr>
              <w:pStyle w:val="NoSpacing"/>
              <w:rPr>
                <w:b/>
                <w:sz w:val="20"/>
                <w:szCs w:val="20"/>
              </w:rPr>
            </w:pPr>
            <w:r w:rsidRPr="00D0262D">
              <w:rPr>
                <w:b/>
                <w:sz w:val="20"/>
                <w:szCs w:val="20"/>
              </w:rPr>
              <w:t>2</w:t>
            </w:r>
          </w:p>
        </w:tc>
        <w:tc>
          <w:tcPr>
            <w:tcW w:w="96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6A6A6" w:themeFill="background1" w:themeFillShade="A6"/>
          </w:tcPr>
          <w:p w14:paraId="0B59DE64" w14:textId="77777777" w:rsidR="00B20F5A" w:rsidRPr="00D0262D" w:rsidRDefault="00CA422B" w:rsidP="00C74D46">
            <w:pPr>
              <w:pStyle w:val="NoSpacing"/>
              <w:rPr>
                <w:b/>
              </w:rPr>
            </w:pPr>
            <w:r w:rsidRPr="00D0262D">
              <w:rPr>
                <w:b/>
              </w:rPr>
              <w:t xml:space="preserve">Service </w:t>
            </w:r>
            <w:r w:rsidR="00B20F5A" w:rsidRPr="00D0262D">
              <w:rPr>
                <w:b/>
              </w:rPr>
              <w:t>Description</w:t>
            </w:r>
            <w:r w:rsidR="00060C0C" w:rsidRPr="00D0262D">
              <w:rPr>
                <w:b/>
              </w:rPr>
              <w:t xml:space="preserve"> </w:t>
            </w:r>
          </w:p>
        </w:tc>
      </w:tr>
      <w:tr w:rsidR="00B20F5A" w:rsidRPr="00AA3128" w14:paraId="006DA4DE" w14:textId="77777777" w:rsidTr="0085381B">
        <w:trPr>
          <w:trHeight w:val="284"/>
        </w:trPr>
        <w:tc>
          <w:tcPr>
            <w:tcW w:w="516" w:type="dxa"/>
            <w:shd w:val="clear" w:color="auto" w:fill="D9D9D9" w:themeFill="background1" w:themeFillShade="D9"/>
            <w:vAlign w:val="center"/>
          </w:tcPr>
          <w:p w14:paraId="755609BF" w14:textId="77777777" w:rsidR="00B20F5A" w:rsidRPr="0019444F" w:rsidRDefault="0018100E" w:rsidP="0085381B">
            <w:pPr>
              <w:pStyle w:val="NoSpacing"/>
              <w:rPr>
                <w:sz w:val="20"/>
                <w:szCs w:val="20"/>
              </w:rPr>
            </w:pPr>
            <w:r>
              <w:rPr>
                <w:sz w:val="20"/>
                <w:szCs w:val="20"/>
              </w:rPr>
              <w:t>2</w:t>
            </w:r>
            <w:r w:rsidR="000E6662">
              <w:rPr>
                <w:sz w:val="20"/>
                <w:szCs w:val="20"/>
              </w:rPr>
              <w:t>.1</w:t>
            </w:r>
          </w:p>
        </w:tc>
        <w:tc>
          <w:tcPr>
            <w:tcW w:w="9690" w:type="dxa"/>
            <w:shd w:val="clear" w:color="auto" w:fill="D9D9D9" w:themeFill="background1" w:themeFillShade="D9"/>
          </w:tcPr>
          <w:p w14:paraId="00C0D30F" w14:textId="77777777" w:rsidR="00B20F5A" w:rsidRPr="00AA3128" w:rsidRDefault="00B9187E" w:rsidP="00117D20">
            <w:pPr>
              <w:pStyle w:val="NoSpacing"/>
            </w:pPr>
            <w:r w:rsidRPr="00AA3128">
              <w:t>Description</w:t>
            </w:r>
            <w:r>
              <w:t xml:space="preserve"> (including summary of overarching aims)</w:t>
            </w:r>
          </w:p>
        </w:tc>
      </w:tr>
      <w:tr w:rsidR="00B20F5A" w:rsidRPr="00AA3128" w14:paraId="44781B13" w14:textId="77777777" w:rsidTr="0085381B">
        <w:trPr>
          <w:trHeight w:val="284"/>
        </w:trPr>
        <w:tc>
          <w:tcPr>
            <w:tcW w:w="10206" w:type="dxa"/>
            <w:gridSpan w:val="2"/>
            <w:shd w:val="clear" w:color="auto" w:fill="auto"/>
            <w:vAlign w:val="center"/>
          </w:tcPr>
          <w:p w14:paraId="095A97E5" w14:textId="77777777" w:rsidR="002C3F1B" w:rsidRPr="002C3F1B" w:rsidRDefault="00B9187E" w:rsidP="002C3F1B">
            <w:r>
              <w:t xml:space="preserve">The </w:t>
            </w:r>
            <w:r w:rsidR="003F1811">
              <w:t xml:space="preserve">Provider will ensure that the </w:t>
            </w:r>
            <w:r w:rsidR="00393608">
              <w:t>s</w:t>
            </w:r>
            <w:r>
              <w:t xml:space="preserve">pecialist </w:t>
            </w:r>
            <w:r w:rsidR="006131A4">
              <w:t xml:space="preserve">support </w:t>
            </w:r>
            <w:r w:rsidR="00393608">
              <w:t>f</w:t>
            </w:r>
            <w:r w:rsidR="00D46209">
              <w:t xml:space="preserve">unction </w:t>
            </w:r>
            <w:r w:rsidR="00661A98">
              <w:t>will</w:t>
            </w:r>
            <w:r w:rsidR="00393608">
              <w:t xml:space="preserve"> </w:t>
            </w:r>
            <w:r w:rsidR="00156652">
              <w:t>provide</w:t>
            </w:r>
            <w:r w:rsidR="00393608">
              <w:t xml:space="preserve"> </w:t>
            </w:r>
            <w:r>
              <w:t>responsive access to specialist advice and</w:t>
            </w:r>
            <w:r w:rsidR="00A15562">
              <w:t xml:space="preserve"> intervention</w:t>
            </w:r>
            <w:r w:rsidR="00145D7B">
              <w:t>s</w:t>
            </w:r>
            <w:r w:rsidR="00A15562">
              <w:t xml:space="preserve"> to support </w:t>
            </w:r>
            <w:r w:rsidR="0072718A">
              <w:t xml:space="preserve">the </w:t>
            </w:r>
            <w:r>
              <w:t>core generalist s</w:t>
            </w:r>
            <w:r w:rsidR="001553DD">
              <w:t>taff</w:t>
            </w:r>
            <w:r w:rsidR="004E1FBF">
              <w:t xml:space="preserve"> </w:t>
            </w:r>
            <w:r>
              <w:t xml:space="preserve">in the community. </w:t>
            </w:r>
            <w:r w:rsidR="00DA75B4" w:rsidRPr="00DA75B4">
              <w:t xml:space="preserve">These specialist clinical staff will work across </w:t>
            </w:r>
            <w:r w:rsidR="00DA75B4">
              <w:t>Community L</w:t>
            </w:r>
            <w:r w:rsidR="00DA75B4" w:rsidRPr="00DA75B4">
              <w:t xml:space="preserve">ocality </w:t>
            </w:r>
            <w:r w:rsidR="00DA75B4">
              <w:t>T</w:t>
            </w:r>
            <w:r w:rsidR="00DA75B4" w:rsidRPr="00DA75B4">
              <w:t xml:space="preserve">eams </w:t>
            </w:r>
            <w:r w:rsidR="00DA75B4">
              <w:t xml:space="preserve">(CLTs) </w:t>
            </w:r>
            <w:r w:rsidR="00DA75B4" w:rsidRPr="00DA75B4">
              <w:t xml:space="preserve">taking a leadership role in educating </w:t>
            </w:r>
            <w:r w:rsidR="00662B85">
              <w:t>core generalist staff</w:t>
            </w:r>
            <w:r w:rsidR="0010774D">
              <w:t xml:space="preserve">. The provider will make </w:t>
            </w:r>
            <w:r w:rsidR="00E74B93">
              <w:t>a</w:t>
            </w:r>
            <w:r w:rsidR="0010774D">
              <w:t>vailable training and education to, but not limited to: Primary Care, Voluntary Organisations and other professionals outside the scope of this procurement</w:t>
            </w:r>
            <w:r w:rsidR="003F1811">
              <w:t xml:space="preserve">, as well as </w:t>
            </w:r>
            <w:r w:rsidR="00DA75B4" w:rsidRPr="00DA75B4">
              <w:t xml:space="preserve">providing direct advice, </w:t>
            </w:r>
            <w:r w:rsidR="007449C8">
              <w:t xml:space="preserve">training and </w:t>
            </w:r>
            <w:r w:rsidR="00DA75B4" w:rsidRPr="00DA75B4">
              <w:t xml:space="preserve">education in the most complex of cases. </w:t>
            </w:r>
            <w:r w:rsidR="004C49FF">
              <w:t>The Provider will ensure that these s</w:t>
            </w:r>
            <w:r w:rsidR="00880177">
              <w:t xml:space="preserve">taff </w:t>
            </w:r>
            <w:r w:rsidR="00E87FA0">
              <w:t xml:space="preserve">have </w:t>
            </w:r>
            <w:r w:rsidR="00563978" w:rsidRPr="00563978">
              <w:t xml:space="preserve">advanced clinical and therapeutic </w:t>
            </w:r>
            <w:r w:rsidR="00E87FA0">
              <w:t>skill</w:t>
            </w:r>
            <w:r w:rsidR="00563978" w:rsidRPr="00563978">
              <w:t>s</w:t>
            </w:r>
            <w:r w:rsidR="00880177">
              <w:t xml:space="preserve"> </w:t>
            </w:r>
            <w:r w:rsidR="008F2376">
              <w:t xml:space="preserve">and can </w:t>
            </w:r>
            <w:r w:rsidR="00880177">
              <w:t>offer expert</w:t>
            </w:r>
            <w:r w:rsidR="004C49FF">
              <w:t xml:space="preserve">ise and </w:t>
            </w:r>
            <w:r w:rsidR="008F2376">
              <w:t>guidance</w:t>
            </w:r>
            <w:r w:rsidR="00880177">
              <w:t xml:space="preserve"> when required</w:t>
            </w:r>
            <w:r w:rsidR="004C49FF">
              <w:t xml:space="preserve">, and </w:t>
            </w:r>
            <w:r w:rsidR="007449C8">
              <w:t xml:space="preserve">are also able to provide </w:t>
            </w:r>
            <w:r w:rsidR="002C3F1B" w:rsidRPr="002C3F1B">
              <w:t xml:space="preserve">direct </w:t>
            </w:r>
            <w:r w:rsidR="008F2376">
              <w:t xml:space="preserve">clinical </w:t>
            </w:r>
            <w:r w:rsidR="002C3F1B" w:rsidRPr="002C3F1B">
              <w:t xml:space="preserve">care and intervention in clinically complex cases requiring specialist input. </w:t>
            </w:r>
          </w:p>
          <w:p w14:paraId="7381D07D" w14:textId="77777777" w:rsidR="00393608" w:rsidRDefault="00D74134" w:rsidP="00B9187E">
            <w:r>
              <w:t>The s</w:t>
            </w:r>
            <w:r w:rsidR="00B20D19">
              <w:t xml:space="preserve">pecialist support </w:t>
            </w:r>
            <w:r>
              <w:t xml:space="preserve">function includes, </w:t>
            </w:r>
            <w:r w:rsidR="00263EB8">
              <w:t xml:space="preserve">but </w:t>
            </w:r>
            <w:r>
              <w:t xml:space="preserve">is </w:t>
            </w:r>
            <w:r w:rsidR="00263EB8">
              <w:t>not limited to</w:t>
            </w:r>
            <w:r w:rsidR="00393608">
              <w:t xml:space="preserve">: </w:t>
            </w:r>
          </w:p>
          <w:p w14:paraId="562847FD" w14:textId="77777777" w:rsidR="00E74B93" w:rsidRDefault="00E74B93" w:rsidP="00E74B93">
            <w:pPr>
              <w:pStyle w:val="ListParagraph"/>
              <w:numPr>
                <w:ilvl w:val="0"/>
                <w:numId w:val="31"/>
              </w:numPr>
              <w:ind w:left="1168" w:hanging="567"/>
            </w:pPr>
            <w:r>
              <w:t>Cardiology</w:t>
            </w:r>
          </w:p>
          <w:p w14:paraId="625E8A1A" w14:textId="77777777" w:rsidR="00E74B93" w:rsidRDefault="00E74B93" w:rsidP="00E74B93">
            <w:pPr>
              <w:pStyle w:val="ListParagraph"/>
              <w:ind w:left="601"/>
            </w:pPr>
            <w:r>
              <w:t>•         Continence and stoma care</w:t>
            </w:r>
          </w:p>
          <w:p w14:paraId="5FE4F570" w14:textId="77777777" w:rsidR="00E74B93" w:rsidRDefault="00E74B93" w:rsidP="00E74B93">
            <w:pPr>
              <w:pStyle w:val="ListParagraph"/>
              <w:ind w:left="601"/>
            </w:pPr>
            <w:r>
              <w:t>•         Dementia</w:t>
            </w:r>
          </w:p>
          <w:p w14:paraId="6DA8BC66" w14:textId="77777777" w:rsidR="00E74B93" w:rsidRDefault="00E74B93" w:rsidP="00E74B93">
            <w:pPr>
              <w:pStyle w:val="ListParagraph"/>
              <w:ind w:left="601"/>
            </w:pPr>
            <w:r>
              <w:t>•         Diabetes education service</w:t>
            </w:r>
          </w:p>
          <w:p w14:paraId="7D5098C6" w14:textId="77777777" w:rsidR="00E74B93" w:rsidRDefault="00E74B93" w:rsidP="00E74B93">
            <w:pPr>
              <w:pStyle w:val="ListParagraph"/>
              <w:ind w:left="601"/>
            </w:pPr>
            <w:r>
              <w:t>•         Epilepsy</w:t>
            </w:r>
          </w:p>
          <w:p w14:paraId="1801F0B9" w14:textId="77777777" w:rsidR="00E74B93" w:rsidRDefault="00E74B93" w:rsidP="00E74B93">
            <w:pPr>
              <w:pStyle w:val="ListParagraph"/>
              <w:ind w:left="601"/>
            </w:pPr>
            <w:r>
              <w:t xml:space="preserve">•         Learning disability </w:t>
            </w:r>
          </w:p>
          <w:p w14:paraId="1D7CA860" w14:textId="77777777" w:rsidR="00E74B93" w:rsidRDefault="00E74B93" w:rsidP="00E74B93">
            <w:pPr>
              <w:pStyle w:val="ListParagraph"/>
              <w:ind w:left="601"/>
            </w:pPr>
            <w:r>
              <w:t>•         Lymphoedema</w:t>
            </w:r>
          </w:p>
          <w:p w14:paraId="52542312" w14:textId="77777777" w:rsidR="00E74B93" w:rsidRDefault="00E74B93" w:rsidP="00E74B93">
            <w:pPr>
              <w:pStyle w:val="ListParagraph"/>
              <w:ind w:left="601"/>
            </w:pPr>
            <w:r>
              <w:t>•         Nutrition and dietetics</w:t>
            </w:r>
          </w:p>
          <w:p w14:paraId="00D24C39" w14:textId="77777777" w:rsidR="00E74B93" w:rsidRDefault="00E74B93" w:rsidP="00E74B93">
            <w:pPr>
              <w:pStyle w:val="ListParagraph"/>
              <w:ind w:left="601"/>
            </w:pPr>
            <w:r>
              <w:t>•         Podiatry</w:t>
            </w:r>
          </w:p>
          <w:p w14:paraId="1EC2E2A7" w14:textId="77777777" w:rsidR="00E74B93" w:rsidRDefault="00E74B93" w:rsidP="00E74B93">
            <w:pPr>
              <w:pStyle w:val="ListParagraph"/>
              <w:ind w:left="601"/>
            </w:pPr>
            <w:r>
              <w:t>•         Respiratory</w:t>
            </w:r>
          </w:p>
          <w:p w14:paraId="357DE022" w14:textId="77777777" w:rsidR="00E74B93" w:rsidRDefault="00E74B93" w:rsidP="00E74B93">
            <w:pPr>
              <w:pStyle w:val="ListParagraph"/>
              <w:ind w:left="601"/>
            </w:pPr>
            <w:r>
              <w:t>•         Specialist palliative care</w:t>
            </w:r>
          </w:p>
          <w:p w14:paraId="390C57EC" w14:textId="77777777" w:rsidR="00E74B93" w:rsidRDefault="00E74B93" w:rsidP="00E74B93">
            <w:pPr>
              <w:pStyle w:val="ListParagraph"/>
              <w:ind w:left="601"/>
            </w:pPr>
            <w:r>
              <w:t>•         Speech and language therapy</w:t>
            </w:r>
          </w:p>
          <w:p w14:paraId="2995D98B" w14:textId="77777777" w:rsidR="00393608" w:rsidRDefault="00E74B93" w:rsidP="00E74B93">
            <w:pPr>
              <w:pStyle w:val="ListParagraph"/>
              <w:numPr>
                <w:ilvl w:val="0"/>
                <w:numId w:val="30"/>
              </w:numPr>
            </w:pPr>
            <w:r>
              <w:t>Tissue viability and wounds</w:t>
            </w:r>
          </w:p>
          <w:p w14:paraId="74C7770B" w14:textId="77777777" w:rsidR="00E74B93" w:rsidRDefault="00E74B93" w:rsidP="00894B05">
            <w:pPr>
              <w:pStyle w:val="ListParagraph"/>
              <w:ind w:left="1161"/>
            </w:pPr>
          </w:p>
          <w:p w14:paraId="232EE120" w14:textId="77777777" w:rsidR="00730FA4" w:rsidRDefault="00730FA4" w:rsidP="00B9187E">
            <w:r>
              <w:t xml:space="preserve">The Provider will </w:t>
            </w:r>
            <w:r w:rsidR="00910893">
              <w:t xml:space="preserve">ensure </w:t>
            </w:r>
            <w:r w:rsidR="00910893" w:rsidRPr="00910893">
              <w:t xml:space="preserve">the specialist support function </w:t>
            </w:r>
            <w:r>
              <w:t xml:space="preserve">establish formal links with </w:t>
            </w:r>
            <w:r w:rsidR="00DC5DE6">
              <w:t xml:space="preserve">secondary care specialist teams </w:t>
            </w:r>
            <w:r w:rsidR="002B677F">
              <w:t xml:space="preserve">to ensure the maintenance and continuous development of specialist skills including (but not limited to) </w:t>
            </w:r>
            <w:r>
              <w:t>clinical support</w:t>
            </w:r>
            <w:r w:rsidR="00B911D6">
              <w:t xml:space="preserve"> and supervision</w:t>
            </w:r>
            <w:r>
              <w:t>, governance and infrastructure</w:t>
            </w:r>
            <w:r w:rsidR="00B911D6">
              <w:t xml:space="preserve">.  </w:t>
            </w:r>
            <w:r>
              <w:t xml:space="preserve"> </w:t>
            </w:r>
          </w:p>
          <w:p w14:paraId="587F537A" w14:textId="77777777" w:rsidR="00DC5DE6" w:rsidRDefault="00DC5DE6" w:rsidP="00B9187E"/>
          <w:p w14:paraId="27B25AC5" w14:textId="77777777" w:rsidR="00D90864" w:rsidRDefault="00B911D6" w:rsidP="00B9187E">
            <w:r>
              <w:t xml:space="preserve">The Provider will ensure the </w:t>
            </w:r>
            <w:r w:rsidR="00201B1D">
              <w:t>s</w:t>
            </w:r>
            <w:r w:rsidR="00771D8D">
              <w:t xml:space="preserve">pecialist support </w:t>
            </w:r>
            <w:r w:rsidR="00201B1D">
              <w:t xml:space="preserve">function </w:t>
            </w:r>
            <w:r w:rsidR="004B5206">
              <w:t xml:space="preserve">will establish </w:t>
            </w:r>
            <w:r w:rsidR="00374CF9">
              <w:t xml:space="preserve">robust links with </w:t>
            </w:r>
            <w:r w:rsidR="00046170">
              <w:t xml:space="preserve">primary and community </w:t>
            </w:r>
            <w:r w:rsidR="00B9187E">
              <w:t xml:space="preserve">professionals </w:t>
            </w:r>
            <w:r w:rsidR="00046170">
              <w:t xml:space="preserve">including (but not limited to) </w:t>
            </w:r>
            <w:r w:rsidR="007117C2">
              <w:t xml:space="preserve">Community Locality Teams (CLTs), social care </w:t>
            </w:r>
            <w:r w:rsidR="00697A90">
              <w:t>teams,</w:t>
            </w:r>
            <w:r w:rsidR="007117C2">
              <w:t xml:space="preserve"> </w:t>
            </w:r>
            <w:r w:rsidR="00125E14">
              <w:t>General Practice</w:t>
            </w:r>
            <w:r w:rsidR="00061BDD">
              <w:t>, mental health teams</w:t>
            </w:r>
            <w:r w:rsidR="00F669D2">
              <w:t xml:space="preserve"> to ensure</w:t>
            </w:r>
            <w:r w:rsidR="00D90864">
              <w:t xml:space="preserve"> </w:t>
            </w:r>
            <w:r w:rsidR="00F669D2">
              <w:t>access to a diverse range of specialist staff.</w:t>
            </w:r>
          </w:p>
          <w:p w14:paraId="0050FD2E" w14:textId="77777777" w:rsidR="007C2CC5" w:rsidRDefault="007C2CC5" w:rsidP="00B9187E"/>
          <w:p w14:paraId="3E0D775F" w14:textId="77777777" w:rsidR="00353A78" w:rsidRDefault="002B3A1D" w:rsidP="00B9187E">
            <w:pPr>
              <w:rPr>
                <w:b/>
              </w:rPr>
            </w:pPr>
            <w:r w:rsidRPr="002B3A1D">
              <w:rPr>
                <w:b/>
              </w:rPr>
              <w:t xml:space="preserve">2.1.1 Aims and </w:t>
            </w:r>
            <w:r w:rsidR="00B9187E" w:rsidRPr="002B3A1D">
              <w:rPr>
                <w:b/>
              </w:rPr>
              <w:t>Objectives</w:t>
            </w:r>
          </w:p>
          <w:p w14:paraId="25A9510E" w14:textId="77777777" w:rsidR="00B9187E" w:rsidRDefault="00700BC9" w:rsidP="00B9187E">
            <w:r w:rsidRPr="00A83785">
              <w:t>T</w:t>
            </w:r>
            <w:r w:rsidR="00B9187E">
              <w:t xml:space="preserve">he </w:t>
            </w:r>
            <w:r>
              <w:t>s</w:t>
            </w:r>
            <w:r w:rsidR="00B9187E">
              <w:t xml:space="preserve">pecialist </w:t>
            </w:r>
            <w:r>
              <w:t xml:space="preserve">support </w:t>
            </w:r>
            <w:r w:rsidR="00C228B2">
              <w:t>function</w:t>
            </w:r>
            <w:r w:rsidR="00FE3C7E">
              <w:t>s</w:t>
            </w:r>
            <w:r w:rsidR="00C228B2">
              <w:t xml:space="preserve"> </w:t>
            </w:r>
            <w:r w:rsidR="00B9187E">
              <w:t xml:space="preserve">will </w:t>
            </w:r>
            <w:r w:rsidR="002B10D5">
              <w:t xml:space="preserve">provide seamless support to the CLTs and primary care and will </w:t>
            </w:r>
            <w:r w:rsidR="00781DB9">
              <w:t>help to achieve:</w:t>
            </w:r>
          </w:p>
          <w:p w14:paraId="6B974A45" w14:textId="77777777" w:rsidR="00B9187E" w:rsidRDefault="00A83785" w:rsidP="00E54D1A">
            <w:pPr>
              <w:pStyle w:val="ListParagraph"/>
              <w:numPr>
                <w:ilvl w:val="0"/>
                <w:numId w:val="11"/>
              </w:numPr>
              <w:ind w:left="743" w:hanging="284"/>
            </w:pPr>
            <w:r>
              <w:t>A r</w:t>
            </w:r>
            <w:r w:rsidR="00B9187E">
              <w:t>eduction of emergency admissions and attendances at A&amp;E from p</w:t>
            </w:r>
            <w:r w:rsidR="00034672">
              <w:t xml:space="preserve">atients with </w:t>
            </w:r>
            <w:r w:rsidR="00B9187E">
              <w:t>long term conditions where specialist community intervention and support can be provided e.g. respiratory disease, diabetes, heart failure, continence conditions and problems relating to effective wound care</w:t>
            </w:r>
            <w:r>
              <w:t>.</w:t>
            </w:r>
          </w:p>
          <w:p w14:paraId="26091E26" w14:textId="77777777" w:rsidR="00B9187E" w:rsidRDefault="00B9187E" w:rsidP="00E54D1A">
            <w:pPr>
              <w:pStyle w:val="ListParagraph"/>
              <w:numPr>
                <w:ilvl w:val="1"/>
                <w:numId w:val="11"/>
              </w:numPr>
              <w:ind w:left="743" w:hanging="284"/>
            </w:pPr>
            <w:r>
              <w:t>Improve</w:t>
            </w:r>
            <w:r w:rsidR="00A83785">
              <w:t>d</w:t>
            </w:r>
            <w:r>
              <w:t xml:space="preserve"> access to a full range of specialist staff</w:t>
            </w:r>
            <w:r w:rsidR="00177A48">
              <w:t xml:space="preserve">; that </w:t>
            </w:r>
            <w:r w:rsidR="00D7420C">
              <w:t>offers</w:t>
            </w:r>
            <w:r w:rsidR="00177A48">
              <w:t xml:space="preserve"> a </w:t>
            </w:r>
            <w:r>
              <w:t xml:space="preserve">responsive </w:t>
            </w:r>
            <w:r w:rsidR="00177A48">
              <w:t xml:space="preserve">service </w:t>
            </w:r>
            <w:r>
              <w:t>in accordance with the clinical needs of patients</w:t>
            </w:r>
            <w:r w:rsidR="00A83785">
              <w:t>.</w:t>
            </w:r>
          </w:p>
          <w:p w14:paraId="46D64CA1" w14:textId="77777777" w:rsidR="009A7664" w:rsidRDefault="004C731B" w:rsidP="00E54D1A">
            <w:pPr>
              <w:pStyle w:val="ListParagraph"/>
              <w:numPr>
                <w:ilvl w:val="1"/>
                <w:numId w:val="11"/>
              </w:numPr>
              <w:ind w:left="743" w:hanging="284"/>
            </w:pPr>
            <w:r>
              <w:t>An upskilling of primary care professionals and community professionals in the specialist management of long term conditions</w:t>
            </w:r>
            <w:r w:rsidR="009A7664">
              <w:t>.</w:t>
            </w:r>
            <w:r>
              <w:t xml:space="preserve"> </w:t>
            </w:r>
          </w:p>
          <w:p w14:paraId="26469881" w14:textId="77777777" w:rsidR="002D677A" w:rsidRDefault="002D677A" w:rsidP="00E54D1A">
            <w:pPr>
              <w:pStyle w:val="ListParagraph"/>
              <w:numPr>
                <w:ilvl w:val="0"/>
                <w:numId w:val="11"/>
              </w:numPr>
              <w:ind w:left="743" w:hanging="284"/>
            </w:pPr>
            <w:r>
              <w:t>An integrated approach to working with secondary care specialist services to deliver comprehensive support in the community.</w:t>
            </w:r>
          </w:p>
          <w:p w14:paraId="7D55426F" w14:textId="77777777" w:rsidR="00A83785" w:rsidRDefault="00A83785" w:rsidP="00E54D1A">
            <w:pPr>
              <w:pStyle w:val="ListParagraph"/>
              <w:numPr>
                <w:ilvl w:val="0"/>
                <w:numId w:val="11"/>
              </w:numPr>
              <w:ind w:left="743" w:hanging="284"/>
            </w:pPr>
            <w:r>
              <w:t>A high quality experience of care for p</w:t>
            </w:r>
            <w:r w:rsidR="00B9187E">
              <w:t>ati</w:t>
            </w:r>
            <w:r>
              <w:t>ents, their families and carers.</w:t>
            </w:r>
          </w:p>
          <w:p w14:paraId="4AE297A8" w14:textId="77777777" w:rsidR="00B9187E" w:rsidRDefault="00A83785" w:rsidP="00E54D1A">
            <w:pPr>
              <w:pStyle w:val="ListParagraph"/>
              <w:numPr>
                <w:ilvl w:val="1"/>
                <w:numId w:val="11"/>
              </w:numPr>
              <w:ind w:left="743" w:hanging="284"/>
            </w:pPr>
            <w:r>
              <w:t xml:space="preserve">A reduction in </w:t>
            </w:r>
            <w:r w:rsidR="00B9187E">
              <w:t>the need for long term care through effective preventative care and promotion of self-management</w:t>
            </w:r>
            <w:r>
              <w:t>.</w:t>
            </w:r>
          </w:p>
          <w:p w14:paraId="71E0E145" w14:textId="77777777" w:rsidR="00B9187E" w:rsidRDefault="00A83785" w:rsidP="00E54D1A">
            <w:pPr>
              <w:pStyle w:val="ListParagraph"/>
              <w:numPr>
                <w:ilvl w:val="1"/>
                <w:numId w:val="11"/>
              </w:numPr>
              <w:ind w:left="743" w:hanging="284"/>
            </w:pPr>
            <w:r>
              <w:t xml:space="preserve">The effective and efficient management of resources to deliver </w:t>
            </w:r>
            <w:r w:rsidR="00B9187E">
              <w:t>an excellent standard of service within t</w:t>
            </w:r>
            <w:r w:rsidR="004C731B">
              <w:t>he financial envelope available.</w:t>
            </w:r>
          </w:p>
          <w:p w14:paraId="5B2EFAB8" w14:textId="77777777" w:rsidR="00B9187E" w:rsidRDefault="00A83785" w:rsidP="00E54D1A">
            <w:pPr>
              <w:pStyle w:val="ListParagraph"/>
              <w:numPr>
                <w:ilvl w:val="1"/>
                <w:numId w:val="11"/>
              </w:numPr>
              <w:ind w:left="743" w:hanging="284"/>
            </w:pPr>
            <w:r>
              <w:t xml:space="preserve">A revised </w:t>
            </w:r>
            <w:r w:rsidR="00B9187E">
              <w:t>model of care and service delivery, utilising evolving best practice</w:t>
            </w:r>
            <w:r w:rsidR="004C731B">
              <w:t>.</w:t>
            </w:r>
          </w:p>
          <w:p w14:paraId="345538FD" w14:textId="77777777" w:rsidR="00B20F5A" w:rsidRPr="005004CB" w:rsidRDefault="00B20F5A" w:rsidP="00033A99">
            <w:pPr>
              <w:rPr>
                <w:rFonts w:cs="Arial"/>
                <w:sz w:val="20"/>
                <w:szCs w:val="20"/>
                <w:lang w:eastAsia="en-GB"/>
              </w:rPr>
            </w:pPr>
          </w:p>
        </w:tc>
      </w:tr>
      <w:tr w:rsidR="00811697" w:rsidRPr="00B4296A" w14:paraId="43C4F486" w14:textId="77777777" w:rsidTr="000E6662">
        <w:trPr>
          <w:trHeight w:val="361"/>
        </w:trPr>
        <w:tc>
          <w:tcPr>
            <w:tcW w:w="516" w:type="dxa"/>
            <w:shd w:val="clear" w:color="auto" w:fill="BFBFBF" w:themeFill="background1" w:themeFillShade="BF"/>
          </w:tcPr>
          <w:p w14:paraId="4EB38796" w14:textId="77777777" w:rsidR="00811697" w:rsidRPr="00B4296A" w:rsidRDefault="00811697" w:rsidP="000E6662">
            <w:pPr>
              <w:rPr>
                <w:b/>
              </w:rPr>
            </w:pPr>
            <w:r w:rsidRPr="00B4296A">
              <w:rPr>
                <w:b/>
              </w:rPr>
              <w:lastRenderedPageBreak/>
              <w:t>3</w:t>
            </w:r>
          </w:p>
        </w:tc>
        <w:tc>
          <w:tcPr>
            <w:tcW w:w="9690" w:type="dxa"/>
            <w:shd w:val="clear" w:color="auto" w:fill="BFBFBF" w:themeFill="background1" w:themeFillShade="BF"/>
          </w:tcPr>
          <w:p w14:paraId="58655D9B" w14:textId="77777777" w:rsidR="00811697" w:rsidRPr="00B4296A" w:rsidRDefault="00B4296A" w:rsidP="00FD2AAB">
            <w:pPr>
              <w:rPr>
                <w:b/>
              </w:rPr>
            </w:pPr>
            <w:r w:rsidRPr="00B4296A">
              <w:rPr>
                <w:b/>
              </w:rPr>
              <w:t>Specialist Support Function</w:t>
            </w:r>
          </w:p>
        </w:tc>
      </w:tr>
      <w:tr w:rsidR="000E6662" w:rsidRPr="00AA3128" w14:paraId="091EFCAF" w14:textId="77777777" w:rsidTr="000E6662">
        <w:trPr>
          <w:trHeight w:val="361"/>
        </w:trPr>
        <w:tc>
          <w:tcPr>
            <w:tcW w:w="516" w:type="dxa"/>
            <w:shd w:val="clear" w:color="auto" w:fill="BFBFBF" w:themeFill="background1" w:themeFillShade="BF"/>
          </w:tcPr>
          <w:p w14:paraId="75E5A420" w14:textId="77777777" w:rsidR="000E6662" w:rsidRPr="000E6662" w:rsidRDefault="00811697" w:rsidP="000E6662">
            <w:r>
              <w:t>3.1</w:t>
            </w:r>
          </w:p>
        </w:tc>
        <w:tc>
          <w:tcPr>
            <w:tcW w:w="9690" w:type="dxa"/>
            <w:shd w:val="clear" w:color="auto" w:fill="BFBFBF" w:themeFill="background1" w:themeFillShade="BF"/>
          </w:tcPr>
          <w:p w14:paraId="05D64B9A" w14:textId="77777777" w:rsidR="000E6662" w:rsidRPr="000E6662" w:rsidRDefault="00B4296A" w:rsidP="00FD2AAB">
            <w:r>
              <w:t>Functions</w:t>
            </w:r>
          </w:p>
        </w:tc>
      </w:tr>
      <w:tr w:rsidR="000E6662" w:rsidRPr="00AA3128" w14:paraId="34057918" w14:textId="77777777" w:rsidTr="0085381B">
        <w:trPr>
          <w:trHeight w:val="284"/>
        </w:trPr>
        <w:tc>
          <w:tcPr>
            <w:tcW w:w="10206" w:type="dxa"/>
            <w:gridSpan w:val="2"/>
            <w:shd w:val="clear" w:color="auto" w:fill="auto"/>
            <w:vAlign w:val="center"/>
          </w:tcPr>
          <w:p w14:paraId="04D07FB9" w14:textId="77777777" w:rsidR="00E84686" w:rsidRDefault="000E6662" w:rsidP="000E6662">
            <w:r w:rsidRPr="000E6662">
              <w:t xml:space="preserve">The </w:t>
            </w:r>
            <w:r w:rsidR="00A83785">
              <w:t>s</w:t>
            </w:r>
            <w:r w:rsidR="00E84686">
              <w:t xml:space="preserve">pecialist </w:t>
            </w:r>
            <w:r w:rsidR="00A83785">
              <w:t>support function is</w:t>
            </w:r>
            <w:r w:rsidR="00E84686">
              <w:t xml:space="preserve"> </w:t>
            </w:r>
            <w:r w:rsidR="00A83785">
              <w:t xml:space="preserve">a </w:t>
            </w:r>
            <w:r w:rsidR="00E84686">
              <w:t xml:space="preserve">fundamental </w:t>
            </w:r>
            <w:r w:rsidR="00A83785">
              <w:t xml:space="preserve">element of the </w:t>
            </w:r>
            <w:r w:rsidR="000F1915">
              <w:t xml:space="preserve">Medway </w:t>
            </w:r>
            <w:r w:rsidR="00A83785">
              <w:t>adult community services m</w:t>
            </w:r>
            <w:r w:rsidRPr="000E6662">
              <w:t>odel</w:t>
            </w:r>
            <w:r w:rsidR="000D7999">
              <w:t>.</w:t>
            </w:r>
            <w:r w:rsidR="00E84686">
              <w:t xml:space="preserve"> The</w:t>
            </w:r>
            <w:r w:rsidR="00FD2AAB">
              <w:t>y</w:t>
            </w:r>
            <w:r w:rsidR="00E84686">
              <w:t xml:space="preserve"> will provide:</w:t>
            </w:r>
          </w:p>
          <w:p w14:paraId="4DC08DE2" w14:textId="77777777" w:rsidR="00E84686" w:rsidRDefault="000F1915" w:rsidP="00846150">
            <w:pPr>
              <w:pStyle w:val="ListParagraph"/>
              <w:numPr>
                <w:ilvl w:val="0"/>
                <w:numId w:val="3"/>
              </w:numPr>
              <w:ind w:left="743" w:hanging="284"/>
            </w:pPr>
            <w:r>
              <w:t>Expert c</w:t>
            </w:r>
            <w:r w:rsidR="00E84686">
              <w:t>linical input and advi</w:t>
            </w:r>
            <w:r>
              <w:t>c</w:t>
            </w:r>
            <w:r w:rsidR="00E84686">
              <w:t xml:space="preserve">e to each </w:t>
            </w:r>
            <w:r>
              <w:t>C</w:t>
            </w:r>
            <w:r w:rsidR="00E84686">
              <w:t>LT</w:t>
            </w:r>
            <w:r>
              <w:t>.</w:t>
            </w:r>
          </w:p>
          <w:p w14:paraId="6F100159" w14:textId="77777777" w:rsidR="00E84686" w:rsidRDefault="000F1915" w:rsidP="009D7B4B">
            <w:pPr>
              <w:pStyle w:val="ListParagraph"/>
              <w:numPr>
                <w:ilvl w:val="0"/>
                <w:numId w:val="3"/>
              </w:numPr>
              <w:ind w:left="743" w:hanging="284"/>
            </w:pPr>
            <w:r>
              <w:t>Expert c</w:t>
            </w:r>
            <w:r w:rsidR="00E84686">
              <w:t>linical input and advi</w:t>
            </w:r>
            <w:r>
              <w:t>c</w:t>
            </w:r>
            <w:r w:rsidR="00E84686">
              <w:t>e to primary care</w:t>
            </w:r>
            <w:r>
              <w:t>.</w:t>
            </w:r>
          </w:p>
          <w:p w14:paraId="5410A2E6" w14:textId="77777777" w:rsidR="00E84686" w:rsidRDefault="00CC379B" w:rsidP="009D7B4B">
            <w:pPr>
              <w:pStyle w:val="ListParagraph"/>
              <w:numPr>
                <w:ilvl w:val="0"/>
                <w:numId w:val="3"/>
              </w:numPr>
              <w:ind w:left="743" w:hanging="284"/>
            </w:pPr>
            <w:r>
              <w:t>E</w:t>
            </w:r>
            <w:r w:rsidR="00E84686">
              <w:t>ducation</w:t>
            </w:r>
            <w:r w:rsidR="0059540A">
              <w:t xml:space="preserve">, training and competency development </w:t>
            </w:r>
            <w:r>
              <w:t xml:space="preserve">to </w:t>
            </w:r>
            <w:r w:rsidR="0059540A">
              <w:t>upskill com</w:t>
            </w:r>
            <w:r w:rsidR="00E84686">
              <w:t>munity and primary care staff</w:t>
            </w:r>
            <w:r w:rsidR="000E6662" w:rsidRPr="000E6662">
              <w:t>.</w:t>
            </w:r>
          </w:p>
          <w:p w14:paraId="1D463D3B" w14:textId="77777777" w:rsidR="00144A24" w:rsidRPr="00144A24" w:rsidRDefault="00144A24" w:rsidP="0048617C">
            <w:pPr>
              <w:pStyle w:val="ListParagraph"/>
              <w:numPr>
                <w:ilvl w:val="0"/>
                <w:numId w:val="3"/>
              </w:numPr>
              <w:ind w:left="743" w:hanging="276"/>
            </w:pPr>
            <w:r w:rsidRPr="00144A24">
              <w:t>Excellent care targeted at patients requiring expert and specialist intervention.</w:t>
            </w:r>
          </w:p>
          <w:p w14:paraId="2AA7B496" w14:textId="77777777" w:rsidR="00E84686" w:rsidRDefault="00E84686" w:rsidP="00E84686">
            <w:pPr>
              <w:pStyle w:val="ListParagraph"/>
              <w:ind w:left="827"/>
            </w:pPr>
          </w:p>
          <w:p w14:paraId="7EC7A226" w14:textId="77777777" w:rsidR="000E6662" w:rsidRPr="000E6662" w:rsidRDefault="003C666A" w:rsidP="00E84686">
            <w:r>
              <w:t>T</w:t>
            </w:r>
            <w:r w:rsidR="000E6662" w:rsidRPr="000E6662">
              <w:t xml:space="preserve">he clinical inputs and interventions provided by the </w:t>
            </w:r>
            <w:r w:rsidR="00E84686">
              <w:t xml:space="preserve">specialist </w:t>
            </w:r>
            <w:r w:rsidR="009D646D">
              <w:t xml:space="preserve">support functions </w:t>
            </w:r>
            <w:r w:rsidR="000E6662" w:rsidRPr="000E6662">
              <w:t xml:space="preserve">are described in detail within subsequent sections of this specification, however in broad terms, </w:t>
            </w:r>
            <w:r w:rsidR="009D646D">
              <w:t xml:space="preserve">it </w:t>
            </w:r>
            <w:r w:rsidR="000E6662" w:rsidRPr="000E6662">
              <w:t>will deliver the following key operational functions:</w:t>
            </w:r>
          </w:p>
          <w:p w14:paraId="4BA48CD5" w14:textId="77777777" w:rsidR="000E6662" w:rsidRDefault="00E84686" w:rsidP="00497C59">
            <w:pPr>
              <w:pStyle w:val="ListParagraph"/>
              <w:numPr>
                <w:ilvl w:val="0"/>
                <w:numId w:val="13"/>
              </w:numPr>
              <w:ind w:hanging="261"/>
            </w:pPr>
            <w:r>
              <w:t>Advance</w:t>
            </w:r>
            <w:r w:rsidR="000669F7">
              <w:t>d</w:t>
            </w:r>
            <w:r>
              <w:t xml:space="preserve"> </w:t>
            </w:r>
            <w:r w:rsidR="003C666A">
              <w:t>a</w:t>
            </w:r>
            <w:r w:rsidR="000E6662" w:rsidRPr="000E6662">
              <w:t>ssessment</w:t>
            </w:r>
            <w:r w:rsidR="00CC195B">
              <w:t xml:space="preserve">, </w:t>
            </w:r>
            <w:r w:rsidR="003C666A">
              <w:t>c</w:t>
            </w:r>
            <w:r w:rsidR="00CC195B">
              <w:t xml:space="preserve">are </w:t>
            </w:r>
            <w:r w:rsidR="003C666A">
              <w:t>planning and c</w:t>
            </w:r>
            <w:r w:rsidR="00CC195B">
              <w:t>o</w:t>
            </w:r>
            <w:r w:rsidR="003C666A">
              <w:t>-</w:t>
            </w:r>
            <w:r w:rsidR="00CC195B">
              <w:t>ordination of complex patients</w:t>
            </w:r>
            <w:r w:rsidR="00202F08">
              <w:t>.</w:t>
            </w:r>
          </w:p>
          <w:p w14:paraId="02BB9921" w14:textId="77777777" w:rsidR="008D3A1D" w:rsidRDefault="00944704" w:rsidP="00497C59">
            <w:pPr>
              <w:pStyle w:val="ListParagraph"/>
              <w:numPr>
                <w:ilvl w:val="0"/>
                <w:numId w:val="13"/>
              </w:numPr>
              <w:ind w:hanging="261"/>
            </w:pPr>
            <w:r>
              <w:t>Provi</w:t>
            </w:r>
            <w:r w:rsidR="000669F7">
              <w:t xml:space="preserve">sion of </w:t>
            </w:r>
            <w:r w:rsidR="007F6821">
              <w:t xml:space="preserve">advanced clinical advice and </w:t>
            </w:r>
            <w:r w:rsidR="007840EC" w:rsidRPr="007840EC">
              <w:t xml:space="preserve">support </w:t>
            </w:r>
            <w:r>
              <w:t xml:space="preserve">to </w:t>
            </w:r>
            <w:r w:rsidR="007840EC" w:rsidRPr="007840EC">
              <w:t xml:space="preserve">the </w:t>
            </w:r>
            <w:r w:rsidR="00952E99">
              <w:t xml:space="preserve">core generalist functions within the </w:t>
            </w:r>
            <w:r w:rsidR="007840EC" w:rsidRPr="007840EC">
              <w:t>Community Locality Teams (CLTs)</w:t>
            </w:r>
            <w:r w:rsidR="000669F7">
              <w:t>.</w:t>
            </w:r>
            <w:r w:rsidR="007840EC" w:rsidRPr="007840EC">
              <w:t xml:space="preserve"> The Provider will ensure that the specialist </w:t>
            </w:r>
            <w:r w:rsidR="00C25B77">
              <w:t>support function w</w:t>
            </w:r>
            <w:r w:rsidR="007840EC" w:rsidRPr="007840EC">
              <w:t>ork</w:t>
            </w:r>
            <w:r w:rsidR="00C25B77">
              <w:t>s</w:t>
            </w:r>
            <w:r w:rsidR="007840EC" w:rsidRPr="007840EC">
              <w:t xml:space="preserve"> across locality teams taking</w:t>
            </w:r>
            <w:r w:rsidR="002B0D0C">
              <w:t xml:space="preserve"> a leadership role in</w:t>
            </w:r>
            <w:r w:rsidR="00C25B77">
              <w:t xml:space="preserve"> providing </w:t>
            </w:r>
            <w:r w:rsidR="007840EC" w:rsidRPr="007840EC">
              <w:t xml:space="preserve">direct advice, education and care in the most complex of cases. </w:t>
            </w:r>
          </w:p>
          <w:p w14:paraId="71EE40FB" w14:textId="77777777" w:rsidR="000E6662" w:rsidRDefault="000E6662" w:rsidP="00497C59">
            <w:pPr>
              <w:pStyle w:val="ListParagraph"/>
              <w:numPr>
                <w:ilvl w:val="0"/>
                <w:numId w:val="12"/>
              </w:numPr>
              <w:ind w:hanging="261"/>
            </w:pPr>
            <w:r w:rsidRPr="000E6662">
              <w:t>Integration with primary care</w:t>
            </w:r>
            <w:r w:rsidR="0082794D">
              <w:t>.  The s</w:t>
            </w:r>
            <w:r w:rsidR="00216668">
              <w:t xml:space="preserve">pecialist </w:t>
            </w:r>
            <w:r w:rsidR="0082794D">
              <w:t>s</w:t>
            </w:r>
            <w:r w:rsidR="00216668">
              <w:t>ervice</w:t>
            </w:r>
            <w:r w:rsidR="0082794D">
              <w:t xml:space="preserve"> function</w:t>
            </w:r>
            <w:r w:rsidRPr="000E6662">
              <w:t xml:space="preserve"> will develop </w:t>
            </w:r>
            <w:r w:rsidR="00215CC3" w:rsidRPr="000E6662">
              <w:t xml:space="preserve">strong working relationships at an operational level </w:t>
            </w:r>
            <w:r w:rsidRPr="000E6662">
              <w:t>with professionals in primary care</w:t>
            </w:r>
            <w:r w:rsidR="004462BA">
              <w:t>.  T</w:t>
            </w:r>
            <w:r w:rsidRPr="000E6662">
              <w:t xml:space="preserve">his will include representation of key staff at </w:t>
            </w:r>
            <w:r w:rsidR="00215CC3">
              <w:t>Integrated Locality Review (ILR</w:t>
            </w:r>
            <w:r w:rsidR="00F34157">
              <w:t>s</w:t>
            </w:r>
            <w:r w:rsidR="00215CC3">
              <w:t xml:space="preserve">) </w:t>
            </w:r>
            <w:r w:rsidRPr="000E6662">
              <w:t>and the alignment of named staff to prac</w:t>
            </w:r>
            <w:r w:rsidR="002C0795">
              <w:t>tices or clusters of practices.</w:t>
            </w:r>
          </w:p>
          <w:p w14:paraId="5C3FCDA7" w14:textId="77777777" w:rsidR="000E6662" w:rsidRDefault="000E6662" w:rsidP="00497C59">
            <w:pPr>
              <w:pStyle w:val="ListParagraph"/>
              <w:numPr>
                <w:ilvl w:val="0"/>
                <w:numId w:val="12"/>
              </w:numPr>
              <w:ind w:hanging="261"/>
            </w:pPr>
            <w:r w:rsidRPr="000E6662">
              <w:t>Facilitating access to other professional</w:t>
            </w:r>
            <w:r w:rsidR="007E1FBC">
              <w:t>s.</w:t>
            </w:r>
            <w:r w:rsidR="004462BA">
              <w:t xml:space="preserve">  T</w:t>
            </w:r>
            <w:r w:rsidRPr="000E6662">
              <w:t>he effectiveness of the</w:t>
            </w:r>
            <w:r w:rsidR="00216668">
              <w:t xml:space="preserve"> </w:t>
            </w:r>
            <w:r w:rsidR="004462BA">
              <w:t>s</w:t>
            </w:r>
            <w:r w:rsidR="00216668">
              <w:t xml:space="preserve">pecialist </w:t>
            </w:r>
            <w:r w:rsidR="004462BA">
              <w:t>s</w:t>
            </w:r>
            <w:r w:rsidR="00216668">
              <w:t xml:space="preserve">ervice </w:t>
            </w:r>
            <w:r w:rsidR="004462BA">
              <w:t xml:space="preserve">function </w:t>
            </w:r>
            <w:r w:rsidR="00216668">
              <w:t>w</w:t>
            </w:r>
            <w:r w:rsidRPr="000E6662">
              <w:t xml:space="preserve">ill not </w:t>
            </w:r>
            <w:r w:rsidRPr="000E6662">
              <w:lastRenderedPageBreak/>
              <w:t xml:space="preserve">only be determined by how well </w:t>
            </w:r>
            <w:r w:rsidR="004462BA">
              <w:t xml:space="preserve">it </w:t>
            </w:r>
            <w:r w:rsidRPr="000E6662">
              <w:t>deliver</w:t>
            </w:r>
            <w:r w:rsidR="004462BA">
              <w:t>s</w:t>
            </w:r>
            <w:r w:rsidRPr="000E6662">
              <w:t xml:space="preserve"> direct </w:t>
            </w:r>
            <w:r w:rsidR="00216668">
              <w:t>advance</w:t>
            </w:r>
            <w:r w:rsidR="007E1FBC">
              <w:t>d</w:t>
            </w:r>
            <w:r w:rsidR="00216668">
              <w:t xml:space="preserve"> clinical </w:t>
            </w:r>
            <w:r w:rsidRPr="000E6662">
              <w:t xml:space="preserve">care but also how well </w:t>
            </w:r>
            <w:r w:rsidR="002C0795">
              <w:t>it</w:t>
            </w:r>
            <w:r w:rsidRPr="000E6662">
              <w:t xml:space="preserve"> interact</w:t>
            </w:r>
            <w:r w:rsidR="002C0795">
              <w:t xml:space="preserve">s </w:t>
            </w:r>
            <w:r w:rsidRPr="000E6662">
              <w:t>with other professionals</w:t>
            </w:r>
            <w:r w:rsidR="00A11AA8">
              <w:t xml:space="preserve"> to </w:t>
            </w:r>
            <w:r w:rsidR="00486353">
              <w:t xml:space="preserve">ensure care is </w:t>
            </w:r>
            <w:r w:rsidR="00A11AA8">
              <w:t>co-ordinate</w:t>
            </w:r>
            <w:r w:rsidR="00486353">
              <w:t xml:space="preserve">d, to </w:t>
            </w:r>
            <w:r w:rsidR="00F13A7E">
              <w:t xml:space="preserve">ensure </w:t>
            </w:r>
            <w:r w:rsidR="00722317">
              <w:t>seamless collaborative working</w:t>
            </w:r>
            <w:r w:rsidR="00216668">
              <w:t xml:space="preserve"> between</w:t>
            </w:r>
            <w:r w:rsidRPr="000E6662">
              <w:t xml:space="preserve"> other professiona</w:t>
            </w:r>
            <w:r w:rsidR="00722317">
              <w:t>ls</w:t>
            </w:r>
            <w:r w:rsidR="007E1FBC">
              <w:t xml:space="preserve"> (as listed below)</w:t>
            </w:r>
            <w:r w:rsidR="00722317">
              <w:t xml:space="preserve">. </w:t>
            </w:r>
          </w:p>
          <w:p w14:paraId="16C162CD" w14:textId="77777777" w:rsidR="00AA650B" w:rsidRDefault="000E6662" w:rsidP="00497C59">
            <w:pPr>
              <w:pStyle w:val="ListParagraph"/>
              <w:numPr>
                <w:ilvl w:val="0"/>
                <w:numId w:val="12"/>
              </w:numPr>
              <w:ind w:hanging="261"/>
            </w:pPr>
            <w:r w:rsidRPr="000E6662">
              <w:t>Integration with secondary care</w:t>
            </w:r>
            <w:r w:rsidR="00F55FD5">
              <w:t xml:space="preserve">. </w:t>
            </w:r>
            <w:r w:rsidR="009C1694">
              <w:t>The s</w:t>
            </w:r>
            <w:r w:rsidR="00216668">
              <w:t xml:space="preserve">pecialist </w:t>
            </w:r>
            <w:r w:rsidR="009C1694">
              <w:t xml:space="preserve">service function </w:t>
            </w:r>
            <w:r w:rsidRPr="000E6662">
              <w:t xml:space="preserve">will work closely with secondary care to </w:t>
            </w:r>
            <w:r w:rsidR="000B47FE">
              <w:t xml:space="preserve">ensure </w:t>
            </w:r>
            <w:r w:rsidR="00AA650B">
              <w:t>continuous d</w:t>
            </w:r>
            <w:r w:rsidR="00F17625">
              <w:t xml:space="preserve">evelopment and ongoing training; </w:t>
            </w:r>
            <w:r w:rsidR="00AA650B">
              <w:t>ensur</w:t>
            </w:r>
            <w:r w:rsidR="00F17625">
              <w:t>ing</w:t>
            </w:r>
            <w:r w:rsidR="00AA650B">
              <w:t xml:space="preserve"> </w:t>
            </w:r>
            <w:r w:rsidR="000B47FE">
              <w:t xml:space="preserve">the most </w:t>
            </w:r>
            <w:r w:rsidR="00CC42D1">
              <w:t xml:space="preserve">up to date, </w:t>
            </w:r>
            <w:r w:rsidR="006640BC">
              <w:t xml:space="preserve">clinically </w:t>
            </w:r>
            <w:r w:rsidR="00CC42D1">
              <w:t>evidence</w:t>
            </w:r>
            <w:r w:rsidR="006640BC">
              <w:t xml:space="preserve">d based </w:t>
            </w:r>
            <w:r w:rsidR="00CC42D1">
              <w:t>practice is</w:t>
            </w:r>
            <w:r w:rsidR="00643F93">
              <w:t xml:space="preserve"> applied</w:t>
            </w:r>
            <w:r w:rsidR="00F17625">
              <w:t>.</w:t>
            </w:r>
          </w:p>
          <w:p w14:paraId="13F811DD" w14:textId="77777777" w:rsidR="000E6662" w:rsidRPr="000E6662" w:rsidRDefault="000E6662" w:rsidP="009D7B4B">
            <w:pPr>
              <w:pStyle w:val="ListParagraph"/>
              <w:numPr>
                <w:ilvl w:val="0"/>
                <w:numId w:val="12"/>
              </w:numPr>
              <w:ind w:hanging="261"/>
            </w:pPr>
            <w:r w:rsidRPr="000E6662">
              <w:t xml:space="preserve">Integration with </w:t>
            </w:r>
            <w:r w:rsidR="00AD5DC4">
              <w:t>s</w:t>
            </w:r>
            <w:r w:rsidRPr="000E6662">
              <w:t xml:space="preserve">ocial </w:t>
            </w:r>
            <w:r w:rsidR="00AD5DC4">
              <w:t>c</w:t>
            </w:r>
            <w:r w:rsidRPr="000E6662">
              <w:t>are</w:t>
            </w:r>
            <w:r w:rsidR="00504FDA">
              <w:t xml:space="preserve">.  </w:t>
            </w:r>
            <w:r w:rsidR="00643F93">
              <w:t>The s</w:t>
            </w:r>
            <w:r w:rsidR="00504FDA">
              <w:t xml:space="preserve">pecialist support function will develop more integrated working between the community and </w:t>
            </w:r>
            <w:r w:rsidR="00273BCE">
              <w:t xml:space="preserve">social care.  The Provider will ensure that </w:t>
            </w:r>
            <w:r w:rsidRPr="000E6662">
              <w:t xml:space="preserve">integrated relationships with local social care teams </w:t>
            </w:r>
            <w:r w:rsidR="00273BCE">
              <w:t xml:space="preserve">are developed </w:t>
            </w:r>
            <w:r w:rsidR="0095128E">
              <w:t xml:space="preserve">and aligned with the CLTs, </w:t>
            </w:r>
            <w:r w:rsidRPr="000E6662">
              <w:t>to deliver holistic care and facilitate seamless support, advice and signposting</w:t>
            </w:r>
            <w:r w:rsidR="0095128E">
              <w:t>.</w:t>
            </w:r>
          </w:p>
          <w:p w14:paraId="2ED21863" w14:textId="77777777" w:rsidR="000E6662" w:rsidRDefault="000E6662" w:rsidP="009D7B4B">
            <w:pPr>
              <w:pStyle w:val="ListParagraph"/>
              <w:numPr>
                <w:ilvl w:val="0"/>
                <w:numId w:val="12"/>
              </w:numPr>
              <w:ind w:hanging="261"/>
            </w:pPr>
            <w:r w:rsidRPr="000E6662">
              <w:t>In</w:t>
            </w:r>
            <w:r w:rsidR="003B2FAD">
              <w:t xml:space="preserve">tegration with </w:t>
            </w:r>
            <w:r w:rsidR="00AD5DC4">
              <w:t>the v</w:t>
            </w:r>
            <w:r w:rsidR="003B2FAD">
              <w:t>oluntary sector.  Th</w:t>
            </w:r>
            <w:r w:rsidR="00AD5DC4">
              <w:t>e</w:t>
            </w:r>
            <w:r w:rsidR="003B2FAD">
              <w:t xml:space="preserve"> specialist support function</w:t>
            </w:r>
            <w:r w:rsidR="007A473D">
              <w:t xml:space="preserve"> </w:t>
            </w:r>
            <w:r w:rsidRPr="000E6662">
              <w:t xml:space="preserve">will be pivotal to the involvement of the voluntary </w:t>
            </w:r>
            <w:r w:rsidR="003B2FAD">
              <w:t xml:space="preserve">and </w:t>
            </w:r>
            <w:r w:rsidRPr="000E6662">
              <w:t xml:space="preserve">third sector to ensure that patients receive support </w:t>
            </w:r>
            <w:r w:rsidR="00AB512D">
              <w:t xml:space="preserve">when required </w:t>
            </w:r>
            <w:r w:rsidR="008A53D9">
              <w:t xml:space="preserve">i.e. </w:t>
            </w:r>
            <w:r w:rsidRPr="000E6662">
              <w:t>promot</w:t>
            </w:r>
            <w:r w:rsidR="00237267">
              <w:t>ing</w:t>
            </w:r>
            <w:r w:rsidRPr="000E6662">
              <w:t xml:space="preserve"> well</w:t>
            </w:r>
            <w:r w:rsidR="00AB512D">
              <w:t>-</w:t>
            </w:r>
            <w:r w:rsidRPr="000E6662">
              <w:t xml:space="preserve">being and </w:t>
            </w:r>
            <w:r w:rsidR="00237267">
              <w:t xml:space="preserve">helping </w:t>
            </w:r>
            <w:r w:rsidRPr="000E6662">
              <w:t xml:space="preserve">patients to stay healthy </w:t>
            </w:r>
            <w:r w:rsidR="00590CD7">
              <w:t xml:space="preserve">for as long </w:t>
            </w:r>
            <w:r w:rsidRPr="000E6662">
              <w:t>as possible</w:t>
            </w:r>
            <w:r w:rsidR="00C861F9">
              <w:t xml:space="preserve">.  By directing patients to the right support i.e. care </w:t>
            </w:r>
            <w:r w:rsidR="00673C9B">
              <w:t>navigation;</w:t>
            </w:r>
            <w:r w:rsidR="00C861F9">
              <w:t xml:space="preserve"> this can help patients to manage </w:t>
            </w:r>
            <w:r w:rsidR="0087579A">
              <w:t>social isol</w:t>
            </w:r>
            <w:r w:rsidR="00AB512D">
              <w:t>a</w:t>
            </w:r>
            <w:r w:rsidR="0087579A">
              <w:t>tion</w:t>
            </w:r>
            <w:r w:rsidR="00762A5A">
              <w:t xml:space="preserve"> and any other issues that are impacting on their health</w:t>
            </w:r>
            <w:r w:rsidR="0087579A">
              <w:t>.</w:t>
            </w:r>
          </w:p>
          <w:p w14:paraId="4CFE6448" w14:textId="77777777" w:rsidR="008B14DC" w:rsidRPr="000E6662" w:rsidRDefault="008B14DC" w:rsidP="008B14DC">
            <w:pPr>
              <w:pStyle w:val="ListParagraph"/>
              <w:numPr>
                <w:ilvl w:val="0"/>
                <w:numId w:val="12"/>
              </w:numPr>
            </w:pPr>
            <w:r>
              <w:t xml:space="preserve">Integration with public health / health promotion services. </w:t>
            </w:r>
            <w:r w:rsidRPr="008B14DC">
              <w:t xml:space="preserve">The specialist support function will develop </w:t>
            </w:r>
            <w:r>
              <w:t xml:space="preserve">integrated working between </w:t>
            </w:r>
            <w:r w:rsidRPr="008B14DC">
              <w:t>community</w:t>
            </w:r>
            <w:r>
              <w:t xml:space="preserve"> services</w:t>
            </w:r>
            <w:r w:rsidRPr="008B14DC">
              <w:t xml:space="preserve"> and </w:t>
            </w:r>
            <w:r>
              <w:t xml:space="preserve">public health/health promotion services, to promote conversations about prevention and healthy lifestyle behaviours at every point of care. Where appropriate this will be </w:t>
            </w:r>
            <w:r w:rsidRPr="008B14DC">
              <w:t>aligned with the CLTs, to deliver holistic care and facilitate seamless support, advice and signposting</w:t>
            </w:r>
            <w:r w:rsidR="006303A5">
              <w:t>.</w:t>
            </w:r>
          </w:p>
          <w:p w14:paraId="565A0196" w14:textId="77777777" w:rsidR="00033A99" w:rsidRDefault="000E6662" w:rsidP="000E6662">
            <w:pPr>
              <w:pStyle w:val="ListParagraph"/>
              <w:numPr>
                <w:ilvl w:val="0"/>
                <w:numId w:val="12"/>
              </w:numPr>
              <w:tabs>
                <w:tab w:val="left" w:pos="180"/>
              </w:tabs>
              <w:ind w:hanging="261"/>
            </w:pPr>
            <w:r w:rsidRPr="000E6662">
              <w:t xml:space="preserve">Leadership of Advance Care Planning </w:t>
            </w:r>
            <w:r w:rsidR="00354CF7">
              <w:t>and</w:t>
            </w:r>
            <w:r w:rsidRPr="000E6662">
              <w:t xml:space="preserve"> End of Life Care</w:t>
            </w:r>
            <w:r w:rsidR="00354CF7">
              <w:t>.  The specialist s</w:t>
            </w:r>
            <w:r w:rsidR="00216668">
              <w:t>ervice</w:t>
            </w:r>
            <w:r w:rsidR="00354CF7">
              <w:t xml:space="preserve"> function</w:t>
            </w:r>
            <w:r w:rsidRPr="000E6662">
              <w:t xml:space="preserve"> will have a fundamental role in improving the quality and frequency of advance care planning. </w:t>
            </w:r>
            <w:r w:rsidR="00934EED">
              <w:t xml:space="preserve">The Provider will ensure that </w:t>
            </w:r>
            <w:r w:rsidRPr="000E6662">
              <w:t xml:space="preserve">people approaching </w:t>
            </w:r>
            <w:r w:rsidR="00673C9B">
              <w:t xml:space="preserve">end of life </w:t>
            </w:r>
            <w:r w:rsidRPr="000E6662">
              <w:t>or potentially within the last year of life</w:t>
            </w:r>
            <w:r w:rsidR="00F8257F">
              <w:t xml:space="preserve"> are identified and effective</w:t>
            </w:r>
            <w:r w:rsidR="00AC679B">
              <w:t>ly</w:t>
            </w:r>
            <w:r w:rsidR="00F8257F">
              <w:t xml:space="preserve"> managed</w:t>
            </w:r>
            <w:r w:rsidR="001B204D">
              <w:t xml:space="preserve"> including the development of advanced care plans and </w:t>
            </w:r>
            <w:r w:rsidR="00A943BC">
              <w:t xml:space="preserve">promotion of the </w:t>
            </w:r>
            <w:r w:rsidRPr="000E6662">
              <w:t xml:space="preserve">My Wishes registry. </w:t>
            </w:r>
          </w:p>
          <w:p w14:paraId="55FBB2C1" w14:textId="77777777" w:rsidR="00271763" w:rsidRPr="000E6662" w:rsidRDefault="00271763" w:rsidP="00271763">
            <w:pPr>
              <w:pStyle w:val="ListParagraph"/>
              <w:tabs>
                <w:tab w:val="left" w:pos="180"/>
              </w:tabs>
            </w:pPr>
          </w:p>
        </w:tc>
      </w:tr>
      <w:tr w:rsidR="000E6662" w:rsidRPr="00AA3128" w14:paraId="6239441A" w14:textId="77777777" w:rsidTr="00577C8F">
        <w:trPr>
          <w:trHeight w:val="284"/>
        </w:trPr>
        <w:tc>
          <w:tcPr>
            <w:tcW w:w="516" w:type="dxa"/>
            <w:shd w:val="clear" w:color="auto" w:fill="BFBFBF" w:themeFill="background1" w:themeFillShade="BF"/>
          </w:tcPr>
          <w:p w14:paraId="51036589" w14:textId="77777777" w:rsidR="000E6662" w:rsidRPr="000E6662" w:rsidRDefault="00B4296A" w:rsidP="00577C8F">
            <w:r>
              <w:lastRenderedPageBreak/>
              <w:t>3.2</w:t>
            </w:r>
          </w:p>
        </w:tc>
        <w:tc>
          <w:tcPr>
            <w:tcW w:w="9690" w:type="dxa"/>
            <w:shd w:val="clear" w:color="auto" w:fill="BFBFBF" w:themeFill="background1" w:themeFillShade="BF"/>
          </w:tcPr>
          <w:p w14:paraId="0A5B0E1E" w14:textId="77777777" w:rsidR="000E6662" w:rsidRPr="000E6662" w:rsidRDefault="00577C8F" w:rsidP="00D76ECE">
            <w:r w:rsidRPr="00060C0C">
              <w:t xml:space="preserve">Clinical </w:t>
            </w:r>
            <w:r w:rsidR="0035730A">
              <w:t>and</w:t>
            </w:r>
            <w:r w:rsidRPr="00060C0C">
              <w:t xml:space="preserve"> </w:t>
            </w:r>
            <w:r w:rsidR="00D76ECE">
              <w:t>T</w:t>
            </w:r>
            <w:r w:rsidRPr="00060C0C">
              <w:t xml:space="preserve">herapeutic </w:t>
            </w:r>
            <w:r w:rsidR="00D76ECE">
              <w:t>I</w:t>
            </w:r>
            <w:r w:rsidRPr="00060C0C">
              <w:t xml:space="preserve">nterventions </w:t>
            </w:r>
          </w:p>
        </w:tc>
      </w:tr>
      <w:tr w:rsidR="000E6662" w:rsidRPr="00AA3128" w14:paraId="1693520A" w14:textId="77777777" w:rsidTr="00CE430F">
        <w:trPr>
          <w:trHeight w:val="2487"/>
        </w:trPr>
        <w:tc>
          <w:tcPr>
            <w:tcW w:w="10206" w:type="dxa"/>
            <w:gridSpan w:val="2"/>
            <w:shd w:val="clear" w:color="auto" w:fill="auto"/>
            <w:vAlign w:val="center"/>
          </w:tcPr>
          <w:p w14:paraId="49F683EB" w14:textId="77777777" w:rsidR="0026590A" w:rsidRDefault="001F0A7C" w:rsidP="0076339F">
            <w:pPr>
              <w:pStyle w:val="ListParagraph"/>
              <w:ind w:left="34"/>
            </w:pPr>
            <w:r>
              <w:t>Al</w:t>
            </w:r>
            <w:r w:rsidR="00EF6CEE">
              <w:t>l</w:t>
            </w:r>
            <w:r>
              <w:t xml:space="preserve"> specialist clinical </w:t>
            </w:r>
            <w:r w:rsidR="00B12188">
              <w:t>support function</w:t>
            </w:r>
            <w:r>
              <w:t>s will share two key work streams</w:t>
            </w:r>
            <w:r w:rsidR="0026590A">
              <w:t>:</w:t>
            </w:r>
          </w:p>
          <w:p w14:paraId="112FAC7C" w14:textId="77777777" w:rsidR="00F27595" w:rsidRDefault="00F27595" w:rsidP="00F27595">
            <w:pPr>
              <w:rPr>
                <w:b/>
              </w:rPr>
            </w:pPr>
          </w:p>
          <w:p w14:paraId="6CF8C9EA" w14:textId="77777777" w:rsidR="00F27595" w:rsidRDefault="00944A16" w:rsidP="00F27595">
            <w:r w:rsidRPr="00F27595">
              <w:rPr>
                <w:b/>
              </w:rPr>
              <w:t>C</w:t>
            </w:r>
            <w:r w:rsidR="00F27595">
              <w:rPr>
                <w:b/>
              </w:rPr>
              <w:t>linical E</w:t>
            </w:r>
            <w:r w:rsidR="001F0A7C" w:rsidRPr="00F27595">
              <w:rPr>
                <w:b/>
              </w:rPr>
              <w:t>xpertise</w:t>
            </w:r>
            <w:r>
              <w:t xml:space="preserve"> </w:t>
            </w:r>
          </w:p>
          <w:p w14:paraId="1F67110B" w14:textId="77777777" w:rsidR="00FB3AE3" w:rsidRDefault="00F27595" w:rsidP="00F27595">
            <w:r>
              <w:t>T</w:t>
            </w:r>
            <w:r w:rsidR="002C4755">
              <w:t xml:space="preserve">he Provider will ensure that </w:t>
            </w:r>
            <w:r w:rsidR="006D4C20">
              <w:t xml:space="preserve">the </w:t>
            </w:r>
            <w:r w:rsidR="00C9547C">
              <w:t xml:space="preserve">specialist support </w:t>
            </w:r>
            <w:r w:rsidR="006D4C20">
              <w:t>function</w:t>
            </w:r>
            <w:r w:rsidR="00B12188">
              <w:t>s</w:t>
            </w:r>
            <w:r w:rsidR="006D4C20">
              <w:t xml:space="preserve"> </w:t>
            </w:r>
            <w:r w:rsidR="00820A43">
              <w:t xml:space="preserve">will be sought when </w:t>
            </w:r>
            <w:r w:rsidR="00D76516">
              <w:t>the management of comple</w:t>
            </w:r>
            <w:r w:rsidR="002C4755">
              <w:t xml:space="preserve">x patients </w:t>
            </w:r>
            <w:r w:rsidR="00DA0DB3">
              <w:t xml:space="preserve">falls outside of the remit of the </w:t>
            </w:r>
            <w:r w:rsidR="000C5428">
              <w:t xml:space="preserve">core </w:t>
            </w:r>
            <w:r w:rsidR="001F0A7C">
              <w:t>generalist</w:t>
            </w:r>
            <w:r w:rsidR="00070BE3">
              <w:t>’s</w:t>
            </w:r>
            <w:r w:rsidR="001F0A7C">
              <w:t xml:space="preserve"> knowledge</w:t>
            </w:r>
            <w:r w:rsidR="00F55134">
              <w:t xml:space="preserve"> and skills</w:t>
            </w:r>
            <w:r w:rsidR="00DA0DB3">
              <w:t>.</w:t>
            </w:r>
            <w:r w:rsidR="00947933">
              <w:t xml:space="preserve"> </w:t>
            </w:r>
            <w:r w:rsidR="00DA0DB3">
              <w:t xml:space="preserve"> </w:t>
            </w:r>
            <w:r w:rsidR="0077560D">
              <w:t xml:space="preserve">The Provider will foster </w:t>
            </w:r>
            <w:r w:rsidR="00947933">
              <w:t>joint working between the specialist</w:t>
            </w:r>
            <w:r w:rsidR="006D4C20">
              <w:t>s</w:t>
            </w:r>
            <w:r w:rsidR="00947933">
              <w:t xml:space="preserve"> and the </w:t>
            </w:r>
            <w:r w:rsidR="00BE11BA">
              <w:t xml:space="preserve">core generalists within </w:t>
            </w:r>
            <w:r w:rsidR="0077560D">
              <w:t xml:space="preserve">the </w:t>
            </w:r>
            <w:r w:rsidR="00E47D9C">
              <w:t>C</w:t>
            </w:r>
            <w:r w:rsidR="00947933">
              <w:t>LT</w:t>
            </w:r>
            <w:r w:rsidR="00BE11BA">
              <w:t>s</w:t>
            </w:r>
            <w:r w:rsidR="0077560D">
              <w:t xml:space="preserve">, so both functions are clear </w:t>
            </w:r>
            <w:r w:rsidR="008409D2">
              <w:t xml:space="preserve">of their remit.  </w:t>
            </w:r>
            <w:r w:rsidR="00401616">
              <w:t>The specialist</w:t>
            </w:r>
            <w:r w:rsidR="00F261E6">
              <w:t xml:space="preserve"> s</w:t>
            </w:r>
            <w:r w:rsidR="0093391A">
              <w:t>upport</w:t>
            </w:r>
            <w:r w:rsidR="00401616">
              <w:t xml:space="preserve"> func</w:t>
            </w:r>
            <w:r w:rsidR="00BE11BA">
              <w:t xml:space="preserve">tions </w:t>
            </w:r>
            <w:r w:rsidR="0093391A">
              <w:t xml:space="preserve">will </w:t>
            </w:r>
            <w:r w:rsidR="00F261E6">
              <w:t>o</w:t>
            </w:r>
            <w:r w:rsidR="00947933">
              <w:t xml:space="preserve">nly </w:t>
            </w:r>
            <w:r w:rsidR="00F261E6">
              <w:t xml:space="preserve">manage a very </w:t>
            </w:r>
            <w:r w:rsidR="00F55134">
              <w:t xml:space="preserve">small </w:t>
            </w:r>
            <w:r w:rsidR="00947933">
              <w:t>active caseload</w:t>
            </w:r>
            <w:r w:rsidR="00F55134">
              <w:t xml:space="preserve">, which </w:t>
            </w:r>
            <w:r w:rsidR="0026590A">
              <w:t>will be determined by</w:t>
            </w:r>
            <w:r w:rsidR="00947933">
              <w:t xml:space="preserve"> the complexity</w:t>
            </w:r>
            <w:r w:rsidR="0026590A">
              <w:t xml:space="preserve"> level and</w:t>
            </w:r>
            <w:r w:rsidR="00947933">
              <w:t xml:space="preserve"> </w:t>
            </w:r>
            <w:r w:rsidR="0026590A">
              <w:t>the need of highly</w:t>
            </w:r>
            <w:r w:rsidR="00947933">
              <w:t xml:space="preserve"> specialist clinical </w:t>
            </w:r>
            <w:r w:rsidR="0026590A">
              <w:t xml:space="preserve">input. </w:t>
            </w:r>
          </w:p>
          <w:p w14:paraId="5005905D" w14:textId="77777777" w:rsidR="003D14DF" w:rsidRDefault="003D14DF" w:rsidP="003D14DF"/>
          <w:p w14:paraId="00801090" w14:textId="77777777" w:rsidR="005D51E6" w:rsidRDefault="003D14DF" w:rsidP="003D14DF">
            <w:r>
              <w:t xml:space="preserve">In addition to the above, </w:t>
            </w:r>
            <w:r w:rsidR="005D51E6">
              <w:t>each of the specialist support functions listed below, will be responsible for</w:t>
            </w:r>
            <w:r w:rsidR="00594476">
              <w:t xml:space="preserve"> undertaking generic duties in relation to clinical expertise that will apply across all functions</w:t>
            </w:r>
            <w:r w:rsidR="005D51E6">
              <w:t>:</w:t>
            </w:r>
          </w:p>
          <w:p w14:paraId="4C081072" w14:textId="77777777" w:rsidR="003D14DF" w:rsidRDefault="003B0D8D" w:rsidP="005D51E6">
            <w:pPr>
              <w:pStyle w:val="ListParagraph"/>
              <w:numPr>
                <w:ilvl w:val="0"/>
                <w:numId w:val="20"/>
              </w:numPr>
              <w:ind w:hanging="309"/>
            </w:pPr>
            <w:r>
              <w:t xml:space="preserve">Capturing all specialist interventions in the patient’s </w:t>
            </w:r>
            <w:r w:rsidR="00734F5D">
              <w:t>Integrated Management Plan (IMP)</w:t>
            </w:r>
          </w:p>
          <w:p w14:paraId="6C6BBEBA" w14:textId="77777777" w:rsidR="00734F5D" w:rsidRDefault="00734F5D" w:rsidP="005D51E6">
            <w:pPr>
              <w:pStyle w:val="ListParagraph"/>
              <w:numPr>
                <w:ilvl w:val="0"/>
                <w:numId w:val="20"/>
              </w:numPr>
              <w:ind w:hanging="309"/>
            </w:pPr>
            <w:r>
              <w:t>Providing expert clinical advice and support to core generalists and other professionals either directly or remotely.</w:t>
            </w:r>
          </w:p>
          <w:p w14:paraId="7C80DEA7" w14:textId="77777777" w:rsidR="00734F5D" w:rsidRDefault="00E74F8A" w:rsidP="005D51E6">
            <w:pPr>
              <w:pStyle w:val="ListParagraph"/>
              <w:numPr>
                <w:ilvl w:val="0"/>
                <w:numId w:val="20"/>
              </w:numPr>
              <w:ind w:hanging="309"/>
            </w:pPr>
            <w:r>
              <w:t xml:space="preserve">Attend </w:t>
            </w:r>
            <w:r w:rsidRPr="00BB3178">
              <w:t xml:space="preserve">Integrated Locality Reviews (ILRs) </w:t>
            </w:r>
            <w:r>
              <w:t xml:space="preserve">where necessary to provide </w:t>
            </w:r>
            <w:r w:rsidR="001342F1">
              <w:t xml:space="preserve">specialist </w:t>
            </w:r>
            <w:r>
              <w:t>advice or present patients for review.</w:t>
            </w:r>
          </w:p>
          <w:p w14:paraId="76EA9AE2" w14:textId="77777777" w:rsidR="00E74F8A" w:rsidRDefault="001342F1" w:rsidP="005D51E6">
            <w:pPr>
              <w:pStyle w:val="ListParagraph"/>
              <w:numPr>
                <w:ilvl w:val="0"/>
                <w:numId w:val="20"/>
              </w:numPr>
              <w:ind w:hanging="309"/>
            </w:pPr>
            <w:r>
              <w:t>Undertake t</w:t>
            </w:r>
            <w:r w:rsidR="00E74F8A">
              <w:t>raining to ensure competencies for p</w:t>
            </w:r>
            <w:r w:rsidR="00E74F8A" w:rsidRPr="001448C4">
              <w:t xml:space="preserve">rescribing and treatment initiation </w:t>
            </w:r>
            <w:r w:rsidR="00E74F8A">
              <w:t xml:space="preserve">can be met when necessary, </w:t>
            </w:r>
            <w:r w:rsidR="00E74F8A" w:rsidRPr="001448C4">
              <w:t>to support early intervention</w:t>
            </w:r>
            <w:r w:rsidR="001E3F35">
              <w:t xml:space="preserve"> and provision of specialist prescribing advice to CLTs or ILRs.</w:t>
            </w:r>
          </w:p>
          <w:p w14:paraId="2144D7CD" w14:textId="77777777" w:rsidR="003D14DF" w:rsidRDefault="003D14DF" w:rsidP="003D14DF"/>
          <w:p w14:paraId="69178526" w14:textId="77777777" w:rsidR="001342F1" w:rsidRDefault="00D76281" w:rsidP="001342F1">
            <w:r w:rsidRPr="001342F1">
              <w:rPr>
                <w:b/>
              </w:rPr>
              <w:t xml:space="preserve">Clinical </w:t>
            </w:r>
            <w:r w:rsidR="001342F1" w:rsidRPr="001342F1">
              <w:rPr>
                <w:b/>
              </w:rPr>
              <w:t>Education and S</w:t>
            </w:r>
            <w:r w:rsidR="00000174" w:rsidRPr="001342F1">
              <w:rPr>
                <w:b/>
              </w:rPr>
              <w:t>upport</w:t>
            </w:r>
            <w:r w:rsidR="000E630A">
              <w:t xml:space="preserve"> </w:t>
            </w:r>
          </w:p>
          <w:p w14:paraId="465BED0E" w14:textId="77777777" w:rsidR="005C6DF4" w:rsidRDefault="00000174" w:rsidP="001342F1">
            <w:r>
              <w:t>Th</w:t>
            </w:r>
            <w:r w:rsidR="00BB2A05">
              <w:t xml:space="preserve">e Provider will ensure that </w:t>
            </w:r>
            <w:r w:rsidR="00D76281">
              <w:t xml:space="preserve">all of </w:t>
            </w:r>
            <w:r w:rsidR="00BB2A05">
              <w:t>the specialist support function</w:t>
            </w:r>
            <w:r w:rsidR="00D76281">
              <w:t>s</w:t>
            </w:r>
            <w:r w:rsidR="00BB2A05">
              <w:t xml:space="preserve"> develop robust </w:t>
            </w:r>
            <w:r>
              <w:t>training and support p</w:t>
            </w:r>
            <w:r w:rsidR="00BB2A05">
              <w:t xml:space="preserve">rogrammes </w:t>
            </w:r>
            <w:r w:rsidR="003738C5">
              <w:t>to improve patient outcomes through training</w:t>
            </w:r>
            <w:r w:rsidR="00D76281">
              <w:t>, education</w:t>
            </w:r>
            <w:r w:rsidR="003738C5">
              <w:t xml:space="preserve"> and staff development.  </w:t>
            </w:r>
            <w:r w:rsidR="005541BB">
              <w:t xml:space="preserve">The </w:t>
            </w:r>
            <w:r w:rsidR="00D76ECE">
              <w:t xml:space="preserve">specialist support functions </w:t>
            </w:r>
            <w:r w:rsidR="005541BB">
              <w:t xml:space="preserve">will proactively </w:t>
            </w:r>
            <w:r w:rsidR="009C37CA">
              <w:t xml:space="preserve">evaluate outcomes and conduct training needs analyses to identify </w:t>
            </w:r>
            <w:r w:rsidR="009C37CA">
              <w:lastRenderedPageBreak/>
              <w:t xml:space="preserve">opportunities to improve </w:t>
            </w:r>
            <w:r w:rsidR="00067C53">
              <w:t>the competencies and capabilities of core generalist staff, to help reduce variability in the quality of care.</w:t>
            </w:r>
            <w:r>
              <w:t xml:space="preserve"> </w:t>
            </w:r>
            <w:r w:rsidR="003A46CE">
              <w:t xml:space="preserve">The Provider will proactively engage with organisations and providers outside this specification </w:t>
            </w:r>
            <w:r w:rsidR="005C6DF4">
              <w:t xml:space="preserve">(but not limited to) primary care, </w:t>
            </w:r>
            <w:r w:rsidR="008B14DC">
              <w:t xml:space="preserve">public health / health improvement services, </w:t>
            </w:r>
            <w:r w:rsidR="005C6DF4">
              <w:t>care homes</w:t>
            </w:r>
            <w:r w:rsidR="00D76ECE">
              <w:t>,</w:t>
            </w:r>
            <w:r w:rsidR="005C6DF4">
              <w:t xml:space="preserve"> hospices, social care</w:t>
            </w:r>
            <w:r w:rsidR="00C07E4D">
              <w:t xml:space="preserve">, </w:t>
            </w:r>
            <w:r w:rsidR="005C6DF4">
              <w:t xml:space="preserve">mental health teams and any other service where there is a clear opportunity to improve patient outcomes and </w:t>
            </w:r>
            <w:r w:rsidR="003A46CE">
              <w:t>ensure efficient practice</w:t>
            </w:r>
            <w:r w:rsidR="005C6DF4">
              <w:t>.</w:t>
            </w:r>
          </w:p>
          <w:p w14:paraId="4FA1FB4A" w14:textId="77777777" w:rsidR="00B33EE6" w:rsidRDefault="00B33EE6" w:rsidP="00B33EE6"/>
          <w:p w14:paraId="1432317C" w14:textId="77777777" w:rsidR="00BD6D92" w:rsidRDefault="00BD6D92" w:rsidP="001342F1">
            <w:r>
              <w:t xml:space="preserve">For some </w:t>
            </w:r>
            <w:r w:rsidR="009D646D">
              <w:t>specialist support function</w:t>
            </w:r>
            <w:r>
              <w:t xml:space="preserve">s i.e. </w:t>
            </w:r>
            <w:r w:rsidR="00A27717">
              <w:t>r</w:t>
            </w:r>
            <w:r>
              <w:t xml:space="preserve">espiratory, </w:t>
            </w:r>
            <w:r w:rsidR="00A27717">
              <w:t>c</w:t>
            </w:r>
            <w:r>
              <w:t>ardiac</w:t>
            </w:r>
            <w:r w:rsidR="00A27717">
              <w:t>, continence, d</w:t>
            </w:r>
            <w:r>
              <w:t xml:space="preserve">iabetes </w:t>
            </w:r>
            <w:r w:rsidR="00A04A53">
              <w:t xml:space="preserve">and tissue viability, </w:t>
            </w:r>
            <w:r>
              <w:t xml:space="preserve">the </w:t>
            </w:r>
            <w:r w:rsidR="00A04A53">
              <w:t xml:space="preserve">Provider will </w:t>
            </w:r>
            <w:r w:rsidR="0008137C">
              <w:t xml:space="preserve">ensure </w:t>
            </w:r>
            <w:r w:rsidR="00F459F1">
              <w:t xml:space="preserve">training plans, education sessions and exercise groups are organised, co-ordinated and supervised by </w:t>
            </w:r>
            <w:r w:rsidR="00A04A53">
              <w:t xml:space="preserve">the </w:t>
            </w:r>
            <w:r>
              <w:t xml:space="preserve">specialist </w:t>
            </w:r>
            <w:r w:rsidR="00A04A53">
              <w:t>support function</w:t>
            </w:r>
            <w:r w:rsidR="008F173F">
              <w:t>s</w:t>
            </w:r>
            <w:r w:rsidR="004F0ADE">
              <w:t xml:space="preserve">, but </w:t>
            </w:r>
            <w:r w:rsidR="00B33EE6">
              <w:t>where appropriate</w:t>
            </w:r>
            <w:r w:rsidR="004F0ADE">
              <w:t xml:space="preserve"> the delivery can be delegated to</w:t>
            </w:r>
            <w:r w:rsidR="005D5904">
              <w:t xml:space="preserve"> the core generalists.</w:t>
            </w:r>
          </w:p>
          <w:p w14:paraId="64A10F3A" w14:textId="77777777" w:rsidR="00667A51" w:rsidRDefault="00667A51" w:rsidP="00B33EE6"/>
          <w:p w14:paraId="11D21238" w14:textId="77777777" w:rsidR="00C0650C" w:rsidRDefault="00D347B9" w:rsidP="00C0650C">
            <w:r>
              <w:t xml:space="preserve">In addition to the above, </w:t>
            </w:r>
            <w:r w:rsidR="005A110E">
              <w:t>each of the specialist support functions</w:t>
            </w:r>
            <w:r w:rsidR="007E6257">
              <w:t xml:space="preserve"> listed below</w:t>
            </w:r>
            <w:r w:rsidR="005A110E">
              <w:t xml:space="preserve">, </w:t>
            </w:r>
            <w:r w:rsidR="004E4D06" w:rsidRPr="004E4D06">
              <w:t>will be responsible for</w:t>
            </w:r>
            <w:r w:rsidR="00730967">
              <w:t xml:space="preserve"> undertaking the following generic duties in relation to clinical education and support, that will apply across all functions</w:t>
            </w:r>
            <w:r w:rsidR="00C0650C">
              <w:t>:</w:t>
            </w:r>
          </w:p>
          <w:p w14:paraId="4311A245" w14:textId="77777777" w:rsidR="00645FC4" w:rsidRDefault="00E051B9" w:rsidP="00C0650C">
            <w:pPr>
              <w:pStyle w:val="ListParagraph"/>
              <w:numPr>
                <w:ilvl w:val="0"/>
                <w:numId w:val="19"/>
              </w:numPr>
              <w:ind w:left="743" w:hanging="284"/>
            </w:pPr>
            <w:r>
              <w:t>Assurance in relation to c</w:t>
            </w:r>
            <w:r w:rsidR="004E4D06" w:rsidRPr="004E4D06">
              <w:t xml:space="preserve">linical governance </w:t>
            </w:r>
            <w:r>
              <w:t>a</w:t>
            </w:r>
            <w:r w:rsidR="00CE2A27">
              <w:t>n</w:t>
            </w:r>
            <w:r w:rsidR="004E4D06" w:rsidRPr="004E4D06">
              <w:t xml:space="preserve">d clinical audit </w:t>
            </w:r>
          </w:p>
          <w:p w14:paraId="168B0630" w14:textId="77777777" w:rsidR="00645FC4" w:rsidRDefault="00CE2A27" w:rsidP="007E6257">
            <w:pPr>
              <w:pStyle w:val="ListParagraph"/>
              <w:numPr>
                <w:ilvl w:val="0"/>
                <w:numId w:val="17"/>
              </w:numPr>
              <w:ind w:hanging="261"/>
            </w:pPr>
            <w:r>
              <w:t>M</w:t>
            </w:r>
            <w:r w:rsidR="004E4D06" w:rsidRPr="004E4D06">
              <w:t>anagement of direct referral pathways to secondary care</w:t>
            </w:r>
          </w:p>
          <w:p w14:paraId="6E792019" w14:textId="77777777" w:rsidR="00645FC4" w:rsidRDefault="00645FC4" w:rsidP="007E6257">
            <w:pPr>
              <w:pStyle w:val="ListParagraph"/>
              <w:numPr>
                <w:ilvl w:val="0"/>
                <w:numId w:val="17"/>
              </w:numPr>
              <w:ind w:hanging="261"/>
            </w:pPr>
            <w:r>
              <w:t>A</w:t>
            </w:r>
            <w:r w:rsidR="00E051B9">
              <w:t>ccess to and a</w:t>
            </w:r>
            <w:r>
              <w:t xml:space="preserve">wareness of </w:t>
            </w:r>
            <w:r w:rsidR="004E4D06" w:rsidRPr="004E4D06">
              <w:t>clinical treatment trials and research</w:t>
            </w:r>
            <w:r w:rsidR="00040C7A">
              <w:t>/ evidence based practice updates</w:t>
            </w:r>
          </w:p>
          <w:p w14:paraId="37D155EB" w14:textId="77777777" w:rsidR="000F42FB" w:rsidRDefault="000F42FB" w:rsidP="007E6257">
            <w:pPr>
              <w:pStyle w:val="ListParagraph"/>
              <w:numPr>
                <w:ilvl w:val="0"/>
                <w:numId w:val="17"/>
              </w:numPr>
              <w:ind w:hanging="261"/>
            </w:pPr>
            <w:r>
              <w:t>Active participation in</w:t>
            </w:r>
            <w:r w:rsidR="00040C7A">
              <w:t xml:space="preserve"> continuous professional development </w:t>
            </w:r>
            <w:r w:rsidR="00C46F29">
              <w:t>to e</w:t>
            </w:r>
            <w:r>
              <w:t xml:space="preserve">nsure </w:t>
            </w:r>
            <w:r w:rsidR="00C46F29">
              <w:t xml:space="preserve">staff update skills </w:t>
            </w:r>
            <w:r>
              <w:t xml:space="preserve">and practice </w:t>
            </w:r>
            <w:r w:rsidR="00C46F29">
              <w:t xml:space="preserve">in line with </w:t>
            </w:r>
            <w:r>
              <w:t>current guidelines</w:t>
            </w:r>
          </w:p>
          <w:p w14:paraId="74D9F581" w14:textId="77777777" w:rsidR="00EE669B" w:rsidRDefault="00EE669B" w:rsidP="00EE669B">
            <w:pPr>
              <w:pStyle w:val="ListParagraph"/>
              <w:numPr>
                <w:ilvl w:val="0"/>
                <w:numId w:val="17"/>
              </w:numPr>
              <w:ind w:hanging="261"/>
            </w:pPr>
            <w:r>
              <w:t>R</w:t>
            </w:r>
            <w:r w:rsidRPr="004E4D06">
              <w:t>egular review of NICE guidance including the updating of all Provider policies and training packages to reflect new guidance</w:t>
            </w:r>
          </w:p>
          <w:p w14:paraId="68AC4D99" w14:textId="77777777" w:rsidR="00844C79" w:rsidRDefault="00615B91" w:rsidP="007E6257">
            <w:pPr>
              <w:pStyle w:val="ListParagraph"/>
              <w:numPr>
                <w:ilvl w:val="0"/>
                <w:numId w:val="17"/>
              </w:numPr>
              <w:ind w:hanging="261"/>
            </w:pPr>
            <w:r>
              <w:t xml:space="preserve">Ensuring staff are trained as </w:t>
            </w:r>
            <w:r w:rsidR="004E4D06" w:rsidRPr="004E4D06">
              <w:t>independent prescrib</w:t>
            </w:r>
            <w:r>
              <w:t>ers</w:t>
            </w:r>
          </w:p>
          <w:p w14:paraId="3529CA9D" w14:textId="77777777" w:rsidR="00DA366C" w:rsidRDefault="00FF2AF7" w:rsidP="00EE669B">
            <w:pPr>
              <w:pStyle w:val="ListParagraph"/>
              <w:numPr>
                <w:ilvl w:val="0"/>
                <w:numId w:val="17"/>
              </w:numPr>
              <w:ind w:hanging="261"/>
            </w:pPr>
            <w:r>
              <w:t>P</w:t>
            </w:r>
            <w:r w:rsidRPr="0081579B">
              <w:t xml:space="preserve">rovision of </w:t>
            </w:r>
            <w:r>
              <w:t>e</w:t>
            </w:r>
            <w:r w:rsidRPr="0081579B">
              <w:t xml:space="preserve">ducation </w:t>
            </w:r>
            <w:r w:rsidRPr="004D516C">
              <w:t xml:space="preserve">and support </w:t>
            </w:r>
            <w:r>
              <w:t>to the CLTs</w:t>
            </w:r>
            <w:r w:rsidR="00687EB9">
              <w:t xml:space="preserve"> and primary care staff</w:t>
            </w:r>
          </w:p>
          <w:p w14:paraId="1F4EAF52" w14:textId="77777777" w:rsidR="00FF2AF7" w:rsidRDefault="00FF2AF7" w:rsidP="008E5FCA">
            <w:pPr>
              <w:pStyle w:val="ListParagraph"/>
              <w:ind w:left="0"/>
              <w:rPr>
                <w:b/>
              </w:rPr>
            </w:pPr>
          </w:p>
          <w:p w14:paraId="28A89ECD" w14:textId="77777777" w:rsidR="008E5FCA" w:rsidRPr="00DE4BC6" w:rsidRDefault="00550748" w:rsidP="008E5FCA">
            <w:pPr>
              <w:pStyle w:val="ListParagraph"/>
              <w:ind w:left="0"/>
              <w:rPr>
                <w:b/>
              </w:rPr>
            </w:pPr>
            <w:r w:rsidRPr="00DE4BC6">
              <w:rPr>
                <w:b/>
              </w:rPr>
              <w:t>3.3.</w:t>
            </w:r>
            <w:r w:rsidR="003356A2" w:rsidRPr="00DE4BC6">
              <w:rPr>
                <w:b/>
              </w:rPr>
              <w:t>1</w:t>
            </w:r>
            <w:r w:rsidRPr="00DE4BC6">
              <w:rPr>
                <w:b/>
              </w:rPr>
              <w:t>. Diabetes</w:t>
            </w:r>
          </w:p>
          <w:p w14:paraId="67E0F949" w14:textId="77777777" w:rsidR="004D516C" w:rsidRPr="00DE4BC6" w:rsidRDefault="004D516C" w:rsidP="008E5FCA">
            <w:pPr>
              <w:rPr>
                <w:u w:val="single"/>
              </w:rPr>
            </w:pPr>
            <w:r w:rsidRPr="00DE4BC6">
              <w:rPr>
                <w:u w:val="single"/>
              </w:rPr>
              <w:t>Clinical</w:t>
            </w:r>
            <w:r w:rsidR="002D624F" w:rsidRPr="00DE4BC6">
              <w:rPr>
                <w:u w:val="single"/>
              </w:rPr>
              <w:t xml:space="preserve"> Assessment/Review</w:t>
            </w:r>
            <w:r w:rsidRPr="00DE4BC6">
              <w:rPr>
                <w:u w:val="single"/>
              </w:rPr>
              <w:t>:</w:t>
            </w:r>
          </w:p>
          <w:p w14:paraId="3CC8450E" w14:textId="77777777" w:rsidR="00F307B3" w:rsidRDefault="001537C9" w:rsidP="008E5FCA">
            <w:pPr>
              <w:pStyle w:val="ListParagraph"/>
              <w:ind w:left="0"/>
            </w:pPr>
            <w:r>
              <w:t>This includes the clinical a</w:t>
            </w:r>
            <w:r w:rsidR="004D516C">
              <w:t xml:space="preserve">ssessment and review of </w:t>
            </w:r>
            <w:r>
              <w:t xml:space="preserve">the </w:t>
            </w:r>
            <w:r w:rsidR="004D516C">
              <w:t>population at risk</w:t>
            </w:r>
            <w:r>
              <w:t xml:space="preserve"> of diabetes</w:t>
            </w:r>
            <w:r w:rsidR="004D516C">
              <w:t xml:space="preserve">. </w:t>
            </w:r>
            <w:r w:rsidR="00322C3C">
              <w:t>The Provider will be required to work in c</w:t>
            </w:r>
            <w:r w:rsidR="004D516C">
              <w:t xml:space="preserve">lose collaboration with </w:t>
            </w:r>
            <w:r w:rsidR="004775D7">
              <w:t>P</w:t>
            </w:r>
            <w:r w:rsidR="004D516C">
              <w:t xml:space="preserve">ublic </w:t>
            </w:r>
            <w:r w:rsidR="004775D7">
              <w:t>H</w:t>
            </w:r>
            <w:r w:rsidR="004D516C">
              <w:t xml:space="preserve">ealth and primary care </w:t>
            </w:r>
            <w:r w:rsidR="00733BF3">
              <w:t xml:space="preserve">regarding the </w:t>
            </w:r>
            <w:r w:rsidR="004D516C">
              <w:t xml:space="preserve">implementation of campaigns to promote </w:t>
            </w:r>
            <w:r w:rsidR="006E7183">
              <w:t xml:space="preserve">healthy lifestyles and </w:t>
            </w:r>
            <w:r w:rsidR="00FB3AE3">
              <w:t xml:space="preserve">wellbeing </w:t>
            </w:r>
            <w:r w:rsidR="006E7183">
              <w:t xml:space="preserve">to help reduce the incidence of </w:t>
            </w:r>
            <w:r w:rsidR="004D516C">
              <w:t>early o</w:t>
            </w:r>
            <w:r w:rsidR="006E7183">
              <w:t>n</w:t>
            </w:r>
            <w:r w:rsidR="004D516C">
              <w:t>set diabetes.</w:t>
            </w:r>
          </w:p>
          <w:p w14:paraId="6A0DF443" w14:textId="77777777" w:rsidR="00A27D93" w:rsidRDefault="005B2C2D" w:rsidP="008E5FCA">
            <w:r>
              <w:t xml:space="preserve">The </w:t>
            </w:r>
            <w:r w:rsidR="00090D38">
              <w:t>d</w:t>
            </w:r>
            <w:r>
              <w:t>iabetic specialist fun</w:t>
            </w:r>
            <w:r w:rsidR="00314677">
              <w:t>c</w:t>
            </w:r>
            <w:r>
              <w:t xml:space="preserve">tions will lead the initiation of insulin in the community. </w:t>
            </w:r>
          </w:p>
          <w:p w14:paraId="3460A7CD" w14:textId="77777777" w:rsidR="005417F4" w:rsidRDefault="005417F4" w:rsidP="005417F4"/>
          <w:p w14:paraId="7B1227CE" w14:textId="77777777" w:rsidR="00550748" w:rsidRPr="005417F4" w:rsidRDefault="005417F4" w:rsidP="0076339F">
            <w:pPr>
              <w:pStyle w:val="ListParagraph"/>
              <w:ind w:left="34"/>
              <w:rPr>
                <w:b/>
              </w:rPr>
            </w:pPr>
            <w:r w:rsidRPr="005417F4">
              <w:rPr>
                <w:b/>
              </w:rPr>
              <w:t>3.3.2</w:t>
            </w:r>
            <w:r w:rsidR="00550748" w:rsidRPr="005417F4">
              <w:rPr>
                <w:b/>
              </w:rPr>
              <w:t>.  Tissue Viability and Wounds</w:t>
            </w:r>
          </w:p>
          <w:p w14:paraId="028DFCDB" w14:textId="77777777" w:rsidR="00B52E86" w:rsidRDefault="00590360" w:rsidP="004E30FB">
            <w:r w:rsidRPr="00B52E86">
              <w:rPr>
                <w:u w:val="single"/>
              </w:rPr>
              <w:t>Clinical</w:t>
            </w:r>
            <w:r w:rsidR="00B52E86" w:rsidRPr="00B52E86">
              <w:rPr>
                <w:u w:val="single"/>
              </w:rPr>
              <w:t xml:space="preserve"> Assessment/Review</w:t>
            </w:r>
            <w:r>
              <w:t>:</w:t>
            </w:r>
          </w:p>
          <w:p w14:paraId="1C2A0A25" w14:textId="77777777" w:rsidR="009663F1" w:rsidRDefault="005B2C2D" w:rsidP="009663F1">
            <w:r>
              <w:t xml:space="preserve">The Provider will offer assessment and treatment for patients with highly complex wounds and skin conditions including specialist procedures such as, but not limited to: sharp debridement, skin biopsy, and topical negative pressure. </w:t>
            </w:r>
            <w:r w:rsidR="008D255F" w:rsidRPr="008D255F">
              <w:t>The Provider will work with the Medway Integrated Community Equipment Service to advi</w:t>
            </w:r>
            <w:r w:rsidR="00090D38">
              <w:t>c</w:t>
            </w:r>
            <w:r w:rsidR="008D255F" w:rsidRPr="008D255F">
              <w:t>e on pressure relieving equipment.</w:t>
            </w:r>
          </w:p>
          <w:p w14:paraId="13D3E3D8" w14:textId="77777777" w:rsidR="00BE2887" w:rsidRDefault="00BE2887" w:rsidP="009663F1"/>
          <w:p w14:paraId="42D89B01" w14:textId="77777777" w:rsidR="00550748" w:rsidRPr="006C24EC" w:rsidRDefault="00550748" w:rsidP="0076339F">
            <w:pPr>
              <w:pStyle w:val="ListParagraph"/>
              <w:ind w:left="34"/>
              <w:rPr>
                <w:b/>
              </w:rPr>
            </w:pPr>
            <w:r w:rsidRPr="006C24EC">
              <w:rPr>
                <w:b/>
              </w:rPr>
              <w:t>3.3.4 Respiratory</w:t>
            </w:r>
          </w:p>
          <w:p w14:paraId="0ABF3E6C" w14:textId="77777777" w:rsidR="009C47DB" w:rsidRPr="0018242C" w:rsidRDefault="009C47DB" w:rsidP="006C24EC">
            <w:pPr>
              <w:rPr>
                <w:u w:val="single"/>
              </w:rPr>
            </w:pPr>
            <w:r w:rsidRPr="0018242C">
              <w:rPr>
                <w:u w:val="single"/>
              </w:rPr>
              <w:t>Clinical</w:t>
            </w:r>
            <w:r w:rsidR="006C24EC" w:rsidRPr="0018242C">
              <w:rPr>
                <w:u w:val="single"/>
              </w:rPr>
              <w:t xml:space="preserve"> Assessment /Review</w:t>
            </w:r>
            <w:r w:rsidRPr="0018242C">
              <w:rPr>
                <w:u w:val="single"/>
              </w:rPr>
              <w:t>:</w:t>
            </w:r>
          </w:p>
          <w:p w14:paraId="65CA6C88" w14:textId="77777777" w:rsidR="0018242C" w:rsidRDefault="003E184E" w:rsidP="0018242C">
            <w:r>
              <w:t>The</w:t>
            </w:r>
            <w:r w:rsidR="0018242C" w:rsidRPr="0018242C">
              <w:t xml:space="preserve"> specialist support function will provide </w:t>
            </w:r>
            <w:r w:rsidR="0018242C">
              <w:t xml:space="preserve">highly skilled </w:t>
            </w:r>
            <w:r w:rsidR="00403A09">
              <w:t xml:space="preserve">support </w:t>
            </w:r>
            <w:r w:rsidR="0018242C" w:rsidRPr="0018242C">
              <w:t xml:space="preserve">to </w:t>
            </w:r>
            <w:r w:rsidRPr="0018242C">
              <w:t>patients</w:t>
            </w:r>
            <w:r>
              <w:t xml:space="preserve"> </w:t>
            </w:r>
            <w:r w:rsidR="0012576E">
              <w:t xml:space="preserve">that </w:t>
            </w:r>
            <w:r>
              <w:t>are</w:t>
            </w:r>
            <w:r w:rsidR="00403A09">
              <w:t xml:space="preserve"> tailored to meet their individual needs</w:t>
            </w:r>
            <w:r w:rsidR="005B2C2D">
              <w:t xml:space="preserve"> in a variety of respiratory conditions i.e. Chronic Obstructive Pulmonary Disease, Bronchiectasis, Emphysema</w:t>
            </w:r>
            <w:r w:rsidR="00B02445">
              <w:t>, Cystic Fibrosis and interstitial lung disease</w:t>
            </w:r>
            <w:r w:rsidR="00403A09">
              <w:t xml:space="preserve">.  </w:t>
            </w:r>
            <w:r w:rsidR="00335761">
              <w:t>They w</w:t>
            </w:r>
            <w:r w:rsidR="009F2D00">
              <w:t xml:space="preserve">ill also provide support to the core generalists in the </w:t>
            </w:r>
            <w:r w:rsidR="00335761">
              <w:t xml:space="preserve">provision of </w:t>
            </w:r>
            <w:r w:rsidR="009F2D00">
              <w:t xml:space="preserve">a </w:t>
            </w:r>
            <w:r w:rsidR="00335761">
              <w:t>home oxygen</w:t>
            </w:r>
            <w:r w:rsidR="009F2D00">
              <w:t xml:space="preserve"> service.</w:t>
            </w:r>
          </w:p>
          <w:p w14:paraId="21B27932" w14:textId="77777777" w:rsidR="004E5730" w:rsidRDefault="004E5730" w:rsidP="0018242C"/>
          <w:p w14:paraId="56E03A32" w14:textId="77777777" w:rsidR="00550748" w:rsidRPr="00204113" w:rsidRDefault="00550748" w:rsidP="0076339F">
            <w:pPr>
              <w:pStyle w:val="ListParagraph"/>
              <w:ind w:left="34"/>
              <w:rPr>
                <w:b/>
              </w:rPr>
            </w:pPr>
            <w:r w:rsidRPr="00204113">
              <w:rPr>
                <w:b/>
              </w:rPr>
              <w:t>3.3.5.  Nutrition and Dietetics</w:t>
            </w:r>
          </w:p>
          <w:p w14:paraId="7325717E" w14:textId="77777777" w:rsidR="00091AC1" w:rsidRDefault="00091AC1" w:rsidP="00204113">
            <w:r w:rsidRPr="00687EB9">
              <w:rPr>
                <w:u w:val="single"/>
              </w:rPr>
              <w:t>Clinical</w:t>
            </w:r>
            <w:r w:rsidR="00264ABA" w:rsidRPr="00687EB9">
              <w:rPr>
                <w:u w:val="single"/>
              </w:rPr>
              <w:t xml:space="preserve"> Assessment/Review</w:t>
            </w:r>
            <w:r>
              <w:t>:</w:t>
            </w:r>
          </w:p>
          <w:p w14:paraId="7E7FED19" w14:textId="77777777" w:rsidR="00550748" w:rsidRDefault="00550748" w:rsidP="00264ABA">
            <w:r>
              <w:t xml:space="preserve">Some </w:t>
            </w:r>
            <w:r w:rsidR="00D622B2">
              <w:t>d</w:t>
            </w:r>
            <w:r>
              <w:t xml:space="preserve">ietitians </w:t>
            </w:r>
            <w:r w:rsidR="00D622B2">
              <w:t xml:space="preserve">within the specialist support function </w:t>
            </w:r>
            <w:r w:rsidR="00091AC1">
              <w:t>will have areas of further expertise</w:t>
            </w:r>
            <w:r>
              <w:t xml:space="preserve"> within specialist areas </w:t>
            </w:r>
            <w:r w:rsidR="00D622B2">
              <w:t xml:space="preserve">i.e. </w:t>
            </w:r>
            <w:r>
              <w:t>including but not limited to: Oncology, diabetes, paediatrics, respiratory, intensive care, nutrition support (enteral and parenteral feeding)</w:t>
            </w:r>
            <w:r w:rsidR="0075377D">
              <w:t>.</w:t>
            </w:r>
          </w:p>
          <w:p w14:paraId="0CB7E1E1" w14:textId="77777777" w:rsidR="00913A6C" w:rsidRDefault="00913A6C" w:rsidP="00264ABA"/>
          <w:p w14:paraId="056129B7" w14:textId="77777777" w:rsidR="005B2C08" w:rsidRDefault="005B2C08" w:rsidP="00264ABA"/>
          <w:p w14:paraId="7B8A1510" w14:textId="77777777" w:rsidR="00550748" w:rsidRDefault="00550748" w:rsidP="0076339F">
            <w:pPr>
              <w:pStyle w:val="ListParagraph"/>
              <w:ind w:left="34"/>
            </w:pPr>
            <w:r w:rsidRPr="00CB625E">
              <w:rPr>
                <w:b/>
              </w:rPr>
              <w:lastRenderedPageBreak/>
              <w:t xml:space="preserve">3.3.6.  Continence </w:t>
            </w:r>
          </w:p>
          <w:p w14:paraId="7B5700DE" w14:textId="77777777" w:rsidR="00851172" w:rsidRPr="00E522E7" w:rsidRDefault="00851172" w:rsidP="005B417C">
            <w:pPr>
              <w:rPr>
                <w:u w:val="single"/>
              </w:rPr>
            </w:pPr>
            <w:r w:rsidRPr="00E522E7">
              <w:rPr>
                <w:u w:val="single"/>
              </w:rPr>
              <w:t>Clinical</w:t>
            </w:r>
            <w:r w:rsidR="005B417C" w:rsidRPr="00E522E7">
              <w:rPr>
                <w:u w:val="single"/>
              </w:rPr>
              <w:t xml:space="preserve"> Assessment</w:t>
            </w:r>
            <w:r w:rsidR="005168A2">
              <w:rPr>
                <w:u w:val="single"/>
              </w:rPr>
              <w:t>/</w:t>
            </w:r>
            <w:r w:rsidR="005B417C" w:rsidRPr="00E522E7">
              <w:rPr>
                <w:u w:val="single"/>
              </w:rPr>
              <w:t>Review</w:t>
            </w:r>
            <w:r w:rsidRPr="00E522E7">
              <w:rPr>
                <w:u w:val="single"/>
              </w:rPr>
              <w:t>:</w:t>
            </w:r>
          </w:p>
          <w:p w14:paraId="53C940CE" w14:textId="77777777" w:rsidR="00550748" w:rsidRDefault="00550748" w:rsidP="005168A2">
            <w:r>
              <w:t xml:space="preserve">The </w:t>
            </w:r>
            <w:r w:rsidR="00911727">
              <w:t>P</w:t>
            </w:r>
            <w:r w:rsidR="00913A6C">
              <w:t>rovider will deliver c</w:t>
            </w:r>
            <w:r>
              <w:t xml:space="preserve">omprehensive, evidence based continence promotion and treatment </w:t>
            </w:r>
            <w:r w:rsidR="00913A6C">
              <w:t xml:space="preserve">support based </w:t>
            </w:r>
            <w:r>
              <w:t xml:space="preserve">on individualised assessments to treat and manage </w:t>
            </w:r>
            <w:r w:rsidR="00F9095A">
              <w:t xml:space="preserve">complex </w:t>
            </w:r>
            <w:r>
              <w:t xml:space="preserve">bladder and bowel dysfunction. </w:t>
            </w:r>
            <w:r w:rsidR="00F9095A">
              <w:t>The service will p</w:t>
            </w:r>
            <w:r>
              <w:t>rovide</w:t>
            </w:r>
            <w:r w:rsidR="00F9095A">
              <w:t xml:space="preserve"> and support</w:t>
            </w:r>
            <w:r>
              <w:t xml:space="preserve"> diagnostics including bladder scanning, urinalysis, observation of the perineum, digital vaginal examination to assess and teach pelvic muscle exercises, digital rectal examination to assess and treat male pelvic muscle exercises and to exclude faecal impaction if necessary,</w:t>
            </w:r>
            <w:r w:rsidR="00F9095A">
              <w:t xml:space="preserve"> the service will create plans for</w:t>
            </w:r>
            <w:r>
              <w:t xml:space="preserve"> bladder retraining, fluid advice, toileting regimes and advice on bowel care. </w:t>
            </w:r>
          </w:p>
          <w:p w14:paraId="6AC7F7EC" w14:textId="77777777" w:rsidR="00BE74ED" w:rsidRDefault="00BE74ED" w:rsidP="005168A2"/>
          <w:p w14:paraId="147F17D1" w14:textId="77777777" w:rsidR="00550748" w:rsidRDefault="00550748" w:rsidP="0076339F">
            <w:pPr>
              <w:pStyle w:val="ListParagraph"/>
              <w:ind w:left="34"/>
            </w:pPr>
            <w:r w:rsidRPr="002F3A1F">
              <w:rPr>
                <w:b/>
              </w:rPr>
              <w:t>3.3.7.  Dementia</w:t>
            </w:r>
          </w:p>
          <w:p w14:paraId="6AC162CC" w14:textId="77777777" w:rsidR="00D57AD4" w:rsidRPr="002F3A1F" w:rsidRDefault="002F3A1F" w:rsidP="0076339F">
            <w:pPr>
              <w:pStyle w:val="ListParagraph"/>
              <w:ind w:left="34"/>
              <w:rPr>
                <w:u w:val="single"/>
              </w:rPr>
            </w:pPr>
            <w:r w:rsidRPr="002F3A1F">
              <w:rPr>
                <w:u w:val="single"/>
              </w:rPr>
              <w:t>Clinical Assessment/Review:</w:t>
            </w:r>
          </w:p>
          <w:p w14:paraId="17F81CF4" w14:textId="77777777" w:rsidR="00ED1FBA" w:rsidRDefault="00300D28" w:rsidP="002F3A1F">
            <w:r>
              <w:t xml:space="preserve">The Provider will ensure that </w:t>
            </w:r>
            <w:r w:rsidR="0023762B">
              <w:t xml:space="preserve">specialist support functions </w:t>
            </w:r>
            <w:r w:rsidR="00ED1FBA">
              <w:t>put in place help to p</w:t>
            </w:r>
            <w:r w:rsidR="00550748">
              <w:t>revent</w:t>
            </w:r>
            <w:r w:rsidR="00B27B8F">
              <w:t xml:space="preserve"> or minimis</w:t>
            </w:r>
            <w:r w:rsidR="00ED1FBA">
              <w:t>e</w:t>
            </w:r>
            <w:r w:rsidR="00550748">
              <w:t xml:space="preserve"> the inappropriate use of anti-psychotic medication, including advice on alternative </w:t>
            </w:r>
            <w:r w:rsidR="00336617">
              <w:t>strategies. Specialist</w:t>
            </w:r>
            <w:r w:rsidR="00314677">
              <w:t xml:space="preserve"> assessment of complex cases will support core teams </w:t>
            </w:r>
            <w:r w:rsidR="0023762B">
              <w:t xml:space="preserve">to </w:t>
            </w:r>
            <w:r w:rsidR="00314677">
              <w:t xml:space="preserve">treat patients at home, anticipate crisis and help reduce anxiety and depression.   </w:t>
            </w:r>
            <w:r w:rsidR="00ED6A72">
              <w:t>Speci</w:t>
            </w:r>
            <w:r w:rsidR="00BE74ED">
              <w:t>al</w:t>
            </w:r>
            <w:r w:rsidR="00ED6A72">
              <w:t xml:space="preserve">ist support input </w:t>
            </w:r>
            <w:r w:rsidR="00314677">
              <w:t>will be pivotal during crisis intervention and patient</w:t>
            </w:r>
            <w:r w:rsidR="00ED6A72">
              <w:t xml:space="preserve">s with </w:t>
            </w:r>
            <w:r w:rsidR="00314677">
              <w:t xml:space="preserve">challenging behaviours. </w:t>
            </w:r>
          </w:p>
          <w:p w14:paraId="247B8540" w14:textId="77777777" w:rsidR="00ED1FBA" w:rsidRDefault="00ED1FBA" w:rsidP="00ED1FBA"/>
          <w:p w14:paraId="31B39C1A" w14:textId="77777777" w:rsidR="00550748" w:rsidRDefault="00550748" w:rsidP="0076339F">
            <w:pPr>
              <w:pStyle w:val="ListParagraph"/>
              <w:ind w:left="0"/>
              <w:rPr>
                <w:b/>
              </w:rPr>
            </w:pPr>
            <w:r w:rsidRPr="001942BC">
              <w:rPr>
                <w:b/>
              </w:rPr>
              <w:t>3.3.8. Epilepsy</w:t>
            </w:r>
          </w:p>
          <w:p w14:paraId="52785F98" w14:textId="77777777" w:rsidR="00550748" w:rsidRDefault="00BD6692" w:rsidP="001942BC">
            <w:r w:rsidRPr="0047298A">
              <w:rPr>
                <w:u w:val="single"/>
              </w:rPr>
              <w:t>Clinical</w:t>
            </w:r>
            <w:r w:rsidR="001942BC" w:rsidRPr="0047298A">
              <w:rPr>
                <w:u w:val="single"/>
              </w:rPr>
              <w:t xml:space="preserve"> Assessment/Review</w:t>
            </w:r>
            <w:r>
              <w:t>:</w:t>
            </w:r>
          </w:p>
          <w:p w14:paraId="6EF8355D" w14:textId="77777777" w:rsidR="00A000F6" w:rsidRDefault="00BD6692" w:rsidP="00CD1E67">
            <w:r>
              <w:t xml:space="preserve">The </w:t>
            </w:r>
            <w:r w:rsidR="002D344D">
              <w:t xml:space="preserve">Provider will ensure the </w:t>
            </w:r>
            <w:r>
              <w:t>s</w:t>
            </w:r>
            <w:r w:rsidR="002D344D">
              <w:t xml:space="preserve">pecialist support function </w:t>
            </w:r>
            <w:r>
              <w:t>deliver</w:t>
            </w:r>
            <w:r w:rsidR="002D344D">
              <w:t>s</w:t>
            </w:r>
            <w:r>
              <w:t xml:space="preserve"> nurse-led clinics</w:t>
            </w:r>
            <w:r w:rsidR="005C0119">
              <w:t>, o</w:t>
            </w:r>
            <w:r w:rsidR="00A245D6">
              <w:t xml:space="preserve">ffering medication reviews and working alongside </w:t>
            </w:r>
            <w:r w:rsidR="00FA09B8">
              <w:t>p</w:t>
            </w:r>
            <w:r w:rsidR="00A245D6">
              <w:t xml:space="preserve">rimary </w:t>
            </w:r>
            <w:r w:rsidR="00FA09B8">
              <w:t>c</w:t>
            </w:r>
            <w:r w:rsidR="00A245D6">
              <w:t xml:space="preserve">are to </w:t>
            </w:r>
            <w:r w:rsidR="00A61F44">
              <w:t>support and control seizure trig</w:t>
            </w:r>
            <w:r w:rsidR="00FA09B8">
              <w:t>g</w:t>
            </w:r>
            <w:r w:rsidR="00A61F44">
              <w:t>ers</w:t>
            </w:r>
            <w:r w:rsidR="00FA09B8">
              <w:t>.</w:t>
            </w:r>
            <w:r w:rsidR="00CD6B46">
              <w:t xml:space="preserve">  </w:t>
            </w:r>
          </w:p>
          <w:p w14:paraId="4324273F" w14:textId="77777777" w:rsidR="00216518" w:rsidRDefault="00216518" w:rsidP="00CD1E67">
            <w:pPr>
              <w:rPr>
                <w:color w:val="000000" w:themeColor="text1"/>
              </w:rPr>
            </w:pPr>
          </w:p>
          <w:p w14:paraId="5D027C78" w14:textId="77777777" w:rsidR="00A000F6" w:rsidRDefault="00A000F6" w:rsidP="00CD1E67">
            <w:pPr>
              <w:rPr>
                <w:color w:val="000000" w:themeColor="text1"/>
              </w:rPr>
            </w:pPr>
            <w:r w:rsidRPr="00216518">
              <w:rPr>
                <w:b/>
                <w:color w:val="000000" w:themeColor="text1"/>
              </w:rPr>
              <w:t>3.3.9. Ly</w:t>
            </w:r>
            <w:r w:rsidR="00D81316" w:rsidRPr="00216518">
              <w:rPr>
                <w:b/>
                <w:color w:val="000000" w:themeColor="text1"/>
              </w:rPr>
              <w:t>m</w:t>
            </w:r>
            <w:r w:rsidRPr="00216518">
              <w:rPr>
                <w:b/>
                <w:color w:val="000000" w:themeColor="text1"/>
              </w:rPr>
              <w:t>phoedema</w:t>
            </w:r>
          </w:p>
          <w:p w14:paraId="436DE69A" w14:textId="77777777" w:rsidR="00A000F6" w:rsidRDefault="00A000F6" w:rsidP="00A000F6">
            <w:pPr>
              <w:autoSpaceDE w:val="0"/>
              <w:autoSpaceDN w:val="0"/>
              <w:adjustRightInd w:val="0"/>
              <w:spacing w:after="36"/>
              <w:jc w:val="both"/>
            </w:pPr>
            <w:r w:rsidRPr="00B040AC">
              <w:rPr>
                <w:u w:val="single"/>
              </w:rPr>
              <w:t>Clinical Assessment/Review</w:t>
            </w:r>
            <w:r>
              <w:t>:</w:t>
            </w:r>
          </w:p>
          <w:p w14:paraId="6A348812" w14:textId="77777777" w:rsidR="00A000F6" w:rsidRPr="005A0023" w:rsidRDefault="00A000F6" w:rsidP="00A000F6">
            <w:pPr>
              <w:pStyle w:val="NoSpacing"/>
              <w:jc w:val="both"/>
              <w:rPr>
                <w:color w:val="FF0000"/>
              </w:rPr>
            </w:pPr>
            <w:r>
              <w:t xml:space="preserve">The service will provide high quality care and specialist advice that is subject to well-defined and comprehensive protocols and pathways relating to ongoing assessment, planning, education, advice, treatment and monitoring of lymphoedema. The </w:t>
            </w:r>
            <w:r w:rsidR="00BA65B6">
              <w:t>P</w:t>
            </w:r>
            <w:r>
              <w:t xml:space="preserve">rovider will offer </w:t>
            </w:r>
            <w:r w:rsidRPr="00C64A31">
              <w:t>treatment options, not limited to,</w:t>
            </w:r>
            <w:r>
              <w:t xml:space="preserve"> </w:t>
            </w:r>
            <w:r w:rsidRPr="00C64A31">
              <w:t xml:space="preserve">Kinesio taping, Decongestive Lymphatic Therapy in form of Manual Lymphatic Drainage, Multi-Layer Lymphedema Bandaging, Intermittent Pneumatic Therapy, Deep Oscillation Therapy and Lower Light Laser Therapy are assessed and tailored for individual patients. </w:t>
            </w:r>
            <w:r>
              <w:t>Through their specialist support to the core team the provider will</w:t>
            </w:r>
            <w:r w:rsidRPr="00601C01">
              <w:t xml:space="preserve"> reduce the complications of lymphoedema and chronic oedema such as cellulitis, secondary skin changes, disability and lymphorrhoea (leaking legs). </w:t>
            </w:r>
            <w:r>
              <w:t xml:space="preserve">The </w:t>
            </w:r>
            <w:r w:rsidR="00BA65B6">
              <w:t>P</w:t>
            </w:r>
            <w:r>
              <w:t xml:space="preserve">rovider will </w:t>
            </w:r>
            <w:r w:rsidR="00D81316">
              <w:t>determine the correct garments and ensure</w:t>
            </w:r>
            <w:r w:rsidR="005B2C08">
              <w:t xml:space="preserve"> </w:t>
            </w:r>
            <w:r w:rsidR="00D81316">
              <w:t xml:space="preserve">these are correctly fitted </w:t>
            </w:r>
            <w:r w:rsidR="00D1311D">
              <w:t>to support ongoing treatment.</w:t>
            </w:r>
            <w:r w:rsidR="00D81316">
              <w:t xml:space="preserve"> </w:t>
            </w:r>
          </w:p>
          <w:p w14:paraId="7C550A7B" w14:textId="77777777" w:rsidR="00BD6692" w:rsidRDefault="00BD6692" w:rsidP="00550748">
            <w:pPr>
              <w:pStyle w:val="ListParagraph"/>
            </w:pPr>
          </w:p>
          <w:p w14:paraId="657FF8C2" w14:textId="77777777" w:rsidR="00550748" w:rsidRPr="0047298A" w:rsidRDefault="007E7D59" w:rsidP="0076339F">
            <w:pPr>
              <w:pStyle w:val="ListParagraph"/>
              <w:ind w:left="34"/>
              <w:rPr>
                <w:b/>
              </w:rPr>
            </w:pPr>
            <w:r>
              <w:rPr>
                <w:b/>
              </w:rPr>
              <w:t>3.3.</w:t>
            </w:r>
            <w:r w:rsidR="00A000F6">
              <w:rPr>
                <w:b/>
              </w:rPr>
              <w:t>10</w:t>
            </w:r>
            <w:r w:rsidR="00550748" w:rsidRPr="0047298A">
              <w:rPr>
                <w:b/>
              </w:rPr>
              <w:t xml:space="preserve">.  Cardiology </w:t>
            </w:r>
          </w:p>
          <w:p w14:paraId="79770FDA" w14:textId="77777777" w:rsidR="00560A72" w:rsidRDefault="0047298A" w:rsidP="0047298A">
            <w:r w:rsidRPr="00007664">
              <w:rPr>
                <w:u w:val="single"/>
              </w:rPr>
              <w:t>Clinical Assessment/Review</w:t>
            </w:r>
            <w:r>
              <w:t>:</w:t>
            </w:r>
          </w:p>
          <w:p w14:paraId="67A8152E" w14:textId="77777777" w:rsidR="00B46E24" w:rsidRDefault="00FE15E4" w:rsidP="00B46E24">
            <w:r w:rsidRPr="00FE15E4">
              <w:t xml:space="preserve">The </w:t>
            </w:r>
            <w:r w:rsidR="0001642C">
              <w:t xml:space="preserve">Provider will ensure the </w:t>
            </w:r>
            <w:r w:rsidRPr="00FE15E4">
              <w:t>specialist support function comprises, but is not limited to, the following  elements:</w:t>
            </w:r>
            <w:r w:rsidR="00B46E24">
              <w:t xml:space="preserve"> </w:t>
            </w:r>
          </w:p>
          <w:p w14:paraId="364170A2" w14:textId="77777777" w:rsidR="00550748" w:rsidRDefault="00C32A7F" w:rsidP="00B46E24">
            <w:pPr>
              <w:pStyle w:val="ListParagraph"/>
              <w:numPr>
                <w:ilvl w:val="0"/>
                <w:numId w:val="22"/>
              </w:numPr>
            </w:pPr>
            <w:r>
              <w:t>Cardiology</w:t>
            </w:r>
          </w:p>
          <w:p w14:paraId="078AD869" w14:textId="77777777" w:rsidR="00550748" w:rsidRDefault="00550748" w:rsidP="00000B95">
            <w:pPr>
              <w:pStyle w:val="ListParagraph"/>
              <w:numPr>
                <w:ilvl w:val="0"/>
                <w:numId w:val="21"/>
              </w:numPr>
            </w:pPr>
            <w:r>
              <w:t>Cardiac Rehabilitation</w:t>
            </w:r>
          </w:p>
          <w:p w14:paraId="749CFAA6" w14:textId="77777777" w:rsidR="00550748" w:rsidRDefault="00550748" w:rsidP="00000B95">
            <w:pPr>
              <w:pStyle w:val="ListParagraph"/>
              <w:numPr>
                <w:ilvl w:val="0"/>
                <w:numId w:val="21"/>
              </w:numPr>
            </w:pPr>
            <w:r>
              <w:t>Heart Failure (LVSD)</w:t>
            </w:r>
          </w:p>
          <w:p w14:paraId="4548AF96" w14:textId="77777777" w:rsidR="00550748" w:rsidRDefault="00550748" w:rsidP="00000B95">
            <w:pPr>
              <w:pStyle w:val="ListParagraph"/>
              <w:numPr>
                <w:ilvl w:val="0"/>
                <w:numId w:val="21"/>
              </w:numPr>
            </w:pPr>
            <w:r>
              <w:t>Diagnostics</w:t>
            </w:r>
          </w:p>
          <w:p w14:paraId="1084DBF2" w14:textId="77777777" w:rsidR="00C32A7F" w:rsidRDefault="00550748" w:rsidP="00000B95">
            <w:pPr>
              <w:pStyle w:val="ListParagraph"/>
              <w:numPr>
                <w:ilvl w:val="0"/>
                <w:numId w:val="21"/>
              </w:numPr>
            </w:pPr>
            <w:r>
              <w:t xml:space="preserve">Arrhythmia </w:t>
            </w:r>
          </w:p>
          <w:p w14:paraId="53F68D35" w14:textId="77777777" w:rsidR="00C32A7F" w:rsidRDefault="00550748" w:rsidP="00000B95">
            <w:pPr>
              <w:pStyle w:val="ListParagraph"/>
              <w:numPr>
                <w:ilvl w:val="0"/>
                <w:numId w:val="21"/>
              </w:numPr>
            </w:pPr>
            <w:r>
              <w:t xml:space="preserve">Syncope </w:t>
            </w:r>
          </w:p>
          <w:p w14:paraId="3494103B" w14:textId="77777777" w:rsidR="00C32A7F" w:rsidRDefault="00550748" w:rsidP="00000B95">
            <w:pPr>
              <w:pStyle w:val="ListParagraph"/>
              <w:numPr>
                <w:ilvl w:val="0"/>
                <w:numId w:val="21"/>
              </w:numPr>
            </w:pPr>
            <w:r>
              <w:t xml:space="preserve">Palpitations </w:t>
            </w:r>
          </w:p>
          <w:p w14:paraId="2F3F8971" w14:textId="77777777" w:rsidR="00F86BD4" w:rsidRDefault="00F86BD4" w:rsidP="00000B95">
            <w:pPr>
              <w:pStyle w:val="ListParagraph"/>
              <w:numPr>
                <w:ilvl w:val="0"/>
                <w:numId w:val="21"/>
              </w:numPr>
            </w:pPr>
            <w:r>
              <w:t xml:space="preserve">Anticoagulation </w:t>
            </w:r>
          </w:p>
          <w:p w14:paraId="33887E02" w14:textId="77777777" w:rsidR="00550748" w:rsidRDefault="00550748" w:rsidP="00750C5B">
            <w:pPr>
              <w:pStyle w:val="ListParagraph"/>
              <w:ind w:left="1593"/>
            </w:pPr>
          </w:p>
          <w:p w14:paraId="1656D0EB" w14:textId="77777777" w:rsidR="00920B09" w:rsidRDefault="00A90C8E" w:rsidP="00E30868">
            <w:r>
              <w:t xml:space="preserve">The specialist </w:t>
            </w:r>
            <w:r w:rsidR="00E30868">
              <w:t xml:space="preserve">support function </w:t>
            </w:r>
            <w:r>
              <w:t xml:space="preserve">will deliver specialist support to the </w:t>
            </w:r>
            <w:r w:rsidR="00765E10">
              <w:t>C</w:t>
            </w:r>
            <w:r>
              <w:t>LT</w:t>
            </w:r>
            <w:r w:rsidR="00765E10">
              <w:t>s</w:t>
            </w:r>
            <w:r>
              <w:t xml:space="preserve"> in the management and treatment of heart failure patients</w:t>
            </w:r>
            <w:r w:rsidR="00BF3A88">
              <w:t xml:space="preserve">. </w:t>
            </w:r>
            <w:r w:rsidR="00765E10">
              <w:t>The Provider will ensure staff work closely with s</w:t>
            </w:r>
            <w:r w:rsidR="00BF3A88">
              <w:t xml:space="preserve">econdary care </w:t>
            </w:r>
            <w:r w:rsidR="00765E10">
              <w:t xml:space="preserve">professionals to develop collaborative working practices </w:t>
            </w:r>
            <w:r w:rsidR="00920B09">
              <w:t xml:space="preserve">and pathways </w:t>
            </w:r>
            <w:r w:rsidR="009F6ADA">
              <w:t>between secondary care</w:t>
            </w:r>
            <w:r w:rsidR="00E571CE">
              <w:t xml:space="preserve">, primary and </w:t>
            </w:r>
            <w:r w:rsidR="00206800">
              <w:t>community care.</w:t>
            </w:r>
          </w:p>
          <w:p w14:paraId="1B999812" w14:textId="77777777" w:rsidR="00920B09" w:rsidRDefault="00920B09" w:rsidP="00E30868"/>
          <w:p w14:paraId="6E6BB610" w14:textId="77777777" w:rsidR="00550748" w:rsidRDefault="00CA2EC0" w:rsidP="00EF6D48">
            <w:r>
              <w:t xml:space="preserve">The Provider </w:t>
            </w:r>
            <w:r w:rsidR="006A048E">
              <w:t>will ensure close working with p</w:t>
            </w:r>
            <w:r w:rsidR="00BF3A88">
              <w:t xml:space="preserve">rimary and secondary care in the diagnostic and management of </w:t>
            </w:r>
            <w:r w:rsidR="00BF3A88">
              <w:lastRenderedPageBreak/>
              <w:t>arrhythmias and unexplained syncope</w:t>
            </w:r>
            <w:r w:rsidR="0070742C">
              <w:t xml:space="preserve"> and palpitations</w:t>
            </w:r>
            <w:r w:rsidR="00BF3A88">
              <w:t xml:space="preserve">. </w:t>
            </w:r>
            <w:r w:rsidR="003E6EAB">
              <w:t xml:space="preserve">The Provider will ensure </w:t>
            </w:r>
            <w:r w:rsidR="009851E2">
              <w:t xml:space="preserve">relevant </w:t>
            </w:r>
            <w:r w:rsidR="00C02B24">
              <w:t xml:space="preserve">information i.e. </w:t>
            </w:r>
            <w:r w:rsidR="003E6EAB">
              <w:t>r</w:t>
            </w:r>
            <w:r w:rsidR="00393118" w:rsidRPr="00095981">
              <w:t xml:space="preserve">eferral pathway algorithms </w:t>
            </w:r>
            <w:r w:rsidR="003E6EAB">
              <w:t xml:space="preserve">are </w:t>
            </w:r>
            <w:r w:rsidR="00393118" w:rsidRPr="00095981">
              <w:t xml:space="preserve">made available to GPs along with </w:t>
            </w:r>
            <w:r w:rsidR="003E6EAB">
              <w:t>e</w:t>
            </w:r>
            <w:r w:rsidR="00393118" w:rsidRPr="00095981">
              <w:t>ducational support</w:t>
            </w:r>
            <w:r w:rsidR="00C02B24">
              <w:t>.</w:t>
            </w:r>
            <w:r w:rsidR="003E6EAB">
              <w:t xml:space="preserve">  The </w:t>
            </w:r>
            <w:r w:rsidR="00BA232A">
              <w:t xml:space="preserve">Provider will also ensure that the specialist support function </w:t>
            </w:r>
            <w:r w:rsidR="003E6EAB">
              <w:t>ensure</w:t>
            </w:r>
            <w:r w:rsidR="00BA232A">
              <w:t xml:space="preserve">s </w:t>
            </w:r>
            <w:r w:rsidR="003E6EAB">
              <w:t xml:space="preserve">that </w:t>
            </w:r>
            <w:r w:rsidR="004D495B">
              <w:t xml:space="preserve">staff are </w:t>
            </w:r>
            <w:r w:rsidR="00C52D2E">
              <w:t xml:space="preserve">appropriately trained in </w:t>
            </w:r>
            <w:r w:rsidR="009663B9">
              <w:t xml:space="preserve">ECG </w:t>
            </w:r>
            <w:r w:rsidR="00C52D2E">
              <w:t xml:space="preserve">analysis </w:t>
            </w:r>
            <w:r w:rsidR="00EF6D48">
              <w:t xml:space="preserve">to ensure </w:t>
            </w:r>
            <w:r w:rsidR="009663B9">
              <w:t xml:space="preserve">accurate </w:t>
            </w:r>
            <w:r w:rsidR="006C2FF1">
              <w:t>d</w:t>
            </w:r>
            <w:r w:rsidR="00550748">
              <w:t>iagnos</w:t>
            </w:r>
            <w:r w:rsidR="00EF6D48">
              <w:t xml:space="preserve">is of </w:t>
            </w:r>
            <w:r w:rsidR="00550748">
              <w:t>arrhythmia</w:t>
            </w:r>
            <w:r w:rsidR="00EF6D48">
              <w:t xml:space="preserve"> and atrial fibrillation</w:t>
            </w:r>
            <w:r w:rsidR="009663B9">
              <w:t xml:space="preserve"> conditions</w:t>
            </w:r>
            <w:r w:rsidR="00EF6D48">
              <w:t>.</w:t>
            </w:r>
          </w:p>
          <w:p w14:paraId="3534879D" w14:textId="77777777" w:rsidR="00550748" w:rsidRDefault="00550748" w:rsidP="00550748">
            <w:pPr>
              <w:pStyle w:val="ListParagraph"/>
            </w:pPr>
          </w:p>
          <w:p w14:paraId="3B4358FE" w14:textId="77777777" w:rsidR="00550748" w:rsidRPr="00B93980" w:rsidRDefault="00550748" w:rsidP="0076339F">
            <w:pPr>
              <w:pStyle w:val="ListParagraph"/>
              <w:ind w:left="34"/>
              <w:rPr>
                <w:b/>
              </w:rPr>
            </w:pPr>
            <w:r w:rsidRPr="00B93980">
              <w:rPr>
                <w:b/>
              </w:rPr>
              <w:t>3.3.1</w:t>
            </w:r>
            <w:r w:rsidR="00A000F6">
              <w:rPr>
                <w:b/>
              </w:rPr>
              <w:t>1</w:t>
            </w:r>
            <w:r w:rsidRPr="00B93980">
              <w:rPr>
                <w:b/>
              </w:rPr>
              <w:t>.  Podiatry</w:t>
            </w:r>
          </w:p>
          <w:p w14:paraId="21B9E2A4" w14:textId="77777777" w:rsidR="00CD3248" w:rsidRPr="00A87EC3" w:rsidRDefault="00CD3248" w:rsidP="00B93980">
            <w:pPr>
              <w:rPr>
                <w:u w:val="single"/>
              </w:rPr>
            </w:pPr>
            <w:r w:rsidRPr="00A87EC3">
              <w:rPr>
                <w:u w:val="single"/>
              </w:rPr>
              <w:t>Clinical</w:t>
            </w:r>
            <w:r w:rsidR="00B93980" w:rsidRPr="00A87EC3">
              <w:rPr>
                <w:u w:val="single"/>
              </w:rPr>
              <w:t xml:space="preserve"> Assessment/Review</w:t>
            </w:r>
            <w:r w:rsidRPr="00A87EC3">
              <w:rPr>
                <w:u w:val="single"/>
              </w:rPr>
              <w:t>:</w:t>
            </w:r>
          </w:p>
          <w:p w14:paraId="7338634D" w14:textId="77777777" w:rsidR="00626797" w:rsidRDefault="00F57C66" w:rsidP="007D57F7">
            <w:r>
              <w:t xml:space="preserve">The Provider </w:t>
            </w:r>
            <w:r w:rsidR="008C24B8">
              <w:t xml:space="preserve">will provide specialist support functions for the </w:t>
            </w:r>
            <w:r w:rsidR="00550748">
              <w:t>treatment of ulceration and complex foot problems</w:t>
            </w:r>
            <w:r w:rsidR="008C24B8">
              <w:t>.</w:t>
            </w:r>
            <w:r w:rsidR="008B4DC9">
              <w:t xml:space="preserve">  </w:t>
            </w:r>
            <w:r w:rsidR="00DE3E8F">
              <w:t xml:space="preserve">The Provider will ensure that </w:t>
            </w:r>
            <w:r w:rsidR="00FC1261">
              <w:t xml:space="preserve">patients with complex foot problems have </w:t>
            </w:r>
            <w:r w:rsidR="009543BE">
              <w:t>c</w:t>
            </w:r>
            <w:r w:rsidR="00E36D6A">
              <w:t>linical interventions delivered by advanced specialist podia</w:t>
            </w:r>
            <w:r w:rsidR="00626797">
              <w:t>trist e.g. diabetic podiatrists, and will prioritise the treatment and regular follow-up of problems associated with the diabetic foot as well as rheumatology and vascular conditions that pose a high risk to foot health.</w:t>
            </w:r>
          </w:p>
          <w:p w14:paraId="554663E1" w14:textId="77777777" w:rsidR="00550748" w:rsidRDefault="00550748" w:rsidP="00550748">
            <w:pPr>
              <w:pStyle w:val="ListParagraph"/>
            </w:pPr>
          </w:p>
          <w:p w14:paraId="08727F97" w14:textId="77777777" w:rsidR="00550748" w:rsidRPr="00E2368E" w:rsidRDefault="007E7D59" w:rsidP="0076339F">
            <w:pPr>
              <w:pStyle w:val="ListParagraph"/>
              <w:ind w:left="34"/>
              <w:rPr>
                <w:b/>
              </w:rPr>
            </w:pPr>
            <w:r>
              <w:rPr>
                <w:b/>
              </w:rPr>
              <w:t>3.3.1</w:t>
            </w:r>
            <w:r w:rsidR="00A000F6">
              <w:rPr>
                <w:b/>
              </w:rPr>
              <w:t>2</w:t>
            </w:r>
            <w:r w:rsidR="00550748" w:rsidRPr="00E2368E">
              <w:rPr>
                <w:b/>
              </w:rPr>
              <w:t>.  Speech and Language Therapy</w:t>
            </w:r>
          </w:p>
          <w:p w14:paraId="2B9576F5" w14:textId="77777777" w:rsidR="00550748" w:rsidRDefault="000A72E2" w:rsidP="00E2368E">
            <w:r w:rsidRPr="00B040AC">
              <w:rPr>
                <w:u w:val="single"/>
              </w:rPr>
              <w:t>Clinical Assessment/Review</w:t>
            </w:r>
            <w:r>
              <w:t>:</w:t>
            </w:r>
          </w:p>
          <w:p w14:paraId="20016A33" w14:textId="77777777" w:rsidR="00224231" w:rsidRDefault="000A72E2" w:rsidP="003755BF">
            <w:r>
              <w:t xml:space="preserve">The Provider will ensure that specialist support functions </w:t>
            </w:r>
            <w:r w:rsidR="00102A1E">
              <w:t xml:space="preserve">for speech and language therapy enable patients </w:t>
            </w:r>
            <w:r w:rsidR="00550748">
              <w:t xml:space="preserve">to maximise their communication / swallowing ability, </w:t>
            </w:r>
            <w:r w:rsidR="00102A1E">
              <w:t xml:space="preserve">particularly in relation to </w:t>
            </w:r>
            <w:r w:rsidR="00790AEF">
              <w:t xml:space="preserve">(but not exclusive) of </w:t>
            </w:r>
            <w:r w:rsidR="00102A1E">
              <w:t xml:space="preserve">the following </w:t>
            </w:r>
            <w:r w:rsidR="00550748">
              <w:t xml:space="preserve">conditions: aphasia, dyspraxia, dysarthria, dysphonia, dysfluency and dysphagia. </w:t>
            </w:r>
            <w:r w:rsidR="00E339F0">
              <w:t xml:space="preserve"> </w:t>
            </w:r>
            <w:r w:rsidR="00E756EB">
              <w:t xml:space="preserve">Examples of </w:t>
            </w:r>
            <w:r w:rsidR="00131DC0">
              <w:t>support provided b</w:t>
            </w:r>
            <w:r w:rsidR="004C32F0">
              <w:t>y the specialist</w:t>
            </w:r>
            <w:r w:rsidR="00131DC0">
              <w:t xml:space="preserve"> nurses and therapists in</w:t>
            </w:r>
            <w:r w:rsidR="003755BF">
              <w:t>clude, (but are not limited to):</w:t>
            </w:r>
          </w:p>
          <w:p w14:paraId="7153EE28" w14:textId="77777777" w:rsidR="00550748" w:rsidRDefault="00F84474" w:rsidP="00580942">
            <w:pPr>
              <w:pStyle w:val="ListParagraph"/>
              <w:numPr>
                <w:ilvl w:val="0"/>
                <w:numId w:val="23"/>
              </w:numPr>
              <w:ind w:left="743" w:hanging="383"/>
            </w:pPr>
            <w:r>
              <w:t>D</w:t>
            </w:r>
            <w:r w:rsidR="00550748">
              <w:t xml:space="preserve">ifferential diagnosis, rehabilitation and management of communication disorders as a result of brain injury and </w:t>
            </w:r>
            <w:r w:rsidR="003755BF">
              <w:t>p</w:t>
            </w:r>
            <w:r w:rsidR="00550748">
              <w:t>rogressive neurological conditions</w:t>
            </w:r>
            <w:r>
              <w:t xml:space="preserve">. </w:t>
            </w:r>
            <w:r w:rsidR="00550748">
              <w:t xml:space="preserve"> </w:t>
            </w:r>
          </w:p>
          <w:p w14:paraId="3BE4673F" w14:textId="77777777" w:rsidR="00550748" w:rsidRDefault="00550748" w:rsidP="00580942">
            <w:pPr>
              <w:pStyle w:val="ListParagraph"/>
              <w:numPr>
                <w:ilvl w:val="0"/>
                <w:numId w:val="23"/>
              </w:numPr>
              <w:ind w:left="743" w:hanging="383"/>
            </w:pPr>
            <w:r>
              <w:t>Assessment, rehabilitation and management of swallowing disorders, including for those with advanced dementia or other neurological impairment</w:t>
            </w:r>
            <w:r w:rsidR="00FC7CB8">
              <w:t>.</w:t>
            </w:r>
          </w:p>
          <w:p w14:paraId="4459B953" w14:textId="77777777" w:rsidR="00550748" w:rsidRDefault="00550748" w:rsidP="00580942">
            <w:pPr>
              <w:pStyle w:val="ListParagraph"/>
              <w:numPr>
                <w:ilvl w:val="1"/>
                <w:numId w:val="3"/>
              </w:numPr>
              <w:ind w:left="743" w:hanging="383"/>
            </w:pPr>
            <w:r>
              <w:t xml:space="preserve">Voice therapy for </w:t>
            </w:r>
            <w:r w:rsidR="00053BC1">
              <w:t xml:space="preserve">neurological </w:t>
            </w:r>
            <w:r>
              <w:t>disease</w:t>
            </w:r>
            <w:r w:rsidR="00053BC1">
              <w:t>s</w:t>
            </w:r>
            <w:r>
              <w:t>.</w:t>
            </w:r>
          </w:p>
          <w:p w14:paraId="41276C09" w14:textId="77777777" w:rsidR="00550748" w:rsidRDefault="00550748" w:rsidP="00580942">
            <w:pPr>
              <w:pStyle w:val="ListParagraph"/>
              <w:numPr>
                <w:ilvl w:val="1"/>
                <w:numId w:val="3"/>
              </w:numPr>
              <w:ind w:left="743" w:hanging="383"/>
            </w:pPr>
            <w:r>
              <w:t>Assessment for, and provision of, patient-tailored low tech communication aids.</w:t>
            </w:r>
          </w:p>
          <w:p w14:paraId="206868AB" w14:textId="77777777" w:rsidR="00550748" w:rsidRDefault="00550748" w:rsidP="00580942">
            <w:pPr>
              <w:pStyle w:val="ListParagraph"/>
              <w:ind w:left="743" w:hanging="383"/>
            </w:pPr>
            <w:r>
              <w:t xml:space="preserve">• </w:t>
            </w:r>
            <w:r w:rsidR="0045744A">
              <w:t xml:space="preserve">     D</w:t>
            </w:r>
            <w:r w:rsidR="00EE1D49">
              <w:t xml:space="preserve">ifferential </w:t>
            </w:r>
            <w:r>
              <w:t>diagnosis of swallowing difficulties in relation to adults presenting with a dual medical diagnosis of both an acquired neurological condition and dementia.</w:t>
            </w:r>
          </w:p>
          <w:p w14:paraId="608421F7" w14:textId="77777777" w:rsidR="00550748" w:rsidRDefault="00550748" w:rsidP="00580942">
            <w:pPr>
              <w:pStyle w:val="ListParagraph"/>
              <w:ind w:left="743" w:hanging="383"/>
            </w:pPr>
            <w:r>
              <w:t xml:space="preserve">• </w:t>
            </w:r>
            <w:r w:rsidR="00EE1D49">
              <w:t xml:space="preserve">     </w:t>
            </w:r>
            <w:r>
              <w:t>Differential diagnosis of swallowing difficulties in adults presenting with either an undiagnosed neurological condition or other medical conditions e.g. oesophageal presentation</w:t>
            </w:r>
          </w:p>
          <w:p w14:paraId="4817E343" w14:textId="77777777" w:rsidR="00550748" w:rsidRDefault="00550748" w:rsidP="00580942">
            <w:pPr>
              <w:pStyle w:val="ListParagraph"/>
              <w:ind w:left="743" w:hanging="383"/>
            </w:pPr>
            <w:r>
              <w:t xml:space="preserve">• </w:t>
            </w:r>
            <w:r w:rsidR="00482A62">
              <w:t xml:space="preserve">     </w:t>
            </w:r>
            <w:r>
              <w:t>Onward referral as appropriate to specialist centres for assessment of high tech communication aids.</w:t>
            </w:r>
          </w:p>
          <w:p w14:paraId="577655B5" w14:textId="77777777" w:rsidR="00550748" w:rsidRDefault="00580942" w:rsidP="00580942">
            <w:pPr>
              <w:pStyle w:val="ListParagraph"/>
              <w:numPr>
                <w:ilvl w:val="1"/>
                <w:numId w:val="3"/>
              </w:numPr>
              <w:ind w:left="743" w:hanging="383"/>
            </w:pPr>
            <w:r>
              <w:t>Internal</w:t>
            </w:r>
            <w:r w:rsidR="00550748">
              <w:t xml:space="preserve"> training on a range of specialist topics e.g. to members of the Integrated Locality Team and wider primary care and health care professionals</w:t>
            </w:r>
          </w:p>
          <w:p w14:paraId="71C2EED2" w14:textId="77777777" w:rsidR="00475600" w:rsidRDefault="00475600" w:rsidP="00224231">
            <w:pPr>
              <w:pStyle w:val="ListParagraph"/>
              <w:ind w:left="34"/>
            </w:pPr>
          </w:p>
          <w:p w14:paraId="5E50E7F9" w14:textId="77777777" w:rsidR="00CD3248" w:rsidRDefault="007E7D59" w:rsidP="00224231">
            <w:pPr>
              <w:pStyle w:val="ListParagraph"/>
              <w:ind w:left="34"/>
              <w:rPr>
                <w:b/>
              </w:rPr>
            </w:pPr>
            <w:r w:rsidRPr="00875A21">
              <w:rPr>
                <w:b/>
              </w:rPr>
              <w:t>3.3.1</w:t>
            </w:r>
            <w:r w:rsidR="00A000F6">
              <w:rPr>
                <w:b/>
              </w:rPr>
              <w:t>3</w:t>
            </w:r>
            <w:r w:rsidR="00224231" w:rsidRPr="00875A21">
              <w:rPr>
                <w:b/>
              </w:rPr>
              <w:t>.Learning disab</w:t>
            </w:r>
            <w:r w:rsidR="00D7779B">
              <w:rPr>
                <w:b/>
              </w:rPr>
              <w:t>ilities</w:t>
            </w:r>
          </w:p>
          <w:p w14:paraId="60E014B2" w14:textId="77777777" w:rsidR="00E56EAC" w:rsidRDefault="00A000F6" w:rsidP="00475600">
            <w:pPr>
              <w:autoSpaceDE w:val="0"/>
              <w:autoSpaceDN w:val="0"/>
              <w:adjustRightInd w:val="0"/>
              <w:rPr>
                <w:rFonts w:cs="Arial"/>
                <w:color w:val="000000"/>
              </w:rPr>
            </w:pPr>
            <w:r w:rsidRPr="0073697C">
              <w:rPr>
                <w:rFonts w:cs="Arial"/>
                <w:color w:val="000000"/>
                <w:u w:val="single"/>
              </w:rPr>
              <w:t>Clinical Assessment/Review</w:t>
            </w:r>
            <w:r w:rsidRPr="0073697C">
              <w:rPr>
                <w:rFonts w:cs="Arial"/>
                <w:color w:val="000000"/>
              </w:rPr>
              <w:t>:</w:t>
            </w:r>
          </w:p>
          <w:p w14:paraId="0F86D752" w14:textId="77777777" w:rsidR="00A000F6" w:rsidRPr="00536E3F" w:rsidRDefault="00A000F6" w:rsidP="00475600">
            <w:pPr>
              <w:autoSpaceDE w:val="0"/>
              <w:autoSpaceDN w:val="0"/>
              <w:adjustRightInd w:val="0"/>
              <w:rPr>
                <w:rFonts w:cs="Arial"/>
                <w:color w:val="000000"/>
              </w:rPr>
            </w:pPr>
            <w:r w:rsidRPr="0073697C">
              <w:rPr>
                <w:rFonts w:cs="Arial"/>
                <w:color w:val="000000"/>
              </w:rPr>
              <w:t xml:space="preserve">The </w:t>
            </w:r>
            <w:r>
              <w:rPr>
                <w:rFonts w:cs="Arial"/>
                <w:color w:val="000000"/>
              </w:rPr>
              <w:t xml:space="preserve">specialist </w:t>
            </w:r>
            <w:r w:rsidR="0093110D">
              <w:rPr>
                <w:rFonts w:cs="Arial"/>
                <w:color w:val="000000"/>
              </w:rPr>
              <w:t xml:space="preserve">support </w:t>
            </w:r>
            <w:r>
              <w:rPr>
                <w:rFonts w:cs="Arial"/>
                <w:color w:val="000000"/>
              </w:rPr>
              <w:t xml:space="preserve">staff will </w:t>
            </w:r>
            <w:r w:rsidR="0093110D">
              <w:rPr>
                <w:rFonts w:cs="Arial"/>
                <w:color w:val="000000"/>
              </w:rPr>
              <w:t>s</w:t>
            </w:r>
            <w:r w:rsidRPr="00536E3F">
              <w:rPr>
                <w:rFonts w:cs="Arial"/>
                <w:color w:val="000000"/>
              </w:rPr>
              <w:t>upport people with learning disabilities and their families to experience improved health and social outcomes through supporting patients with health issues they would not be able to manage independently</w:t>
            </w:r>
            <w:r w:rsidR="00E61EC0">
              <w:rPr>
                <w:rFonts w:cs="Arial"/>
                <w:color w:val="000000"/>
              </w:rPr>
              <w:t xml:space="preserve">, including </w:t>
            </w:r>
            <w:r w:rsidR="00E61EC0" w:rsidRPr="00E61EC0">
              <w:rPr>
                <w:rFonts w:cs="Arial"/>
                <w:color w:val="000000"/>
              </w:rPr>
              <w:t>annual health checks, screening services and medication reviews</w:t>
            </w:r>
            <w:r w:rsidR="00E56EAC">
              <w:rPr>
                <w:rFonts w:cs="Arial"/>
                <w:color w:val="000000"/>
              </w:rPr>
              <w:t>.</w:t>
            </w:r>
          </w:p>
          <w:p w14:paraId="42FF126C" w14:textId="77777777" w:rsidR="00A61F44" w:rsidRDefault="00A61F44" w:rsidP="00224231">
            <w:pPr>
              <w:pStyle w:val="ListParagraph"/>
              <w:ind w:left="34"/>
              <w:rPr>
                <w:b/>
                <w:highlight w:val="magenta"/>
              </w:rPr>
            </w:pPr>
          </w:p>
          <w:p w14:paraId="4E728476" w14:textId="77777777" w:rsidR="0093110D" w:rsidRPr="0093110D" w:rsidRDefault="0093110D" w:rsidP="0093110D">
            <w:pPr>
              <w:pStyle w:val="ListParagraph"/>
              <w:ind w:left="34"/>
              <w:rPr>
                <w:b/>
              </w:rPr>
            </w:pPr>
            <w:r w:rsidRPr="0093110D">
              <w:rPr>
                <w:b/>
              </w:rPr>
              <w:t>3.3.14 Specialist Palliative Care:</w:t>
            </w:r>
          </w:p>
          <w:p w14:paraId="1A508ACC" w14:textId="77777777" w:rsidR="00AE54FD" w:rsidRPr="00AE54FD" w:rsidRDefault="00AE54FD" w:rsidP="0093110D">
            <w:pPr>
              <w:pStyle w:val="ListParagraph"/>
              <w:ind w:left="34"/>
              <w:rPr>
                <w:u w:val="single"/>
              </w:rPr>
            </w:pPr>
            <w:r w:rsidRPr="00AE54FD">
              <w:rPr>
                <w:u w:val="single"/>
              </w:rPr>
              <w:t>Clinical Assessment/Review:</w:t>
            </w:r>
          </w:p>
          <w:p w14:paraId="1EE9651D" w14:textId="77777777" w:rsidR="0093110D" w:rsidRPr="00AE54FD" w:rsidRDefault="0093110D" w:rsidP="0093110D">
            <w:pPr>
              <w:pStyle w:val="ListParagraph"/>
              <w:ind w:left="34"/>
            </w:pPr>
            <w:r w:rsidRPr="00AE54FD">
              <w:t xml:space="preserve">The Provider will ensure that specialist palliative care will be delivered across settings (i.e. acute, hospice and community) where there is an identified need.  This will help to facilitate patients preferred place of care and to support the wider workforce in ensuring unnecessary hospital admissions are avoided. The Provider will ensure that those working in specialist palliative care, have the required specialist qualifications, skills and experience to provide clinical leadership and deliver care to people, their carers and those important to them. The Provider will ensure that staff provide clinical support, advice and education to other professionals to deliver core level palliative and end of life care. </w:t>
            </w:r>
          </w:p>
          <w:p w14:paraId="7AD8DB6E" w14:textId="77777777" w:rsidR="0093110D" w:rsidRPr="00AE54FD" w:rsidRDefault="0093110D" w:rsidP="0093110D">
            <w:pPr>
              <w:pStyle w:val="ListParagraph"/>
              <w:ind w:left="34"/>
            </w:pPr>
          </w:p>
          <w:p w14:paraId="6C66F941" w14:textId="77777777" w:rsidR="0093110D" w:rsidRPr="00AE54FD" w:rsidRDefault="0093110D" w:rsidP="0093110D">
            <w:pPr>
              <w:pStyle w:val="ListParagraph"/>
              <w:ind w:left="34"/>
            </w:pPr>
            <w:r w:rsidRPr="00AE54FD">
              <w:t>The main components of specialist level palliative care include, but are not limited to:</w:t>
            </w:r>
          </w:p>
          <w:p w14:paraId="45751AD7" w14:textId="77777777" w:rsidR="0093110D" w:rsidRPr="00AE54FD" w:rsidRDefault="0093110D" w:rsidP="00C11DE2">
            <w:pPr>
              <w:pStyle w:val="ListParagraph"/>
              <w:ind w:left="743" w:hanging="709"/>
            </w:pPr>
            <w:r w:rsidRPr="00AE54FD">
              <w:t>•</w:t>
            </w:r>
            <w:r w:rsidRPr="00AE54FD">
              <w:tab/>
              <w:t>In depth specialist knowledge to undertake assessment and management of physical, psychological and spiritual symptoms to reduce symptoms, suffering and distress;</w:t>
            </w:r>
          </w:p>
          <w:p w14:paraId="3893770F" w14:textId="77777777" w:rsidR="0093110D" w:rsidRPr="00AE54FD" w:rsidRDefault="0093110D" w:rsidP="00C11DE2">
            <w:pPr>
              <w:pStyle w:val="ListParagraph"/>
              <w:ind w:left="743" w:hanging="709"/>
            </w:pPr>
            <w:r w:rsidRPr="00AE54FD">
              <w:lastRenderedPageBreak/>
              <w:t>•</w:t>
            </w:r>
            <w:r w:rsidRPr="00AE54FD">
              <w:tab/>
              <w:t>Supporting analysis of complex clinical decisions-making challenges where medical and personal interests are finely balanced by applying relevant ethical and legal reasoning alongside clinical assessment;</w:t>
            </w:r>
          </w:p>
          <w:p w14:paraId="0C4B42D5" w14:textId="77777777" w:rsidR="003A3FF4" w:rsidRDefault="0093110D" w:rsidP="00C11DE2">
            <w:pPr>
              <w:pStyle w:val="ListParagraph"/>
              <w:ind w:left="743" w:hanging="709"/>
            </w:pPr>
            <w:r w:rsidRPr="00AE54FD">
              <w:t>•</w:t>
            </w:r>
            <w:r w:rsidRPr="00AE54FD">
              <w:tab/>
              <w:t>Providing care and support to those important to the person receiving care, including facilitating bereavement care</w:t>
            </w:r>
            <w:r w:rsidR="003A3FF4">
              <w:t>.</w:t>
            </w:r>
          </w:p>
          <w:p w14:paraId="3E4FAAB0" w14:textId="77777777" w:rsidR="003A3FF4" w:rsidRDefault="003A3FF4" w:rsidP="00C11DE2">
            <w:pPr>
              <w:pStyle w:val="ListParagraph"/>
              <w:ind w:left="743" w:hanging="709"/>
            </w:pPr>
          </w:p>
          <w:p w14:paraId="1153FC74" w14:textId="77777777" w:rsidR="00092129" w:rsidRDefault="003A3FF4" w:rsidP="00C11DE2">
            <w:pPr>
              <w:pStyle w:val="ListParagraph"/>
              <w:ind w:left="743" w:hanging="709"/>
            </w:pPr>
            <w:r>
              <w:t>A</w:t>
            </w:r>
            <w:r w:rsidR="00092129">
              <w:t xml:space="preserve"> specialist level palliative care is usually provided in three main ways:</w:t>
            </w:r>
          </w:p>
          <w:p w14:paraId="5E08B1CD" w14:textId="77777777" w:rsidR="00092129" w:rsidRDefault="00092129" w:rsidP="00092129">
            <w:r>
              <w:t>•</w:t>
            </w:r>
            <w:r>
              <w:tab/>
              <w:t>Specialist level palliative care liaison work to support the person's care by their usual caring team</w:t>
            </w:r>
          </w:p>
          <w:p w14:paraId="0E99E024" w14:textId="77777777" w:rsidR="00092129" w:rsidRDefault="00092129" w:rsidP="00092129">
            <w:r>
              <w:t>•</w:t>
            </w:r>
            <w:r>
              <w:tab/>
              <w:t>Specialist level in-patient palliative care</w:t>
            </w:r>
          </w:p>
          <w:p w14:paraId="40387050" w14:textId="77777777" w:rsidR="00092129" w:rsidRDefault="00092129" w:rsidP="00092129">
            <w:r>
              <w:t>•</w:t>
            </w:r>
            <w:r>
              <w:tab/>
              <w:t>Specialist level out-patient services including group activities and therapeutic programmes</w:t>
            </w:r>
          </w:p>
          <w:p w14:paraId="50397F7C" w14:textId="77777777" w:rsidR="00092129" w:rsidRDefault="00092129" w:rsidP="00092129"/>
          <w:p w14:paraId="48DC8A65" w14:textId="77777777" w:rsidR="00224231" w:rsidRDefault="00092129" w:rsidP="00092129">
            <w:r>
              <w:t>The Provider will ensure that the specialist palliative care function plays a lead role in developing and delivering best practice in palliative and end of life care and contributing to the delivery of education, training and continuing professional development to the wider workforce. The Provider will ensure staff at all levels lead on the development and implementation of new, innovative ways of delivering care for palliative/end of life patients and play an integral part of implementing a local end of life strategy.</w:t>
            </w:r>
          </w:p>
          <w:p w14:paraId="4FB61012" w14:textId="77777777" w:rsidR="006215FC" w:rsidRPr="000E6662" w:rsidRDefault="006215FC" w:rsidP="00092129"/>
        </w:tc>
      </w:tr>
      <w:tr w:rsidR="00EC29B7" w:rsidRPr="00AA3128" w14:paraId="50099583" w14:textId="77777777" w:rsidTr="00730ECC">
        <w:trPr>
          <w:trHeight w:val="284"/>
        </w:trPr>
        <w:tc>
          <w:tcPr>
            <w:tcW w:w="516" w:type="dxa"/>
            <w:shd w:val="clear" w:color="auto" w:fill="A6A6A6" w:themeFill="background1" w:themeFillShade="A6"/>
          </w:tcPr>
          <w:p w14:paraId="2CBF18C2" w14:textId="77777777" w:rsidR="00EC29B7" w:rsidRPr="0019444F" w:rsidRDefault="003A0673" w:rsidP="0019444F">
            <w:pPr>
              <w:pStyle w:val="NoSpacing"/>
              <w:rPr>
                <w:b/>
                <w:sz w:val="20"/>
                <w:szCs w:val="20"/>
              </w:rPr>
            </w:pPr>
            <w:r w:rsidRPr="0019444F">
              <w:rPr>
                <w:b/>
                <w:sz w:val="20"/>
                <w:szCs w:val="20"/>
              </w:rPr>
              <w:lastRenderedPageBreak/>
              <w:t>4</w:t>
            </w:r>
          </w:p>
        </w:tc>
        <w:tc>
          <w:tcPr>
            <w:tcW w:w="9690" w:type="dxa"/>
            <w:shd w:val="clear" w:color="auto" w:fill="A6A6A6" w:themeFill="background1" w:themeFillShade="A6"/>
          </w:tcPr>
          <w:p w14:paraId="3A259D20" w14:textId="77777777" w:rsidR="00EC29B7" w:rsidRPr="0019444F" w:rsidRDefault="0019444F" w:rsidP="0019444F">
            <w:pPr>
              <w:pStyle w:val="NoSpacing"/>
              <w:rPr>
                <w:b/>
              </w:rPr>
            </w:pPr>
            <w:r w:rsidRPr="0019444F">
              <w:rPr>
                <w:b/>
              </w:rPr>
              <w:t>Service s</w:t>
            </w:r>
            <w:r w:rsidR="003A0673" w:rsidRPr="0019444F">
              <w:rPr>
                <w:b/>
              </w:rPr>
              <w:t>tandards</w:t>
            </w:r>
            <w:r w:rsidRPr="0019444F">
              <w:rPr>
                <w:b/>
              </w:rPr>
              <w:t xml:space="preserve"> and best practice</w:t>
            </w:r>
          </w:p>
        </w:tc>
      </w:tr>
      <w:tr w:rsidR="00EC29B7" w:rsidRPr="00AA3128" w14:paraId="0C7B4868" w14:textId="77777777" w:rsidTr="00730ECC">
        <w:trPr>
          <w:trHeight w:val="284"/>
        </w:trPr>
        <w:tc>
          <w:tcPr>
            <w:tcW w:w="516" w:type="dxa"/>
            <w:shd w:val="clear" w:color="auto" w:fill="D9D9D9" w:themeFill="background1" w:themeFillShade="D9"/>
          </w:tcPr>
          <w:p w14:paraId="1AB9A7F8" w14:textId="77777777" w:rsidR="00EC29B7" w:rsidRPr="0019444F" w:rsidRDefault="00F267B4" w:rsidP="00F267B4">
            <w:pPr>
              <w:pStyle w:val="NoSpacing"/>
              <w:rPr>
                <w:sz w:val="20"/>
                <w:szCs w:val="20"/>
              </w:rPr>
            </w:pPr>
            <w:r>
              <w:rPr>
                <w:sz w:val="20"/>
                <w:szCs w:val="20"/>
              </w:rPr>
              <w:t>4.1</w:t>
            </w:r>
          </w:p>
        </w:tc>
        <w:tc>
          <w:tcPr>
            <w:tcW w:w="9690" w:type="dxa"/>
            <w:shd w:val="clear" w:color="auto" w:fill="D9D9D9" w:themeFill="background1" w:themeFillShade="D9"/>
          </w:tcPr>
          <w:p w14:paraId="5F6DA5B7" w14:textId="77777777" w:rsidR="00EC29B7" w:rsidRPr="00AA3128" w:rsidRDefault="00CF5C52" w:rsidP="0083447E">
            <w:pPr>
              <w:pStyle w:val="NoSpacing"/>
            </w:pPr>
            <w:r>
              <w:t xml:space="preserve">Standards, </w:t>
            </w:r>
            <w:r w:rsidR="0083447E">
              <w:t xml:space="preserve">guidelines, </w:t>
            </w:r>
            <w:r w:rsidR="00B76945">
              <w:t>links to professional bodies</w:t>
            </w:r>
            <w:r w:rsidR="0083447E">
              <w:t xml:space="preserve"> and benc</w:t>
            </w:r>
            <w:r w:rsidR="00650976">
              <w:t>h</w:t>
            </w:r>
            <w:r w:rsidR="0083447E">
              <w:t>marking</w:t>
            </w:r>
          </w:p>
        </w:tc>
      </w:tr>
      <w:tr w:rsidR="0019444F" w:rsidRPr="00AA3128" w14:paraId="385ACE82" w14:textId="77777777" w:rsidTr="00D32F1A">
        <w:trPr>
          <w:trHeight w:val="284"/>
        </w:trPr>
        <w:tc>
          <w:tcPr>
            <w:tcW w:w="10206" w:type="dxa"/>
            <w:gridSpan w:val="2"/>
            <w:shd w:val="clear" w:color="auto" w:fill="auto"/>
          </w:tcPr>
          <w:p w14:paraId="709578F9" w14:textId="77777777" w:rsidR="0083447E" w:rsidRDefault="00065E33" w:rsidP="008C5F1B">
            <w:pPr>
              <w:pStyle w:val="NoSpacing"/>
              <w:jc w:val="both"/>
              <w:rPr>
                <w:b/>
                <w:color w:val="00B050"/>
              </w:rPr>
            </w:pPr>
            <w:r w:rsidRPr="00065E33">
              <w:rPr>
                <w:b/>
                <w:color w:val="00B050"/>
              </w:rPr>
              <w:t>Please see Generic Service Specification</w:t>
            </w:r>
          </w:p>
          <w:p w14:paraId="314ED554" w14:textId="77777777" w:rsidR="00994D83" w:rsidRPr="00065E33" w:rsidRDefault="00994D83" w:rsidP="008C5F1B">
            <w:pPr>
              <w:pStyle w:val="NoSpacing"/>
              <w:jc w:val="both"/>
              <w:rPr>
                <w:b/>
              </w:rPr>
            </w:pPr>
          </w:p>
        </w:tc>
      </w:tr>
      <w:tr w:rsidR="003A0673" w:rsidRPr="00AA3128" w14:paraId="382F82AC" w14:textId="77777777" w:rsidTr="00730ECC">
        <w:trPr>
          <w:trHeight w:val="284"/>
        </w:trPr>
        <w:tc>
          <w:tcPr>
            <w:tcW w:w="516" w:type="dxa"/>
            <w:shd w:val="clear" w:color="auto" w:fill="A6A6A6" w:themeFill="background1" w:themeFillShade="A6"/>
            <w:vAlign w:val="center"/>
          </w:tcPr>
          <w:p w14:paraId="0EB126A6" w14:textId="77777777" w:rsidR="003A0673" w:rsidRPr="0019444F" w:rsidRDefault="003A0673" w:rsidP="0019444F">
            <w:pPr>
              <w:pStyle w:val="NoSpacing"/>
              <w:rPr>
                <w:b/>
                <w:sz w:val="20"/>
                <w:szCs w:val="20"/>
              </w:rPr>
            </w:pPr>
            <w:r w:rsidRPr="0019444F">
              <w:rPr>
                <w:b/>
                <w:sz w:val="20"/>
                <w:szCs w:val="20"/>
              </w:rPr>
              <w:t>5</w:t>
            </w:r>
          </w:p>
        </w:tc>
        <w:tc>
          <w:tcPr>
            <w:tcW w:w="9690" w:type="dxa"/>
            <w:shd w:val="clear" w:color="auto" w:fill="A6A6A6" w:themeFill="background1" w:themeFillShade="A6"/>
          </w:tcPr>
          <w:p w14:paraId="3D24647A" w14:textId="77777777" w:rsidR="003A0673" w:rsidRPr="0019444F" w:rsidRDefault="003A0673" w:rsidP="0019444F">
            <w:pPr>
              <w:pStyle w:val="NoSpacing"/>
              <w:rPr>
                <w:b/>
              </w:rPr>
            </w:pPr>
            <w:r w:rsidRPr="0019444F">
              <w:rPr>
                <w:b/>
              </w:rPr>
              <w:t>Scope</w:t>
            </w:r>
            <w:r w:rsidR="00C23B06" w:rsidRPr="0019444F">
              <w:rPr>
                <w:b/>
              </w:rPr>
              <w:t xml:space="preserve"> and </w:t>
            </w:r>
            <w:r w:rsidR="00DC1076" w:rsidRPr="0019444F">
              <w:rPr>
                <w:b/>
              </w:rPr>
              <w:t>accessibility</w:t>
            </w:r>
          </w:p>
        </w:tc>
      </w:tr>
      <w:tr w:rsidR="003A0673" w:rsidRPr="00AA3128" w14:paraId="79FDE442" w14:textId="77777777" w:rsidTr="00730ECC">
        <w:trPr>
          <w:trHeight w:val="284"/>
        </w:trPr>
        <w:tc>
          <w:tcPr>
            <w:tcW w:w="516" w:type="dxa"/>
            <w:shd w:val="clear" w:color="auto" w:fill="D9D9D9" w:themeFill="background1" w:themeFillShade="D9"/>
            <w:vAlign w:val="center"/>
          </w:tcPr>
          <w:p w14:paraId="11B4DEF9" w14:textId="77777777" w:rsidR="003A0673" w:rsidRPr="0019444F" w:rsidRDefault="00AA3128" w:rsidP="0019444F">
            <w:pPr>
              <w:pStyle w:val="NoSpacing"/>
              <w:rPr>
                <w:sz w:val="20"/>
                <w:szCs w:val="20"/>
              </w:rPr>
            </w:pPr>
            <w:r w:rsidRPr="0019444F">
              <w:rPr>
                <w:sz w:val="20"/>
                <w:szCs w:val="20"/>
              </w:rPr>
              <w:t>5.1</w:t>
            </w:r>
          </w:p>
        </w:tc>
        <w:tc>
          <w:tcPr>
            <w:tcW w:w="9690" w:type="dxa"/>
            <w:shd w:val="clear" w:color="auto" w:fill="D9D9D9" w:themeFill="background1" w:themeFillShade="D9"/>
          </w:tcPr>
          <w:p w14:paraId="62DAABCE" w14:textId="77777777" w:rsidR="00AA3128" w:rsidRPr="00AA3128" w:rsidRDefault="003A0673" w:rsidP="0019444F">
            <w:pPr>
              <w:pStyle w:val="NoSpacing"/>
            </w:pPr>
            <w:r w:rsidRPr="00AA3128">
              <w:t>Inclusions and exclusions</w:t>
            </w:r>
            <w:r w:rsidR="0019444F">
              <w:t xml:space="preserve"> (g</w:t>
            </w:r>
            <w:r w:rsidR="00AA3128" w:rsidRPr="00AA3128">
              <w:t>eographical/ GP register restrictions</w:t>
            </w:r>
            <w:r w:rsidR="0019444F">
              <w:t>, a</w:t>
            </w:r>
            <w:r w:rsidR="00AA3128" w:rsidRPr="00AA3128">
              <w:t>ge</w:t>
            </w:r>
            <w:r w:rsidR="0019444F">
              <w:t>, c</w:t>
            </w:r>
            <w:r w:rsidR="00AA3128" w:rsidRPr="00AA3128">
              <w:t>onditions/ thresholds</w:t>
            </w:r>
            <w:r w:rsidR="0019444F">
              <w:t>)</w:t>
            </w:r>
          </w:p>
        </w:tc>
      </w:tr>
      <w:tr w:rsidR="0019444F" w:rsidRPr="00AA3128" w14:paraId="1252FBCA" w14:textId="77777777" w:rsidTr="00D32F1A">
        <w:trPr>
          <w:trHeight w:val="284"/>
        </w:trPr>
        <w:tc>
          <w:tcPr>
            <w:tcW w:w="10206" w:type="dxa"/>
            <w:gridSpan w:val="2"/>
            <w:shd w:val="clear" w:color="auto" w:fill="auto"/>
            <w:vAlign w:val="center"/>
          </w:tcPr>
          <w:p w14:paraId="1C2AC3CC" w14:textId="77777777" w:rsidR="0051447D" w:rsidRPr="00C11DE2" w:rsidRDefault="00E61EC0" w:rsidP="00DC7D0E">
            <w:pPr>
              <w:pStyle w:val="NoSpacing"/>
              <w:jc w:val="both"/>
              <w:rPr>
                <w:b/>
                <w:color w:val="00B050"/>
              </w:rPr>
            </w:pPr>
            <w:r w:rsidRPr="00C11DE2">
              <w:rPr>
                <w:b/>
                <w:color w:val="00B050"/>
              </w:rPr>
              <w:t>Please see Generic Service Specification</w:t>
            </w:r>
          </w:p>
          <w:p w14:paraId="2FA61A7D" w14:textId="77777777" w:rsidR="004E203C" w:rsidRPr="004E203C" w:rsidRDefault="004E203C" w:rsidP="009C41CD">
            <w:pPr>
              <w:pStyle w:val="NoSpacing"/>
              <w:jc w:val="both"/>
            </w:pPr>
          </w:p>
        </w:tc>
      </w:tr>
      <w:tr w:rsidR="00483491" w:rsidRPr="00AA3128" w14:paraId="109A70D5" w14:textId="77777777" w:rsidTr="00730ECC">
        <w:trPr>
          <w:trHeight w:val="284"/>
        </w:trPr>
        <w:tc>
          <w:tcPr>
            <w:tcW w:w="516" w:type="dxa"/>
            <w:shd w:val="clear" w:color="auto" w:fill="A6A6A6" w:themeFill="background1" w:themeFillShade="A6"/>
            <w:vAlign w:val="center"/>
          </w:tcPr>
          <w:p w14:paraId="149227B6" w14:textId="77777777" w:rsidR="00483491" w:rsidRPr="00A01F28" w:rsidRDefault="00AA3128" w:rsidP="00A01F28">
            <w:pPr>
              <w:pStyle w:val="NoSpacing"/>
              <w:rPr>
                <w:b/>
                <w:sz w:val="20"/>
                <w:szCs w:val="20"/>
              </w:rPr>
            </w:pPr>
            <w:r w:rsidRPr="00A01F28">
              <w:rPr>
                <w:b/>
                <w:sz w:val="20"/>
                <w:szCs w:val="20"/>
              </w:rPr>
              <w:t>6</w:t>
            </w:r>
          </w:p>
        </w:tc>
        <w:tc>
          <w:tcPr>
            <w:tcW w:w="9690" w:type="dxa"/>
            <w:shd w:val="clear" w:color="auto" w:fill="A6A6A6" w:themeFill="background1" w:themeFillShade="A6"/>
          </w:tcPr>
          <w:p w14:paraId="460A34DA" w14:textId="77777777" w:rsidR="00483491" w:rsidRPr="00A01F28" w:rsidRDefault="00483491" w:rsidP="00D32F1A">
            <w:pPr>
              <w:pStyle w:val="NoSpacing"/>
              <w:rPr>
                <w:b/>
              </w:rPr>
            </w:pPr>
            <w:r w:rsidRPr="00A01F28">
              <w:rPr>
                <w:b/>
              </w:rPr>
              <w:t>Interdependencies</w:t>
            </w:r>
          </w:p>
        </w:tc>
      </w:tr>
      <w:tr w:rsidR="00483491" w:rsidRPr="00AA3128" w14:paraId="20ABE5DE" w14:textId="77777777" w:rsidTr="00730ECC">
        <w:trPr>
          <w:trHeight w:val="284"/>
        </w:trPr>
        <w:tc>
          <w:tcPr>
            <w:tcW w:w="516" w:type="dxa"/>
            <w:shd w:val="clear" w:color="auto" w:fill="D9D9D9" w:themeFill="background1" w:themeFillShade="D9"/>
            <w:vAlign w:val="center"/>
          </w:tcPr>
          <w:p w14:paraId="0FE7427F" w14:textId="77777777" w:rsidR="00483491" w:rsidRPr="00A01F28" w:rsidRDefault="00AA3128" w:rsidP="00A01F28">
            <w:pPr>
              <w:pStyle w:val="NoSpacing"/>
              <w:rPr>
                <w:sz w:val="20"/>
                <w:szCs w:val="20"/>
              </w:rPr>
            </w:pPr>
            <w:r w:rsidRPr="00A01F28">
              <w:rPr>
                <w:sz w:val="20"/>
                <w:szCs w:val="20"/>
              </w:rPr>
              <w:t>6.1</w:t>
            </w:r>
          </w:p>
        </w:tc>
        <w:tc>
          <w:tcPr>
            <w:tcW w:w="9690" w:type="dxa"/>
            <w:shd w:val="clear" w:color="auto" w:fill="D9D9D9" w:themeFill="background1" w:themeFillShade="D9"/>
          </w:tcPr>
          <w:p w14:paraId="35EEAE92" w14:textId="77777777" w:rsidR="00483491" w:rsidRPr="00AA3128" w:rsidRDefault="0083447E" w:rsidP="00A01F28">
            <w:pPr>
              <w:pStyle w:val="NoSpacing"/>
            </w:pPr>
            <w:r>
              <w:t>Links to the wider system</w:t>
            </w:r>
          </w:p>
        </w:tc>
      </w:tr>
      <w:tr w:rsidR="00A01F28" w:rsidRPr="00AA3128" w14:paraId="7E59AA56" w14:textId="77777777" w:rsidTr="00D32F1A">
        <w:trPr>
          <w:trHeight w:val="284"/>
        </w:trPr>
        <w:tc>
          <w:tcPr>
            <w:tcW w:w="10206" w:type="dxa"/>
            <w:gridSpan w:val="2"/>
            <w:shd w:val="clear" w:color="auto" w:fill="auto"/>
            <w:vAlign w:val="center"/>
          </w:tcPr>
          <w:p w14:paraId="7D9E2C6B" w14:textId="77777777" w:rsidR="00A01F28" w:rsidRDefault="00C020DB" w:rsidP="00C47B31">
            <w:pPr>
              <w:pStyle w:val="NoSpacing"/>
              <w:jc w:val="both"/>
              <w:rPr>
                <w:b/>
                <w:color w:val="00B050"/>
              </w:rPr>
            </w:pPr>
            <w:r w:rsidRPr="00C020DB">
              <w:rPr>
                <w:b/>
                <w:color w:val="00B050"/>
              </w:rPr>
              <w:t>Please see Generic Service Specification</w:t>
            </w:r>
          </w:p>
          <w:p w14:paraId="381AFC9B" w14:textId="77777777" w:rsidR="00994D83" w:rsidRPr="00C020DB" w:rsidRDefault="00994D83" w:rsidP="00C47B31">
            <w:pPr>
              <w:pStyle w:val="NoSpacing"/>
              <w:jc w:val="both"/>
              <w:rPr>
                <w:b/>
              </w:rPr>
            </w:pPr>
          </w:p>
        </w:tc>
      </w:tr>
      <w:tr w:rsidR="00AA3128" w:rsidRPr="00AA3128" w14:paraId="5AED67A9" w14:textId="77777777" w:rsidTr="00730ECC">
        <w:trPr>
          <w:trHeight w:val="284"/>
        </w:trPr>
        <w:tc>
          <w:tcPr>
            <w:tcW w:w="516" w:type="dxa"/>
            <w:shd w:val="clear" w:color="auto" w:fill="D9D9D9" w:themeFill="background1" w:themeFillShade="D9"/>
            <w:vAlign w:val="center"/>
          </w:tcPr>
          <w:p w14:paraId="50E891E3" w14:textId="77777777" w:rsidR="00AA3128" w:rsidRPr="00A01F28" w:rsidRDefault="00AA3128" w:rsidP="00A01F28">
            <w:pPr>
              <w:pStyle w:val="NoSpacing"/>
              <w:rPr>
                <w:sz w:val="20"/>
                <w:szCs w:val="20"/>
              </w:rPr>
            </w:pPr>
            <w:r w:rsidRPr="00A01F28">
              <w:rPr>
                <w:sz w:val="20"/>
                <w:szCs w:val="20"/>
              </w:rPr>
              <w:t>6.2</w:t>
            </w:r>
          </w:p>
        </w:tc>
        <w:tc>
          <w:tcPr>
            <w:tcW w:w="9690" w:type="dxa"/>
            <w:shd w:val="clear" w:color="auto" w:fill="D9D9D9" w:themeFill="background1" w:themeFillShade="D9"/>
          </w:tcPr>
          <w:p w14:paraId="053199FE" w14:textId="77777777" w:rsidR="00AA3128" w:rsidRPr="00AA3128" w:rsidRDefault="00A01F28" w:rsidP="00A01F28">
            <w:pPr>
              <w:pStyle w:val="NoSpacing"/>
            </w:pPr>
            <w:r>
              <w:t>Shared c</w:t>
            </w:r>
            <w:r w:rsidR="00AA3128" w:rsidRPr="00AA3128">
              <w:t>are protocols</w:t>
            </w:r>
          </w:p>
        </w:tc>
      </w:tr>
      <w:tr w:rsidR="00A01F28" w:rsidRPr="00AA3128" w14:paraId="40B84FB3" w14:textId="77777777" w:rsidTr="00A01F28">
        <w:trPr>
          <w:trHeight w:val="284"/>
        </w:trPr>
        <w:tc>
          <w:tcPr>
            <w:tcW w:w="10206" w:type="dxa"/>
            <w:gridSpan w:val="2"/>
            <w:shd w:val="clear" w:color="auto" w:fill="FFFFFF" w:themeFill="background1"/>
            <w:vAlign w:val="center"/>
          </w:tcPr>
          <w:p w14:paraId="60AE95AF" w14:textId="77777777" w:rsidR="00BA3CF1" w:rsidRDefault="0039237C" w:rsidP="00BA3CF1">
            <w:pPr>
              <w:pStyle w:val="NoSpacing"/>
              <w:rPr>
                <w:b/>
                <w:color w:val="00B050"/>
              </w:rPr>
            </w:pPr>
            <w:r w:rsidRPr="0039237C">
              <w:rPr>
                <w:b/>
                <w:color w:val="00B050"/>
              </w:rPr>
              <w:t>Please see Generic Service Specification</w:t>
            </w:r>
          </w:p>
          <w:p w14:paraId="24B14BDE" w14:textId="77777777" w:rsidR="0039237C" w:rsidRPr="0039237C" w:rsidRDefault="0039237C" w:rsidP="00BA3CF1">
            <w:pPr>
              <w:pStyle w:val="NoSpacing"/>
              <w:rPr>
                <w:b/>
                <w:color w:val="00B050"/>
              </w:rPr>
            </w:pPr>
          </w:p>
        </w:tc>
      </w:tr>
      <w:tr w:rsidR="002B6197" w:rsidRPr="00A01F28" w14:paraId="2DFE11CF" w14:textId="77777777" w:rsidTr="00730ECC">
        <w:trPr>
          <w:trHeight w:val="284"/>
        </w:trPr>
        <w:tc>
          <w:tcPr>
            <w:tcW w:w="516" w:type="dxa"/>
            <w:tcBorders>
              <w:bottom w:val="single" w:sz="4" w:space="0" w:color="808080" w:themeColor="background1" w:themeShade="80"/>
            </w:tcBorders>
            <w:shd w:val="clear" w:color="auto" w:fill="A6A6A6" w:themeFill="background1" w:themeFillShade="A6"/>
          </w:tcPr>
          <w:p w14:paraId="79D66DE0" w14:textId="77777777" w:rsidR="002B6197" w:rsidRPr="00A01F28" w:rsidRDefault="002B6197" w:rsidP="00E46886">
            <w:pPr>
              <w:pStyle w:val="NoSpacing"/>
              <w:rPr>
                <w:b/>
                <w:sz w:val="20"/>
                <w:szCs w:val="20"/>
              </w:rPr>
            </w:pPr>
            <w:r w:rsidRPr="00A01F28">
              <w:rPr>
                <w:b/>
                <w:sz w:val="20"/>
                <w:szCs w:val="20"/>
              </w:rPr>
              <w:t>7</w:t>
            </w:r>
          </w:p>
        </w:tc>
        <w:tc>
          <w:tcPr>
            <w:tcW w:w="9690" w:type="dxa"/>
            <w:tcBorders>
              <w:bottom w:val="single" w:sz="4" w:space="0" w:color="808080" w:themeColor="background1" w:themeShade="80"/>
            </w:tcBorders>
            <w:shd w:val="clear" w:color="auto" w:fill="A6A6A6" w:themeFill="background1" w:themeFillShade="A6"/>
          </w:tcPr>
          <w:p w14:paraId="32422123" w14:textId="77777777" w:rsidR="002B6197" w:rsidRPr="00A01F28" w:rsidRDefault="002B6197" w:rsidP="00E46886">
            <w:pPr>
              <w:pStyle w:val="NoSpacing"/>
              <w:rPr>
                <w:b/>
              </w:rPr>
            </w:pPr>
            <w:r>
              <w:rPr>
                <w:b/>
              </w:rPr>
              <w:t>Prescribing and medicines</w:t>
            </w:r>
          </w:p>
        </w:tc>
      </w:tr>
      <w:tr w:rsidR="002B6197" w:rsidRPr="00AA3128" w14:paraId="041CED3D" w14:textId="77777777" w:rsidTr="00730ECC">
        <w:trPr>
          <w:trHeight w:val="284"/>
        </w:trPr>
        <w:tc>
          <w:tcPr>
            <w:tcW w:w="516" w:type="dxa"/>
            <w:shd w:val="clear" w:color="auto" w:fill="D9D9D9" w:themeFill="background1" w:themeFillShade="D9"/>
          </w:tcPr>
          <w:p w14:paraId="06FE00BA" w14:textId="77777777" w:rsidR="002B6197" w:rsidRPr="00A01F28" w:rsidRDefault="002B6197" w:rsidP="00E46886">
            <w:pPr>
              <w:pStyle w:val="NoSpacing"/>
              <w:rPr>
                <w:sz w:val="20"/>
                <w:szCs w:val="20"/>
              </w:rPr>
            </w:pPr>
            <w:r w:rsidRPr="00A01F28">
              <w:rPr>
                <w:sz w:val="20"/>
                <w:szCs w:val="20"/>
              </w:rPr>
              <w:t>7.1</w:t>
            </w:r>
          </w:p>
        </w:tc>
        <w:tc>
          <w:tcPr>
            <w:tcW w:w="9690" w:type="dxa"/>
            <w:shd w:val="clear" w:color="auto" w:fill="D9D9D9" w:themeFill="background1" w:themeFillShade="D9"/>
          </w:tcPr>
          <w:p w14:paraId="596EA0D5" w14:textId="77777777" w:rsidR="002B6197" w:rsidRPr="00AA3128" w:rsidRDefault="001D4C3D" w:rsidP="00E46886">
            <w:pPr>
              <w:pStyle w:val="NoSpacing"/>
            </w:pPr>
            <w:r>
              <w:t>Prescribing protocol</w:t>
            </w:r>
          </w:p>
        </w:tc>
      </w:tr>
      <w:tr w:rsidR="002B6197" w:rsidRPr="00AA3128" w14:paraId="6BDEFB63" w14:textId="77777777" w:rsidTr="00E46886">
        <w:trPr>
          <w:trHeight w:val="284"/>
        </w:trPr>
        <w:tc>
          <w:tcPr>
            <w:tcW w:w="10206" w:type="dxa"/>
            <w:gridSpan w:val="2"/>
            <w:shd w:val="clear" w:color="auto" w:fill="FFFFFF" w:themeFill="background1"/>
          </w:tcPr>
          <w:p w14:paraId="64C5F92D" w14:textId="77777777" w:rsidR="0056269C" w:rsidRDefault="00B5468B" w:rsidP="00B70D26">
            <w:pPr>
              <w:pStyle w:val="NoSpacing"/>
              <w:tabs>
                <w:tab w:val="left" w:pos="2040"/>
              </w:tabs>
              <w:jc w:val="both"/>
            </w:pPr>
            <w:r>
              <w:t>The Provider will be expected to adhere to the Medway Prescribing Formulary.</w:t>
            </w:r>
          </w:p>
          <w:p w14:paraId="19F52025" w14:textId="77777777" w:rsidR="00B5468B" w:rsidRPr="00AA3128" w:rsidRDefault="00B5468B" w:rsidP="00B70D26">
            <w:pPr>
              <w:pStyle w:val="NoSpacing"/>
              <w:tabs>
                <w:tab w:val="left" w:pos="2040"/>
              </w:tabs>
              <w:jc w:val="both"/>
            </w:pPr>
          </w:p>
        </w:tc>
      </w:tr>
      <w:tr w:rsidR="002B6197" w:rsidRPr="00AA3128" w14:paraId="34ACFAFC" w14:textId="77777777" w:rsidTr="00730ECC">
        <w:trPr>
          <w:trHeight w:val="284"/>
        </w:trPr>
        <w:tc>
          <w:tcPr>
            <w:tcW w:w="516" w:type="dxa"/>
            <w:shd w:val="clear" w:color="auto" w:fill="A6A6A6" w:themeFill="background1" w:themeFillShade="A6"/>
          </w:tcPr>
          <w:p w14:paraId="645EFDE6" w14:textId="77777777" w:rsidR="002B6197" w:rsidRPr="00A01F28" w:rsidRDefault="001D4C3D" w:rsidP="00E46886">
            <w:pPr>
              <w:pStyle w:val="NoSpacing"/>
              <w:rPr>
                <w:b/>
                <w:sz w:val="20"/>
                <w:szCs w:val="20"/>
              </w:rPr>
            </w:pPr>
            <w:r>
              <w:rPr>
                <w:b/>
                <w:sz w:val="20"/>
                <w:szCs w:val="20"/>
              </w:rPr>
              <w:t>8</w:t>
            </w:r>
          </w:p>
        </w:tc>
        <w:tc>
          <w:tcPr>
            <w:tcW w:w="9690" w:type="dxa"/>
            <w:shd w:val="clear" w:color="auto" w:fill="A6A6A6" w:themeFill="background1" w:themeFillShade="A6"/>
          </w:tcPr>
          <w:p w14:paraId="2B3F40FD" w14:textId="77777777" w:rsidR="002B6197" w:rsidRPr="00A01F28" w:rsidRDefault="002B6197" w:rsidP="00E46886">
            <w:pPr>
              <w:pStyle w:val="NoSpacing"/>
              <w:rPr>
                <w:b/>
              </w:rPr>
            </w:pPr>
            <w:r w:rsidRPr="00A01F28">
              <w:rPr>
                <w:b/>
              </w:rPr>
              <w:t>Workforce</w:t>
            </w:r>
          </w:p>
        </w:tc>
      </w:tr>
      <w:tr w:rsidR="002B6197" w:rsidRPr="00AA3128" w14:paraId="1DDBA6A1" w14:textId="77777777" w:rsidTr="00730ECC">
        <w:trPr>
          <w:trHeight w:val="284"/>
        </w:trPr>
        <w:tc>
          <w:tcPr>
            <w:tcW w:w="516" w:type="dxa"/>
            <w:shd w:val="clear" w:color="auto" w:fill="D9D9D9" w:themeFill="background1" w:themeFillShade="D9"/>
          </w:tcPr>
          <w:p w14:paraId="6B255D8D" w14:textId="77777777" w:rsidR="002B6197" w:rsidRPr="00A01F28" w:rsidRDefault="001D4C3D" w:rsidP="00E46886">
            <w:pPr>
              <w:pStyle w:val="NoSpacing"/>
              <w:rPr>
                <w:sz w:val="20"/>
                <w:szCs w:val="20"/>
              </w:rPr>
            </w:pPr>
            <w:r>
              <w:rPr>
                <w:sz w:val="20"/>
                <w:szCs w:val="20"/>
              </w:rPr>
              <w:t>8</w:t>
            </w:r>
            <w:r w:rsidR="002B6197" w:rsidRPr="00A01F28">
              <w:rPr>
                <w:sz w:val="20"/>
                <w:szCs w:val="20"/>
              </w:rPr>
              <w:t>.1</w:t>
            </w:r>
          </w:p>
        </w:tc>
        <w:tc>
          <w:tcPr>
            <w:tcW w:w="9690" w:type="dxa"/>
            <w:shd w:val="clear" w:color="auto" w:fill="D9D9D9" w:themeFill="background1" w:themeFillShade="D9"/>
          </w:tcPr>
          <w:p w14:paraId="1382D96B" w14:textId="77777777" w:rsidR="002B6197" w:rsidRPr="00AA3128" w:rsidRDefault="002B6197" w:rsidP="00E46886">
            <w:pPr>
              <w:pStyle w:val="NoSpacing"/>
            </w:pPr>
            <w:r w:rsidRPr="00AA3128">
              <w:t>Staff competency</w:t>
            </w:r>
            <w:r>
              <w:t xml:space="preserve"> requirements</w:t>
            </w:r>
          </w:p>
        </w:tc>
      </w:tr>
      <w:tr w:rsidR="002B6197" w:rsidRPr="00AA3128" w14:paraId="160893ED" w14:textId="77777777" w:rsidTr="00E46886">
        <w:trPr>
          <w:trHeight w:val="284"/>
        </w:trPr>
        <w:tc>
          <w:tcPr>
            <w:tcW w:w="10206" w:type="dxa"/>
            <w:gridSpan w:val="2"/>
            <w:shd w:val="clear" w:color="auto" w:fill="auto"/>
          </w:tcPr>
          <w:p w14:paraId="0E943047" w14:textId="77777777" w:rsidR="002B6197" w:rsidRDefault="0023292C" w:rsidP="0023292C">
            <w:pPr>
              <w:pStyle w:val="NoSpacing"/>
              <w:rPr>
                <w:b/>
                <w:color w:val="00B050"/>
              </w:rPr>
            </w:pPr>
            <w:r w:rsidRPr="0023292C">
              <w:rPr>
                <w:b/>
                <w:color w:val="00B050"/>
              </w:rPr>
              <w:t>Please see Generic Service Specification</w:t>
            </w:r>
          </w:p>
          <w:p w14:paraId="660CD9B3" w14:textId="77777777" w:rsidR="00C67339" w:rsidRPr="0023292C" w:rsidRDefault="00C67339" w:rsidP="0023292C">
            <w:pPr>
              <w:pStyle w:val="NoSpacing"/>
              <w:rPr>
                <w:b/>
              </w:rPr>
            </w:pPr>
          </w:p>
        </w:tc>
      </w:tr>
      <w:tr w:rsidR="002B6197" w:rsidRPr="00AA3128" w14:paraId="769EB5CD" w14:textId="77777777" w:rsidTr="00730ECC">
        <w:trPr>
          <w:trHeight w:val="284"/>
        </w:trPr>
        <w:tc>
          <w:tcPr>
            <w:tcW w:w="516" w:type="dxa"/>
            <w:shd w:val="clear" w:color="auto" w:fill="D9D9D9" w:themeFill="background1" w:themeFillShade="D9"/>
          </w:tcPr>
          <w:p w14:paraId="621FB427" w14:textId="77777777" w:rsidR="002B6197" w:rsidRPr="00A01F28" w:rsidRDefault="001D4C3D" w:rsidP="00E46886">
            <w:pPr>
              <w:pStyle w:val="NoSpacing"/>
              <w:rPr>
                <w:sz w:val="20"/>
                <w:szCs w:val="20"/>
              </w:rPr>
            </w:pPr>
            <w:r>
              <w:rPr>
                <w:sz w:val="20"/>
                <w:szCs w:val="20"/>
              </w:rPr>
              <w:t>8</w:t>
            </w:r>
            <w:r w:rsidR="002B6197" w:rsidRPr="00A01F28">
              <w:rPr>
                <w:sz w:val="20"/>
                <w:szCs w:val="20"/>
              </w:rPr>
              <w:t>.2</w:t>
            </w:r>
          </w:p>
        </w:tc>
        <w:tc>
          <w:tcPr>
            <w:tcW w:w="9690" w:type="dxa"/>
            <w:shd w:val="clear" w:color="auto" w:fill="D9D9D9" w:themeFill="background1" w:themeFillShade="D9"/>
          </w:tcPr>
          <w:p w14:paraId="754F19D3" w14:textId="77777777" w:rsidR="002B6197" w:rsidRPr="00AA3128" w:rsidRDefault="002B6197" w:rsidP="00E46886">
            <w:pPr>
              <w:pStyle w:val="NoSpacing"/>
            </w:pPr>
            <w:r>
              <w:t>S</w:t>
            </w:r>
            <w:r w:rsidRPr="00AA3128">
              <w:t>taffing levels</w:t>
            </w:r>
          </w:p>
        </w:tc>
      </w:tr>
      <w:tr w:rsidR="002B6197" w:rsidRPr="00AA3128" w14:paraId="4DC713ED" w14:textId="77777777" w:rsidTr="00E46886">
        <w:trPr>
          <w:trHeight w:val="284"/>
        </w:trPr>
        <w:tc>
          <w:tcPr>
            <w:tcW w:w="10206" w:type="dxa"/>
            <w:gridSpan w:val="2"/>
            <w:shd w:val="clear" w:color="auto" w:fill="auto"/>
          </w:tcPr>
          <w:p w14:paraId="41B166F1" w14:textId="77777777" w:rsidR="00994D83" w:rsidRPr="005B2C08" w:rsidRDefault="0023292C" w:rsidP="005004CB">
            <w:pPr>
              <w:autoSpaceDE w:val="0"/>
              <w:autoSpaceDN w:val="0"/>
              <w:adjustRightInd w:val="0"/>
              <w:rPr>
                <w:b/>
                <w:color w:val="00B050"/>
              </w:rPr>
            </w:pPr>
            <w:r w:rsidRPr="0023292C">
              <w:rPr>
                <w:b/>
                <w:color w:val="00B050"/>
              </w:rPr>
              <w:t>Please see Generic Service Specification</w:t>
            </w:r>
          </w:p>
        </w:tc>
      </w:tr>
      <w:tr w:rsidR="003A0673" w:rsidRPr="00AA3128" w14:paraId="78873DE3" w14:textId="77777777" w:rsidTr="00730ECC">
        <w:trPr>
          <w:trHeight w:val="284"/>
        </w:trPr>
        <w:tc>
          <w:tcPr>
            <w:tcW w:w="516" w:type="dxa"/>
            <w:tcBorders>
              <w:bottom w:val="single" w:sz="4" w:space="0" w:color="808080" w:themeColor="background1" w:themeShade="80"/>
            </w:tcBorders>
            <w:shd w:val="clear" w:color="auto" w:fill="A6A6A6" w:themeFill="background1" w:themeFillShade="A6"/>
          </w:tcPr>
          <w:p w14:paraId="695445E9" w14:textId="77777777" w:rsidR="003A0673" w:rsidRPr="00A01F28" w:rsidRDefault="001D4C3D" w:rsidP="00A01F28">
            <w:pPr>
              <w:pStyle w:val="NoSpacing"/>
              <w:rPr>
                <w:b/>
                <w:sz w:val="20"/>
                <w:szCs w:val="20"/>
              </w:rPr>
            </w:pPr>
            <w:r>
              <w:rPr>
                <w:b/>
                <w:sz w:val="20"/>
                <w:szCs w:val="20"/>
              </w:rPr>
              <w:lastRenderedPageBreak/>
              <w:t>9</w:t>
            </w:r>
          </w:p>
        </w:tc>
        <w:tc>
          <w:tcPr>
            <w:tcW w:w="9690" w:type="dxa"/>
            <w:tcBorders>
              <w:bottom w:val="single" w:sz="4" w:space="0" w:color="808080" w:themeColor="background1" w:themeShade="80"/>
            </w:tcBorders>
            <w:shd w:val="clear" w:color="auto" w:fill="A6A6A6" w:themeFill="background1" w:themeFillShade="A6"/>
          </w:tcPr>
          <w:p w14:paraId="610ADB2D" w14:textId="77777777" w:rsidR="003A0673" w:rsidRPr="00A01F28" w:rsidRDefault="003A0673" w:rsidP="00AA3128">
            <w:pPr>
              <w:pStyle w:val="NoSpacing"/>
              <w:rPr>
                <w:b/>
              </w:rPr>
            </w:pPr>
            <w:r w:rsidRPr="00A01F28">
              <w:rPr>
                <w:b/>
              </w:rPr>
              <w:t>Facilitie</w:t>
            </w:r>
            <w:r w:rsidR="00AA3128" w:rsidRPr="00A01F28">
              <w:rPr>
                <w:b/>
              </w:rPr>
              <w:t>s, equipment and ICT</w:t>
            </w:r>
          </w:p>
        </w:tc>
      </w:tr>
      <w:tr w:rsidR="00AA3128" w:rsidRPr="00AA3128" w14:paraId="3B544CEC" w14:textId="77777777" w:rsidTr="00730ECC">
        <w:trPr>
          <w:trHeight w:val="284"/>
        </w:trPr>
        <w:tc>
          <w:tcPr>
            <w:tcW w:w="516" w:type="dxa"/>
            <w:shd w:val="clear" w:color="auto" w:fill="D9D9D9" w:themeFill="background1" w:themeFillShade="D9"/>
          </w:tcPr>
          <w:p w14:paraId="775E26EC" w14:textId="77777777" w:rsidR="00AA3128" w:rsidRPr="00A01F28" w:rsidRDefault="001D4C3D" w:rsidP="00A01F28">
            <w:pPr>
              <w:pStyle w:val="NoSpacing"/>
              <w:rPr>
                <w:sz w:val="20"/>
                <w:szCs w:val="20"/>
              </w:rPr>
            </w:pPr>
            <w:r>
              <w:rPr>
                <w:sz w:val="20"/>
                <w:szCs w:val="20"/>
              </w:rPr>
              <w:t>9</w:t>
            </w:r>
            <w:r w:rsidR="00AA3128" w:rsidRPr="00A01F28">
              <w:rPr>
                <w:sz w:val="20"/>
                <w:szCs w:val="20"/>
              </w:rPr>
              <w:t>.1</w:t>
            </w:r>
          </w:p>
        </w:tc>
        <w:tc>
          <w:tcPr>
            <w:tcW w:w="9690" w:type="dxa"/>
            <w:shd w:val="clear" w:color="auto" w:fill="D9D9D9" w:themeFill="background1" w:themeFillShade="D9"/>
          </w:tcPr>
          <w:p w14:paraId="72081681" w14:textId="77777777" w:rsidR="00AA3128" w:rsidRPr="00AA3128" w:rsidRDefault="00AA3128" w:rsidP="00AA3128">
            <w:pPr>
              <w:pStyle w:val="NoSpacing"/>
            </w:pPr>
            <w:r w:rsidRPr="00AA3128">
              <w:t>Location requirements</w:t>
            </w:r>
          </w:p>
        </w:tc>
      </w:tr>
      <w:tr w:rsidR="00A01F28" w:rsidRPr="00AA3128" w14:paraId="028FDC33" w14:textId="77777777" w:rsidTr="00D32F1A">
        <w:trPr>
          <w:trHeight w:val="284"/>
        </w:trPr>
        <w:tc>
          <w:tcPr>
            <w:tcW w:w="10206" w:type="dxa"/>
            <w:gridSpan w:val="2"/>
            <w:shd w:val="clear" w:color="auto" w:fill="FFFFFF" w:themeFill="background1"/>
          </w:tcPr>
          <w:p w14:paraId="2C17CF87" w14:textId="77777777" w:rsidR="00A01F28" w:rsidRDefault="0048617C" w:rsidP="00834DA8">
            <w:pPr>
              <w:pStyle w:val="NoSpacing"/>
              <w:rPr>
                <w:b/>
                <w:color w:val="00B050"/>
              </w:rPr>
            </w:pPr>
            <w:r w:rsidRPr="009215E8">
              <w:rPr>
                <w:b/>
                <w:color w:val="00B050"/>
              </w:rPr>
              <w:t>Please see Generic Service Specification</w:t>
            </w:r>
          </w:p>
          <w:p w14:paraId="2881470F" w14:textId="77777777" w:rsidR="00994D83" w:rsidRPr="009215E8" w:rsidRDefault="00994D83" w:rsidP="00834DA8">
            <w:pPr>
              <w:pStyle w:val="NoSpacing"/>
              <w:rPr>
                <w:b/>
              </w:rPr>
            </w:pPr>
          </w:p>
        </w:tc>
      </w:tr>
    </w:tbl>
    <w:p w14:paraId="63FF4A85" w14:textId="77777777" w:rsidR="005B2C08" w:rsidRDefault="005B2C08" w:rsidP="00EC29B7">
      <w:pPr>
        <w:pStyle w:val="NoSpacing"/>
      </w:pPr>
    </w:p>
    <w:p w14:paraId="53DAC0C9" w14:textId="77777777" w:rsidR="005B2C08" w:rsidRPr="005B2C08" w:rsidRDefault="005B2C08" w:rsidP="005B2C08"/>
    <w:p w14:paraId="0A22C227" w14:textId="77777777" w:rsidR="005B2C08" w:rsidRPr="005B2C08" w:rsidRDefault="005B2C08" w:rsidP="005B2C08"/>
    <w:p w14:paraId="727F118E" w14:textId="77777777" w:rsidR="005B2C08" w:rsidRPr="005B2C08" w:rsidRDefault="005B2C08" w:rsidP="005B2C08"/>
    <w:p w14:paraId="0FD1680E" w14:textId="77777777" w:rsidR="005B2C08" w:rsidRPr="005B2C08" w:rsidRDefault="005B2C08" w:rsidP="005B2C08"/>
    <w:p w14:paraId="6F91911D" w14:textId="77777777" w:rsidR="005B2C08" w:rsidRPr="005B2C08" w:rsidRDefault="005B2C08" w:rsidP="005B2C08"/>
    <w:p w14:paraId="3E78EFEF" w14:textId="77777777" w:rsidR="005B2C08" w:rsidRPr="005B2C08" w:rsidRDefault="005B2C08" w:rsidP="005B2C08"/>
    <w:p w14:paraId="40997AF7" w14:textId="77777777" w:rsidR="005B2C08" w:rsidRPr="005B2C08" w:rsidRDefault="005B2C08" w:rsidP="005B2C08"/>
    <w:p w14:paraId="5B0F3916" w14:textId="77777777" w:rsidR="005B2C08" w:rsidRPr="005B2C08" w:rsidRDefault="005B2C08" w:rsidP="005B2C08"/>
    <w:p w14:paraId="720DD549" w14:textId="77777777" w:rsidR="005B2C08" w:rsidRPr="005B2C08" w:rsidRDefault="005B2C08" w:rsidP="005B2C08"/>
    <w:p w14:paraId="17BC38A0" w14:textId="77777777" w:rsidR="005B2C08" w:rsidRPr="005B2C08" w:rsidRDefault="005B2C08" w:rsidP="005B2C08"/>
    <w:p w14:paraId="2AD50334" w14:textId="77777777" w:rsidR="005B2C08" w:rsidRPr="005B2C08" w:rsidRDefault="005B2C08" w:rsidP="005B2C08"/>
    <w:p w14:paraId="48E8BAC1" w14:textId="77777777" w:rsidR="005B2C08" w:rsidRPr="005B2C08" w:rsidRDefault="005B2C08" w:rsidP="005B2C08"/>
    <w:p w14:paraId="2351684A" w14:textId="77777777" w:rsidR="002B6197" w:rsidRPr="005B2C08" w:rsidRDefault="005B2C08" w:rsidP="005B2C08">
      <w:pPr>
        <w:tabs>
          <w:tab w:val="left" w:pos="3628"/>
        </w:tabs>
      </w:pPr>
      <w:r>
        <w:tab/>
      </w:r>
    </w:p>
    <w:sectPr w:rsidR="002B6197" w:rsidRPr="005B2C08" w:rsidSect="002E4B2E">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851" w:left="851"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E8B80" w14:textId="77777777" w:rsidR="001765D5" w:rsidRDefault="001765D5" w:rsidP="00D0640B">
      <w:pPr>
        <w:spacing w:after="0" w:line="240" w:lineRule="auto"/>
      </w:pPr>
      <w:r>
        <w:separator/>
      </w:r>
    </w:p>
  </w:endnote>
  <w:endnote w:type="continuationSeparator" w:id="0">
    <w:p w14:paraId="5319F1A8" w14:textId="77777777" w:rsidR="001765D5" w:rsidRDefault="001765D5" w:rsidP="00D0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DAF51" w14:textId="77777777" w:rsidR="002A75FF" w:rsidRDefault="002A75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z w:val="20"/>
        <w:szCs w:val="20"/>
      </w:rPr>
      <w:id w:val="-1737468436"/>
      <w:docPartObj>
        <w:docPartGallery w:val="Page Numbers (Bottom of Page)"/>
        <w:docPartUnique/>
      </w:docPartObj>
    </w:sdtPr>
    <w:sdtEndPr>
      <w:rPr>
        <w:noProof/>
      </w:rPr>
    </w:sdtEndPr>
    <w:sdtContent>
      <w:p w14:paraId="2DA2207D" w14:textId="77777777" w:rsidR="00387B78" w:rsidRPr="0019444F" w:rsidRDefault="00387B78">
        <w:pPr>
          <w:pStyle w:val="Footer"/>
          <w:jc w:val="center"/>
          <w:rPr>
            <w:color w:val="808080" w:themeColor="background1" w:themeShade="80"/>
            <w:sz w:val="20"/>
            <w:szCs w:val="20"/>
          </w:rPr>
        </w:pPr>
        <w:r w:rsidRPr="0019444F">
          <w:rPr>
            <w:color w:val="808080" w:themeColor="background1" w:themeShade="80"/>
            <w:sz w:val="20"/>
            <w:szCs w:val="20"/>
          </w:rPr>
          <w:fldChar w:fldCharType="begin"/>
        </w:r>
        <w:r w:rsidRPr="0019444F">
          <w:rPr>
            <w:color w:val="808080" w:themeColor="background1" w:themeShade="80"/>
            <w:sz w:val="20"/>
            <w:szCs w:val="20"/>
          </w:rPr>
          <w:instrText xml:space="preserve"> PAGE   \* MERGEFORMAT </w:instrText>
        </w:r>
        <w:r w:rsidRPr="0019444F">
          <w:rPr>
            <w:color w:val="808080" w:themeColor="background1" w:themeShade="80"/>
            <w:sz w:val="20"/>
            <w:szCs w:val="20"/>
          </w:rPr>
          <w:fldChar w:fldCharType="separate"/>
        </w:r>
        <w:r w:rsidR="00CB2EED">
          <w:rPr>
            <w:noProof/>
            <w:color w:val="808080" w:themeColor="background1" w:themeShade="80"/>
            <w:sz w:val="20"/>
            <w:szCs w:val="20"/>
          </w:rPr>
          <w:t>1</w:t>
        </w:r>
        <w:r w:rsidRPr="0019444F">
          <w:rPr>
            <w:noProof/>
            <w:color w:val="808080" w:themeColor="background1" w:themeShade="80"/>
            <w:sz w:val="20"/>
            <w:szCs w:val="20"/>
          </w:rPr>
          <w:fldChar w:fldCharType="end"/>
        </w:r>
      </w:p>
    </w:sdtContent>
  </w:sdt>
  <w:p w14:paraId="3FC53074" w14:textId="77777777" w:rsidR="00387B78" w:rsidRDefault="00387B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BB055" w14:textId="77777777" w:rsidR="002A75FF" w:rsidRDefault="002A7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AA120" w14:textId="77777777" w:rsidR="001765D5" w:rsidRDefault="001765D5" w:rsidP="00D0640B">
      <w:pPr>
        <w:spacing w:after="0" w:line="240" w:lineRule="auto"/>
      </w:pPr>
      <w:r>
        <w:separator/>
      </w:r>
    </w:p>
  </w:footnote>
  <w:footnote w:type="continuationSeparator" w:id="0">
    <w:p w14:paraId="5092DF91" w14:textId="77777777" w:rsidR="001765D5" w:rsidRDefault="001765D5" w:rsidP="00D06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4674" w14:textId="77777777" w:rsidR="00387B78" w:rsidRDefault="00CB2EED">
    <w:pPr>
      <w:pStyle w:val="Header"/>
    </w:pPr>
    <w:r>
      <w:rPr>
        <w:noProof/>
      </w:rPr>
      <w:pict w14:anchorId="0CA11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190" o:spid="_x0000_s2053" type="#_x0000_t136" style="position:absolute;margin-left:0;margin-top:0;width:523.1pt;height:196.15pt;rotation:315;z-index:-251654144;mso-position-horizontal:center;mso-position-horizontal-relative:margin;mso-position-vertical:center;mso-position-vertical-relative:margin" o:allowincell="f" fillcolor="silver" stroked="f">
          <v:fill opacity=".5"/>
          <v:textpath style="font-family:&quot;Calibri&quot;;font-size:1pt" string="Final Outl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24C9" w14:textId="77777777" w:rsidR="00387B78" w:rsidRPr="00D0640B" w:rsidRDefault="00CB2EED" w:rsidP="00D0640B">
    <w:pPr>
      <w:pStyle w:val="Header"/>
      <w:tabs>
        <w:tab w:val="clear" w:pos="4513"/>
        <w:tab w:val="clear" w:pos="9026"/>
        <w:tab w:val="center" w:pos="4820"/>
        <w:tab w:val="right" w:pos="9356"/>
      </w:tabs>
      <w:rPr>
        <w:sz w:val="20"/>
        <w:szCs w:val="20"/>
      </w:rPr>
    </w:pPr>
    <w:r>
      <w:rPr>
        <w:noProof/>
      </w:rPr>
      <w:pict w14:anchorId="1A05C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191" o:spid="_x0000_s2054" type="#_x0000_t136" style="position:absolute;margin-left:0;margin-top:0;width:523.1pt;height:196.15pt;rotation:315;z-index:-251652096;mso-position-horizontal:center;mso-position-horizontal-relative:margin;mso-position-vertical:center;mso-position-vertical-relative:margin" o:allowincell="f" fillcolor="silver" stroked="f">
          <v:fill opacity=".5"/>
          <v:textpath style="font-family:&quot;Calibri&quot;;font-size:1pt" string="Final Outline"/>
          <w10:wrap anchorx="margin" anchory="margin"/>
        </v:shape>
      </w:pict>
    </w:r>
    <w:r w:rsidR="00387B78" w:rsidRPr="00D0640B">
      <w:rPr>
        <w:noProof/>
        <w:color w:val="808080" w:themeColor="background1" w:themeShade="80"/>
        <w:sz w:val="20"/>
        <w:szCs w:val="20"/>
        <w:lang w:eastAsia="en-GB"/>
      </w:rPr>
      <w:drawing>
        <wp:anchor distT="0" distB="0" distL="114300" distR="114300" simplePos="0" relativeHeight="251658240" behindDoc="1" locked="0" layoutInCell="1" allowOverlap="1" wp14:anchorId="6BD4367F" wp14:editId="473BA1B2">
          <wp:simplePos x="0" y="0"/>
          <wp:positionH relativeFrom="column">
            <wp:posOffset>5233035</wp:posOffset>
          </wp:positionH>
          <wp:positionV relativeFrom="paragraph">
            <wp:posOffset>-241773</wp:posOffset>
          </wp:positionV>
          <wp:extent cx="1294130" cy="55816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387B78" w:rsidRPr="00D0640B">
      <w:rPr>
        <w:color w:val="808080" w:themeColor="background1" w:themeShade="80"/>
        <w:sz w:val="20"/>
        <w:szCs w:val="20"/>
      </w:rPr>
      <w:t>Version:</w:t>
    </w:r>
    <w:r w:rsidR="00387B78">
      <w:rPr>
        <w:color w:val="808080" w:themeColor="background1" w:themeShade="80"/>
        <w:sz w:val="20"/>
        <w:szCs w:val="20"/>
      </w:rPr>
      <w:t xml:space="preserve"> 0.1. 08/09/2017</w:t>
    </w:r>
    <w:r w:rsidR="00387B78" w:rsidRPr="00D0640B">
      <w:rPr>
        <w:color w:val="808080" w:themeColor="background1" w:themeShade="80"/>
        <w:sz w:val="20"/>
        <w:szCs w:val="20"/>
      </w:rPr>
      <w:tab/>
      <w:t>Service Specification</w:t>
    </w:r>
    <w:r w:rsidR="00387B78" w:rsidRPr="00D0640B">
      <w:rPr>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1231F" w14:textId="77777777" w:rsidR="00387B78" w:rsidRDefault="00CB2EED">
    <w:pPr>
      <w:pStyle w:val="Header"/>
    </w:pPr>
    <w:r>
      <w:rPr>
        <w:noProof/>
      </w:rPr>
      <w:pict w14:anchorId="55B6F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8189" o:spid="_x0000_s2052" type="#_x0000_t136" style="position:absolute;margin-left:0;margin-top:0;width:523.1pt;height:196.15pt;rotation:315;z-index:-251656192;mso-position-horizontal:center;mso-position-horizontal-relative:margin;mso-position-vertical:center;mso-position-vertical-relative:margin" o:allowincell="f" fillcolor="silver" stroked="f">
          <v:fill opacity=".5"/>
          <v:textpath style="font-family:&quot;Calibri&quot;;font-size:1pt" string="Final Outl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424E"/>
    <w:multiLevelType w:val="hybridMultilevel"/>
    <w:tmpl w:val="C6D8E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43C94"/>
    <w:multiLevelType w:val="hybridMultilevel"/>
    <w:tmpl w:val="9B60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44004E"/>
    <w:multiLevelType w:val="hybridMultilevel"/>
    <w:tmpl w:val="5DF0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292244"/>
    <w:multiLevelType w:val="hybridMultilevel"/>
    <w:tmpl w:val="C494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AD09AB"/>
    <w:multiLevelType w:val="hybridMultilevel"/>
    <w:tmpl w:val="3126D5CA"/>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5">
    <w:nsid w:val="0E34040E"/>
    <w:multiLevelType w:val="hybridMultilevel"/>
    <w:tmpl w:val="96F6054E"/>
    <w:lvl w:ilvl="0" w:tplc="08090001">
      <w:start w:val="1"/>
      <w:numFmt w:val="bullet"/>
      <w:lvlText w:val=""/>
      <w:lvlJc w:val="left"/>
      <w:pPr>
        <w:ind w:left="720" w:hanging="360"/>
      </w:pPr>
      <w:rPr>
        <w:rFonts w:ascii="Symbol" w:hAnsi="Symbol" w:hint="default"/>
      </w:rPr>
    </w:lvl>
    <w:lvl w:ilvl="1" w:tplc="F970C3F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E75FF0"/>
    <w:multiLevelType w:val="hybridMultilevel"/>
    <w:tmpl w:val="42E261F4"/>
    <w:lvl w:ilvl="0" w:tplc="A0EADD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0C3DA2"/>
    <w:multiLevelType w:val="hybridMultilevel"/>
    <w:tmpl w:val="50B80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4404B0"/>
    <w:multiLevelType w:val="hybridMultilevel"/>
    <w:tmpl w:val="19AE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92446D"/>
    <w:multiLevelType w:val="hybridMultilevel"/>
    <w:tmpl w:val="7A30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9A7CF5"/>
    <w:multiLevelType w:val="hybridMultilevel"/>
    <w:tmpl w:val="2F08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FA17E7"/>
    <w:multiLevelType w:val="hybridMultilevel"/>
    <w:tmpl w:val="36BAD3A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nsid w:val="32496796"/>
    <w:multiLevelType w:val="hybridMultilevel"/>
    <w:tmpl w:val="1C9C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3531CD"/>
    <w:multiLevelType w:val="hybridMultilevel"/>
    <w:tmpl w:val="0760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9B346A"/>
    <w:multiLevelType w:val="hybridMultilevel"/>
    <w:tmpl w:val="4E4ACE3E"/>
    <w:lvl w:ilvl="0" w:tplc="72BAA3DA">
      <w:start w:val="1"/>
      <w:numFmt w:val="bullet"/>
      <w:lvlText w:val=""/>
      <w:lvlJc w:val="left"/>
      <w:pPr>
        <w:ind w:left="394" w:hanging="360"/>
      </w:pPr>
      <w:rPr>
        <w:rFonts w:ascii="Symbol" w:eastAsiaTheme="minorHAnsi" w:hAnsi="Symbol" w:cstheme="minorBid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5">
    <w:nsid w:val="3E9B7A1C"/>
    <w:multiLevelType w:val="hybridMultilevel"/>
    <w:tmpl w:val="550C4682"/>
    <w:lvl w:ilvl="0" w:tplc="E49A9CF0">
      <w:numFmt w:val="bullet"/>
      <w:lvlText w:val="•"/>
      <w:lvlJc w:val="left"/>
      <w:pPr>
        <w:ind w:left="827" w:hanging="360"/>
      </w:pPr>
      <w:rPr>
        <w:rFonts w:hint="default"/>
        <w:w w:val="100"/>
        <w:sz w:val="24"/>
        <w:szCs w:val="24"/>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8F5257"/>
    <w:multiLevelType w:val="hybridMultilevel"/>
    <w:tmpl w:val="22BE478A"/>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7">
    <w:nsid w:val="48D67AE7"/>
    <w:multiLevelType w:val="hybridMultilevel"/>
    <w:tmpl w:val="69B6DE0C"/>
    <w:lvl w:ilvl="0" w:tplc="FC3048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BBD472D"/>
    <w:multiLevelType w:val="hybridMultilevel"/>
    <w:tmpl w:val="C99AAD22"/>
    <w:lvl w:ilvl="0" w:tplc="08090001">
      <w:start w:val="1"/>
      <w:numFmt w:val="bullet"/>
      <w:lvlText w:val=""/>
      <w:lvlJc w:val="left"/>
      <w:pPr>
        <w:ind w:left="720" w:hanging="360"/>
      </w:pPr>
      <w:rPr>
        <w:rFonts w:ascii="Symbol" w:hAnsi="Symbol" w:hint="default"/>
      </w:rPr>
    </w:lvl>
    <w:lvl w:ilvl="1" w:tplc="754C6398">
      <w:numFmt w:val="bullet"/>
      <w:lvlText w:val="•"/>
      <w:lvlJc w:val="left"/>
      <w:pPr>
        <w:ind w:left="1640" w:hanging="5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F009F0"/>
    <w:multiLevelType w:val="hybridMultilevel"/>
    <w:tmpl w:val="4850B022"/>
    <w:lvl w:ilvl="0" w:tplc="34B0D37A">
      <w:numFmt w:val="bullet"/>
      <w:lvlText w:val=""/>
      <w:lvlJc w:val="left"/>
      <w:pPr>
        <w:ind w:left="786" w:hanging="360"/>
      </w:pPr>
      <w:rPr>
        <w:rFonts w:ascii="Symbol" w:eastAsia="Symbol" w:hAnsi="Symbol" w:cs="Symbol" w:hint="default"/>
        <w:w w:val="100"/>
        <w:sz w:val="24"/>
        <w:szCs w:val="24"/>
        <w:lang w:val="en-US" w:eastAsia="en-US" w:bidi="en-US"/>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BA7659B"/>
    <w:multiLevelType w:val="hybridMultilevel"/>
    <w:tmpl w:val="7B587E7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21">
    <w:nsid w:val="60240714"/>
    <w:multiLevelType w:val="hybridMultilevel"/>
    <w:tmpl w:val="ECC6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900DEB"/>
    <w:multiLevelType w:val="hybridMultilevel"/>
    <w:tmpl w:val="485A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865C39"/>
    <w:multiLevelType w:val="hybridMultilevel"/>
    <w:tmpl w:val="8C9CB5A2"/>
    <w:lvl w:ilvl="0" w:tplc="16807446">
      <w:numFmt w:val="bullet"/>
      <w:lvlText w:val="•"/>
      <w:lvlJc w:val="left"/>
      <w:pPr>
        <w:ind w:left="1828" w:hanging="560"/>
      </w:pPr>
      <w:rPr>
        <w:rFonts w:ascii="Calibri" w:eastAsiaTheme="minorHAnsi" w:hAnsi="Calibri" w:cs="Calibri" w:hint="default"/>
      </w:rPr>
    </w:lvl>
    <w:lvl w:ilvl="1" w:tplc="08090003" w:tentative="1">
      <w:start w:val="1"/>
      <w:numFmt w:val="bullet"/>
      <w:lvlText w:val="o"/>
      <w:lvlJc w:val="left"/>
      <w:pPr>
        <w:ind w:left="2107" w:hanging="360"/>
      </w:pPr>
      <w:rPr>
        <w:rFonts w:ascii="Courier New" w:hAnsi="Courier New" w:cs="Courier New" w:hint="default"/>
      </w:rPr>
    </w:lvl>
    <w:lvl w:ilvl="2" w:tplc="08090005" w:tentative="1">
      <w:start w:val="1"/>
      <w:numFmt w:val="bullet"/>
      <w:lvlText w:val=""/>
      <w:lvlJc w:val="left"/>
      <w:pPr>
        <w:ind w:left="2827" w:hanging="360"/>
      </w:pPr>
      <w:rPr>
        <w:rFonts w:ascii="Wingdings" w:hAnsi="Wingdings" w:hint="default"/>
      </w:rPr>
    </w:lvl>
    <w:lvl w:ilvl="3" w:tplc="08090001" w:tentative="1">
      <w:start w:val="1"/>
      <w:numFmt w:val="bullet"/>
      <w:lvlText w:val=""/>
      <w:lvlJc w:val="left"/>
      <w:pPr>
        <w:ind w:left="3547" w:hanging="360"/>
      </w:pPr>
      <w:rPr>
        <w:rFonts w:ascii="Symbol" w:hAnsi="Symbol" w:hint="default"/>
      </w:rPr>
    </w:lvl>
    <w:lvl w:ilvl="4" w:tplc="08090003" w:tentative="1">
      <w:start w:val="1"/>
      <w:numFmt w:val="bullet"/>
      <w:lvlText w:val="o"/>
      <w:lvlJc w:val="left"/>
      <w:pPr>
        <w:ind w:left="4267" w:hanging="360"/>
      </w:pPr>
      <w:rPr>
        <w:rFonts w:ascii="Courier New" w:hAnsi="Courier New" w:cs="Courier New" w:hint="default"/>
      </w:rPr>
    </w:lvl>
    <w:lvl w:ilvl="5" w:tplc="08090005" w:tentative="1">
      <w:start w:val="1"/>
      <w:numFmt w:val="bullet"/>
      <w:lvlText w:val=""/>
      <w:lvlJc w:val="left"/>
      <w:pPr>
        <w:ind w:left="4987" w:hanging="360"/>
      </w:pPr>
      <w:rPr>
        <w:rFonts w:ascii="Wingdings" w:hAnsi="Wingdings" w:hint="default"/>
      </w:rPr>
    </w:lvl>
    <w:lvl w:ilvl="6" w:tplc="08090001" w:tentative="1">
      <w:start w:val="1"/>
      <w:numFmt w:val="bullet"/>
      <w:lvlText w:val=""/>
      <w:lvlJc w:val="left"/>
      <w:pPr>
        <w:ind w:left="5707" w:hanging="360"/>
      </w:pPr>
      <w:rPr>
        <w:rFonts w:ascii="Symbol" w:hAnsi="Symbol" w:hint="default"/>
      </w:rPr>
    </w:lvl>
    <w:lvl w:ilvl="7" w:tplc="08090003" w:tentative="1">
      <w:start w:val="1"/>
      <w:numFmt w:val="bullet"/>
      <w:lvlText w:val="o"/>
      <w:lvlJc w:val="left"/>
      <w:pPr>
        <w:ind w:left="6427" w:hanging="360"/>
      </w:pPr>
      <w:rPr>
        <w:rFonts w:ascii="Courier New" w:hAnsi="Courier New" w:cs="Courier New" w:hint="default"/>
      </w:rPr>
    </w:lvl>
    <w:lvl w:ilvl="8" w:tplc="08090005" w:tentative="1">
      <w:start w:val="1"/>
      <w:numFmt w:val="bullet"/>
      <w:lvlText w:val=""/>
      <w:lvlJc w:val="left"/>
      <w:pPr>
        <w:ind w:left="7147" w:hanging="360"/>
      </w:pPr>
      <w:rPr>
        <w:rFonts w:ascii="Wingdings" w:hAnsi="Wingdings" w:hint="default"/>
      </w:rPr>
    </w:lvl>
  </w:abstractNum>
  <w:abstractNum w:abstractNumId="24">
    <w:nsid w:val="6B3945F9"/>
    <w:multiLevelType w:val="hybridMultilevel"/>
    <w:tmpl w:val="624ED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D9E1202"/>
    <w:multiLevelType w:val="hybridMultilevel"/>
    <w:tmpl w:val="23FA72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6">
    <w:nsid w:val="7084362A"/>
    <w:multiLevelType w:val="hybridMultilevel"/>
    <w:tmpl w:val="3A38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D41670"/>
    <w:multiLevelType w:val="hybridMultilevel"/>
    <w:tmpl w:val="C5C6CDEC"/>
    <w:lvl w:ilvl="0" w:tplc="679E829C">
      <w:numFmt w:val="bullet"/>
      <w:lvlText w:val="•"/>
      <w:lvlJc w:val="left"/>
      <w:pPr>
        <w:ind w:left="827" w:hanging="360"/>
      </w:pPr>
      <w:rPr>
        <w:rFonts w:hint="default"/>
        <w:w w:val="100"/>
        <w:sz w:val="24"/>
        <w:szCs w:val="24"/>
        <w:lang w:val="en-US" w:eastAsia="en-US" w:bidi="en-US"/>
      </w:rPr>
    </w:lvl>
    <w:lvl w:ilvl="1" w:tplc="679E829C">
      <w:numFmt w:val="bullet"/>
      <w:lvlText w:val="•"/>
      <w:lvlJc w:val="left"/>
      <w:pPr>
        <w:ind w:left="1650" w:hanging="360"/>
      </w:pPr>
      <w:rPr>
        <w:rFonts w:hint="default"/>
        <w:lang w:val="en-US" w:eastAsia="en-US" w:bidi="en-US"/>
      </w:rPr>
    </w:lvl>
    <w:lvl w:ilvl="2" w:tplc="4090672E">
      <w:numFmt w:val="bullet"/>
      <w:lvlText w:val="•"/>
      <w:lvlJc w:val="left"/>
      <w:pPr>
        <w:ind w:left="2481" w:hanging="360"/>
      </w:pPr>
      <w:rPr>
        <w:rFonts w:hint="default"/>
        <w:lang w:val="en-US" w:eastAsia="en-US" w:bidi="en-US"/>
      </w:rPr>
    </w:lvl>
    <w:lvl w:ilvl="3" w:tplc="EFFC19D4">
      <w:numFmt w:val="bullet"/>
      <w:lvlText w:val="•"/>
      <w:lvlJc w:val="left"/>
      <w:pPr>
        <w:ind w:left="3311" w:hanging="360"/>
      </w:pPr>
      <w:rPr>
        <w:rFonts w:hint="default"/>
        <w:lang w:val="en-US" w:eastAsia="en-US" w:bidi="en-US"/>
      </w:rPr>
    </w:lvl>
    <w:lvl w:ilvl="4" w:tplc="34947C6E">
      <w:numFmt w:val="bullet"/>
      <w:lvlText w:val="•"/>
      <w:lvlJc w:val="left"/>
      <w:pPr>
        <w:ind w:left="4142" w:hanging="360"/>
      </w:pPr>
      <w:rPr>
        <w:rFonts w:hint="default"/>
        <w:lang w:val="en-US" w:eastAsia="en-US" w:bidi="en-US"/>
      </w:rPr>
    </w:lvl>
    <w:lvl w:ilvl="5" w:tplc="F48C22E0">
      <w:numFmt w:val="bullet"/>
      <w:lvlText w:val="•"/>
      <w:lvlJc w:val="left"/>
      <w:pPr>
        <w:ind w:left="4973" w:hanging="360"/>
      </w:pPr>
      <w:rPr>
        <w:rFonts w:hint="default"/>
        <w:lang w:val="en-US" w:eastAsia="en-US" w:bidi="en-US"/>
      </w:rPr>
    </w:lvl>
    <w:lvl w:ilvl="6" w:tplc="6FA0ECFA">
      <w:numFmt w:val="bullet"/>
      <w:lvlText w:val="•"/>
      <w:lvlJc w:val="left"/>
      <w:pPr>
        <w:ind w:left="5803" w:hanging="360"/>
      </w:pPr>
      <w:rPr>
        <w:rFonts w:hint="default"/>
        <w:lang w:val="en-US" w:eastAsia="en-US" w:bidi="en-US"/>
      </w:rPr>
    </w:lvl>
    <w:lvl w:ilvl="7" w:tplc="BD8407E4">
      <w:numFmt w:val="bullet"/>
      <w:lvlText w:val="•"/>
      <w:lvlJc w:val="left"/>
      <w:pPr>
        <w:ind w:left="6634" w:hanging="360"/>
      </w:pPr>
      <w:rPr>
        <w:rFonts w:hint="default"/>
        <w:lang w:val="en-US" w:eastAsia="en-US" w:bidi="en-US"/>
      </w:rPr>
    </w:lvl>
    <w:lvl w:ilvl="8" w:tplc="F42CBC26">
      <w:numFmt w:val="bullet"/>
      <w:lvlText w:val="•"/>
      <w:lvlJc w:val="left"/>
      <w:pPr>
        <w:ind w:left="7464" w:hanging="360"/>
      </w:pPr>
      <w:rPr>
        <w:rFonts w:hint="default"/>
        <w:lang w:val="en-US" w:eastAsia="en-US" w:bidi="en-US"/>
      </w:rPr>
    </w:lvl>
  </w:abstractNum>
  <w:abstractNum w:abstractNumId="28">
    <w:nsid w:val="76265B96"/>
    <w:multiLevelType w:val="hybridMultilevel"/>
    <w:tmpl w:val="B684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3956EC"/>
    <w:multiLevelType w:val="hybridMultilevel"/>
    <w:tmpl w:val="D76249CE"/>
    <w:lvl w:ilvl="0" w:tplc="679E829C">
      <w:numFmt w:val="bullet"/>
      <w:lvlText w:val="•"/>
      <w:lvlJc w:val="left"/>
      <w:pPr>
        <w:ind w:left="1080" w:hanging="360"/>
      </w:pPr>
      <w:rPr>
        <w:rFonts w:hint="default"/>
        <w:lang w:val="en-US" w:eastAsia="en-US" w:bidi="en-US"/>
      </w:rPr>
    </w:lvl>
    <w:lvl w:ilvl="1" w:tplc="02EC93DE">
      <w:numFmt w:val="bullet"/>
      <w:lvlText w:val="-"/>
      <w:lvlJc w:val="left"/>
      <w:pPr>
        <w:ind w:left="1800" w:hanging="360"/>
      </w:pPr>
      <w:rPr>
        <w:rFonts w:ascii="Calibri" w:eastAsiaTheme="minorHAns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BCA4FF7"/>
    <w:multiLevelType w:val="hybridMultilevel"/>
    <w:tmpl w:val="4030F8A2"/>
    <w:lvl w:ilvl="0" w:tplc="16807446">
      <w:numFmt w:val="bullet"/>
      <w:lvlText w:val="•"/>
      <w:lvlJc w:val="left"/>
      <w:pPr>
        <w:ind w:left="1161" w:hanging="560"/>
      </w:pPr>
      <w:rPr>
        <w:rFonts w:ascii="Calibri" w:eastAsiaTheme="minorHAnsi"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num w:numId="1">
    <w:abstractNumId w:val="7"/>
  </w:num>
  <w:num w:numId="2">
    <w:abstractNumId w:val="17"/>
  </w:num>
  <w:num w:numId="3">
    <w:abstractNumId w:val="27"/>
  </w:num>
  <w:num w:numId="4">
    <w:abstractNumId w:val="15"/>
  </w:num>
  <w:num w:numId="5">
    <w:abstractNumId w:val="19"/>
  </w:num>
  <w:num w:numId="6">
    <w:abstractNumId w:val="14"/>
  </w:num>
  <w:num w:numId="7">
    <w:abstractNumId w:val="26"/>
  </w:num>
  <w:num w:numId="8">
    <w:abstractNumId w:val="10"/>
  </w:num>
  <w:num w:numId="9">
    <w:abstractNumId w:val="6"/>
  </w:num>
  <w:num w:numId="10">
    <w:abstractNumId w:val="24"/>
  </w:num>
  <w:num w:numId="11">
    <w:abstractNumId w:val="5"/>
  </w:num>
  <w:num w:numId="12">
    <w:abstractNumId w:val="12"/>
  </w:num>
  <w:num w:numId="13">
    <w:abstractNumId w:val="9"/>
  </w:num>
  <w:num w:numId="14">
    <w:abstractNumId w:val="20"/>
  </w:num>
  <w:num w:numId="15">
    <w:abstractNumId w:val="8"/>
  </w:num>
  <w:num w:numId="16">
    <w:abstractNumId w:val="28"/>
  </w:num>
  <w:num w:numId="17">
    <w:abstractNumId w:val="2"/>
  </w:num>
  <w:num w:numId="18">
    <w:abstractNumId w:val="11"/>
  </w:num>
  <w:num w:numId="19">
    <w:abstractNumId w:val="16"/>
  </w:num>
  <w:num w:numId="20">
    <w:abstractNumId w:val="25"/>
  </w:num>
  <w:num w:numId="21">
    <w:abstractNumId w:val="13"/>
  </w:num>
  <w:num w:numId="22">
    <w:abstractNumId w:val="22"/>
  </w:num>
  <w:num w:numId="23">
    <w:abstractNumId w:val="21"/>
  </w:num>
  <w:num w:numId="24">
    <w:abstractNumId w:val="3"/>
  </w:num>
  <w:num w:numId="25">
    <w:abstractNumId w:val="1"/>
  </w:num>
  <w:num w:numId="26">
    <w:abstractNumId w:val="0"/>
  </w:num>
  <w:num w:numId="27">
    <w:abstractNumId w:val="29"/>
  </w:num>
  <w:num w:numId="28">
    <w:abstractNumId w:val="18"/>
  </w:num>
  <w:num w:numId="29">
    <w:abstractNumId w:val="4"/>
  </w:num>
  <w:num w:numId="30">
    <w:abstractNumId w:val="30"/>
  </w:num>
  <w:num w:numId="31">
    <w:abstractNumId w:val="2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bberson, clare">
    <w15:presenceInfo w15:providerId="AD" w15:userId="S-1-5-21-1494376522-2119321174-925700815-110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gutterAtTop/>
  <w:hideSpellingErrors/>
  <w:hideGrammatical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0B"/>
    <w:rsid w:val="00000174"/>
    <w:rsid w:val="00000B95"/>
    <w:rsid w:val="00004CAC"/>
    <w:rsid w:val="00004D58"/>
    <w:rsid w:val="000068C0"/>
    <w:rsid w:val="00007664"/>
    <w:rsid w:val="00014123"/>
    <w:rsid w:val="00016363"/>
    <w:rsid w:val="0001642C"/>
    <w:rsid w:val="000304A7"/>
    <w:rsid w:val="000323AD"/>
    <w:rsid w:val="00032E6B"/>
    <w:rsid w:val="00033A99"/>
    <w:rsid w:val="00034672"/>
    <w:rsid w:val="000358E0"/>
    <w:rsid w:val="00040C7A"/>
    <w:rsid w:val="0004195D"/>
    <w:rsid w:val="00046170"/>
    <w:rsid w:val="00046317"/>
    <w:rsid w:val="00047E85"/>
    <w:rsid w:val="000507E4"/>
    <w:rsid w:val="000513E5"/>
    <w:rsid w:val="0005163A"/>
    <w:rsid w:val="00053BC1"/>
    <w:rsid w:val="00060C0C"/>
    <w:rsid w:val="00060DAA"/>
    <w:rsid w:val="00061BDD"/>
    <w:rsid w:val="00065E33"/>
    <w:rsid w:val="000669F7"/>
    <w:rsid w:val="00067C53"/>
    <w:rsid w:val="00070801"/>
    <w:rsid w:val="00070BE3"/>
    <w:rsid w:val="00075C1E"/>
    <w:rsid w:val="000779B2"/>
    <w:rsid w:val="00080EE4"/>
    <w:rsid w:val="0008137C"/>
    <w:rsid w:val="000814B2"/>
    <w:rsid w:val="00083527"/>
    <w:rsid w:val="00083BB5"/>
    <w:rsid w:val="00087D4D"/>
    <w:rsid w:val="00090D38"/>
    <w:rsid w:val="00090D71"/>
    <w:rsid w:val="00091AC1"/>
    <w:rsid w:val="00092129"/>
    <w:rsid w:val="00092974"/>
    <w:rsid w:val="00095981"/>
    <w:rsid w:val="00097A8B"/>
    <w:rsid w:val="000A0B99"/>
    <w:rsid w:val="000A0CC8"/>
    <w:rsid w:val="000A2A3A"/>
    <w:rsid w:val="000A3685"/>
    <w:rsid w:val="000A5891"/>
    <w:rsid w:val="000A72E2"/>
    <w:rsid w:val="000B222E"/>
    <w:rsid w:val="000B47FE"/>
    <w:rsid w:val="000C5428"/>
    <w:rsid w:val="000D0475"/>
    <w:rsid w:val="000D196C"/>
    <w:rsid w:val="000D234C"/>
    <w:rsid w:val="000D7999"/>
    <w:rsid w:val="000E630A"/>
    <w:rsid w:val="000E6662"/>
    <w:rsid w:val="000F1915"/>
    <w:rsid w:val="000F33A4"/>
    <w:rsid w:val="000F42FB"/>
    <w:rsid w:val="00102A1E"/>
    <w:rsid w:val="00103CF7"/>
    <w:rsid w:val="0010774D"/>
    <w:rsid w:val="00113E29"/>
    <w:rsid w:val="00116B54"/>
    <w:rsid w:val="00117D20"/>
    <w:rsid w:val="001206E9"/>
    <w:rsid w:val="001218AB"/>
    <w:rsid w:val="00121EF0"/>
    <w:rsid w:val="001225F3"/>
    <w:rsid w:val="00124937"/>
    <w:rsid w:val="0012576E"/>
    <w:rsid w:val="00125E14"/>
    <w:rsid w:val="00126DE1"/>
    <w:rsid w:val="00131917"/>
    <w:rsid w:val="00131DC0"/>
    <w:rsid w:val="00132B97"/>
    <w:rsid w:val="001342F1"/>
    <w:rsid w:val="00136749"/>
    <w:rsid w:val="001448C4"/>
    <w:rsid w:val="00144A24"/>
    <w:rsid w:val="00145435"/>
    <w:rsid w:val="00145D7B"/>
    <w:rsid w:val="001537C9"/>
    <w:rsid w:val="001552F5"/>
    <w:rsid w:val="001553DD"/>
    <w:rsid w:val="00156652"/>
    <w:rsid w:val="00172DF4"/>
    <w:rsid w:val="00176592"/>
    <w:rsid w:val="001765D5"/>
    <w:rsid w:val="00176D20"/>
    <w:rsid w:val="00177A48"/>
    <w:rsid w:val="0018100E"/>
    <w:rsid w:val="0018242C"/>
    <w:rsid w:val="00183F68"/>
    <w:rsid w:val="00185B49"/>
    <w:rsid w:val="00187225"/>
    <w:rsid w:val="00187410"/>
    <w:rsid w:val="00187A4F"/>
    <w:rsid w:val="00192598"/>
    <w:rsid w:val="001942BC"/>
    <w:rsid w:val="0019444F"/>
    <w:rsid w:val="001A0D58"/>
    <w:rsid w:val="001A6CB5"/>
    <w:rsid w:val="001A6F8F"/>
    <w:rsid w:val="001B204D"/>
    <w:rsid w:val="001B3FD8"/>
    <w:rsid w:val="001C5324"/>
    <w:rsid w:val="001D4C3D"/>
    <w:rsid w:val="001E3F35"/>
    <w:rsid w:val="001E6ACE"/>
    <w:rsid w:val="001E7651"/>
    <w:rsid w:val="001E76ED"/>
    <w:rsid w:val="001E7AD9"/>
    <w:rsid w:val="001F050C"/>
    <w:rsid w:val="001F0A7C"/>
    <w:rsid w:val="001F5636"/>
    <w:rsid w:val="0020186F"/>
    <w:rsid w:val="00201B1D"/>
    <w:rsid w:val="00202F08"/>
    <w:rsid w:val="00204113"/>
    <w:rsid w:val="00204D2A"/>
    <w:rsid w:val="00206044"/>
    <w:rsid w:val="00206800"/>
    <w:rsid w:val="0021021E"/>
    <w:rsid w:val="00213AF6"/>
    <w:rsid w:val="0021424C"/>
    <w:rsid w:val="002151C6"/>
    <w:rsid w:val="00215CC3"/>
    <w:rsid w:val="00216518"/>
    <w:rsid w:val="00216668"/>
    <w:rsid w:val="002227F1"/>
    <w:rsid w:val="00224231"/>
    <w:rsid w:val="00230CD7"/>
    <w:rsid w:val="00232437"/>
    <w:rsid w:val="0023292C"/>
    <w:rsid w:val="0023673B"/>
    <w:rsid w:val="00237267"/>
    <w:rsid w:val="0023762B"/>
    <w:rsid w:val="0024030B"/>
    <w:rsid w:val="00246380"/>
    <w:rsid w:val="002520D4"/>
    <w:rsid w:val="00261FC5"/>
    <w:rsid w:val="00263EB8"/>
    <w:rsid w:val="00264ABA"/>
    <w:rsid w:val="0026590A"/>
    <w:rsid w:val="00265BE1"/>
    <w:rsid w:val="00265EAB"/>
    <w:rsid w:val="00270E18"/>
    <w:rsid w:val="00271763"/>
    <w:rsid w:val="00273BCE"/>
    <w:rsid w:val="00274AF2"/>
    <w:rsid w:val="002813AB"/>
    <w:rsid w:val="00286E19"/>
    <w:rsid w:val="002902DC"/>
    <w:rsid w:val="00290D4B"/>
    <w:rsid w:val="002A41B1"/>
    <w:rsid w:val="002A5D82"/>
    <w:rsid w:val="002A61E3"/>
    <w:rsid w:val="002A75FF"/>
    <w:rsid w:val="002B0D0C"/>
    <w:rsid w:val="002B0E79"/>
    <w:rsid w:val="002B10D5"/>
    <w:rsid w:val="002B3A1D"/>
    <w:rsid w:val="002B5D41"/>
    <w:rsid w:val="002B6197"/>
    <w:rsid w:val="002B677F"/>
    <w:rsid w:val="002C0795"/>
    <w:rsid w:val="002C3F1B"/>
    <w:rsid w:val="002C4755"/>
    <w:rsid w:val="002D1E85"/>
    <w:rsid w:val="002D1F7A"/>
    <w:rsid w:val="002D344D"/>
    <w:rsid w:val="002D624F"/>
    <w:rsid w:val="002D677A"/>
    <w:rsid w:val="002E0712"/>
    <w:rsid w:val="002E1FED"/>
    <w:rsid w:val="002E4B2E"/>
    <w:rsid w:val="002E4F92"/>
    <w:rsid w:val="002F3A1F"/>
    <w:rsid w:val="002F3E2E"/>
    <w:rsid w:val="002F42FD"/>
    <w:rsid w:val="002F4AF6"/>
    <w:rsid w:val="002F6699"/>
    <w:rsid w:val="00300D28"/>
    <w:rsid w:val="00303F7A"/>
    <w:rsid w:val="00305797"/>
    <w:rsid w:val="00314677"/>
    <w:rsid w:val="003158AB"/>
    <w:rsid w:val="00322952"/>
    <w:rsid w:val="00322C3C"/>
    <w:rsid w:val="00324A98"/>
    <w:rsid w:val="00325395"/>
    <w:rsid w:val="0033354C"/>
    <w:rsid w:val="003356A2"/>
    <w:rsid w:val="00335761"/>
    <w:rsid w:val="003357DE"/>
    <w:rsid w:val="00336617"/>
    <w:rsid w:val="00353A78"/>
    <w:rsid w:val="00354CF7"/>
    <w:rsid w:val="00355A74"/>
    <w:rsid w:val="003571DA"/>
    <w:rsid w:val="0035730A"/>
    <w:rsid w:val="00357EF4"/>
    <w:rsid w:val="00360809"/>
    <w:rsid w:val="00366284"/>
    <w:rsid w:val="00370021"/>
    <w:rsid w:val="00371B18"/>
    <w:rsid w:val="00372A95"/>
    <w:rsid w:val="003738C5"/>
    <w:rsid w:val="00373923"/>
    <w:rsid w:val="00374CF9"/>
    <w:rsid w:val="003755BF"/>
    <w:rsid w:val="003765CB"/>
    <w:rsid w:val="0038186B"/>
    <w:rsid w:val="00381EA2"/>
    <w:rsid w:val="0038376B"/>
    <w:rsid w:val="00387B78"/>
    <w:rsid w:val="0039237C"/>
    <w:rsid w:val="00393118"/>
    <w:rsid w:val="00393608"/>
    <w:rsid w:val="00395291"/>
    <w:rsid w:val="003979FA"/>
    <w:rsid w:val="003A0673"/>
    <w:rsid w:val="003A3FF4"/>
    <w:rsid w:val="003A46CE"/>
    <w:rsid w:val="003A5E5F"/>
    <w:rsid w:val="003A6D6E"/>
    <w:rsid w:val="003B0D8D"/>
    <w:rsid w:val="003B2FAD"/>
    <w:rsid w:val="003C2411"/>
    <w:rsid w:val="003C5F49"/>
    <w:rsid w:val="003C666A"/>
    <w:rsid w:val="003D14DF"/>
    <w:rsid w:val="003E184E"/>
    <w:rsid w:val="003E61B9"/>
    <w:rsid w:val="003E6EAB"/>
    <w:rsid w:val="003F1811"/>
    <w:rsid w:val="003F1B31"/>
    <w:rsid w:val="003F3602"/>
    <w:rsid w:val="003F77D6"/>
    <w:rsid w:val="00401616"/>
    <w:rsid w:val="00403A09"/>
    <w:rsid w:val="00405121"/>
    <w:rsid w:val="00405B90"/>
    <w:rsid w:val="00407D92"/>
    <w:rsid w:val="00410F7E"/>
    <w:rsid w:val="004151C2"/>
    <w:rsid w:val="004245F6"/>
    <w:rsid w:val="0043581B"/>
    <w:rsid w:val="00437332"/>
    <w:rsid w:val="00442AE7"/>
    <w:rsid w:val="00443D70"/>
    <w:rsid w:val="004462BA"/>
    <w:rsid w:val="00447AE4"/>
    <w:rsid w:val="00450EEC"/>
    <w:rsid w:val="00452D0F"/>
    <w:rsid w:val="00453220"/>
    <w:rsid w:val="00454C2E"/>
    <w:rsid w:val="00454D2A"/>
    <w:rsid w:val="004559B2"/>
    <w:rsid w:val="0045744A"/>
    <w:rsid w:val="004632E6"/>
    <w:rsid w:val="0046706A"/>
    <w:rsid w:val="004721A8"/>
    <w:rsid w:val="0047298A"/>
    <w:rsid w:val="00473617"/>
    <w:rsid w:val="00475600"/>
    <w:rsid w:val="0047571C"/>
    <w:rsid w:val="00476E87"/>
    <w:rsid w:val="004775D7"/>
    <w:rsid w:val="004819A9"/>
    <w:rsid w:val="00482A62"/>
    <w:rsid w:val="00483491"/>
    <w:rsid w:val="0048617C"/>
    <w:rsid w:val="00486353"/>
    <w:rsid w:val="00497C59"/>
    <w:rsid w:val="004A57D3"/>
    <w:rsid w:val="004B47CB"/>
    <w:rsid w:val="004B5206"/>
    <w:rsid w:val="004B5F75"/>
    <w:rsid w:val="004B631A"/>
    <w:rsid w:val="004B65EE"/>
    <w:rsid w:val="004C0E8F"/>
    <w:rsid w:val="004C0EC9"/>
    <w:rsid w:val="004C27E4"/>
    <w:rsid w:val="004C32F0"/>
    <w:rsid w:val="004C49FF"/>
    <w:rsid w:val="004C4BAA"/>
    <w:rsid w:val="004C6DB1"/>
    <w:rsid w:val="004C731B"/>
    <w:rsid w:val="004C7FE5"/>
    <w:rsid w:val="004D1C69"/>
    <w:rsid w:val="004D495B"/>
    <w:rsid w:val="004D516C"/>
    <w:rsid w:val="004E0D7E"/>
    <w:rsid w:val="004E1FBF"/>
    <w:rsid w:val="004E203C"/>
    <w:rsid w:val="004E30FB"/>
    <w:rsid w:val="004E3337"/>
    <w:rsid w:val="004E4D06"/>
    <w:rsid w:val="004E5730"/>
    <w:rsid w:val="004E6C32"/>
    <w:rsid w:val="004F0ADE"/>
    <w:rsid w:val="004F1BE3"/>
    <w:rsid w:val="004F2C94"/>
    <w:rsid w:val="004F412C"/>
    <w:rsid w:val="004F4DA4"/>
    <w:rsid w:val="004F65B8"/>
    <w:rsid w:val="004F7068"/>
    <w:rsid w:val="005004CB"/>
    <w:rsid w:val="00504FDA"/>
    <w:rsid w:val="00506AFB"/>
    <w:rsid w:val="00511929"/>
    <w:rsid w:val="0051447D"/>
    <w:rsid w:val="00515BF1"/>
    <w:rsid w:val="00515CE3"/>
    <w:rsid w:val="005168A2"/>
    <w:rsid w:val="00524664"/>
    <w:rsid w:val="005268F2"/>
    <w:rsid w:val="00527C1A"/>
    <w:rsid w:val="005417F4"/>
    <w:rsid w:val="00545041"/>
    <w:rsid w:val="00545F61"/>
    <w:rsid w:val="00550748"/>
    <w:rsid w:val="00552138"/>
    <w:rsid w:val="00553CB7"/>
    <w:rsid w:val="005541BB"/>
    <w:rsid w:val="00556161"/>
    <w:rsid w:val="00560A72"/>
    <w:rsid w:val="00561858"/>
    <w:rsid w:val="0056269C"/>
    <w:rsid w:val="00563212"/>
    <w:rsid w:val="00563978"/>
    <w:rsid w:val="0056768C"/>
    <w:rsid w:val="00567FBB"/>
    <w:rsid w:val="00570516"/>
    <w:rsid w:val="00570A71"/>
    <w:rsid w:val="00571652"/>
    <w:rsid w:val="005750FD"/>
    <w:rsid w:val="00577C8F"/>
    <w:rsid w:val="00580942"/>
    <w:rsid w:val="0058175F"/>
    <w:rsid w:val="00583731"/>
    <w:rsid w:val="0058582D"/>
    <w:rsid w:val="00586941"/>
    <w:rsid w:val="00590107"/>
    <w:rsid w:val="00590360"/>
    <w:rsid w:val="005909D5"/>
    <w:rsid w:val="00590CD7"/>
    <w:rsid w:val="00594476"/>
    <w:rsid w:val="0059540A"/>
    <w:rsid w:val="00596A39"/>
    <w:rsid w:val="005A0023"/>
    <w:rsid w:val="005A110E"/>
    <w:rsid w:val="005A434E"/>
    <w:rsid w:val="005B0FE6"/>
    <w:rsid w:val="005B2C08"/>
    <w:rsid w:val="005B2C2D"/>
    <w:rsid w:val="005B3A39"/>
    <w:rsid w:val="005B417C"/>
    <w:rsid w:val="005C0119"/>
    <w:rsid w:val="005C07B0"/>
    <w:rsid w:val="005C6DF4"/>
    <w:rsid w:val="005D4A55"/>
    <w:rsid w:val="005D51E6"/>
    <w:rsid w:val="005D5904"/>
    <w:rsid w:val="005E3B12"/>
    <w:rsid w:val="005F1DD3"/>
    <w:rsid w:val="005F292C"/>
    <w:rsid w:val="005F76EC"/>
    <w:rsid w:val="005F7C3B"/>
    <w:rsid w:val="006008D2"/>
    <w:rsid w:val="00601C01"/>
    <w:rsid w:val="006045D3"/>
    <w:rsid w:val="00605062"/>
    <w:rsid w:val="00607457"/>
    <w:rsid w:val="00607732"/>
    <w:rsid w:val="006131A4"/>
    <w:rsid w:val="00615B91"/>
    <w:rsid w:val="006207C6"/>
    <w:rsid w:val="006215FC"/>
    <w:rsid w:val="00621E2E"/>
    <w:rsid w:val="00622BBE"/>
    <w:rsid w:val="00626797"/>
    <w:rsid w:val="0062697C"/>
    <w:rsid w:val="006303A5"/>
    <w:rsid w:val="00632A5A"/>
    <w:rsid w:val="00634354"/>
    <w:rsid w:val="00635A2A"/>
    <w:rsid w:val="00643F93"/>
    <w:rsid w:val="00645AA9"/>
    <w:rsid w:val="00645FC4"/>
    <w:rsid w:val="00650976"/>
    <w:rsid w:val="00661A98"/>
    <w:rsid w:val="00662B85"/>
    <w:rsid w:val="006640BC"/>
    <w:rsid w:val="00667A51"/>
    <w:rsid w:val="00671552"/>
    <w:rsid w:val="00673C9B"/>
    <w:rsid w:val="00681FDB"/>
    <w:rsid w:val="00686F31"/>
    <w:rsid w:val="00687EB9"/>
    <w:rsid w:val="00692610"/>
    <w:rsid w:val="00693F46"/>
    <w:rsid w:val="00697A90"/>
    <w:rsid w:val="006A048E"/>
    <w:rsid w:val="006A0BFE"/>
    <w:rsid w:val="006A15C0"/>
    <w:rsid w:val="006B0D86"/>
    <w:rsid w:val="006B13BA"/>
    <w:rsid w:val="006B2478"/>
    <w:rsid w:val="006B547B"/>
    <w:rsid w:val="006C08F8"/>
    <w:rsid w:val="006C24EC"/>
    <w:rsid w:val="006C2FF1"/>
    <w:rsid w:val="006C69DA"/>
    <w:rsid w:val="006D238B"/>
    <w:rsid w:val="006D4C20"/>
    <w:rsid w:val="006E2B39"/>
    <w:rsid w:val="006E7183"/>
    <w:rsid w:val="006F4F0B"/>
    <w:rsid w:val="00700BC9"/>
    <w:rsid w:val="0070544E"/>
    <w:rsid w:val="0070588C"/>
    <w:rsid w:val="00707425"/>
    <w:rsid w:val="0070742C"/>
    <w:rsid w:val="00707D0A"/>
    <w:rsid w:val="007117C2"/>
    <w:rsid w:val="00722317"/>
    <w:rsid w:val="0072718A"/>
    <w:rsid w:val="00730967"/>
    <w:rsid w:val="00730ECC"/>
    <w:rsid w:val="00730FA4"/>
    <w:rsid w:val="00733BF3"/>
    <w:rsid w:val="00734F5D"/>
    <w:rsid w:val="007449C8"/>
    <w:rsid w:val="00750C5B"/>
    <w:rsid w:val="00751399"/>
    <w:rsid w:val="0075377D"/>
    <w:rsid w:val="00756130"/>
    <w:rsid w:val="007623DA"/>
    <w:rsid w:val="00762764"/>
    <w:rsid w:val="00762A5A"/>
    <w:rsid w:val="0076339F"/>
    <w:rsid w:val="00765E10"/>
    <w:rsid w:val="007704AA"/>
    <w:rsid w:val="00771000"/>
    <w:rsid w:val="00771D8D"/>
    <w:rsid w:val="0077560D"/>
    <w:rsid w:val="00781DB9"/>
    <w:rsid w:val="00782941"/>
    <w:rsid w:val="00782BF3"/>
    <w:rsid w:val="007840EC"/>
    <w:rsid w:val="00784E6C"/>
    <w:rsid w:val="00790AEF"/>
    <w:rsid w:val="007922A0"/>
    <w:rsid w:val="007A1490"/>
    <w:rsid w:val="007A167F"/>
    <w:rsid w:val="007A473D"/>
    <w:rsid w:val="007A780C"/>
    <w:rsid w:val="007B06A4"/>
    <w:rsid w:val="007B67A6"/>
    <w:rsid w:val="007B6ED9"/>
    <w:rsid w:val="007B7563"/>
    <w:rsid w:val="007C0BAE"/>
    <w:rsid w:val="007C245B"/>
    <w:rsid w:val="007C2CC5"/>
    <w:rsid w:val="007C7CCA"/>
    <w:rsid w:val="007D57F7"/>
    <w:rsid w:val="007E0AC2"/>
    <w:rsid w:val="007E1829"/>
    <w:rsid w:val="007E1FBC"/>
    <w:rsid w:val="007E3AC1"/>
    <w:rsid w:val="007E5177"/>
    <w:rsid w:val="007E6257"/>
    <w:rsid w:val="007E72D5"/>
    <w:rsid w:val="007E7D59"/>
    <w:rsid w:val="007F1E94"/>
    <w:rsid w:val="007F2E9A"/>
    <w:rsid w:val="007F5ABF"/>
    <w:rsid w:val="007F6821"/>
    <w:rsid w:val="00801E66"/>
    <w:rsid w:val="00805BA1"/>
    <w:rsid w:val="00807178"/>
    <w:rsid w:val="00810424"/>
    <w:rsid w:val="00811697"/>
    <w:rsid w:val="0081579B"/>
    <w:rsid w:val="00820A43"/>
    <w:rsid w:val="0082255E"/>
    <w:rsid w:val="00823935"/>
    <w:rsid w:val="00827172"/>
    <w:rsid w:val="0082794D"/>
    <w:rsid w:val="00832A01"/>
    <w:rsid w:val="0083447E"/>
    <w:rsid w:val="008349C5"/>
    <w:rsid w:val="00834DA8"/>
    <w:rsid w:val="008409D2"/>
    <w:rsid w:val="00841483"/>
    <w:rsid w:val="00844C79"/>
    <w:rsid w:val="00846150"/>
    <w:rsid w:val="00851172"/>
    <w:rsid w:val="0085381B"/>
    <w:rsid w:val="008715D9"/>
    <w:rsid w:val="0087276F"/>
    <w:rsid w:val="0087579A"/>
    <w:rsid w:val="00875A21"/>
    <w:rsid w:val="008800E1"/>
    <w:rsid w:val="00880177"/>
    <w:rsid w:val="008833F2"/>
    <w:rsid w:val="00885578"/>
    <w:rsid w:val="00885B0C"/>
    <w:rsid w:val="00887225"/>
    <w:rsid w:val="00894B05"/>
    <w:rsid w:val="00896A33"/>
    <w:rsid w:val="008A53D9"/>
    <w:rsid w:val="008A56AE"/>
    <w:rsid w:val="008B14DC"/>
    <w:rsid w:val="008B20FE"/>
    <w:rsid w:val="008B49F9"/>
    <w:rsid w:val="008B4DC9"/>
    <w:rsid w:val="008C24B8"/>
    <w:rsid w:val="008C5F1B"/>
    <w:rsid w:val="008C7CCF"/>
    <w:rsid w:val="008D1E25"/>
    <w:rsid w:val="008D255F"/>
    <w:rsid w:val="008D3A1D"/>
    <w:rsid w:val="008E01EC"/>
    <w:rsid w:val="008E5FCA"/>
    <w:rsid w:val="008E6F5C"/>
    <w:rsid w:val="008F1241"/>
    <w:rsid w:val="008F173F"/>
    <w:rsid w:val="008F1A18"/>
    <w:rsid w:val="008F2376"/>
    <w:rsid w:val="008F38E1"/>
    <w:rsid w:val="008F3AA1"/>
    <w:rsid w:val="008F3D3A"/>
    <w:rsid w:val="008F510B"/>
    <w:rsid w:val="008F7D5D"/>
    <w:rsid w:val="00900A46"/>
    <w:rsid w:val="00901F15"/>
    <w:rsid w:val="00905BDC"/>
    <w:rsid w:val="00910893"/>
    <w:rsid w:val="00911727"/>
    <w:rsid w:val="009117E9"/>
    <w:rsid w:val="00912F5B"/>
    <w:rsid w:val="00913001"/>
    <w:rsid w:val="00913A6C"/>
    <w:rsid w:val="009160FF"/>
    <w:rsid w:val="00920B09"/>
    <w:rsid w:val="009215E8"/>
    <w:rsid w:val="009258DC"/>
    <w:rsid w:val="00930B1C"/>
    <w:rsid w:val="0093110D"/>
    <w:rsid w:val="00931A85"/>
    <w:rsid w:val="0093391A"/>
    <w:rsid w:val="00934EED"/>
    <w:rsid w:val="009429D4"/>
    <w:rsid w:val="0094452E"/>
    <w:rsid w:val="00944704"/>
    <w:rsid w:val="00944A16"/>
    <w:rsid w:val="00945EA1"/>
    <w:rsid w:val="00947933"/>
    <w:rsid w:val="00951001"/>
    <w:rsid w:val="0095128E"/>
    <w:rsid w:val="00952CA7"/>
    <w:rsid w:val="00952E99"/>
    <w:rsid w:val="00953222"/>
    <w:rsid w:val="009543BE"/>
    <w:rsid w:val="00957817"/>
    <w:rsid w:val="00963306"/>
    <w:rsid w:val="009663B9"/>
    <w:rsid w:val="009663F1"/>
    <w:rsid w:val="0097133A"/>
    <w:rsid w:val="00982F8D"/>
    <w:rsid w:val="009851E2"/>
    <w:rsid w:val="00985B71"/>
    <w:rsid w:val="00994D83"/>
    <w:rsid w:val="009A1066"/>
    <w:rsid w:val="009A7664"/>
    <w:rsid w:val="009B4C32"/>
    <w:rsid w:val="009B4F34"/>
    <w:rsid w:val="009B6F7B"/>
    <w:rsid w:val="009C1694"/>
    <w:rsid w:val="009C37CA"/>
    <w:rsid w:val="009C41CD"/>
    <w:rsid w:val="009C47DB"/>
    <w:rsid w:val="009C50A3"/>
    <w:rsid w:val="009C6E8C"/>
    <w:rsid w:val="009D041D"/>
    <w:rsid w:val="009D646D"/>
    <w:rsid w:val="009D7B4B"/>
    <w:rsid w:val="009E56AF"/>
    <w:rsid w:val="009E6468"/>
    <w:rsid w:val="009E74A7"/>
    <w:rsid w:val="009F2235"/>
    <w:rsid w:val="009F2D00"/>
    <w:rsid w:val="009F3E17"/>
    <w:rsid w:val="009F520C"/>
    <w:rsid w:val="009F6ADA"/>
    <w:rsid w:val="009F7B4B"/>
    <w:rsid w:val="00A000F6"/>
    <w:rsid w:val="00A004A0"/>
    <w:rsid w:val="00A01F28"/>
    <w:rsid w:val="00A02FD3"/>
    <w:rsid w:val="00A04A53"/>
    <w:rsid w:val="00A10361"/>
    <w:rsid w:val="00A11AA8"/>
    <w:rsid w:val="00A15562"/>
    <w:rsid w:val="00A17413"/>
    <w:rsid w:val="00A20E0D"/>
    <w:rsid w:val="00A21BBE"/>
    <w:rsid w:val="00A245D6"/>
    <w:rsid w:val="00A27717"/>
    <w:rsid w:val="00A27D93"/>
    <w:rsid w:val="00A30148"/>
    <w:rsid w:val="00A30926"/>
    <w:rsid w:val="00A3289B"/>
    <w:rsid w:val="00A53F5A"/>
    <w:rsid w:val="00A5504A"/>
    <w:rsid w:val="00A61F44"/>
    <w:rsid w:val="00A62CA6"/>
    <w:rsid w:val="00A67E9C"/>
    <w:rsid w:val="00A70BC2"/>
    <w:rsid w:val="00A71A71"/>
    <w:rsid w:val="00A74813"/>
    <w:rsid w:val="00A83785"/>
    <w:rsid w:val="00A8403F"/>
    <w:rsid w:val="00A8487A"/>
    <w:rsid w:val="00A84F6C"/>
    <w:rsid w:val="00A87242"/>
    <w:rsid w:val="00A87809"/>
    <w:rsid w:val="00A87EC3"/>
    <w:rsid w:val="00A90C8E"/>
    <w:rsid w:val="00A9242B"/>
    <w:rsid w:val="00A93B2B"/>
    <w:rsid w:val="00A943BC"/>
    <w:rsid w:val="00A97ABE"/>
    <w:rsid w:val="00AA2C68"/>
    <w:rsid w:val="00AA3128"/>
    <w:rsid w:val="00AA650B"/>
    <w:rsid w:val="00AB40DC"/>
    <w:rsid w:val="00AB512D"/>
    <w:rsid w:val="00AB72E3"/>
    <w:rsid w:val="00AC10F0"/>
    <w:rsid w:val="00AC1AC8"/>
    <w:rsid w:val="00AC2B51"/>
    <w:rsid w:val="00AC49DE"/>
    <w:rsid w:val="00AC5A83"/>
    <w:rsid w:val="00AC679B"/>
    <w:rsid w:val="00AD0E70"/>
    <w:rsid w:val="00AD3D8F"/>
    <w:rsid w:val="00AD5DC4"/>
    <w:rsid w:val="00AD7184"/>
    <w:rsid w:val="00AE14F2"/>
    <w:rsid w:val="00AE1B5D"/>
    <w:rsid w:val="00AE4061"/>
    <w:rsid w:val="00AE54FD"/>
    <w:rsid w:val="00AF3FA7"/>
    <w:rsid w:val="00AF6C28"/>
    <w:rsid w:val="00B0064A"/>
    <w:rsid w:val="00B02445"/>
    <w:rsid w:val="00B040AC"/>
    <w:rsid w:val="00B12188"/>
    <w:rsid w:val="00B13517"/>
    <w:rsid w:val="00B20D19"/>
    <w:rsid w:val="00B20F5A"/>
    <w:rsid w:val="00B214EF"/>
    <w:rsid w:val="00B24216"/>
    <w:rsid w:val="00B252A8"/>
    <w:rsid w:val="00B26A71"/>
    <w:rsid w:val="00B26ED5"/>
    <w:rsid w:val="00B27B8F"/>
    <w:rsid w:val="00B33EE6"/>
    <w:rsid w:val="00B35999"/>
    <w:rsid w:val="00B367FF"/>
    <w:rsid w:val="00B422EB"/>
    <w:rsid w:val="00B4296A"/>
    <w:rsid w:val="00B42E19"/>
    <w:rsid w:val="00B43C99"/>
    <w:rsid w:val="00B46E24"/>
    <w:rsid w:val="00B5015E"/>
    <w:rsid w:val="00B52E86"/>
    <w:rsid w:val="00B5468B"/>
    <w:rsid w:val="00B54E47"/>
    <w:rsid w:val="00B55B36"/>
    <w:rsid w:val="00B611BF"/>
    <w:rsid w:val="00B618E7"/>
    <w:rsid w:val="00B7022C"/>
    <w:rsid w:val="00B70D26"/>
    <w:rsid w:val="00B73AE4"/>
    <w:rsid w:val="00B74B57"/>
    <w:rsid w:val="00B76075"/>
    <w:rsid w:val="00B76945"/>
    <w:rsid w:val="00B817E8"/>
    <w:rsid w:val="00B84A35"/>
    <w:rsid w:val="00B911D6"/>
    <w:rsid w:val="00B9187E"/>
    <w:rsid w:val="00B92E49"/>
    <w:rsid w:val="00B93980"/>
    <w:rsid w:val="00B948DA"/>
    <w:rsid w:val="00B96175"/>
    <w:rsid w:val="00B96ED2"/>
    <w:rsid w:val="00BA232A"/>
    <w:rsid w:val="00BA2554"/>
    <w:rsid w:val="00BA3CF1"/>
    <w:rsid w:val="00BA3ED2"/>
    <w:rsid w:val="00BA4BB8"/>
    <w:rsid w:val="00BA59E9"/>
    <w:rsid w:val="00BA65B6"/>
    <w:rsid w:val="00BB00D0"/>
    <w:rsid w:val="00BB2A05"/>
    <w:rsid w:val="00BB3178"/>
    <w:rsid w:val="00BB317B"/>
    <w:rsid w:val="00BB32D5"/>
    <w:rsid w:val="00BB53FB"/>
    <w:rsid w:val="00BB6B2F"/>
    <w:rsid w:val="00BC483B"/>
    <w:rsid w:val="00BC4FA6"/>
    <w:rsid w:val="00BC6175"/>
    <w:rsid w:val="00BD0BB0"/>
    <w:rsid w:val="00BD0FEE"/>
    <w:rsid w:val="00BD13E3"/>
    <w:rsid w:val="00BD2DE6"/>
    <w:rsid w:val="00BD370C"/>
    <w:rsid w:val="00BD6692"/>
    <w:rsid w:val="00BD6D92"/>
    <w:rsid w:val="00BE0259"/>
    <w:rsid w:val="00BE11BA"/>
    <w:rsid w:val="00BE158C"/>
    <w:rsid w:val="00BE164B"/>
    <w:rsid w:val="00BE2887"/>
    <w:rsid w:val="00BE3E61"/>
    <w:rsid w:val="00BE43B5"/>
    <w:rsid w:val="00BE536A"/>
    <w:rsid w:val="00BE63B5"/>
    <w:rsid w:val="00BE6B4A"/>
    <w:rsid w:val="00BE74ED"/>
    <w:rsid w:val="00BF0566"/>
    <w:rsid w:val="00BF181A"/>
    <w:rsid w:val="00BF3A88"/>
    <w:rsid w:val="00C020DB"/>
    <w:rsid w:val="00C02B24"/>
    <w:rsid w:val="00C052BA"/>
    <w:rsid w:val="00C0650C"/>
    <w:rsid w:val="00C07126"/>
    <w:rsid w:val="00C07E4D"/>
    <w:rsid w:val="00C1093F"/>
    <w:rsid w:val="00C11DE2"/>
    <w:rsid w:val="00C17EFA"/>
    <w:rsid w:val="00C228B2"/>
    <w:rsid w:val="00C23B06"/>
    <w:rsid w:val="00C242E6"/>
    <w:rsid w:val="00C25B77"/>
    <w:rsid w:val="00C263BD"/>
    <w:rsid w:val="00C311D2"/>
    <w:rsid w:val="00C32A7F"/>
    <w:rsid w:val="00C34728"/>
    <w:rsid w:val="00C360A3"/>
    <w:rsid w:val="00C369D1"/>
    <w:rsid w:val="00C42F65"/>
    <w:rsid w:val="00C439E1"/>
    <w:rsid w:val="00C46F29"/>
    <w:rsid w:val="00C47B31"/>
    <w:rsid w:val="00C52D2E"/>
    <w:rsid w:val="00C541EB"/>
    <w:rsid w:val="00C545B3"/>
    <w:rsid w:val="00C63FA1"/>
    <w:rsid w:val="00C649F7"/>
    <w:rsid w:val="00C66EFD"/>
    <w:rsid w:val="00C67339"/>
    <w:rsid w:val="00C70CDA"/>
    <w:rsid w:val="00C70F22"/>
    <w:rsid w:val="00C71DD3"/>
    <w:rsid w:val="00C72267"/>
    <w:rsid w:val="00C72EE2"/>
    <w:rsid w:val="00C74D46"/>
    <w:rsid w:val="00C76090"/>
    <w:rsid w:val="00C861F9"/>
    <w:rsid w:val="00C9189C"/>
    <w:rsid w:val="00C92E43"/>
    <w:rsid w:val="00C9547C"/>
    <w:rsid w:val="00CA2EC0"/>
    <w:rsid w:val="00CA422B"/>
    <w:rsid w:val="00CA7805"/>
    <w:rsid w:val="00CB2EED"/>
    <w:rsid w:val="00CB3086"/>
    <w:rsid w:val="00CB4F1C"/>
    <w:rsid w:val="00CB4F98"/>
    <w:rsid w:val="00CB53B9"/>
    <w:rsid w:val="00CB625E"/>
    <w:rsid w:val="00CB6C46"/>
    <w:rsid w:val="00CC15C4"/>
    <w:rsid w:val="00CC195B"/>
    <w:rsid w:val="00CC2EA9"/>
    <w:rsid w:val="00CC379B"/>
    <w:rsid w:val="00CC42D1"/>
    <w:rsid w:val="00CC6128"/>
    <w:rsid w:val="00CD00D9"/>
    <w:rsid w:val="00CD1E67"/>
    <w:rsid w:val="00CD2C24"/>
    <w:rsid w:val="00CD2D1B"/>
    <w:rsid w:val="00CD3248"/>
    <w:rsid w:val="00CD6B46"/>
    <w:rsid w:val="00CD72AB"/>
    <w:rsid w:val="00CE2A27"/>
    <w:rsid w:val="00CE430F"/>
    <w:rsid w:val="00CE5062"/>
    <w:rsid w:val="00CF11A0"/>
    <w:rsid w:val="00CF24CA"/>
    <w:rsid w:val="00CF5C52"/>
    <w:rsid w:val="00CF69C1"/>
    <w:rsid w:val="00D0262D"/>
    <w:rsid w:val="00D0640B"/>
    <w:rsid w:val="00D0662E"/>
    <w:rsid w:val="00D1102B"/>
    <w:rsid w:val="00D1311D"/>
    <w:rsid w:val="00D14F6F"/>
    <w:rsid w:val="00D32F1A"/>
    <w:rsid w:val="00D347B9"/>
    <w:rsid w:val="00D34D47"/>
    <w:rsid w:val="00D3657C"/>
    <w:rsid w:val="00D37E58"/>
    <w:rsid w:val="00D419EE"/>
    <w:rsid w:val="00D46209"/>
    <w:rsid w:val="00D50158"/>
    <w:rsid w:val="00D57AD4"/>
    <w:rsid w:val="00D622B2"/>
    <w:rsid w:val="00D6315A"/>
    <w:rsid w:val="00D63943"/>
    <w:rsid w:val="00D74134"/>
    <w:rsid w:val="00D7420C"/>
    <w:rsid w:val="00D76281"/>
    <w:rsid w:val="00D76516"/>
    <w:rsid w:val="00D76ECE"/>
    <w:rsid w:val="00D7779B"/>
    <w:rsid w:val="00D81316"/>
    <w:rsid w:val="00D81C12"/>
    <w:rsid w:val="00D83068"/>
    <w:rsid w:val="00D90864"/>
    <w:rsid w:val="00D92761"/>
    <w:rsid w:val="00D958A1"/>
    <w:rsid w:val="00DA0DB3"/>
    <w:rsid w:val="00DA366C"/>
    <w:rsid w:val="00DA3863"/>
    <w:rsid w:val="00DA7202"/>
    <w:rsid w:val="00DA75B4"/>
    <w:rsid w:val="00DB6F02"/>
    <w:rsid w:val="00DB785D"/>
    <w:rsid w:val="00DB7E88"/>
    <w:rsid w:val="00DC1076"/>
    <w:rsid w:val="00DC15BB"/>
    <w:rsid w:val="00DC5B56"/>
    <w:rsid w:val="00DC5DE6"/>
    <w:rsid w:val="00DC7D0E"/>
    <w:rsid w:val="00DD2A30"/>
    <w:rsid w:val="00DD4A81"/>
    <w:rsid w:val="00DE3E8F"/>
    <w:rsid w:val="00DE4BC6"/>
    <w:rsid w:val="00DE529A"/>
    <w:rsid w:val="00DE5A79"/>
    <w:rsid w:val="00DF1D91"/>
    <w:rsid w:val="00DF7F9C"/>
    <w:rsid w:val="00E051B9"/>
    <w:rsid w:val="00E0685A"/>
    <w:rsid w:val="00E11BEF"/>
    <w:rsid w:val="00E16B8E"/>
    <w:rsid w:val="00E2368E"/>
    <w:rsid w:val="00E30868"/>
    <w:rsid w:val="00E316E7"/>
    <w:rsid w:val="00E339F0"/>
    <w:rsid w:val="00E36637"/>
    <w:rsid w:val="00E36D6A"/>
    <w:rsid w:val="00E37254"/>
    <w:rsid w:val="00E40E0F"/>
    <w:rsid w:val="00E46886"/>
    <w:rsid w:val="00E47D9C"/>
    <w:rsid w:val="00E50864"/>
    <w:rsid w:val="00E522E7"/>
    <w:rsid w:val="00E549BE"/>
    <w:rsid w:val="00E54D1A"/>
    <w:rsid w:val="00E55149"/>
    <w:rsid w:val="00E56C1B"/>
    <w:rsid w:val="00E56EAC"/>
    <w:rsid w:val="00E571CE"/>
    <w:rsid w:val="00E60A02"/>
    <w:rsid w:val="00E61EC0"/>
    <w:rsid w:val="00E63BCB"/>
    <w:rsid w:val="00E64377"/>
    <w:rsid w:val="00E6737D"/>
    <w:rsid w:val="00E71D16"/>
    <w:rsid w:val="00E72FF5"/>
    <w:rsid w:val="00E74B93"/>
    <w:rsid w:val="00E74F8A"/>
    <w:rsid w:val="00E756EB"/>
    <w:rsid w:val="00E8387F"/>
    <w:rsid w:val="00E84686"/>
    <w:rsid w:val="00E87CDE"/>
    <w:rsid w:val="00E87FA0"/>
    <w:rsid w:val="00E9720B"/>
    <w:rsid w:val="00E97265"/>
    <w:rsid w:val="00EA2AA5"/>
    <w:rsid w:val="00EA51BC"/>
    <w:rsid w:val="00EB130F"/>
    <w:rsid w:val="00EB1923"/>
    <w:rsid w:val="00EB2924"/>
    <w:rsid w:val="00EB2F8C"/>
    <w:rsid w:val="00EB3903"/>
    <w:rsid w:val="00EC29B7"/>
    <w:rsid w:val="00EC78D1"/>
    <w:rsid w:val="00ED1FBA"/>
    <w:rsid w:val="00ED556E"/>
    <w:rsid w:val="00ED6A72"/>
    <w:rsid w:val="00ED72D6"/>
    <w:rsid w:val="00ED78B2"/>
    <w:rsid w:val="00EE10C3"/>
    <w:rsid w:val="00EE1D49"/>
    <w:rsid w:val="00EE669B"/>
    <w:rsid w:val="00EF0111"/>
    <w:rsid w:val="00EF05B3"/>
    <w:rsid w:val="00EF312A"/>
    <w:rsid w:val="00EF6CEE"/>
    <w:rsid w:val="00EF6D48"/>
    <w:rsid w:val="00F0145C"/>
    <w:rsid w:val="00F0718A"/>
    <w:rsid w:val="00F07C3C"/>
    <w:rsid w:val="00F10C2B"/>
    <w:rsid w:val="00F11ADC"/>
    <w:rsid w:val="00F13A7E"/>
    <w:rsid w:val="00F17625"/>
    <w:rsid w:val="00F261E6"/>
    <w:rsid w:val="00F267B4"/>
    <w:rsid w:val="00F27595"/>
    <w:rsid w:val="00F27F68"/>
    <w:rsid w:val="00F307B3"/>
    <w:rsid w:val="00F32C70"/>
    <w:rsid w:val="00F33066"/>
    <w:rsid w:val="00F33348"/>
    <w:rsid w:val="00F3391F"/>
    <w:rsid w:val="00F33D38"/>
    <w:rsid w:val="00F34157"/>
    <w:rsid w:val="00F41D71"/>
    <w:rsid w:val="00F459F1"/>
    <w:rsid w:val="00F45D9F"/>
    <w:rsid w:val="00F54669"/>
    <w:rsid w:val="00F55134"/>
    <w:rsid w:val="00F55FD5"/>
    <w:rsid w:val="00F57C66"/>
    <w:rsid w:val="00F66314"/>
    <w:rsid w:val="00F66470"/>
    <w:rsid w:val="00F669D2"/>
    <w:rsid w:val="00F70510"/>
    <w:rsid w:val="00F7695F"/>
    <w:rsid w:val="00F81961"/>
    <w:rsid w:val="00F8257F"/>
    <w:rsid w:val="00F8345D"/>
    <w:rsid w:val="00F8423C"/>
    <w:rsid w:val="00F84474"/>
    <w:rsid w:val="00F86BD4"/>
    <w:rsid w:val="00F9095A"/>
    <w:rsid w:val="00F91C37"/>
    <w:rsid w:val="00F96B79"/>
    <w:rsid w:val="00FA09B8"/>
    <w:rsid w:val="00FA0DF1"/>
    <w:rsid w:val="00FA1146"/>
    <w:rsid w:val="00FA1BD6"/>
    <w:rsid w:val="00FA6C38"/>
    <w:rsid w:val="00FA6F36"/>
    <w:rsid w:val="00FB2D30"/>
    <w:rsid w:val="00FB3AE3"/>
    <w:rsid w:val="00FC1014"/>
    <w:rsid w:val="00FC1261"/>
    <w:rsid w:val="00FC6221"/>
    <w:rsid w:val="00FC7CB8"/>
    <w:rsid w:val="00FD2AAB"/>
    <w:rsid w:val="00FD3CF4"/>
    <w:rsid w:val="00FD5C84"/>
    <w:rsid w:val="00FD5CE9"/>
    <w:rsid w:val="00FE15E4"/>
    <w:rsid w:val="00FE1E86"/>
    <w:rsid w:val="00FE3C7E"/>
    <w:rsid w:val="00FE4EC1"/>
    <w:rsid w:val="00FF2AF7"/>
    <w:rsid w:val="00FF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CB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D9"/>
  </w:style>
  <w:style w:type="paragraph" w:styleId="Heading1">
    <w:name w:val="heading 1"/>
    <w:basedOn w:val="Normal"/>
    <w:next w:val="Normal"/>
    <w:link w:val="Heading1Char"/>
    <w:uiPriority w:val="9"/>
    <w:qFormat/>
    <w:rsid w:val="00BE0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40B"/>
  </w:style>
  <w:style w:type="paragraph" w:styleId="Footer">
    <w:name w:val="footer"/>
    <w:basedOn w:val="Normal"/>
    <w:link w:val="FooterChar"/>
    <w:uiPriority w:val="99"/>
    <w:unhideWhenUsed/>
    <w:rsid w:val="00D06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40B"/>
  </w:style>
  <w:style w:type="paragraph" w:styleId="BalloonText">
    <w:name w:val="Balloon Text"/>
    <w:basedOn w:val="Normal"/>
    <w:link w:val="BalloonTextChar"/>
    <w:uiPriority w:val="99"/>
    <w:semiHidden/>
    <w:unhideWhenUsed/>
    <w:rsid w:val="00D06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0B"/>
    <w:rPr>
      <w:rFonts w:ascii="Tahoma" w:hAnsi="Tahoma" w:cs="Tahoma"/>
      <w:sz w:val="16"/>
      <w:szCs w:val="16"/>
    </w:rPr>
  </w:style>
  <w:style w:type="paragraph" w:styleId="NoSpacing">
    <w:name w:val="No Spacing"/>
    <w:uiPriority w:val="1"/>
    <w:qFormat/>
    <w:rsid w:val="00D0640B"/>
    <w:pPr>
      <w:spacing w:after="0" w:line="240" w:lineRule="auto"/>
    </w:pPr>
  </w:style>
  <w:style w:type="table" w:styleId="TableGrid">
    <w:name w:val="Table Grid"/>
    <w:basedOn w:val="TableNormal"/>
    <w:uiPriority w:val="59"/>
    <w:rsid w:val="002E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261FC5"/>
    <w:pPr>
      <w:spacing w:after="160"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8833F2"/>
    <w:pPr>
      <w:ind w:left="720"/>
      <w:contextualSpacing/>
    </w:pPr>
  </w:style>
  <w:style w:type="character" w:styleId="CommentReference">
    <w:name w:val="annotation reference"/>
    <w:basedOn w:val="DefaultParagraphFont"/>
    <w:uiPriority w:val="99"/>
    <w:semiHidden/>
    <w:unhideWhenUsed/>
    <w:rsid w:val="00524664"/>
    <w:rPr>
      <w:sz w:val="16"/>
      <w:szCs w:val="16"/>
    </w:rPr>
  </w:style>
  <w:style w:type="paragraph" w:styleId="CommentText">
    <w:name w:val="annotation text"/>
    <w:basedOn w:val="Normal"/>
    <w:link w:val="CommentTextChar"/>
    <w:uiPriority w:val="99"/>
    <w:semiHidden/>
    <w:unhideWhenUsed/>
    <w:rsid w:val="00524664"/>
    <w:pPr>
      <w:spacing w:line="240" w:lineRule="auto"/>
    </w:pPr>
    <w:rPr>
      <w:sz w:val="20"/>
      <w:szCs w:val="20"/>
    </w:rPr>
  </w:style>
  <w:style w:type="character" w:customStyle="1" w:styleId="CommentTextChar">
    <w:name w:val="Comment Text Char"/>
    <w:basedOn w:val="DefaultParagraphFont"/>
    <w:link w:val="CommentText"/>
    <w:uiPriority w:val="99"/>
    <w:semiHidden/>
    <w:rsid w:val="00524664"/>
    <w:rPr>
      <w:sz w:val="20"/>
      <w:szCs w:val="20"/>
    </w:rPr>
  </w:style>
  <w:style w:type="paragraph" w:styleId="CommentSubject">
    <w:name w:val="annotation subject"/>
    <w:basedOn w:val="CommentText"/>
    <w:next w:val="CommentText"/>
    <w:link w:val="CommentSubjectChar"/>
    <w:uiPriority w:val="99"/>
    <w:semiHidden/>
    <w:unhideWhenUsed/>
    <w:rsid w:val="00524664"/>
    <w:rPr>
      <w:b/>
      <w:bCs/>
    </w:rPr>
  </w:style>
  <w:style w:type="character" w:customStyle="1" w:styleId="CommentSubjectChar">
    <w:name w:val="Comment Subject Char"/>
    <w:basedOn w:val="CommentTextChar"/>
    <w:link w:val="CommentSubject"/>
    <w:uiPriority w:val="99"/>
    <w:semiHidden/>
    <w:rsid w:val="00524664"/>
    <w:rPr>
      <w:b/>
      <w:bCs/>
      <w:sz w:val="20"/>
      <w:szCs w:val="20"/>
    </w:rPr>
  </w:style>
  <w:style w:type="paragraph" w:customStyle="1" w:styleId="Default">
    <w:name w:val="Default"/>
    <w:rsid w:val="00A67E9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67E9C"/>
    <w:rPr>
      <w:color w:val="0000FF" w:themeColor="hyperlink"/>
      <w:u w:val="single"/>
    </w:rPr>
  </w:style>
  <w:style w:type="paragraph" w:styleId="BodyText">
    <w:name w:val="Body Text"/>
    <w:basedOn w:val="Normal"/>
    <w:link w:val="BodyTextChar"/>
    <w:semiHidden/>
    <w:rsid w:val="0070544E"/>
    <w:pPr>
      <w:spacing w:after="0" w:line="240" w:lineRule="auto"/>
    </w:pPr>
    <w:rPr>
      <w:rFonts w:ascii="Arial" w:eastAsia="Times New Roman" w:hAnsi="Arial" w:cs="Arial"/>
    </w:rPr>
  </w:style>
  <w:style w:type="character" w:customStyle="1" w:styleId="BodyTextChar">
    <w:name w:val="Body Text Char"/>
    <w:basedOn w:val="DefaultParagraphFont"/>
    <w:link w:val="BodyText"/>
    <w:semiHidden/>
    <w:rsid w:val="0070544E"/>
    <w:rPr>
      <w:rFonts w:ascii="Arial" w:eastAsia="Times New Roman" w:hAnsi="Arial" w:cs="Arial"/>
    </w:rPr>
  </w:style>
  <w:style w:type="paragraph" w:styleId="Title">
    <w:name w:val="Title"/>
    <w:basedOn w:val="Normal"/>
    <w:link w:val="TitleChar"/>
    <w:qFormat/>
    <w:rsid w:val="00447AE4"/>
    <w:pPr>
      <w:spacing w:after="0" w:line="240" w:lineRule="auto"/>
      <w:jc w:val="center"/>
    </w:pPr>
    <w:rPr>
      <w:rFonts w:ascii="Tahoma" w:eastAsia="Times New Roman" w:hAnsi="Tahoma" w:cs="Tahoma"/>
      <w:b/>
      <w:bCs/>
      <w:sz w:val="24"/>
      <w:szCs w:val="24"/>
      <w:lang w:val="en-US"/>
    </w:rPr>
  </w:style>
  <w:style w:type="character" w:customStyle="1" w:styleId="TitleChar">
    <w:name w:val="Title Char"/>
    <w:basedOn w:val="DefaultParagraphFont"/>
    <w:link w:val="Title"/>
    <w:rsid w:val="00447AE4"/>
    <w:rPr>
      <w:rFonts w:ascii="Tahoma" w:eastAsia="Times New Roman" w:hAnsi="Tahoma" w:cs="Tahoma"/>
      <w:b/>
      <w:bCs/>
      <w:sz w:val="24"/>
      <w:szCs w:val="24"/>
      <w:lang w:val="en-US"/>
    </w:rPr>
  </w:style>
  <w:style w:type="character" w:customStyle="1" w:styleId="Heading1Char">
    <w:name w:val="Heading 1 Char"/>
    <w:basedOn w:val="DefaultParagraphFont"/>
    <w:link w:val="Heading1"/>
    <w:uiPriority w:val="9"/>
    <w:rsid w:val="00BE025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D0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E6B4A"/>
    <w:rPr>
      <w:i/>
      <w:iCs/>
    </w:rPr>
  </w:style>
  <w:style w:type="character" w:styleId="Strong">
    <w:name w:val="Strong"/>
    <w:basedOn w:val="DefaultParagraphFont"/>
    <w:uiPriority w:val="22"/>
    <w:qFormat/>
    <w:rsid w:val="00BE6B4A"/>
    <w:rPr>
      <w:b/>
      <w:bCs/>
    </w:rPr>
  </w:style>
  <w:style w:type="paragraph" w:styleId="Revision">
    <w:name w:val="Revision"/>
    <w:hidden/>
    <w:uiPriority w:val="99"/>
    <w:semiHidden/>
    <w:rsid w:val="009B6F7B"/>
    <w:pPr>
      <w:spacing w:after="0" w:line="240" w:lineRule="auto"/>
    </w:pPr>
  </w:style>
  <w:style w:type="character" w:styleId="FollowedHyperlink">
    <w:name w:val="FollowedHyperlink"/>
    <w:basedOn w:val="DefaultParagraphFont"/>
    <w:uiPriority w:val="99"/>
    <w:semiHidden/>
    <w:unhideWhenUsed/>
    <w:rsid w:val="00601C01"/>
    <w:rPr>
      <w:color w:val="800080" w:themeColor="followedHyperlink"/>
      <w:u w:val="single"/>
    </w:rPr>
  </w:style>
  <w:style w:type="paragraph" w:customStyle="1" w:styleId="TableParagraph">
    <w:name w:val="Table Paragraph"/>
    <w:basedOn w:val="Normal"/>
    <w:uiPriority w:val="1"/>
    <w:qFormat/>
    <w:rsid w:val="00A30926"/>
    <w:pPr>
      <w:widowControl w:val="0"/>
      <w:autoSpaceDE w:val="0"/>
      <w:autoSpaceDN w:val="0"/>
      <w:spacing w:after="0" w:line="240" w:lineRule="auto"/>
      <w:ind w:left="107"/>
    </w:pPr>
    <w:rPr>
      <w:rFonts w:ascii="Arial" w:eastAsia="Arial" w:hAnsi="Arial" w:cs="Arial"/>
      <w:lang w:val="en-US" w:bidi="en-US"/>
    </w:rPr>
  </w:style>
  <w:style w:type="paragraph" w:styleId="FootnoteText">
    <w:name w:val="footnote text"/>
    <w:basedOn w:val="Normal"/>
    <w:link w:val="FootnoteTextChar"/>
    <w:semiHidden/>
    <w:unhideWhenUsed/>
    <w:rsid w:val="000E6662"/>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semiHidden/>
    <w:rsid w:val="000E6662"/>
    <w:rPr>
      <w:rFonts w:ascii="Calibri" w:eastAsia="Times New Roman"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D9"/>
  </w:style>
  <w:style w:type="paragraph" w:styleId="Heading1">
    <w:name w:val="heading 1"/>
    <w:basedOn w:val="Normal"/>
    <w:next w:val="Normal"/>
    <w:link w:val="Heading1Char"/>
    <w:uiPriority w:val="9"/>
    <w:qFormat/>
    <w:rsid w:val="00BE0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40B"/>
  </w:style>
  <w:style w:type="paragraph" w:styleId="Footer">
    <w:name w:val="footer"/>
    <w:basedOn w:val="Normal"/>
    <w:link w:val="FooterChar"/>
    <w:uiPriority w:val="99"/>
    <w:unhideWhenUsed/>
    <w:rsid w:val="00D06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40B"/>
  </w:style>
  <w:style w:type="paragraph" w:styleId="BalloonText">
    <w:name w:val="Balloon Text"/>
    <w:basedOn w:val="Normal"/>
    <w:link w:val="BalloonTextChar"/>
    <w:uiPriority w:val="99"/>
    <w:semiHidden/>
    <w:unhideWhenUsed/>
    <w:rsid w:val="00D06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0B"/>
    <w:rPr>
      <w:rFonts w:ascii="Tahoma" w:hAnsi="Tahoma" w:cs="Tahoma"/>
      <w:sz w:val="16"/>
      <w:szCs w:val="16"/>
    </w:rPr>
  </w:style>
  <w:style w:type="paragraph" w:styleId="NoSpacing">
    <w:name w:val="No Spacing"/>
    <w:uiPriority w:val="1"/>
    <w:qFormat/>
    <w:rsid w:val="00D0640B"/>
    <w:pPr>
      <w:spacing w:after="0" w:line="240" w:lineRule="auto"/>
    </w:pPr>
  </w:style>
  <w:style w:type="table" w:styleId="TableGrid">
    <w:name w:val="Table Grid"/>
    <w:basedOn w:val="TableNormal"/>
    <w:uiPriority w:val="59"/>
    <w:rsid w:val="002E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261FC5"/>
    <w:pPr>
      <w:spacing w:after="160"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8833F2"/>
    <w:pPr>
      <w:ind w:left="720"/>
      <w:contextualSpacing/>
    </w:pPr>
  </w:style>
  <w:style w:type="character" w:styleId="CommentReference">
    <w:name w:val="annotation reference"/>
    <w:basedOn w:val="DefaultParagraphFont"/>
    <w:uiPriority w:val="99"/>
    <w:semiHidden/>
    <w:unhideWhenUsed/>
    <w:rsid w:val="00524664"/>
    <w:rPr>
      <w:sz w:val="16"/>
      <w:szCs w:val="16"/>
    </w:rPr>
  </w:style>
  <w:style w:type="paragraph" w:styleId="CommentText">
    <w:name w:val="annotation text"/>
    <w:basedOn w:val="Normal"/>
    <w:link w:val="CommentTextChar"/>
    <w:uiPriority w:val="99"/>
    <w:semiHidden/>
    <w:unhideWhenUsed/>
    <w:rsid w:val="00524664"/>
    <w:pPr>
      <w:spacing w:line="240" w:lineRule="auto"/>
    </w:pPr>
    <w:rPr>
      <w:sz w:val="20"/>
      <w:szCs w:val="20"/>
    </w:rPr>
  </w:style>
  <w:style w:type="character" w:customStyle="1" w:styleId="CommentTextChar">
    <w:name w:val="Comment Text Char"/>
    <w:basedOn w:val="DefaultParagraphFont"/>
    <w:link w:val="CommentText"/>
    <w:uiPriority w:val="99"/>
    <w:semiHidden/>
    <w:rsid w:val="00524664"/>
    <w:rPr>
      <w:sz w:val="20"/>
      <w:szCs w:val="20"/>
    </w:rPr>
  </w:style>
  <w:style w:type="paragraph" w:styleId="CommentSubject">
    <w:name w:val="annotation subject"/>
    <w:basedOn w:val="CommentText"/>
    <w:next w:val="CommentText"/>
    <w:link w:val="CommentSubjectChar"/>
    <w:uiPriority w:val="99"/>
    <w:semiHidden/>
    <w:unhideWhenUsed/>
    <w:rsid w:val="00524664"/>
    <w:rPr>
      <w:b/>
      <w:bCs/>
    </w:rPr>
  </w:style>
  <w:style w:type="character" w:customStyle="1" w:styleId="CommentSubjectChar">
    <w:name w:val="Comment Subject Char"/>
    <w:basedOn w:val="CommentTextChar"/>
    <w:link w:val="CommentSubject"/>
    <w:uiPriority w:val="99"/>
    <w:semiHidden/>
    <w:rsid w:val="00524664"/>
    <w:rPr>
      <w:b/>
      <w:bCs/>
      <w:sz w:val="20"/>
      <w:szCs w:val="20"/>
    </w:rPr>
  </w:style>
  <w:style w:type="paragraph" w:customStyle="1" w:styleId="Default">
    <w:name w:val="Default"/>
    <w:rsid w:val="00A67E9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67E9C"/>
    <w:rPr>
      <w:color w:val="0000FF" w:themeColor="hyperlink"/>
      <w:u w:val="single"/>
    </w:rPr>
  </w:style>
  <w:style w:type="paragraph" w:styleId="BodyText">
    <w:name w:val="Body Text"/>
    <w:basedOn w:val="Normal"/>
    <w:link w:val="BodyTextChar"/>
    <w:semiHidden/>
    <w:rsid w:val="0070544E"/>
    <w:pPr>
      <w:spacing w:after="0" w:line="240" w:lineRule="auto"/>
    </w:pPr>
    <w:rPr>
      <w:rFonts w:ascii="Arial" w:eastAsia="Times New Roman" w:hAnsi="Arial" w:cs="Arial"/>
    </w:rPr>
  </w:style>
  <w:style w:type="character" w:customStyle="1" w:styleId="BodyTextChar">
    <w:name w:val="Body Text Char"/>
    <w:basedOn w:val="DefaultParagraphFont"/>
    <w:link w:val="BodyText"/>
    <w:semiHidden/>
    <w:rsid w:val="0070544E"/>
    <w:rPr>
      <w:rFonts w:ascii="Arial" w:eastAsia="Times New Roman" w:hAnsi="Arial" w:cs="Arial"/>
    </w:rPr>
  </w:style>
  <w:style w:type="paragraph" w:styleId="Title">
    <w:name w:val="Title"/>
    <w:basedOn w:val="Normal"/>
    <w:link w:val="TitleChar"/>
    <w:qFormat/>
    <w:rsid w:val="00447AE4"/>
    <w:pPr>
      <w:spacing w:after="0" w:line="240" w:lineRule="auto"/>
      <w:jc w:val="center"/>
    </w:pPr>
    <w:rPr>
      <w:rFonts w:ascii="Tahoma" w:eastAsia="Times New Roman" w:hAnsi="Tahoma" w:cs="Tahoma"/>
      <w:b/>
      <w:bCs/>
      <w:sz w:val="24"/>
      <w:szCs w:val="24"/>
      <w:lang w:val="en-US"/>
    </w:rPr>
  </w:style>
  <w:style w:type="character" w:customStyle="1" w:styleId="TitleChar">
    <w:name w:val="Title Char"/>
    <w:basedOn w:val="DefaultParagraphFont"/>
    <w:link w:val="Title"/>
    <w:rsid w:val="00447AE4"/>
    <w:rPr>
      <w:rFonts w:ascii="Tahoma" w:eastAsia="Times New Roman" w:hAnsi="Tahoma" w:cs="Tahoma"/>
      <w:b/>
      <w:bCs/>
      <w:sz w:val="24"/>
      <w:szCs w:val="24"/>
      <w:lang w:val="en-US"/>
    </w:rPr>
  </w:style>
  <w:style w:type="character" w:customStyle="1" w:styleId="Heading1Char">
    <w:name w:val="Heading 1 Char"/>
    <w:basedOn w:val="DefaultParagraphFont"/>
    <w:link w:val="Heading1"/>
    <w:uiPriority w:val="9"/>
    <w:rsid w:val="00BE025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D0E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E6B4A"/>
    <w:rPr>
      <w:i/>
      <w:iCs/>
    </w:rPr>
  </w:style>
  <w:style w:type="character" w:styleId="Strong">
    <w:name w:val="Strong"/>
    <w:basedOn w:val="DefaultParagraphFont"/>
    <w:uiPriority w:val="22"/>
    <w:qFormat/>
    <w:rsid w:val="00BE6B4A"/>
    <w:rPr>
      <w:b/>
      <w:bCs/>
    </w:rPr>
  </w:style>
  <w:style w:type="paragraph" w:styleId="Revision">
    <w:name w:val="Revision"/>
    <w:hidden/>
    <w:uiPriority w:val="99"/>
    <w:semiHidden/>
    <w:rsid w:val="009B6F7B"/>
    <w:pPr>
      <w:spacing w:after="0" w:line="240" w:lineRule="auto"/>
    </w:pPr>
  </w:style>
  <w:style w:type="character" w:styleId="FollowedHyperlink">
    <w:name w:val="FollowedHyperlink"/>
    <w:basedOn w:val="DefaultParagraphFont"/>
    <w:uiPriority w:val="99"/>
    <w:semiHidden/>
    <w:unhideWhenUsed/>
    <w:rsid w:val="00601C01"/>
    <w:rPr>
      <w:color w:val="800080" w:themeColor="followedHyperlink"/>
      <w:u w:val="single"/>
    </w:rPr>
  </w:style>
  <w:style w:type="paragraph" w:customStyle="1" w:styleId="TableParagraph">
    <w:name w:val="Table Paragraph"/>
    <w:basedOn w:val="Normal"/>
    <w:uiPriority w:val="1"/>
    <w:qFormat/>
    <w:rsid w:val="00A30926"/>
    <w:pPr>
      <w:widowControl w:val="0"/>
      <w:autoSpaceDE w:val="0"/>
      <w:autoSpaceDN w:val="0"/>
      <w:spacing w:after="0" w:line="240" w:lineRule="auto"/>
      <w:ind w:left="107"/>
    </w:pPr>
    <w:rPr>
      <w:rFonts w:ascii="Arial" w:eastAsia="Arial" w:hAnsi="Arial" w:cs="Arial"/>
      <w:lang w:val="en-US" w:bidi="en-US"/>
    </w:rPr>
  </w:style>
  <w:style w:type="paragraph" w:styleId="FootnoteText">
    <w:name w:val="footnote text"/>
    <w:basedOn w:val="Normal"/>
    <w:link w:val="FootnoteTextChar"/>
    <w:semiHidden/>
    <w:unhideWhenUsed/>
    <w:rsid w:val="000E6662"/>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semiHidden/>
    <w:rsid w:val="000E6662"/>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4294">
      <w:bodyDiv w:val="1"/>
      <w:marLeft w:val="0"/>
      <w:marRight w:val="0"/>
      <w:marTop w:val="0"/>
      <w:marBottom w:val="0"/>
      <w:divBdr>
        <w:top w:val="none" w:sz="0" w:space="0" w:color="auto"/>
        <w:left w:val="none" w:sz="0" w:space="0" w:color="auto"/>
        <w:bottom w:val="none" w:sz="0" w:space="0" w:color="auto"/>
        <w:right w:val="none" w:sz="0" w:space="0" w:color="auto"/>
      </w:divBdr>
    </w:div>
    <w:div w:id="493956812">
      <w:bodyDiv w:val="1"/>
      <w:marLeft w:val="0"/>
      <w:marRight w:val="0"/>
      <w:marTop w:val="0"/>
      <w:marBottom w:val="0"/>
      <w:divBdr>
        <w:top w:val="none" w:sz="0" w:space="0" w:color="auto"/>
        <w:left w:val="none" w:sz="0" w:space="0" w:color="auto"/>
        <w:bottom w:val="none" w:sz="0" w:space="0" w:color="auto"/>
        <w:right w:val="none" w:sz="0" w:space="0" w:color="auto"/>
      </w:divBdr>
    </w:div>
    <w:div w:id="1333727969">
      <w:bodyDiv w:val="1"/>
      <w:marLeft w:val="0"/>
      <w:marRight w:val="0"/>
      <w:marTop w:val="0"/>
      <w:marBottom w:val="0"/>
      <w:divBdr>
        <w:top w:val="none" w:sz="0" w:space="0" w:color="auto"/>
        <w:left w:val="none" w:sz="0" w:space="0" w:color="auto"/>
        <w:bottom w:val="none" w:sz="0" w:space="0" w:color="auto"/>
        <w:right w:val="none" w:sz="0" w:space="0" w:color="auto"/>
      </w:divBdr>
    </w:div>
    <w:div w:id="15070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3bb9bf7-f30d-41b4-8fc9-31e240910f34">
      <Terms xmlns="http://schemas.microsoft.com/office/infopath/2007/PartnerControls"/>
    </TaxKeywordTaxHTField>
    <IconOverlay xmlns="http://schemas.microsoft.com/sharepoint/v4" xsi:nil="true"/>
    <TaxCatchAll xmlns="a3bb9bf7-f30d-41b4-8fc9-31e240910f34"/>
    <CCG xmlns="89b70e76-7869-4396-907e-57270fc3cfa7">Medway</CCG>
  </documentManagement>
</p:properties>
</file>

<file path=customXml/item4.xml><?xml version="1.0" encoding="utf-8"?>
<?mso-contentType ?>
<spe:Receivers xmlns:spe="http://schemas.microsoft.com/sharepoint/events">
  <Receiver>
    <Name>Microsoft.Office.RecordsManagement.PolicyFeatures.ExpirationEventReceiver</Name>
    <Synchronization>Default</Synchronization>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10006</Type>
    <SequenceNumber>104</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Policy xmlns:p="office.server.policy" id="1c6c060b-a8d5-4c04-ba24-3254307eb85d" local="false">
  <p:Name>Document Retention (30 years) </p:Name>
  <p:Description>The fundamental principle of retention/disposal criteria is to identify those file series which can be destroyed at pre-determined dates or which need to be retained for specific reasons. It aims to set down certain parameters for those files which fall in either of the above areas and the general guidelines detail those parameters.</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30</number>
            <property>Modified</property>
            <period>years</period>
          </formula>
          <action type="action" id="Microsoft.Office.RecordsManagement.PolicyFeatures.Expiration.Action.MoveToRecycleBin"/>
        </data>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KMC Document" ma:contentTypeID="0x010100D69BD41B3D3BD249B918A59F97003A5F00A7D2D12A21D5E14E87B73EAE1D6FB163" ma:contentTypeVersion="322" ma:contentTypeDescription="Create new document with associated metadata" ma:contentTypeScope="" ma:versionID="9aa26482b1521278dcb648fa59d2ccf7">
  <xsd:schema xmlns:xsd="http://www.w3.org/2001/XMLSchema" xmlns:xs="http://www.w3.org/2001/XMLSchema" xmlns:p="http://schemas.microsoft.com/office/2006/metadata/properties" xmlns:ns2="a3bb9bf7-f30d-41b4-8fc9-31e240910f34" xmlns:ns3="89b70e76-7869-4396-907e-57270fc3cfa7" xmlns:ns4="http://schemas.microsoft.com/sharepoint/v4" targetNamespace="http://schemas.microsoft.com/office/2006/metadata/properties" ma:root="true" ma:fieldsID="9c33934922ccc874e47e4b359125f6d6" ns2:_="" ns3:_="" ns4:_="">
    <xsd:import namespace="a3bb9bf7-f30d-41b4-8fc9-31e240910f34"/>
    <xsd:import namespace="89b70e76-7869-4396-907e-57270fc3cfa7"/>
    <xsd:import namespace="http://schemas.microsoft.com/sharepoint/v4"/>
    <xsd:element name="properties">
      <xsd:complexType>
        <xsd:sequence>
          <xsd:element name="documentManagement">
            <xsd:complexType>
              <xsd:all>
                <xsd:element ref="ns2:_dlc_Exempt" minOccurs="0"/>
                <xsd:element ref="ns2:_dlc_ExpireDateSaved" minOccurs="0"/>
                <xsd:element ref="ns2:_dlc_ExpireDate"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3:CCG"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b9bf7-f30d-41b4-8fc9-31e240910f34"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element name="_dlc_ExpireDateSaved" ma:index="9" nillable="true" ma:displayName="Original Expiration Date" ma:description=""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20b4f509-811e-41b5-9419-54197673dce4"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c2db0fa7-31e0-4cde-89f1-fe62254258f9}" ma:internalName="TaxCatchAll" ma:showField="CatchAllData" ma:web="c9eeb844-7786-4a75-8e83-37c05df00c8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c2db0fa7-31e0-4cde-89f1-fe62254258f9}" ma:internalName="TaxCatchAllLabel" ma:readOnly="true" ma:showField="CatchAllDataLabel" ma:web="c9eeb844-7786-4a75-8e83-37c05df00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b70e76-7869-4396-907e-57270fc3cfa7" elementFormDefault="qualified">
    <xsd:import namespace="http://schemas.microsoft.com/office/2006/documentManagement/types"/>
    <xsd:import namespace="http://schemas.microsoft.com/office/infopath/2007/PartnerControls"/>
    <xsd:element name="CCG" ma:index="18" nillable="true" ma:displayName="CCG" ma:internalName="CC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BAB2D-ECC2-46A7-B566-C3B994DA85D3}">
  <ds:schemaRefs>
    <ds:schemaRef ds:uri="http://schemas.microsoft.com/office/2006/metadata/customXsn"/>
  </ds:schemaRefs>
</ds:datastoreItem>
</file>

<file path=customXml/itemProps2.xml><?xml version="1.0" encoding="utf-8"?>
<ds:datastoreItem xmlns:ds="http://schemas.openxmlformats.org/officeDocument/2006/customXml" ds:itemID="{3C5E1828-B277-41A0-95E4-28DDA04A55EA}">
  <ds:schemaRefs>
    <ds:schemaRef ds:uri="http://schemas.microsoft.com/sharepoint/v3/contenttype/forms"/>
  </ds:schemaRefs>
</ds:datastoreItem>
</file>

<file path=customXml/itemProps3.xml><?xml version="1.0" encoding="utf-8"?>
<ds:datastoreItem xmlns:ds="http://schemas.openxmlformats.org/officeDocument/2006/customXml" ds:itemID="{5A04BD1F-8CA3-4FC7-8AF0-D4FC0606FD17}">
  <ds:schemaRefs>
    <ds:schemaRef ds:uri="89b70e76-7869-4396-907e-57270fc3cfa7"/>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a3bb9bf7-f30d-41b4-8fc9-31e240910f34"/>
  </ds:schemaRefs>
</ds:datastoreItem>
</file>

<file path=customXml/itemProps4.xml><?xml version="1.0" encoding="utf-8"?>
<ds:datastoreItem xmlns:ds="http://schemas.openxmlformats.org/officeDocument/2006/customXml" ds:itemID="{D7FD1BD7-9F7E-40D6-9F6A-E9AE6D4647FB}">
  <ds:schemaRefs>
    <ds:schemaRef ds:uri="http://schemas.microsoft.com/sharepoint/events"/>
  </ds:schemaRefs>
</ds:datastoreItem>
</file>

<file path=customXml/itemProps5.xml><?xml version="1.0" encoding="utf-8"?>
<ds:datastoreItem xmlns:ds="http://schemas.openxmlformats.org/officeDocument/2006/customXml" ds:itemID="{060F1556-8AA8-46D9-892B-6784EFF0DFB2}">
  <ds:schemaRefs>
    <ds:schemaRef ds:uri="office.server.policy"/>
  </ds:schemaRefs>
</ds:datastoreItem>
</file>

<file path=customXml/itemProps6.xml><?xml version="1.0" encoding="utf-8"?>
<ds:datastoreItem xmlns:ds="http://schemas.openxmlformats.org/officeDocument/2006/customXml" ds:itemID="{26CE0052-6C80-4296-B618-E001DC4D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b9bf7-f30d-41b4-8fc9-31e240910f34"/>
    <ds:schemaRef ds:uri="89b70e76-7869-4396-907e-57270fc3cf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4784509-68B5-4946-9A66-A4B1DFAB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21749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Cahill</dc:creator>
  <cp:lastModifiedBy>Tracy Bishop</cp:lastModifiedBy>
  <cp:revision>2</cp:revision>
  <cp:lastPrinted>2018-07-11T15:50:00Z</cp:lastPrinted>
  <dcterms:created xsi:type="dcterms:W3CDTF">2018-07-30T09:08:00Z</dcterms:created>
  <dcterms:modified xsi:type="dcterms:W3CDTF">2018-07-30T09:08:00Z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0x010100D69BD41B3D3BD249B918A59F97003A5F00A7D2D12A21D5E14E87B73EAE1D6FB163</vt:lpwstr>
  </property>
  <property fmtid="{D5CDD505-2E9C-101B-9397-08002B2CF9AE}" pid="3" name="TaxKeyword">
    <vt:lpwstr/>
  </property>
  <property fmtid="{D5CDD505-2E9C-101B-9397-08002B2CF9AE}" pid="4" name="ItemRetentionFormula">
    <vt:lpwstr/>
  </property>
  <property fmtid="{D5CDD505-2E9C-101B-9397-08002B2CF9AE}" pid="5" name="_dlc_policyId">
    <vt:lpwstr/>
  </property>
</Properties>
</file>