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ACE37" w14:textId="0FE25C82" w:rsidR="000D7E00" w:rsidRPr="00F5071C" w:rsidRDefault="00167ACD" w:rsidP="000D7E00">
      <w:pPr>
        <w:rPr>
          <w:b/>
        </w:rPr>
      </w:pPr>
      <w:bookmarkStart w:id="0" w:name="_GoBack"/>
      <w:bookmarkEnd w:id="0"/>
      <w:r>
        <w:rPr>
          <w:b/>
        </w:rPr>
        <w:t>Research</w:t>
      </w:r>
      <w:r w:rsidR="0057692A">
        <w:rPr>
          <w:b/>
        </w:rPr>
        <w:t xml:space="preserve"> Consultancy</w:t>
      </w:r>
      <w:r w:rsidR="006D0464">
        <w:rPr>
          <w:b/>
        </w:rPr>
        <w:t xml:space="preserve"> - </w:t>
      </w:r>
      <w:r w:rsidR="006D0464" w:rsidRPr="006D0464">
        <w:rPr>
          <w:b/>
        </w:rPr>
        <w:t>Review of Strategic Signposting</w:t>
      </w:r>
      <w:r w:rsidR="00340D3D">
        <w:rPr>
          <w:b/>
        </w:rPr>
        <w:t xml:space="preserve">: </w:t>
      </w:r>
      <w:r w:rsidR="000D7E00" w:rsidRPr="00461F54">
        <w:rPr>
          <w:b/>
        </w:rPr>
        <w:t>Specification</w:t>
      </w:r>
    </w:p>
    <w:p w14:paraId="78A5CE32" w14:textId="77777777" w:rsidR="000D7E00" w:rsidRDefault="000D7E00" w:rsidP="000D7E00"/>
    <w:p w14:paraId="0BE4598A" w14:textId="3B83C771" w:rsidR="000D7E00" w:rsidRDefault="00F7712A" w:rsidP="000D7E00">
      <w:pPr>
        <w:rPr>
          <w:b/>
        </w:rPr>
      </w:pPr>
      <w:r>
        <w:rPr>
          <w:b/>
        </w:rPr>
        <w:t>Summary</w:t>
      </w:r>
    </w:p>
    <w:p w14:paraId="306D70E5" w14:textId="3D719EE3" w:rsidR="00167ACD" w:rsidRPr="00ED53B0" w:rsidRDefault="00355816" w:rsidP="007B1DD2">
      <w:pPr>
        <w:pStyle w:val="Paragraph"/>
        <w:spacing w:after="0"/>
        <w:jc w:val="both"/>
        <w:rPr>
          <w:rFonts w:eastAsia="Calibri" w:cs="Times New Roman"/>
          <w:bCs w:val="0"/>
          <w:color w:val="auto"/>
          <w:sz w:val="24"/>
          <w:szCs w:val="24"/>
        </w:rPr>
      </w:pPr>
      <w:r w:rsidRPr="00ED53B0">
        <w:rPr>
          <w:rFonts w:eastAsia="Calibri" w:cs="Times New Roman"/>
          <w:bCs w:val="0"/>
          <w:color w:val="auto"/>
          <w:sz w:val="24"/>
          <w:szCs w:val="24"/>
        </w:rPr>
        <w:t xml:space="preserve">We would like to commission </w:t>
      </w:r>
      <w:r w:rsidR="00167ACD" w:rsidRPr="00ED53B0">
        <w:rPr>
          <w:sz w:val="24"/>
          <w:szCs w:val="24"/>
        </w:rPr>
        <w:t xml:space="preserve">an </w:t>
      </w:r>
      <w:r w:rsidR="00ED53B0" w:rsidRPr="00ED53B0">
        <w:rPr>
          <w:sz w:val="24"/>
          <w:szCs w:val="24"/>
        </w:rPr>
        <w:t xml:space="preserve">expert, </w:t>
      </w:r>
      <w:r w:rsidR="00167ACD" w:rsidRPr="00ED53B0">
        <w:rPr>
          <w:sz w:val="24"/>
          <w:szCs w:val="24"/>
        </w:rPr>
        <w:t>independent</w:t>
      </w:r>
      <w:r w:rsidR="00ED53B0" w:rsidRPr="00ED53B0">
        <w:rPr>
          <w:sz w:val="24"/>
          <w:szCs w:val="24"/>
        </w:rPr>
        <w:t>,</w:t>
      </w:r>
      <w:r w:rsidR="00167ACD" w:rsidRPr="00ED53B0">
        <w:rPr>
          <w:sz w:val="24"/>
          <w:szCs w:val="24"/>
        </w:rPr>
        <w:t xml:space="preserve"> researcher consultant to undertake a review of the needs of all users of </w:t>
      </w:r>
      <w:r w:rsidR="00833F38">
        <w:rPr>
          <w:sz w:val="24"/>
          <w:szCs w:val="24"/>
        </w:rPr>
        <w:t xml:space="preserve">community and strategic </w:t>
      </w:r>
      <w:r w:rsidR="00ED53B0" w:rsidRPr="00ED53B0">
        <w:rPr>
          <w:sz w:val="24"/>
          <w:szCs w:val="24"/>
        </w:rPr>
        <w:t>signposting in West Berkshire</w:t>
      </w:r>
      <w:r w:rsidR="00167ACD" w:rsidRPr="00ED53B0">
        <w:rPr>
          <w:sz w:val="24"/>
          <w:szCs w:val="24"/>
        </w:rPr>
        <w:t>. The findings of this review will then be used to provide options for the way forward after the existing contract concludes in May 2023 and inform the scoping for future service specifications.</w:t>
      </w:r>
    </w:p>
    <w:p w14:paraId="2C1C70A9" w14:textId="77777777" w:rsidR="007B1DD2" w:rsidRDefault="007B1DD2" w:rsidP="007B1DD2">
      <w:pPr>
        <w:spacing w:after="0"/>
        <w:jc w:val="both"/>
      </w:pPr>
    </w:p>
    <w:p w14:paraId="2743F903" w14:textId="2295A7B2" w:rsidR="00ED53B0" w:rsidRDefault="0057692A" w:rsidP="007B1DD2">
      <w:pPr>
        <w:spacing w:after="0"/>
        <w:jc w:val="both"/>
      </w:pPr>
      <w:r w:rsidRPr="00ED53B0">
        <w:t xml:space="preserve">We are looking for a </w:t>
      </w:r>
      <w:r w:rsidR="00ED53B0" w:rsidRPr="00ED53B0">
        <w:t xml:space="preserve">single supplier </w:t>
      </w:r>
      <w:r w:rsidR="00ED53B0" w:rsidRPr="00CD1C40">
        <w:rPr>
          <w:rFonts w:eastAsiaTheme="minorHAnsi"/>
          <w:bCs/>
          <w:color w:val="000000" w:themeColor="text1"/>
        </w:rPr>
        <w:t>who can provide applied research expertise</w:t>
      </w:r>
      <w:r w:rsidRPr="00CD1C40">
        <w:rPr>
          <w:rFonts w:eastAsiaTheme="minorHAnsi"/>
          <w:bCs/>
          <w:color w:val="000000" w:themeColor="text1"/>
        </w:rPr>
        <w:t>.</w:t>
      </w:r>
      <w:r w:rsidR="00CD1C40" w:rsidRPr="00CD1C40">
        <w:rPr>
          <w:rFonts w:eastAsiaTheme="minorHAnsi"/>
          <w:bCs/>
          <w:color w:val="000000" w:themeColor="text1"/>
        </w:rPr>
        <w:t xml:space="preserve"> This project will look to specifically evaluate the needs of the users of the West Berkshire Directory and it’s functionality but will also take into account the necessary and desired platforms that it interfaces with</w:t>
      </w:r>
      <w:r w:rsidR="00CD1C40">
        <w:rPr>
          <w:rFonts w:eastAsiaTheme="minorHAnsi"/>
          <w:bCs/>
          <w:color w:val="000000" w:themeColor="text1"/>
        </w:rPr>
        <w:t>.</w:t>
      </w:r>
      <w:r w:rsidRPr="00ED53B0">
        <w:t xml:space="preserve"> </w:t>
      </w:r>
    </w:p>
    <w:p w14:paraId="030684AC" w14:textId="77777777" w:rsidR="007B1DD2" w:rsidRDefault="007B1DD2" w:rsidP="007B1DD2">
      <w:pPr>
        <w:spacing w:after="0"/>
        <w:jc w:val="both"/>
      </w:pPr>
    </w:p>
    <w:p w14:paraId="2E3F2A26" w14:textId="3F9C9530" w:rsidR="00ED53B0" w:rsidRPr="00ED53B0" w:rsidRDefault="00ED53B0" w:rsidP="007B1DD2">
      <w:pPr>
        <w:spacing w:after="0"/>
        <w:jc w:val="both"/>
        <w:rPr>
          <w:b/>
        </w:rPr>
      </w:pPr>
      <w:r w:rsidRPr="00ED53B0">
        <w:rPr>
          <w:b/>
        </w:rPr>
        <w:t>Strategic context</w:t>
      </w:r>
    </w:p>
    <w:p w14:paraId="4FC67C17" w14:textId="77777777" w:rsidR="007B1DD2" w:rsidRDefault="007B1DD2" w:rsidP="007B1DD2">
      <w:pPr>
        <w:spacing w:after="0"/>
        <w:jc w:val="both"/>
      </w:pPr>
    </w:p>
    <w:p w14:paraId="1752D2F3" w14:textId="751432DE" w:rsidR="0057692A" w:rsidRPr="00ED53B0" w:rsidRDefault="0057692A" w:rsidP="007B1DD2">
      <w:pPr>
        <w:spacing w:after="0"/>
        <w:jc w:val="both"/>
      </w:pPr>
      <w:r w:rsidRPr="00ED53B0">
        <w:t>This</w:t>
      </w:r>
      <w:r w:rsidR="00ED53B0">
        <w:t xml:space="preserve"> consultancy work</w:t>
      </w:r>
      <w:r w:rsidRPr="00ED53B0">
        <w:t xml:space="preserve"> will support the following priorities</w:t>
      </w:r>
      <w:r w:rsidR="007E75B9" w:rsidRPr="00ED53B0">
        <w:t xml:space="preserve"> within our </w:t>
      </w:r>
      <w:hyperlink r:id="rId7" w:history="1">
        <w:r w:rsidR="007E75B9" w:rsidRPr="00ED53B0">
          <w:rPr>
            <w:rStyle w:val="Hyperlink"/>
          </w:rPr>
          <w:t>Council Strategy</w:t>
        </w:r>
      </w:hyperlink>
      <w:r w:rsidRPr="00ED53B0">
        <w:t>:</w:t>
      </w:r>
    </w:p>
    <w:p w14:paraId="3F80BB22" w14:textId="77777777" w:rsidR="000D7E00" w:rsidRPr="00ED53B0" w:rsidRDefault="000D7E00" w:rsidP="007B1DD2">
      <w:pPr>
        <w:pStyle w:val="ListParagraph"/>
        <w:numPr>
          <w:ilvl w:val="0"/>
          <w:numId w:val="11"/>
        </w:numPr>
        <w:spacing w:after="0"/>
        <w:jc w:val="both"/>
      </w:pPr>
      <w:r w:rsidRPr="00ED53B0">
        <w:t xml:space="preserve">Support everyone to reach their full potential </w:t>
      </w:r>
    </w:p>
    <w:p w14:paraId="4C4D1E45" w14:textId="7522657F" w:rsidR="0057692A" w:rsidRPr="00ED53B0" w:rsidRDefault="000D7E00" w:rsidP="007B1DD2">
      <w:pPr>
        <w:pStyle w:val="ListParagraph"/>
        <w:numPr>
          <w:ilvl w:val="0"/>
          <w:numId w:val="11"/>
        </w:numPr>
        <w:spacing w:after="0"/>
        <w:jc w:val="both"/>
      </w:pPr>
      <w:r w:rsidRPr="00ED53B0">
        <w:t>Ensure our vulnerable children and adults achieve better outcomes</w:t>
      </w:r>
    </w:p>
    <w:p w14:paraId="298A2388" w14:textId="7972B86A" w:rsidR="00355816" w:rsidRPr="00ED53B0" w:rsidRDefault="0057692A" w:rsidP="007B1DD2">
      <w:pPr>
        <w:pStyle w:val="ListParagraph"/>
        <w:numPr>
          <w:ilvl w:val="0"/>
          <w:numId w:val="11"/>
        </w:numPr>
        <w:spacing w:after="0"/>
        <w:jc w:val="both"/>
      </w:pPr>
      <w:r w:rsidRPr="00ED53B0">
        <w:t>Ensure sustainable services through innovation and partnerships</w:t>
      </w:r>
      <w:r w:rsidR="00340D3D" w:rsidRPr="00ED53B0">
        <w:t>.</w:t>
      </w:r>
    </w:p>
    <w:p w14:paraId="5A1AC362" w14:textId="77777777" w:rsidR="007B1DD2" w:rsidRDefault="007B1DD2" w:rsidP="007B1DD2">
      <w:pPr>
        <w:pStyle w:val="CommentText"/>
        <w:spacing w:after="0"/>
        <w:jc w:val="both"/>
        <w:rPr>
          <w:sz w:val="24"/>
          <w:szCs w:val="24"/>
        </w:rPr>
      </w:pPr>
    </w:p>
    <w:p w14:paraId="3E30725C" w14:textId="58DAA0C1" w:rsidR="00ED53B0" w:rsidRDefault="00355816" w:rsidP="007B1DD2">
      <w:pPr>
        <w:pStyle w:val="CommentText"/>
        <w:spacing w:after="0"/>
        <w:jc w:val="both"/>
        <w:rPr>
          <w:sz w:val="24"/>
          <w:szCs w:val="24"/>
        </w:rPr>
      </w:pPr>
      <w:r w:rsidRPr="00ED53B0">
        <w:rPr>
          <w:sz w:val="24"/>
          <w:szCs w:val="24"/>
        </w:rPr>
        <w:t xml:space="preserve">The Council has committed in its Recovery and Renewal Plan 2021, to enhancing communications and community engagement. In addition the </w:t>
      </w:r>
      <w:hyperlink r:id="rId8" w:history="1">
        <w:r w:rsidRPr="00ED53B0">
          <w:rPr>
            <w:rStyle w:val="Hyperlink"/>
            <w:sz w:val="24"/>
            <w:szCs w:val="24"/>
          </w:rPr>
          <w:t>Communications and Engagement Strategy 2020-2023</w:t>
        </w:r>
      </w:hyperlink>
      <w:r w:rsidRPr="00ED53B0">
        <w:rPr>
          <w:sz w:val="24"/>
          <w:szCs w:val="24"/>
        </w:rPr>
        <w:t xml:space="preserve">, contains an action to </w:t>
      </w:r>
      <w:r w:rsidR="00ED53B0" w:rsidRPr="00ED53B0">
        <w:rPr>
          <w:sz w:val="24"/>
          <w:szCs w:val="24"/>
        </w:rPr>
        <w:t>maintain signposting and connections to community support functions</w:t>
      </w:r>
      <w:r w:rsidRPr="00ED53B0">
        <w:rPr>
          <w:sz w:val="24"/>
          <w:szCs w:val="24"/>
        </w:rPr>
        <w:t>.</w:t>
      </w:r>
    </w:p>
    <w:p w14:paraId="0C935101" w14:textId="77777777" w:rsidR="007B1DD2" w:rsidRPr="00ED53B0" w:rsidRDefault="007B1DD2" w:rsidP="007B1DD2">
      <w:pPr>
        <w:pStyle w:val="CommentText"/>
        <w:spacing w:after="0"/>
        <w:jc w:val="both"/>
        <w:rPr>
          <w:sz w:val="24"/>
          <w:szCs w:val="24"/>
        </w:rPr>
      </w:pPr>
    </w:p>
    <w:p w14:paraId="1836C0BA" w14:textId="5A19B50F" w:rsidR="00ED53B0" w:rsidRPr="00ED53B0" w:rsidRDefault="00ED53B0" w:rsidP="007B1DD2">
      <w:pPr>
        <w:pStyle w:val="BodyText"/>
        <w:spacing w:before="0" w:after="0"/>
        <w:rPr>
          <w:sz w:val="24"/>
          <w:szCs w:val="24"/>
        </w:rPr>
      </w:pPr>
      <w:r w:rsidRPr="00ED53B0">
        <w:rPr>
          <w:sz w:val="24"/>
          <w:szCs w:val="24"/>
        </w:rPr>
        <w:t>Further to the above, recent engagement with our Voluntary and Community Sector (VCS) has shown a need for greater collaboration amongst the local VCS that an updated community signposting capability could assist with. The engagement demonstrated the opportunity for improved networking and collaboration of groups and organisations across the sector where:</w:t>
      </w:r>
    </w:p>
    <w:p w14:paraId="078C5D04" w14:textId="77777777" w:rsidR="00ED53B0" w:rsidRPr="00ED53B0" w:rsidRDefault="00ED53B0" w:rsidP="007B1DD2">
      <w:pPr>
        <w:pStyle w:val="BodyText"/>
        <w:numPr>
          <w:ilvl w:val="0"/>
          <w:numId w:val="28"/>
        </w:numPr>
        <w:spacing w:before="0" w:after="0"/>
        <w:rPr>
          <w:sz w:val="24"/>
          <w:szCs w:val="24"/>
        </w:rPr>
      </w:pPr>
      <w:r w:rsidRPr="00ED53B0">
        <w:rPr>
          <w:sz w:val="24"/>
          <w:szCs w:val="24"/>
        </w:rPr>
        <w:t>76% of respondents needed support now with promoting their group or organisation</w:t>
      </w:r>
    </w:p>
    <w:p w14:paraId="1B7C2975" w14:textId="158A4FAF" w:rsidR="00355816" w:rsidRPr="00ED53B0" w:rsidRDefault="00ED53B0" w:rsidP="007B1DD2">
      <w:pPr>
        <w:pStyle w:val="BodyText"/>
        <w:numPr>
          <w:ilvl w:val="0"/>
          <w:numId w:val="28"/>
        </w:numPr>
        <w:spacing w:before="0" w:after="0"/>
        <w:rPr>
          <w:sz w:val="24"/>
          <w:szCs w:val="24"/>
        </w:rPr>
      </w:pPr>
      <w:r w:rsidRPr="00ED53B0">
        <w:rPr>
          <w:sz w:val="24"/>
          <w:szCs w:val="24"/>
        </w:rPr>
        <w:t>69% of respondents needed support knowing about, talking and meeting other groups and organisations</w:t>
      </w:r>
      <w:r>
        <w:rPr>
          <w:sz w:val="24"/>
          <w:szCs w:val="24"/>
        </w:rPr>
        <w:t>.</w:t>
      </w:r>
    </w:p>
    <w:p w14:paraId="761FB254" w14:textId="77777777" w:rsidR="00ED53B0" w:rsidRDefault="00ED53B0" w:rsidP="007B1DD2">
      <w:pPr>
        <w:spacing w:after="0"/>
        <w:jc w:val="both"/>
        <w:rPr>
          <w:b/>
        </w:rPr>
      </w:pPr>
    </w:p>
    <w:p w14:paraId="70F9B23B" w14:textId="6BF73416" w:rsidR="00FB4BCD" w:rsidRDefault="007B1DD2" w:rsidP="007B1DD2">
      <w:pPr>
        <w:spacing w:after="0"/>
        <w:jc w:val="both"/>
        <w:rPr>
          <w:b/>
        </w:rPr>
      </w:pPr>
      <w:r>
        <w:t>Important to the</w:t>
      </w:r>
      <w:r w:rsidR="00FB4BCD">
        <w:t xml:space="preserve"> strategic context</w:t>
      </w:r>
      <w:r>
        <w:t xml:space="preserve"> is that</w:t>
      </w:r>
      <w:r w:rsidR="00FB4BCD">
        <w:t xml:space="preserve"> the Council has a statutory duty under the Children and Families Act to provide signposting information for the Family Information Service and </w:t>
      </w:r>
      <w:r>
        <w:t xml:space="preserve">services for children with </w:t>
      </w:r>
      <w:r w:rsidR="00FB4BCD">
        <w:t>S</w:t>
      </w:r>
      <w:r>
        <w:t xml:space="preserve">pecial </w:t>
      </w:r>
      <w:r w:rsidR="00FB4BCD">
        <w:t>E</w:t>
      </w:r>
      <w:r>
        <w:t xml:space="preserve">ducational </w:t>
      </w:r>
      <w:r w:rsidR="00FB4BCD">
        <w:t>N</w:t>
      </w:r>
      <w:r>
        <w:t xml:space="preserve">eeds and </w:t>
      </w:r>
      <w:r w:rsidR="00FB4BCD">
        <w:t>D</w:t>
      </w:r>
      <w:r>
        <w:t>isabilities</w:t>
      </w:r>
      <w:r w:rsidR="00FB4BCD">
        <w:t>.</w:t>
      </w:r>
    </w:p>
    <w:p w14:paraId="36378169" w14:textId="77777777" w:rsidR="00FB4BCD" w:rsidRDefault="00FB4BCD" w:rsidP="00D85C96">
      <w:pPr>
        <w:jc w:val="both"/>
        <w:rPr>
          <w:b/>
        </w:rPr>
      </w:pPr>
    </w:p>
    <w:p w14:paraId="54061CD0" w14:textId="5D4EF367" w:rsidR="000D7E00" w:rsidRDefault="00D25EED" w:rsidP="00D85C96">
      <w:pPr>
        <w:jc w:val="both"/>
        <w:rPr>
          <w:b/>
        </w:rPr>
      </w:pPr>
      <w:r>
        <w:rPr>
          <w:b/>
        </w:rPr>
        <w:t>Contract value</w:t>
      </w:r>
      <w:r w:rsidR="000D7E00">
        <w:rPr>
          <w:b/>
        </w:rPr>
        <w:t xml:space="preserve"> </w:t>
      </w:r>
    </w:p>
    <w:p w14:paraId="1944891C" w14:textId="6559F7BC" w:rsidR="0057692A" w:rsidRPr="0057692A" w:rsidRDefault="0057692A" w:rsidP="00D85C96">
      <w:pPr>
        <w:jc w:val="both"/>
        <w:rPr>
          <w:sz w:val="22"/>
          <w:szCs w:val="22"/>
        </w:rPr>
      </w:pPr>
      <w:r>
        <w:t>Funding has been approved</w:t>
      </w:r>
      <w:r w:rsidR="007E75B9">
        <w:t xml:space="preserve"> by the Council</w:t>
      </w:r>
      <w:r>
        <w:t xml:space="preserve"> for expert </w:t>
      </w:r>
      <w:r w:rsidR="00ED53B0">
        <w:t>research</w:t>
      </w:r>
      <w:r>
        <w:t xml:space="preserve"> consultancy support</w:t>
      </w:r>
      <w:r w:rsidR="007E75B9">
        <w:t xml:space="preserve"> </w:t>
      </w:r>
      <w:r w:rsidR="008F0CD2" w:rsidRPr="008434E1">
        <w:rPr>
          <w:rFonts w:eastAsia="Calibri" w:cs="Times New Roman"/>
          <w:szCs w:val="22"/>
        </w:rPr>
        <w:t xml:space="preserve">to </w:t>
      </w:r>
      <w:r w:rsidR="00ED53B0">
        <w:rPr>
          <w:rFonts w:eastAsia="Calibri" w:cs="Times New Roman"/>
          <w:szCs w:val="22"/>
        </w:rPr>
        <w:t>review the needs associated with community signposting</w:t>
      </w:r>
      <w:r w:rsidR="00D25EED">
        <w:rPr>
          <w:rFonts w:eastAsia="Calibri" w:cs="Times New Roman"/>
          <w:szCs w:val="22"/>
        </w:rPr>
        <w:t>.</w:t>
      </w:r>
      <w:r w:rsidR="008F0CD2" w:rsidRPr="008434E1">
        <w:rPr>
          <w:rFonts w:eastAsia="Calibri" w:cs="Times New Roman"/>
          <w:szCs w:val="22"/>
        </w:rPr>
        <w:t xml:space="preserve"> </w:t>
      </w:r>
    </w:p>
    <w:p w14:paraId="226BEBF5" w14:textId="2147ED5F" w:rsidR="00ED53B0" w:rsidRDefault="00D25EED" w:rsidP="007E75B9">
      <w:pPr>
        <w:jc w:val="both"/>
        <w:rPr>
          <w:b/>
        </w:rPr>
      </w:pPr>
      <w:r>
        <w:t>A financial envelope is</w:t>
      </w:r>
      <w:r w:rsidR="0057692A" w:rsidRPr="00D85C96">
        <w:t xml:space="preserve"> </w:t>
      </w:r>
      <w:r>
        <w:t xml:space="preserve">therefore estimated up to </w:t>
      </w:r>
      <w:r w:rsidR="0057692A" w:rsidRPr="00D85C96">
        <w:t>£</w:t>
      </w:r>
      <w:r w:rsidR="00ED53B0">
        <w:t>20</w:t>
      </w:r>
      <w:r w:rsidR="00DE7585">
        <w:t>,000</w:t>
      </w:r>
      <w:r>
        <w:t>.</w:t>
      </w:r>
    </w:p>
    <w:p w14:paraId="5F6A2768" w14:textId="77777777" w:rsidR="00ED53B0" w:rsidRDefault="00ED53B0" w:rsidP="007E75B9">
      <w:pPr>
        <w:jc w:val="both"/>
        <w:rPr>
          <w:b/>
        </w:rPr>
      </w:pPr>
    </w:p>
    <w:p w14:paraId="0A975441" w14:textId="77777777" w:rsidR="007B1DD2" w:rsidRDefault="007B1DD2" w:rsidP="000D7E00">
      <w:pPr>
        <w:rPr>
          <w:b/>
        </w:rPr>
      </w:pPr>
    </w:p>
    <w:p w14:paraId="65F923ED" w14:textId="77777777" w:rsidR="000D7E00" w:rsidRDefault="000D7E00" w:rsidP="000D7E00">
      <w:pPr>
        <w:rPr>
          <w:b/>
        </w:rPr>
      </w:pPr>
      <w:r>
        <w:rPr>
          <w:b/>
        </w:rPr>
        <w:lastRenderedPageBreak/>
        <w:t>Duration of Funding</w:t>
      </w:r>
    </w:p>
    <w:p w14:paraId="624F219E" w14:textId="24568059" w:rsidR="00CD1C40" w:rsidRDefault="00355816" w:rsidP="000D7E00">
      <w:r>
        <w:t>This funding is one-off</w:t>
      </w:r>
      <w:r w:rsidR="00AE3952">
        <w:t xml:space="preserve"> spending </w:t>
      </w:r>
      <w:r>
        <w:t xml:space="preserve">to be initiated in 2021/22 and anticipated to be spent by </w:t>
      </w:r>
      <w:r w:rsidR="007E75B9">
        <w:t>June</w:t>
      </w:r>
      <w:r>
        <w:t xml:space="preserve"> 2022.</w:t>
      </w:r>
    </w:p>
    <w:p w14:paraId="25869E6A" w14:textId="77777777" w:rsidR="00FB4BCD" w:rsidRPr="00FB4BCD" w:rsidRDefault="00FB4BCD" w:rsidP="000D7E00"/>
    <w:p w14:paraId="4CDB5714" w14:textId="77777777" w:rsidR="000D7E00" w:rsidRDefault="000D7E00" w:rsidP="000D7E00">
      <w:pPr>
        <w:rPr>
          <w:b/>
        </w:rPr>
      </w:pPr>
      <w:r w:rsidRPr="00461F54">
        <w:rPr>
          <w:b/>
        </w:rPr>
        <w:t>Overall Outcome</w:t>
      </w:r>
    </w:p>
    <w:p w14:paraId="41931178" w14:textId="7B626778" w:rsidR="00AE3952" w:rsidRDefault="00AE3952" w:rsidP="00AE3952">
      <w:r>
        <w:t>The outcome(s) we are seeking with this project includes:</w:t>
      </w:r>
    </w:p>
    <w:p w14:paraId="4211EF07" w14:textId="32D6B13E" w:rsidR="00AE3952" w:rsidRDefault="007E75B9" w:rsidP="00D85C96">
      <w:pPr>
        <w:pStyle w:val="ListParagraph"/>
        <w:numPr>
          <w:ilvl w:val="0"/>
          <w:numId w:val="13"/>
        </w:numPr>
        <w:spacing w:after="0"/>
        <w:jc w:val="both"/>
      </w:pPr>
      <w:r>
        <w:t>Increased</w:t>
      </w:r>
      <w:r w:rsidR="00AE3952">
        <w:t xml:space="preserve"> i</w:t>
      </w:r>
      <w:r w:rsidR="00AE3952" w:rsidRPr="000A45E0">
        <w:t xml:space="preserve">nfluence </w:t>
      </w:r>
      <w:r w:rsidR="00AE3952">
        <w:t xml:space="preserve">for service users, families, carers, residents and communities over </w:t>
      </w:r>
      <w:r w:rsidR="00AE3952" w:rsidRPr="000A45E0">
        <w:t>the decisions and services that affect their lives</w:t>
      </w:r>
      <w:r w:rsidR="00AE3952">
        <w:t xml:space="preserve">. </w:t>
      </w:r>
      <w:r w:rsidR="00AE3952" w:rsidRPr="00E346CC">
        <w:t>These community determinants build control and resilience and can h</w:t>
      </w:r>
      <w:r w:rsidR="00AE3952">
        <w:t>elp buffer against disease and reduce inequalities - often referred to as social capital</w:t>
      </w:r>
      <w:r w:rsidR="00AE3952">
        <w:rPr>
          <w:rStyle w:val="FootnoteReference"/>
        </w:rPr>
        <w:footnoteReference w:id="1"/>
      </w:r>
      <w:r w:rsidR="00AE3952">
        <w:t xml:space="preserve">. </w:t>
      </w:r>
    </w:p>
    <w:p w14:paraId="450BAF7E" w14:textId="1F7DF757" w:rsidR="00AE3952" w:rsidRDefault="00AE3952" w:rsidP="00D85C96">
      <w:pPr>
        <w:pStyle w:val="ListParagraph"/>
        <w:numPr>
          <w:ilvl w:val="0"/>
          <w:numId w:val="13"/>
        </w:numPr>
        <w:spacing w:after="0"/>
        <w:jc w:val="both"/>
      </w:pPr>
      <w:r>
        <w:t>Increasingly engaged and empowered communities.</w:t>
      </w:r>
      <w:r w:rsidRPr="000A45E0">
        <w:t xml:space="preserve"> </w:t>
      </w:r>
      <w:r>
        <w:t>C</w:t>
      </w:r>
      <w:r w:rsidRPr="000A45E0">
        <w:t xml:space="preserve">ommunity empowerment </w:t>
      </w:r>
      <w:r w:rsidR="00CD1C40">
        <w:t>gives</w:t>
      </w:r>
      <w:r w:rsidRPr="000A45E0">
        <w:t xml:space="preserve"> more self-control</w:t>
      </w:r>
      <w:r>
        <w:t xml:space="preserve">, self-direction and self-determination of individuals and communities. </w:t>
      </w:r>
    </w:p>
    <w:p w14:paraId="6C584758" w14:textId="42DECEBA" w:rsidR="00AE3952" w:rsidRDefault="00AE3952" w:rsidP="00D85C96">
      <w:pPr>
        <w:pStyle w:val="ListParagraph"/>
        <w:numPr>
          <w:ilvl w:val="0"/>
          <w:numId w:val="13"/>
        </w:numPr>
        <w:spacing w:after="0"/>
        <w:jc w:val="both"/>
      </w:pPr>
      <w:r>
        <w:t xml:space="preserve">Improved community life through </w:t>
      </w:r>
      <w:r w:rsidRPr="00E346CC">
        <w:t xml:space="preserve">social connections </w:t>
      </w:r>
      <w:r w:rsidR="00CD1C40">
        <w:t>which makes</w:t>
      </w:r>
      <w:r w:rsidRPr="00E346CC">
        <w:t xml:space="preserve"> a vital contribution to health and wellbeing. </w:t>
      </w:r>
    </w:p>
    <w:p w14:paraId="3B8B5149" w14:textId="1F9B808E" w:rsidR="00CD1C40" w:rsidRDefault="00CD1C40" w:rsidP="00D85C96">
      <w:pPr>
        <w:pStyle w:val="ListParagraph"/>
        <w:numPr>
          <w:ilvl w:val="0"/>
          <w:numId w:val="13"/>
        </w:numPr>
        <w:shd w:val="clear" w:color="auto" w:fill="FFFFFF"/>
        <w:spacing w:after="100" w:afterAutospacing="1"/>
        <w:jc w:val="both"/>
      </w:pPr>
      <w:r>
        <w:t xml:space="preserve">Clarity for service users, families, carers, residents and communities on where to access </w:t>
      </w:r>
      <w:r w:rsidR="00833F38">
        <w:t xml:space="preserve">the </w:t>
      </w:r>
      <w:r>
        <w:t>services and activities they need.</w:t>
      </w:r>
      <w:r w:rsidR="00787771" w:rsidRPr="00787771">
        <w:t xml:space="preserve"> </w:t>
      </w:r>
    </w:p>
    <w:p w14:paraId="115BB95F" w14:textId="77777777" w:rsidR="00CD1C40" w:rsidRPr="00CD1C40" w:rsidRDefault="00CD1C40" w:rsidP="00CD1C40">
      <w:pPr>
        <w:pStyle w:val="ListParagraph"/>
        <w:numPr>
          <w:ilvl w:val="0"/>
          <w:numId w:val="13"/>
        </w:numPr>
        <w:shd w:val="clear" w:color="auto" w:fill="FFFFFF"/>
        <w:spacing w:after="100" w:afterAutospacing="1"/>
        <w:jc w:val="both"/>
        <w:rPr>
          <w:b/>
        </w:rPr>
      </w:pPr>
      <w:r>
        <w:t xml:space="preserve">Fulfilment of </w:t>
      </w:r>
      <w:r w:rsidR="00787771" w:rsidRPr="00787771">
        <w:t>West Berkshire Council</w:t>
      </w:r>
      <w:r>
        <w:t>’s duty to provide a community signposting service which can</w:t>
      </w:r>
      <w:r w:rsidR="00787771" w:rsidRPr="00787771">
        <w:t xml:space="preserve"> support</w:t>
      </w:r>
      <w:r w:rsidR="00787771">
        <w:t xml:space="preserve"> i</w:t>
      </w:r>
      <w:r w:rsidR="007E75B9">
        <w:t>mproved</w:t>
      </w:r>
      <w:r w:rsidR="00AE3952">
        <w:t xml:space="preserve"> connections between</w:t>
      </w:r>
      <w:r w:rsidR="00AE3952" w:rsidRPr="000A45E0">
        <w:t xml:space="preserve"> professionals </w:t>
      </w:r>
      <w:r w:rsidR="00787771">
        <w:t xml:space="preserve">and </w:t>
      </w:r>
      <w:r w:rsidR="00AE3952">
        <w:t>communities</w:t>
      </w:r>
      <w:r w:rsidR="00787771">
        <w:t>.</w:t>
      </w:r>
    </w:p>
    <w:p w14:paraId="0D111D69" w14:textId="78AD7D33" w:rsidR="00CD1C40" w:rsidRDefault="00CD1C40" w:rsidP="00CD1C40">
      <w:pPr>
        <w:pStyle w:val="ListParagraph"/>
        <w:numPr>
          <w:ilvl w:val="0"/>
          <w:numId w:val="13"/>
        </w:numPr>
        <w:spacing w:after="0"/>
        <w:jc w:val="both"/>
      </w:pPr>
      <w:r w:rsidRPr="00CD1C40">
        <w:t xml:space="preserve">A robust evidence-base </w:t>
      </w:r>
      <w:r w:rsidR="00833F38">
        <w:t xml:space="preserve">to inform </w:t>
      </w:r>
      <w:r w:rsidRPr="00CD1C40">
        <w:t>future commissioning and spend on a directory of services for West Berkshire to ensure it meets the needs of the Council, our partners across all sectors, our communities and individual residents.</w:t>
      </w:r>
    </w:p>
    <w:p w14:paraId="5ACB2D32" w14:textId="77777777" w:rsidR="00CD1C40" w:rsidRPr="00CD1C40" w:rsidRDefault="00CD1C40" w:rsidP="00CD1C40">
      <w:pPr>
        <w:pStyle w:val="ListParagraph"/>
        <w:spacing w:after="0"/>
        <w:jc w:val="both"/>
      </w:pPr>
    </w:p>
    <w:p w14:paraId="62A73375" w14:textId="4DF40F3F" w:rsidR="000D7E00" w:rsidRPr="00CD1C40" w:rsidRDefault="000D7E00" w:rsidP="00CD1C40">
      <w:pPr>
        <w:shd w:val="clear" w:color="auto" w:fill="FFFFFF"/>
        <w:spacing w:after="100" w:afterAutospacing="1"/>
        <w:jc w:val="both"/>
        <w:rPr>
          <w:b/>
        </w:rPr>
      </w:pPr>
      <w:r w:rsidRPr="00CD1C40">
        <w:rPr>
          <w:b/>
        </w:rPr>
        <w:t xml:space="preserve">Locality   </w:t>
      </w:r>
    </w:p>
    <w:p w14:paraId="6C5292FB" w14:textId="702F688F" w:rsidR="000D7E00" w:rsidRPr="00AE3952" w:rsidRDefault="00AE3952" w:rsidP="00D85C96">
      <w:pPr>
        <w:jc w:val="both"/>
      </w:pPr>
      <w:r>
        <w:t xml:space="preserve">The </w:t>
      </w:r>
      <w:r w:rsidR="00CD1C40">
        <w:t xml:space="preserve">project will assess the community </w:t>
      </w:r>
      <w:r w:rsidR="00833F38">
        <w:t xml:space="preserve">and strategic </w:t>
      </w:r>
      <w:r w:rsidR="00CD1C40">
        <w:t>signposting needs of</w:t>
      </w:r>
      <w:r>
        <w:t xml:space="preserve"> </w:t>
      </w:r>
      <w:r w:rsidR="00CD1C40">
        <w:t xml:space="preserve">the area </w:t>
      </w:r>
      <w:r>
        <w:t>cover</w:t>
      </w:r>
      <w:r w:rsidR="00CD1C40">
        <w:t>ed</w:t>
      </w:r>
      <w:r>
        <w:t xml:space="preserve"> </w:t>
      </w:r>
      <w:r w:rsidR="00CD1C40">
        <w:t xml:space="preserve">by </w:t>
      </w:r>
      <w:r>
        <w:t>West Berkshire Council.</w:t>
      </w:r>
    </w:p>
    <w:p w14:paraId="7544AD88" w14:textId="77777777" w:rsidR="00AE3952" w:rsidRDefault="00AE3952" w:rsidP="000D7E00">
      <w:pPr>
        <w:rPr>
          <w:b/>
        </w:rPr>
      </w:pPr>
    </w:p>
    <w:p w14:paraId="36DD9A59" w14:textId="77777777" w:rsidR="000D7E00" w:rsidRDefault="000D7E00" w:rsidP="000D7E00">
      <w:pPr>
        <w:rPr>
          <w:b/>
        </w:rPr>
      </w:pPr>
      <w:r w:rsidRPr="00461F54">
        <w:rPr>
          <w:b/>
        </w:rPr>
        <w:t>Groups / Audience</w:t>
      </w:r>
    </w:p>
    <w:p w14:paraId="240E8CC2" w14:textId="6A8800A0" w:rsidR="00CD1C40" w:rsidRDefault="00AE3952" w:rsidP="007B1DD2">
      <w:pPr>
        <w:jc w:val="both"/>
      </w:pPr>
      <w:r>
        <w:t>The audience of the final product (</w:t>
      </w:r>
      <w:r w:rsidR="00CD1C40">
        <w:t xml:space="preserve">a report on community </w:t>
      </w:r>
      <w:r w:rsidR="00833F38">
        <w:t xml:space="preserve">and strategic </w:t>
      </w:r>
      <w:r w:rsidR="00CD1C40">
        <w:t>signposting needs</w:t>
      </w:r>
      <w:r>
        <w:t xml:space="preserve">) will be the officers of </w:t>
      </w:r>
      <w:r w:rsidR="00D25EED">
        <w:t>the Council</w:t>
      </w:r>
      <w:r w:rsidR="00CD1C40">
        <w:t>, partner organisations, VCS organisations</w:t>
      </w:r>
      <w:r w:rsidR="00D25EED">
        <w:t xml:space="preserve"> </w:t>
      </w:r>
      <w:r>
        <w:t xml:space="preserve">and the residents served by West Berkshire Council. </w:t>
      </w:r>
      <w:r w:rsidR="00CD1C40">
        <w:t>In particular, consideration</w:t>
      </w:r>
      <w:r w:rsidR="00DE7585">
        <w:t xml:space="preserve"> </w:t>
      </w:r>
      <w:r w:rsidR="00CD1C40">
        <w:t>of</w:t>
      </w:r>
      <w:r w:rsidR="00DE7585">
        <w:t xml:space="preserve"> those whose voices are seldom heard</w:t>
      </w:r>
      <w:r w:rsidR="00CD1C40">
        <w:t xml:space="preserve"> will be needed</w:t>
      </w:r>
      <w:r w:rsidR="00DE7585">
        <w:t>.</w:t>
      </w:r>
    </w:p>
    <w:p w14:paraId="7E8CF11C" w14:textId="77777777" w:rsidR="007B1DD2" w:rsidRDefault="007B1DD2" w:rsidP="007B1DD2">
      <w:pPr>
        <w:jc w:val="both"/>
      </w:pPr>
    </w:p>
    <w:p w14:paraId="5E47BF24" w14:textId="77777777" w:rsidR="000D7E00" w:rsidRDefault="000D7E00" w:rsidP="000D7E00">
      <w:pPr>
        <w:rPr>
          <w:b/>
        </w:rPr>
      </w:pPr>
      <w:r>
        <w:rPr>
          <w:b/>
        </w:rPr>
        <w:t>Location</w:t>
      </w:r>
    </w:p>
    <w:p w14:paraId="28E8DD2D" w14:textId="79DB047C" w:rsidR="000D7E00" w:rsidRPr="00461F54" w:rsidRDefault="000D7E00" w:rsidP="00D85C96">
      <w:pPr>
        <w:jc w:val="both"/>
        <w:rPr>
          <w:b/>
        </w:rPr>
      </w:pPr>
      <w:r w:rsidRPr="00A10077">
        <w:t xml:space="preserve">The service will </w:t>
      </w:r>
      <w:r w:rsidR="00AE3952">
        <w:t>be delivered online and where appropriate meetings will be held in the offices of West Berkshire Council</w:t>
      </w:r>
      <w:r w:rsidR="00F7712A">
        <w:t xml:space="preserve"> (Newbury, Berkshire)</w:t>
      </w:r>
      <w:r w:rsidR="00AE3952">
        <w:t xml:space="preserve">. </w:t>
      </w:r>
    </w:p>
    <w:p w14:paraId="389F9877" w14:textId="77777777" w:rsidR="00F7712A" w:rsidRDefault="00F7712A" w:rsidP="000D7E00">
      <w:pPr>
        <w:rPr>
          <w:b/>
        </w:rPr>
      </w:pPr>
    </w:p>
    <w:p w14:paraId="3878184F" w14:textId="77777777" w:rsidR="00FB4BCD" w:rsidRDefault="00FB4BCD" w:rsidP="000D7E00">
      <w:pPr>
        <w:rPr>
          <w:b/>
        </w:rPr>
      </w:pPr>
    </w:p>
    <w:p w14:paraId="0879E2D7" w14:textId="77777777" w:rsidR="000D7E00" w:rsidRDefault="000D7E00" w:rsidP="000D7E00">
      <w:pPr>
        <w:rPr>
          <w:b/>
        </w:rPr>
      </w:pPr>
      <w:r w:rsidRPr="00461F54">
        <w:rPr>
          <w:b/>
        </w:rPr>
        <w:lastRenderedPageBreak/>
        <w:t>Objectives</w:t>
      </w:r>
    </w:p>
    <w:p w14:paraId="470008C4" w14:textId="77777777" w:rsidR="000D7E00" w:rsidRDefault="000D7E00" w:rsidP="000D7E00">
      <w:pPr>
        <w:pStyle w:val="Heading2"/>
        <w:spacing w:before="0" w:after="0"/>
        <w:rPr>
          <w:rFonts w:ascii="Arial" w:eastAsia="Times New Roman" w:hAnsi="Arial" w:cs="Arial"/>
          <w:b w:val="0"/>
          <w:i w:val="0"/>
          <w:sz w:val="24"/>
          <w:szCs w:val="24"/>
          <w:lang w:eastAsia="en-GB"/>
        </w:rPr>
      </w:pPr>
    </w:p>
    <w:p w14:paraId="7DFECDBC" w14:textId="2F6AA35C" w:rsidR="00355816" w:rsidRDefault="00451B15" w:rsidP="00355816">
      <w:r>
        <w:t>Research</w:t>
      </w:r>
      <w:r w:rsidR="00355816">
        <w:t xml:space="preserve"> consultancy expertise is required to</w:t>
      </w:r>
      <w:r w:rsidR="00D85C96">
        <w:t>:</w:t>
      </w:r>
      <w:r w:rsidR="00355816">
        <w:t xml:space="preserve"> </w:t>
      </w:r>
    </w:p>
    <w:p w14:paraId="77358A7B" w14:textId="77777777" w:rsidR="00CD1C40" w:rsidRPr="008B62AE" w:rsidRDefault="00CD1C40" w:rsidP="00CD1C40">
      <w:pPr>
        <w:pStyle w:val="ListParagraph"/>
        <w:numPr>
          <w:ilvl w:val="0"/>
          <w:numId w:val="13"/>
        </w:numPr>
        <w:spacing w:after="0"/>
        <w:jc w:val="both"/>
      </w:pPr>
      <w:r>
        <w:t>Conduct an independent review of the needs for community and strategic signposting in West Berkshire (including the meeting of the Council’s legal duties under the Children and Families Act)</w:t>
      </w:r>
    </w:p>
    <w:p w14:paraId="5C0E82CC" w14:textId="77777777" w:rsidR="00CD1C40" w:rsidRPr="00914529" w:rsidRDefault="00CD1C40" w:rsidP="00CD1C40">
      <w:pPr>
        <w:pStyle w:val="ListParagraph"/>
        <w:numPr>
          <w:ilvl w:val="0"/>
          <w:numId w:val="13"/>
        </w:numPr>
        <w:spacing w:after="0"/>
        <w:jc w:val="both"/>
      </w:pPr>
      <w:r w:rsidRPr="008B62AE">
        <w:t>Identify the audience and function for community and strategic signposting through engagement with stakeholders including West Berkshire Council staff, Voluntary &amp; Community Sector, Businesses and other organisations, residents of West Berkshire</w:t>
      </w:r>
    </w:p>
    <w:p w14:paraId="33BCBE87" w14:textId="77777777" w:rsidR="00CD1C40" w:rsidRPr="008B62AE" w:rsidRDefault="00CD1C40" w:rsidP="00CD1C40">
      <w:pPr>
        <w:pStyle w:val="ListParagraph"/>
        <w:numPr>
          <w:ilvl w:val="0"/>
          <w:numId w:val="13"/>
        </w:numPr>
        <w:spacing w:after="0"/>
        <w:jc w:val="both"/>
      </w:pPr>
      <w:r w:rsidRPr="008B62AE">
        <w:t>Undertake a SWOT analysis of the current provision</w:t>
      </w:r>
    </w:p>
    <w:p w14:paraId="6AE60287" w14:textId="77777777" w:rsidR="00CD1C40" w:rsidRPr="008B62AE" w:rsidRDefault="00CD1C40" w:rsidP="00CD1C40">
      <w:pPr>
        <w:pStyle w:val="ListParagraph"/>
        <w:numPr>
          <w:ilvl w:val="0"/>
          <w:numId w:val="13"/>
        </w:numPr>
        <w:spacing w:after="0"/>
        <w:jc w:val="both"/>
      </w:pPr>
      <w:r w:rsidRPr="008B62AE">
        <w:t>Undertake the mapping of existing provision both internal and external</w:t>
      </w:r>
    </w:p>
    <w:p w14:paraId="14FBEBCF" w14:textId="77777777" w:rsidR="00CD1C40" w:rsidRPr="008B62AE" w:rsidRDefault="00CD1C40" w:rsidP="00CD1C40">
      <w:pPr>
        <w:pStyle w:val="ListParagraph"/>
        <w:numPr>
          <w:ilvl w:val="0"/>
          <w:numId w:val="13"/>
        </w:numPr>
        <w:spacing w:after="0"/>
        <w:jc w:val="both"/>
      </w:pPr>
      <w:r>
        <w:t>Undertake research and benchmarking to establish best practice provision of similar function in other areas</w:t>
      </w:r>
    </w:p>
    <w:p w14:paraId="1F9213EE" w14:textId="77777777" w:rsidR="00CD1C40" w:rsidRPr="008B62AE" w:rsidRDefault="00CD1C40" w:rsidP="00CD1C40">
      <w:pPr>
        <w:pStyle w:val="ListParagraph"/>
        <w:numPr>
          <w:ilvl w:val="0"/>
          <w:numId w:val="13"/>
        </w:numPr>
        <w:spacing w:after="0"/>
        <w:jc w:val="both"/>
      </w:pPr>
      <w:r>
        <w:t>Research emerging innovations in provision of similar functions</w:t>
      </w:r>
    </w:p>
    <w:p w14:paraId="3E4DC52B" w14:textId="42135FFC" w:rsidR="004020C7" w:rsidRDefault="00CD1C40" w:rsidP="00CD1C40">
      <w:pPr>
        <w:pStyle w:val="ListParagraph"/>
        <w:numPr>
          <w:ilvl w:val="0"/>
          <w:numId w:val="13"/>
        </w:numPr>
        <w:spacing w:after="0"/>
        <w:jc w:val="both"/>
      </w:pPr>
      <w:r>
        <w:t>Research format and accessibility needs</w:t>
      </w:r>
    </w:p>
    <w:p w14:paraId="66D62DA2" w14:textId="3E3503D1" w:rsidR="00CD1C40" w:rsidRDefault="00451B15" w:rsidP="00CD1C40">
      <w:pPr>
        <w:pStyle w:val="ListParagraph"/>
        <w:numPr>
          <w:ilvl w:val="0"/>
          <w:numId w:val="13"/>
        </w:numPr>
        <w:spacing w:after="0"/>
        <w:jc w:val="both"/>
      </w:pPr>
      <w:r>
        <w:t>Write reports</w:t>
      </w:r>
      <w:r w:rsidR="00CD1C40" w:rsidRPr="008B62AE">
        <w:t xml:space="preserve"> and presentation</w:t>
      </w:r>
      <w:r>
        <w:t>(</w:t>
      </w:r>
      <w:r w:rsidR="00CD1C40" w:rsidRPr="008B62AE">
        <w:t>s</w:t>
      </w:r>
      <w:r>
        <w:t>) on the findings</w:t>
      </w:r>
    </w:p>
    <w:p w14:paraId="06276D13" w14:textId="77777777" w:rsidR="00CD1C40" w:rsidRDefault="00CD1C40" w:rsidP="00355816"/>
    <w:p w14:paraId="462F8587" w14:textId="05D0C7A3" w:rsidR="00355816" w:rsidRPr="00451B15" w:rsidRDefault="00355816" w:rsidP="00355816">
      <w:r w:rsidRPr="00451B15">
        <w:t>The following deliverables are anticipated</w:t>
      </w:r>
      <w:r w:rsidR="007E1186" w:rsidRPr="00451B15">
        <w:t xml:space="preserve"> through the project</w:t>
      </w:r>
      <w:r w:rsidRPr="00451B15">
        <w:t>:</w:t>
      </w:r>
    </w:p>
    <w:p w14:paraId="388A9A36" w14:textId="77777777" w:rsidR="00451B15" w:rsidRPr="00451B15" w:rsidRDefault="00451B15" w:rsidP="00451B15">
      <w:pPr>
        <w:pStyle w:val="ListParagraph"/>
        <w:numPr>
          <w:ilvl w:val="0"/>
          <w:numId w:val="17"/>
        </w:numPr>
        <w:spacing w:after="0"/>
      </w:pPr>
      <w:r w:rsidRPr="00451B15">
        <w:t>Fortnightly highlight report</w:t>
      </w:r>
    </w:p>
    <w:p w14:paraId="384AD43F" w14:textId="77777777" w:rsidR="00451B15" w:rsidRPr="00451B15" w:rsidRDefault="00451B15" w:rsidP="00451B15">
      <w:pPr>
        <w:pStyle w:val="ListParagraph"/>
        <w:numPr>
          <w:ilvl w:val="0"/>
          <w:numId w:val="17"/>
        </w:numPr>
        <w:spacing w:after="0"/>
      </w:pPr>
      <w:r w:rsidRPr="00451B15">
        <w:t>Evaluation report of existing directory and future requirements, including a SWOT analysis</w:t>
      </w:r>
    </w:p>
    <w:p w14:paraId="29BD4B6E" w14:textId="77777777" w:rsidR="00451B15" w:rsidRPr="00451B15" w:rsidRDefault="00451B15" w:rsidP="00451B15">
      <w:pPr>
        <w:pStyle w:val="ListParagraph"/>
        <w:numPr>
          <w:ilvl w:val="0"/>
          <w:numId w:val="17"/>
        </w:numPr>
        <w:spacing w:after="0"/>
      </w:pPr>
      <w:r w:rsidRPr="00451B15">
        <w:t>Future options report</w:t>
      </w:r>
    </w:p>
    <w:p w14:paraId="5E038CEE" w14:textId="40E2190D" w:rsidR="00451B15" w:rsidRDefault="00332D16" w:rsidP="00451B15">
      <w:pPr>
        <w:pStyle w:val="ListParagraph"/>
        <w:numPr>
          <w:ilvl w:val="0"/>
          <w:numId w:val="17"/>
        </w:numPr>
        <w:spacing w:after="0"/>
      </w:pPr>
      <w:r>
        <w:t>Presentations to</w:t>
      </w:r>
      <w:r w:rsidR="00451B15" w:rsidRPr="00451B15">
        <w:t>: Project Working Group, Customer First Programme Board</w:t>
      </w:r>
    </w:p>
    <w:p w14:paraId="4AF029A2" w14:textId="77777777" w:rsidR="00FB4BCD" w:rsidRDefault="00FB4BCD" w:rsidP="00FB4BCD">
      <w:pPr>
        <w:spacing w:after="0"/>
      </w:pPr>
    </w:p>
    <w:p w14:paraId="7C858CB5" w14:textId="70340FEB" w:rsidR="00FB4BCD" w:rsidRDefault="00FB4BCD" w:rsidP="00FB4BCD">
      <w:pPr>
        <w:rPr>
          <w:b/>
        </w:rPr>
      </w:pPr>
      <w:r>
        <w:rPr>
          <w:b/>
        </w:rPr>
        <w:t>Skills and experience</w:t>
      </w:r>
    </w:p>
    <w:p w14:paraId="1D3AB4BA" w14:textId="1FCAF5C9" w:rsidR="00FB4BCD" w:rsidRPr="00FB4BCD" w:rsidRDefault="00FB4BCD" w:rsidP="00FB4BCD">
      <w:r>
        <w:t>The following outlines the skills and experience sought to deliver this project:</w:t>
      </w:r>
    </w:p>
    <w:p w14:paraId="6527A749" w14:textId="1D38B84D" w:rsidR="000D7E00" w:rsidRPr="00451B15" w:rsidRDefault="00355816" w:rsidP="00451B15">
      <w:pPr>
        <w:spacing w:after="0"/>
        <w:ind w:left="360"/>
        <w:rPr>
          <w:sz w:val="22"/>
          <w:szCs w:val="22"/>
        </w:rPr>
      </w:pPr>
      <w:r w:rsidRPr="00451B15">
        <w:rPr>
          <w:sz w:val="22"/>
          <w:szCs w:val="22"/>
        </w:rPr>
        <w:t xml:space="preserve"> </w:t>
      </w:r>
    </w:p>
    <w:tbl>
      <w:tblPr>
        <w:tblStyle w:val="TableGrid"/>
        <w:tblW w:w="0" w:type="auto"/>
        <w:tblLook w:val="04A0" w:firstRow="1" w:lastRow="0" w:firstColumn="1" w:lastColumn="0" w:noHBand="0" w:noVBand="1"/>
      </w:tblPr>
      <w:tblGrid>
        <w:gridCol w:w="7225"/>
        <w:gridCol w:w="1791"/>
      </w:tblGrid>
      <w:tr w:rsidR="00FB4BCD" w14:paraId="5C465541" w14:textId="77777777" w:rsidTr="00745EC0">
        <w:tc>
          <w:tcPr>
            <w:tcW w:w="7225" w:type="dxa"/>
          </w:tcPr>
          <w:p w14:paraId="0921541B" w14:textId="4843E075" w:rsidR="00FB4BCD" w:rsidRPr="00F4046D" w:rsidRDefault="00FB4BCD" w:rsidP="00745EC0">
            <w:pPr>
              <w:rPr>
                <w:b/>
              </w:rPr>
            </w:pPr>
          </w:p>
        </w:tc>
        <w:tc>
          <w:tcPr>
            <w:tcW w:w="1791" w:type="dxa"/>
          </w:tcPr>
          <w:p w14:paraId="5EA43306" w14:textId="77777777" w:rsidR="00FB4BCD" w:rsidRPr="00F4046D" w:rsidRDefault="00FB4BCD" w:rsidP="00745EC0">
            <w:pPr>
              <w:rPr>
                <w:b/>
              </w:rPr>
            </w:pPr>
            <w:r w:rsidRPr="00F4046D">
              <w:rPr>
                <w:b/>
              </w:rPr>
              <w:t>Essential / Desirable</w:t>
            </w:r>
          </w:p>
        </w:tc>
      </w:tr>
      <w:tr w:rsidR="00FB4BCD" w14:paraId="42CB0D39" w14:textId="77777777" w:rsidTr="00745EC0">
        <w:tc>
          <w:tcPr>
            <w:tcW w:w="7225" w:type="dxa"/>
          </w:tcPr>
          <w:p w14:paraId="114183EB" w14:textId="77777777" w:rsidR="00FB4BCD" w:rsidRDefault="00FB4BCD" w:rsidP="00745EC0">
            <w:r>
              <w:t>Strong interpersonal and customer engagement skills</w:t>
            </w:r>
          </w:p>
        </w:tc>
        <w:tc>
          <w:tcPr>
            <w:tcW w:w="1791" w:type="dxa"/>
          </w:tcPr>
          <w:p w14:paraId="196E9807" w14:textId="77777777" w:rsidR="00FB4BCD" w:rsidRDefault="00FB4BCD" w:rsidP="00745EC0">
            <w:r>
              <w:t>E</w:t>
            </w:r>
          </w:p>
        </w:tc>
      </w:tr>
      <w:tr w:rsidR="00FB4BCD" w14:paraId="0363A516" w14:textId="77777777" w:rsidTr="00745EC0">
        <w:tc>
          <w:tcPr>
            <w:tcW w:w="7225" w:type="dxa"/>
          </w:tcPr>
          <w:p w14:paraId="02C724E5" w14:textId="77777777" w:rsidR="00FB4BCD" w:rsidRDefault="00FB4BCD" w:rsidP="00745EC0">
            <w:r>
              <w:t xml:space="preserve">Experience of undertaking primary and secondary practice-based research </w:t>
            </w:r>
          </w:p>
        </w:tc>
        <w:tc>
          <w:tcPr>
            <w:tcW w:w="1791" w:type="dxa"/>
          </w:tcPr>
          <w:p w14:paraId="2CDF08DC" w14:textId="77777777" w:rsidR="00FB4BCD" w:rsidRDefault="00FB4BCD" w:rsidP="00745EC0">
            <w:r>
              <w:t>E</w:t>
            </w:r>
          </w:p>
        </w:tc>
      </w:tr>
      <w:tr w:rsidR="00FB4BCD" w14:paraId="4023B8E1" w14:textId="77777777" w:rsidTr="00745EC0">
        <w:tc>
          <w:tcPr>
            <w:tcW w:w="7225" w:type="dxa"/>
          </w:tcPr>
          <w:p w14:paraId="20C0FA36" w14:textId="77777777" w:rsidR="00FB4BCD" w:rsidRDefault="00FB4BCD" w:rsidP="00745EC0">
            <w:r>
              <w:t xml:space="preserve">Experience of conducting qualitative analysis </w:t>
            </w:r>
          </w:p>
        </w:tc>
        <w:tc>
          <w:tcPr>
            <w:tcW w:w="1791" w:type="dxa"/>
          </w:tcPr>
          <w:p w14:paraId="264BAC75" w14:textId="77777777" w:rsidR="00FB4BCD" w:rsidRDefault="00FB4BCD" w:rsidP="00745EC0">
            <w:r>
              <w:t>E</w:t>
            </w:r>
          </w:p>
        </w:tc>
      </w:tr>
      <w:tr w:rsidR="00FB4BCD" w14:paraId="0E10ADF0" w14:textId="77777777" w:rsidTr="00745EC0">
        <w:tc>
          <w:tcPr>
            <w:tcW w:w="7225" w:type="dxa"/>
          </w:tcPr>
          <w:p w14:paraId="3578684E" w14:textId="77777777" w:rsidR="00FB4BCD" w:rsidRDefault="00FB4BCD" w:rsidP="00745EC0">
            <w:r>
              <w:t>Experience of designing and undertaking evaluation</w:t>
            </w:r>
          </w:p>
        </w:tc>
        <w:tc>
          <w:tcPr>
            <w:tcW w:w="1791" w:type="dxa"/>
          </w:tcPr>
          <w:p w14:paraId="674646A2" w14:textId="77777777" w:rsidR="00FB4BCD" w:rsidRDefault="00FB4BCD" w:rsidP="00745EC0">
            <w:r>
              <w:t>E</w:t>
            </w:r>
          </w:p>
        </w:tc>
      </w:tr>
      <w:tr w:rsidR="00FB4BCD" w14:paraId="532BF19C" w14:textId="77777777" w:rsidTr="00745EC0">
        <w:tc>
          <w:tcPr>
            <w:tcW w:w="7225" w:type="dxa"/>
          </w:tcPr>
          <w:p w14:paraId="30ED980C" w14:textId="77777777" w:rsidR="00FB4BCD" w:rsidRDefault="00FB4BCD" w:rsidP="00745EC0">
            <w:r>
              <w:t>Understanding of processes and databases (preferably relational databases)</w:t>
            </w:r>
          </w:p>
        </w:tc>
        <w:tc>
          <w:tcPr>
            <w:tcW w:w="1791" w:type="dxa"/>
          </w:tcPr>
          <w:p w14:paraId="25EEBF41" w14:textId="77777777" w:rsidR="00FB4BCD" w:rsidRDefault="00FB4BCD" w:rsidP="00745EC0">
            <w:r>
              <w:t>E</w:t>
            </w:r>
          </w:p>
        </w:tc>
      </w:tr>
      <w:tr w:rsidR="00FB4BCD" w14:paraId="2A22C7F1" w14:textId="77777777" w:rsidTr="00745EC0">
        <w:tc>
          <w:tcPr>
            <w:tcW w:w="7225" w:type="dxa"/>
          </w:tcPr>
          <w:p w14:paraId="57E0D512" w14:textId="77777777" w:rsidR="00FB4BCD" w:rsidRDefault="00FB4BCD" w:rsidP="00745EC0">
            <w:r>
              <w:t>Project Management Qualification or relevant experience</w:t>
            </w:r>
          </w:p>
        </w:tc>
        <w:tc>
          <w:tcPr>
            <w:tcW w:w="1791" w:type="dxa"/>
          </w:tcPr>
          <w:p w14:paraId="675B06DA" w14:textId="77777777" w:rsidR="00FB4BCD" w:rsidRDefault="00FB4BCD" w:rsidP="00745EC0">
            <w:r>
              <w:t>E</w:t>
            </w:r>
          </w:p>
        </w:tc>
      </w:tr>
      <w:tr w:rsidR="00FB4BCD" w14:paraId="59502B59" w14:textId="77777777" w:rsidTr="00745EC0">
        <w:tc>
          <w:tcPr>
            <w:tcW w:w="7225" w:type="dxa"/>
          </w:tcPr>
          <w:p w14:paraId="135D2DDD" w14:textId="77777777" w:rsidR="00FB4BCD" w:rsidRDefault="00FB4BCD" w:rsidP="00745EC0">
            <w:r>
              <w:t xml:space="preserve">Experience of report design and writing </w:t>
            </w:r>
          </w:p>
        </w:tc>
        <w:tc>
          <w:tcPr>
            <w:tcW w:w="1791" w:type="dxa"/>
          </w:tcPr>
          <w:p w14:paraId="78B52B6F" w14:textId="77777777" w:rsidR="00FB4BCD" w:rsidRDefault="00FB4BCD" w:rsidP="00745EC0">
            <w:r>
              <w:t>E</w:t>
            </w:r>
          </w:p>
        </w:tc>
      </w:tr>
      <w:tr w:rsidR="00FB4BCD" w14:paraId="3C3EA942" w14:textId="77777777" w:rsidTr="00745EC0">
        <w:tc>
          <w:tcPr>
            <w:tcW w:w="7225" w:type="dxa"/>
          </w:tcPr>
          <w:p w14:paraId="739BD011" w14:textId="77777777" w:rsidR="00FB4BCD" w:rsidRDefault="00FB4BCD" w:rsidP="00745EC0">
            <w:r>
              <w:t xml:space="preserve">Knowledge of West Berkshire, its demographic and communities </w:t>
            </w:r>
          </w:p>
        </w:tc>
        <w:tc>
          <w:tcPr>
            <w:tcW w:w="1791" w:type="dxa"/>
          </w:tcPr>
          <w:p w14:paraId="3B8A1B1B" w14:textId="77777777" w:rsidR="00FB4BCD" w:rsidRDefault="00FB4BCD" w:rsidP="00745EC0">
            <w:r>
              <w:t>D</w:t>
            </w:r>
          </w:p>
        </w:tc>
      </w:tr>
    </w:tbl>
    <w:p w14:paraId="2A73FF8E" w14:textId="77777777" w:rsidR="00FB4BCD" w:rsidRDefault="00FB4BCD" w:rsidP="000D7E00">
      <w:pPr>
        <w:rPr>
          <w:b/>
        </w:rPr>
      </w:pPr>
    </w:p>
    <w:p w14:paraId="6F06CA6F" w14:textId="77777777" w:rsidR="00FB4BCD" w:rsidRDefault="00FB4BCD" w:rsidP="000D7E00">
      <w:pPr>
        <w:rPr>
          <w:b/>
        </w:rPr>
      </w:pPr>
    </w:p>
    <w:p w14:paraId="4A6C6AF3" w14:textId="3423D031" w:rsidR="000D7E00" w:rsidRDefault="000D7E00" w:rsidP="000D7E00">
      <w:pPr>
        <w:rPr>
          <w:b/>
        </w:rPr>
      </w:pPr>
      <w:r w:rsidRPr="00461F54">
        <w:rPr>
          <w:b/>
        </w:rPr>
        <w:lastRenderedPageBreak/>
        <w:t xml:space="preserve">Performance </w:t>
      </w:r>
      <w:r w:rsidR="00D85C96">
        <w:rPr>
          <w:b/>
        </w:rPr>
        <w:t>monitoring</w:t>
      </w:r>
    </w:p>
    <w:p w14:paraId="5C677372" w14:textId="4FE4F609" w:rsidR="000D7E00" w:rsidRDefault="00355816" w:rsidP="000D7E00">
      <w:r>
        <w:t>M</w:t>
      </w:r>
      <w:r w:rsidR="000D7E00">
        <w:t xml:space="preserve">onitoring and evaluation </w:t>
      </w:r>
      <w:r>
        <w:t>of this project will be</w:t>
      </w:r>
      <w:r w:rsidR="000D7E00">
        <w:t xml:space="preserve"> through </w:t>
      </w:r>
      <w:r>
        <w:t>regular project monitoring meetings</w:t>
      </w:r>
      <w:r w:rsidR="00AE7FDC">
        <w:t xml:space="preserve"> against the deliverables described above</w:t>
      </w:r>
      <w:r w:rsidR="00D85C96">
        <w:t>.</w:t>
      </w:r>
      <w:r w:rsidR="00F15E5A">
        <w:t xml:space="preserve"> </w:t>
      </w:r>
      <w:r w:rsidR="00AE7FDC">
        <w:t>More specifically; t</w:t>
      </w:r>
      <w:r w:rsidR="00F15E5A">
        <w:t>he following describes anticipated measures of success:</w:t>
      </w:r>
    </w:p>
    <w:p w14:paraId="3011C0F2" w14:textId="77777777" w:rsidR="00D85C96" w:rsidRDefault="00D85C96" w:rsidP="000D7E00">
      <w:pPr>
        <w:rPr>
          <w:b/>
        </w:rPr>
      </w:pPr>
    </w:p>
    <w:tbl>
      <w:tblPr>
        <w:tblStyle w:val="TableGrid"/>
        <w:tblW w:w="9501" w:type="dxa"/>
        <w:tblLayout w:type="fixed"/>
        <w:tblLook w:val="04A0" w:firstRow="1" w:lastRow="0" w:firstColumn="1" w:lastColumn="0" w:noHBand="0" w:noVBand="1"/>
      </w:tblPr>
      <w:tblGrid>
        <w:gridCol w:w="421"/>
        <w:gridCol w:w="4536"/>
        <w:gridCol w:w="1418"/>
        <w:gridCol w:w="1563"/>
        <w:gridCol w:w="1563"/>
      </w:tblGrid>
      <w:tr w:rsidR="00E80D9A" w:rsidRPr="00E80D9A" w14:paraId="52F378EC" w14:textId="32390BFF" w:rsidTr="00E80D9A">
        <w:trPr>
          <w:tblHeader/>
        </w:trPr>
        <w:tc>
          <w:tcPr>
            <w:tcW w:w="421" w:type="dxa"/>
            <w:shd w:val="clear" w:color="auto" w:fill="F2F2F2" w:themeFill="background1" w:themeFillShade="F2"/>
          </w:tcPr>
          <w:p w14:paraId="44284D35" w14:textId="77777777" w:rsidR="00E80D9A" w:rsidRPr="00E80D9A" w:rsidRDefault="00E80D9A" w:rsidP="00E80D9A">
            <w:pPr>
              <w:rPr>
                <w:b/>
                <w:sz w:val="22"/>
                <w:szCs w:val="22"/>
              </w:rPr>
            </w:pPr>
          </w:p>
        </w:tc>
        <w:tc>
          <w:tcPr>
            <w:tcW w:w="4536" w:type="dxa"/>
            <w:shd w:val="clear" w:color="auto" w:fill="F2F2F2" w:themeFill="background1" w:themeFillShade="F2"/>
          </w:tcPr>
          <w:p w14:paraId="07C4D308" w14:textId="342680CF" w:rsidR="00E80D9A" w:rsidRPr="00E80D9A" w:rsidRDefault="00E80D9A" w:rsidP="00E80D9A">
            <w:pPr>
              <w:rPr>
                <w:b/>
                <w:sz w:val="22"/>
                <w:szCs w:val="22"/>
              </w:rPr>
            </w:pPr>
            <w:r w:rsidRPr="00E80D9A">
              <w:rPr>
                <w:b/>
                <w:sz w:val="22"/>
                <w:szCs w:val="22"/>
              </w:rPr>
              <w:t>Success measure</w:t>
            </w:r>
          </w:p>
        </w:tc>
        <w:tc>
          <w:tcPr>
            <w:tcW w:w="1418" w:type="dxa"/>
            <w:shd w:val="clear" w:color="auto" w:fill="F2F2F2" w:themeFill="background1" w:themeFillShade="F2"/>
          </w:tcPr>
          <w:p w14:paraId="24E07BA0" w14:textId="77777777" w:rsidR="00E80D9A" w:rsidRPr="00E80D9A" w:rsidRDefault="00E80D9A" w:rsidP="00E80D9A">
            <w:pPr>
              <w:rPr>
                <w:b/>
                <w:sz w:val="22"/>
                <w:szCs w:val="22"/>
              </w:rPr>
            </w:pPr>
            <w:r w:rsidRPr="00E80D9A">
              <w:rPr>
                <w:b/>
                <w:sz w:val="22"/>
                <w:szCs w:val="22"/>
              </w:rPr>
              <w:t>Target</w:t>
            </w:r>
          </w:p>
        </w:tc>
        <w:tc>
          <w:tcPr>
            <w:tcW w:w="1563" w:type="dxa"/>
            <w:shd w:val="clear" w:color="auto" w:fill="F2F2F2" w:themeFill="background1" w:themeFillShade="F2"/>
          </w:tcPr>
          <w:p w14:paraId="34772DF4" w14:textId="0C828C69" w:rsidR="00E80D9A" w:rsidRPr="00E80D9A" w:rsidRDefault="00E80D9A" w:rsidP="00E80D9A">
            <w:pPr>
              <w:rPr>
                <w:b/>
                <w:sz w:val="22"/>
                <w:szCs w:val="22"/>
              </w:rPr>
            </w:pPr>
            <w:r w:rsidRPr="00E80D9A">
              <w:rPr>
                <w:b/>
                <w:sz w:val="22"/>
                <w:szCs w:val="22"/>
              </w:rPr>
              <w:t>Timescale for delivery</w:t>
            </w:r>
          </w:p>
          <w:p w14:paraId="44A7029C" w14:textId="62AEBD42" w:rsidR="00E80D9A" w:rsidRPr="00E80D9A" w:rsidRDefault="00E80D9A" w:rsidP="00E80D9A">
            <w:pPr>
              <w:rPr>
                <w:b/>
                <w:sz w:val="22"/>
                <w:szCs w:val="22"/>
              </w:rPr>
            </w:pPr>
            <w:r w:rsidRPr="00E80D9A">
              <w:rPr>
                <w:b/>
                <w:sz w:val="22"/>
                <w:szCs w:val="22"/>
              </w:rPr>
              <w:t>(following contract signing)</w:t>
            </w:r>
          </w:p>
        </w:tc>
        <w:tc>
          <w:tcPr>
            <w:tcW w:w="1563" w:type="dxa"/>
            <w:shd w:val="clear" w:color="auto" w:fill="F2F2F2" w:themeFill="background1" w:themeFillShade="F2"/>
          </w:tcPr>
          <w:p w14:paraId="518E0356" w14:textId="6BF8BE2C" w:rsidR="00E80D9A" w:rsidRPr="00E80D9A" w:rsidRDefault="00E80D9A" w:rsidP="00E80D9A">
            <w:pPr>
              <w:rPr>
                <w:b/>
                <w:sz w:val="22"/>
                <w:szCs w:val="22"/>
              </w:rPr>
            </w:pPr>
            <w:r w:rsidRPr="00E80D9A">
              <w:rPr>
                <w:b/>
                <w:sz w:val="22"/>
                <w:szCs w:val="22"/>
              </w:rPr>
              <w:t>Indicative</w:t>
            </w:r>
            <w:r>
              <w:rPr>
                <w:b/>
                <w:sz w:val="22"/>
                <w:szCs w:val="22"/>
              </w:rPr>
              <w:t xml:space="preserve"> delivery</w:t>
            </w:r>
            <w:r w:rsidRPr="00E80D9A">
              <w:rPr>
                <w:b/>
                <w:sz w:val="22"/>
                <w:szCs w:val="22"/>
              </w:rPr>
              <w:t xml:space="preserve"> dates</w:t>
            </w:r>
          </w:p>
        </w:tc>
      </w:tr>
      <w:tr w:rsidR="00E80D9A" w:rsidRPr="00E80D9A" w14:paraId="4B6AA013" w14:textId="77777777" w:rsidTr="00E80D9A">
        <w:trPr>
          <w:trHeight w:val="449"/>
        </w:trPr>
        <w:tc>
          <w:tcPr>
            <w:tcW w:w="421" w:type="dxa"/>
          </w:tcPr>
          <w:p w14:paraId="307E7D40" w14:textId="77777777" w:rsidR="00E80D9A" w:rsidRPr="00E80D9A" w:rsidRDefault="00E80D9A" w:rsidP="00DE7585">
            <w:pPr>
              <w:rPr>
                <w:sz w:val="22"/>
                <w:szCs w:val="22"/>
              </w:rPr>
            </w:pPr>
          </w:p>
        </w:tc>
        <w:tc>
          <w:tcPr>
            <w:tcW w:w="7517" w:type="dxa"/>
            <w:gridSpan w:val="3"/>
          </w:tcPr>
          <w:p w14:paraId="7DDDF984" w14:textId="3D0B8DC5" w:rsidR="00E80D9A" w:rsidRPr="00E80D9A" w:rsidRDefault="00E80D9A" w:rsidP="002E5720">
            <w:pPr>
              <w:rPr>
                <w:sz w:val="22"/>
                <w:szCs w:val="22"/>
              </w:rPr>
            </w:pPr>
            <w:r w:rsidRPr="00E80D9A">
              <w:rPr>
                <w:sz w:val="22"/>
                <w:szCs w:val="22"/>
              </w:rPr>
              <w:t>Contract start date</w:t>
            </w:r>
          </w:p>
        </w:tc>
        <w:tc>
          <w:tcPr>
            <w:tcW w:w="1563" w:type="dxa"/>
          </w:tcPr>
          <w:p w14:paraId="47BA26AD" w14:textId="69EEA1C6" w:rsidR="00E80D9A" w:rsidRPr="00E80D9A" w:rsidRDefault="00B14C37" w:rsidP="002E5720">
            <w:pPr>
              <w:rPr>
                <w:sz w:val="22"/>
                <w:szCs w:val="22"/>
              </w:rPr>
            </w:pPr>
            <w:r>
              <w:rPr>
                <w:sz w:val="22"/>
                <w:szCs w:val="22"/>
              </w:rPr>
              <w:t>21</w:t>
            </w:r>
            <w:r w:rsidRPr="00B14C37">
              <w:rPr>
                <w:sz w:val="22"/>
                <w:szCs w:val="22"/>
                <w:vertAlign w:val="superscript"/>
              </w:rPr>
              <w:t>st</w:t>
            </w:r>
            <w:r>
              <w:rPr>
                <w:sz w:val="22"/>
                <w:szCs w:val="22"/>
              </w:rPr>
              <w:t xml:space="preserve"> March 2022</w:t>
            </w:r>
          </w:p>
        </w:tc>
      </w:tr>
      <w:tr w:rsidR="00E80D9A" w:rsidRPr="00E80D9A" w14:paraId="2B635FC1" w14:textId="5022E1F1" w:rsidTr="00E80D9A">
        <w:tc>
          <w:tcPr>
            <w:tcW w:w="421" w:type="dxa"/>
          </w:tcPr>
          <w:p w14:paraId="3CB11BC0" w14:textId="4FFA1241" w:rsidR="00E80D9A" w:rsidRPr="00E80D9A" w:rsidRDefault="00E80D9A" w:rsidP="00DE7585">
            <w:pPr>
              <w:rPr>
                <w:sz w:val="22"/>
                <w:szCs w:val="22"/>
              </w:rPr>
            </w:pPr>
            <w:r w:rsidRPr="00E80D9A">
              <w:rPr>
                <w:sz w:val="22"/>
                <w:szCs w:val="22"/>
              </w:rPr>
              <w:t>1</w:t>
            </w:r>
          </w:p>
        </w:tc>
        <w:tc>
          <w:tcPr>
            <w:tcW w:w="4536" w:type="dxa"/>
          </w:tcPr>
          <w:p w14:paraId="04A6D5B7" w14:textId="7017B43D" w:rsidR="00E80D9A" w:rsidRPr="00E80D9A" w:rsidRDefault="00E80D9A" w:rsidP="00787771">
            <w:pPr>
              <w:rPr>
                <w:sz w:val="22"/>
                <w:szCs w:val="22"/>
              </w:rPr>
            </w:pPr>
            <w:r w:rsidRPr="00E80D9A">
              <w:rPr>
                <w:sz w:val="22"/>
                <w:szCs w:val="22"/>
              </w:rPr>
              <w:t>Stakeholder needs analysis</w:t>
            </w:r>
          </w:p>
        </w:tc>
        <w:tc>
          <w:tcPr>
            <w:tcW w:w="1418" w:type="dxa"/>
          </w:tcPr>
          <w:p w14:paraId="0F618621" w14:textId="5D3DA3AB" w:rsidR="00E80D9A" w:rsidRPr="00E80D9A" w:rsidRDefault="00E80D9A" w:rsidP="002E5720">
            <w:pPr>
              <w:rPr>
                <w:sz w:val="22"/>
                <w:szCs w:val="22"/>
              </w:rPr>
            </w:pPr>
            <w:r w:rsidRPr="00E80D9A">
              <w:rPr>
                <w:sz w:val="22"/>
                <w:szCs w:val="22"/>
              </w:rPr>
              <w:t>Complete</w:t>
            </w:r>
          </w:p>
        </w:tc>
        <w:tc>
          <w:tcPr>
            <w:tcW w:w="1563" w:type="dxa"/>
          </w:tcPr>
          <w:p w14:paraId="069A78A2" w14:textId="78BE0002" w:rsidR="00E80D9A" w:rsidRPr="00E80D9A" w:rsidRDefault="00E80D9A" w:rsidP="002E5720">
            <w:pPr>
              <w:rPr>
                <w:sz w:val="22"/>
                <w:szCs w:val="22"/>
              </w:rPr>
            </w:pPr>
            <w:r w:rsidRPr="00E80D9A">
              <w:rPr>
                <w:sz w:val="22"/>
                <w:szCs w:val="22"/>
              </w:rPr>
              <w:t>2 weeks</w:t>
            </w:r>
          </w:p>
        </w:tc>
        <w:tc>
          <w:tcPr>
            <w:tcW w:w="1563" w:type="dxa"/>
          </w:tcPr>
          <w:p w14:paraId="6542C360" w14:textId="3BC9A70E" w:rsidR="00E80D9A" w:rsidRPr="00E80D9A" w:rsidRDefault="00B14C37" w:rsidP="002E5720">
            <w:pPr>
              <w:rPr>
                <w:sz w:val="22"/>
                <w:szCs w:val="22"/>
              </w:rPr>
            </w:pPr>
            <w:r>
              <w:rPr>
                <w:sz w:val="22"/>
                <w:szCs w:val="22"/>
              </w:rPr>
              <w:t>4</w:t>
            </w:r>
            <w:r w:rsidRPr="00B14C37">
              <w:rPr>
                <w:sz w:val="22"/>
                <w:szCs w:val="22"/>
                <w:vertAlign w:val="superscript"/>
              </w:rPr>
              <w:t>th</w:t>
            </w:r>
            <w:r>
              <w:rPr>
                <w:sz w:val="22"/>
                <w:szCs w:val="22"/>
              </w:rPr>
              <w:t xml:space="preserve"> April</w:t>
            </w:r>
          </w:p>
        </w:tc>
      </w:tr>
      <w:tr w:rsidR="00E80D9A" w:rsidRPr="00E80D9A" w14:paraId="7EE2C740" w14:textId="4D4E1822" w:rsidTr="00E80D9A">
        <w:tc>
          <w:tcPr>
            <w:tcW w:w="421" w:type="dxa"/>
          </w:tcPr>
          <w:p w14:paraId="303EB20B" w14:textId="479B1730" w:rsidR="00E80D9A" w:rsidRPr="00E80D9A" w:rsidRDefault="00E80D9A" w:rsidP="00DE7585">
            <w:pPr>
              <w:rPr>
                <w:sz w:val="22"/>
                <w:szCs w:val="22"/>
              </w:rPr>
            </w:pPr>
            <w:r w:rsidRPr="00E80D9A">
              <w:rPr>
                <w:sz w:val="22"/>
                <w:szCs w:val="22"/>
              </w:rPr>
              <w:t>2</w:t>
            </w:r>
          </w:p>
        </w:tc>
        <w:tc>
          <w:tcPr>
            <w:tcW w:w="4536" w:type="dxa"/>
          </w:tcPr>
          <w:p w14:paraId="351C8697" w14:textId="4E3319D8" w:rsidR="00E80D9A" w:rsidRPr="00E80D9A" w:rsidRDefault="00E80D9A" w:rsidP="00451B15">
            <w:pPr>
              <w:spacing w:after="0"/>
              <w:jc w:val="both"/>
              <w:rPr>
                <w:sz w:val="22"/>
                <w:szCs w:val="22"/>
              </w:rPr>
            </w:pPr>
            <w:r w:rsidRPr="00E80D9A">
              <w:rPr>
                <w:sz w:val="22"/>
                <w:szCs w:val="22"/>
              </w:rPr>
              <w:t>A SWOT analysis of the current provision</w:t>
            </w:r>
          </w:p>
          <w:p w14:paraId="6172E0BB" w14:textId="25908A76" w:rsidR="00E80D9A" w:rsidRPr="00E80D9A" w:rsidRDefault="00E80D9A" w:rsidP="00451B15">
            <w:pPr>
              <w:spacing w:after="0"/>
              <w:rPr>
                <w:rFonts w:eastAsia="Calibri" w:cs="Times New Roman"/>
                <w:sz w:val="22"/>
                <w:szCs w:val="22"/>
              </w:rPr>
            </w:pPr>
          </w:p>
        </w:tc>
        <w:tc>
          <w:tcPr>
            <w:tcW w:w="1418" w:type="dxa"/>
          </w:tcPr>
          <w:p w14:paraId="0F244E76" w14:textId="6F46DDA8" w:rsidR="00E80D9A" w:rsidRPr="00E80D9A" w:rsidRDefault="00E80D9A" w:rsidP="002E5720">
            <w:pPr>
              <w:rPr>
                <w:sz w:val="22"/>
                <w:szCs w:val="22"/>
              </w:rPr>
            </w:pPr>
            <w:r w:rsidRPr="00E80D9A">
              <w:rPr>
                <w:sz w:val="22"/>
                <w:szCs w:val="22"/>
              </w:rPr>
              <w:t>Complete</w:t>
            </w:r>
          </w:p>
        </w:tc>
        <w:tc>
          <w:tcPr>
            <w:tcW w:w="1563" w:type="dxa"/>
          </w:tcPr>
          <w:p w14:paraId="34CF85D9" w14:textId="396F2A7E" w:rsidR="00E80D9A" w:rsidRPr="00E80D9A" w:rsidRDefault="00E80D9A" w:rsidP="002E5720">
            <w:pPr>
              <w:rPr>
                <w:sz w:val="22"/>
                <w:szCs w:val="22"/>
              </w:rPr>
            </w:pPr>
            <w:r w:rsidRPr="00E80D9A">
              <w:rPr>
                <w:sz w:val="22"/>
                <w:szCs w:val="22"/>
              </w:rPr>
              <w:t>3 weeks</w:t>
            </w:r>
          </w:p>
        </w:tc>
        <w:tc>
          <w:tcPr>
            <w:tcW w:w="1563" w:type="dxa"/>
          </w:tcPr>
          <w:p w14:paraId="4800BD86" w14:textId="5ECBC9B0" w:rsidR="00E80D9A" w:rsidRPr="00E80D9A" w:rsidRDefault="00B14C37" w:rsidP="002E5720">
            <w:pPr>
              <w:rPr>
                <w:sz w:val="22"/>
                <w:szCs w:val="22"/>
              </w:rPr>
            </w:pPr>
            <w:r>
              <w:rPr>
                <w:sz w:val="22"/>
                <w:szCs w:val="22"/>
              </w:rPr>
              <w:t>11</w:t>
            </w:r>
            <w:r w:rsidRPr="00B14C37">
              <w:rPr>
                <w:sz w:val="22"/>
                <w:szCs w:val="22"/>
                <w:vertAlign w:val="superscript"/>
              </w:rPr>
              <w:t>th</w:t>
            </w:r>
            <w:r>
              <w:rPr>
                <w:sz w:val="22"/>
                <w:szCs w:val="22"/>
              </w:rPr>
              <w:t xml:space="preserve"> April</w:t>
            </w:r>
          </w:p>
        </w:tc>
      </w:tr>
      <w:tr w:rsidR="00E80D9A" w:rsidRPr="00E80D9A" w14:paraId="117CCD8B" w14:textId="5F738A1B" w:rsidTr="00E80D9A">
        <w:tc>
          <w:tcPr>
            <w:tcW w:w="421" w:type="dxa"/>
          </w:tcPr>
          <w:p w14:paraId="0BE6AB56" w14:textId="23D56288" w:rsidR="00E80D9A" w:rsidRPr="00E80D9A" w:rsidRDefault="00E80D9A" w:rsidP="00D04583">
            <w:pPr>
              <w:spacing w:after="0"/>
              <w:rPr>
                <w:rFonts w:eastAsia="Calibri" w:cs="Times New Roman"/>
                <w:sz w:val="22"/>
                <w:szCs w:val="22"/>
              </w:rPr>
            </w:pPr>
            <w:r w:rsidRPr="00E80D9A">
              <w:rPr>
                <w:rFonts w:eastAsia="Calibri" w:cs="Times New Roman"/>
                <w:sz w:val="22"/>
                <w:szCs w:val="22"/>
              </w:rPr>
              <w:t>3</w:t>
            </w:r>
          </w:p>
        </w:tc>
        <w:tc>
          <w:tcPr>
            <w:tcW w:w="4536" w:type="dxa"/>
          </w:tcPr>
          <w:p w14:paraId="5D02DFE7" w14:textId="2456FB43" w:rsidR="00E80D9A" w:rsidRPr="00E80D9A" w:rsidRDefault="00E80D9A" w:rsidP="00451B15">
            <w:pPr>
              <w:spacing w:after="0"/>
              <w:rPr>
                <w:rFonts w:eastAsia="Calibri" w:cs="Times New Roman"/>
                <w:sz w:val="22"/>
                <w:szCs w:val="22"/>
              </w:rPr>
            </w:pPr>
            <w:r w:rsidRPr="00E80D9A">
              <w:rPr>
                <w:sz w:val="22"/>
                <w:szCs w:val="22"/>
              </w:rPr>
              <w:t>Map of existing community signposting provision (both internal and external)</w:t>
            </w:r>
          </w:p>
        </w:tc>
        <w:tc>
          <w:tcPr>
            <w:tcW w:w="1418" w:type="dxa"/>
          </w:tcPr>
          <w:p w14:paraId="52549249" w14:textId="0CB277F6" w:rsidR="00E80D9A" w:rsidRPr="00E80D9A" w:rsidRDefault="00E80D9A" w:rsidP="002E5720">
            <w:pPr>
              <w:rPr>
                <w:sz w:val="22"/>
                <w:szCs w:val="22"/>
              </w:rPr>
            </w:pPr>
            <w:r w:rsidRPr="00E80D9A">
              <w:rPr>
                <w:sz w:val="22"/>
                <w:szCs w:val="22"/>
              </w:rPr>
              <w:t>Complete</w:t>
            </w:r>
          </w:p>
        </w:tc>
        <w:tc>
          <w:tcPr>
            <w:tcW w:w="1563" w:type="dxa"/>
          </w:tcPr>
          <w:p w14:paraId="19CDD82A" w14:textId="36F864A3" w:rsidR="00E80D9A" w:rsidRPr="00E80D9A" w:rsidRDefault="00E80D9A" w:rsidP="002E5720">
            <w:pPr>
              <w:rPr>
                <w:sz w:val="22"/>
                <w:szCs w:val="22"/>
              </w:rPr>
            </w:pPr>
            <w:r w:rsidRPr="00E80D9A">
              <w:rPr>
                <w:sz w:val="22"/>
                <w:szCs w:val="22"/>
              </w:rPr>
              <w:t>4 weeks</w:t>
            </w:r>
          </w:p>
        </w:tc>
        <w:tc>
          <w:tcPr>
            <w:tcW w:w="1563" w:type="dxa"/>
          </w:tcPr>
          <w:p w14:paraId="6E861223" w14:textId="35A34049" w:rsidR="00E80D9A" w:rsidRPr="00E80D9A" w:rsidRDefault="00B14C37" w:rsidP="002E5720">
            <w:pPr>
              <w:rPr>
                <w:sz w:val="22"/>
                <w:szCs w:val="22"/>
              </w:rPr>
            </w:pPr>
            <w:r>
              <w:rPr>
                <w:sz w:val="22"/>
                <w:szCs w:val="22"/>
              </w:rPr>
              <w:t>18</w:t>
            </w:r>
            <w:r w:rsidRPr="00B14C37">
              <w:rPr>
                <w:sz w:val="22"/>
                <w:szCs w:val="22"/>
                <w:vertAlign w:val="superscript"/>
              </w:rPr>
              <w:t>th</w:t>
            </w:r>
            <w:r>
              <w:rPr>
                <w:sz w:val="22"/>
                <w:szCs w:val="22"/>
              </w:rPr>
              <w:t xml:space="preserve"> April</w:t>
            </w:r>
          </w:p>
        </w:tc>
      </w:tr>
      <w:tr w:rsidR="00E80D9A" w:rsidRPr="00E80D9A" w14:paraId="5F38BF18" w14:textId="2872AADF" w:rsidTr="00E80D9A">
        <w:tc>
          <w:tcPr>
            <w:tcW w:w="421" w:type="dxa"/>
          </w:tcPr>
          <w:p w14:paraId="7907A608" w14:textId="4C31C9EE" w:rsidR="00E80D9A" w:rsidRPr="00E80D9A" w:rsidRDefault="00E80D9A" w:rsidP="00DE7585">
            <w:pPr>
              <w:rPr>
                <w:rFonts w:eastAsia="Calibri" w:cs="Times New Roman"/>
                <w:bCs/>
                <w:sz w:val="22"/>
                <w:szCs w:val="22"/>
              </w:rPr>
            </w:pPr>
            <w:r w:rsidRPr="00E80D9A">
              <w:rPr>
                <w:rFonts w:eastAsia="Calibri" w:cs="Times New Roman"/>
                <w:bCs/>
                <w:sz w:val="22"/>
                <w:szCs w:val="22"/>
              </w:rPr>
              <w:t>4</w:t>
            </w:r>
          </w:p>
        </w:tc>
        <w:tc>
          <w:tcPr>
            <w:tcW w:w="4536" w:type="dxa"/>
          </w:tcPr>
          <w:p w14:paraId="7BE60ADC" w14:textId="12D15106" w:rsidR="00E80D9A" w:rsidRPr="00E80D9A" w:rsidRDefault="00E80D9A" w:rsidP="00340D3D">
            <w:pPr>
              <w:rPr>
                <w:sz w:val="22"/>
                <w:szCs w:val="22"/>
              </w:rPr>
            </w:pPr>
            <w:r w:rsidRPr="00E80D9A">
              <w:rPr>
                <w:sz w:val="22"/>
                <w:szCs w:val="22"/>
              </w:rPr>
              <w:t>Research and benchmarking to establish best practice provision of similar function in other areas</w:t>
            </w:r>
          </w:p>
        </w:tc>
        <w:tc>
          <w:tcPr>
            <w:tcW w:w="1418" w:type="dxa"/>
          </w:tcPr>
          <w:p w14:paraId="433B910F" w14:textId="35B0CAA5" w:rsidR="00E80D9A" w:rsidRPr="00E80D9A" w:rsidRDefault="00E80D9A" w:rsidP="002E5720">
            <w:pPr>
              <w:rPr>
                <w:sz w:val="22"/>
                <w:szCs w:val="22"/>
              </w:rPr>
            </w:pPr>
            <w:r w:rsidRPr="00E80D9A">
              <w:rPr>
                <w:sz w:val="22"/>
                <w:szCs w:val="22"/>
              </w:rPr>
              <w:t>Complete</w:t>
            </w:r>
          </w:p>
        </w:tc>
        <w:tc>
          <w:tcPr>
            <w:tcW w:w="1563" w:type="dxa"/>
          </w:tcPr>
          <w:p w14:paraId="27FC0366" w14:textId="72398DB4" w:rsidR="00E80D9A" w:rsidRPr="00E80D9A" w:rsidRDefault="00E80D9A" w:rsidP="002E5720">
            <w:pPr>
              <w:rPr>
                <w:sz w:val="22"/>
                <w:szCs w:val="22"/>
              </w:rPr>
            </w:pPr>
            <w:r w:rsidRPr="00E80D9A">
              <w:rPr>
                <w:sz w:val="22"/>
                <w:szCs w:val="22"/>
              </w:rPr>
              <w:t>4 weeks</w:t>
            </w:r>
          </w:p>
        </w:tc>
        <w:tc>
          <w:tcPr>
            <w:tcW w:w="1563" w:type="dxa"/>
          </w:tcPr>
          <w:p w14:paraId="5212050D" w14:textId="7EBE3F2C" w:rsidR="00E80D9A" w:rsidRPr="00E80D9A" w:rsidRDefault="00B14C37" w:rsidP="002E5720">
            <w:pPr>
              <w:rPr>
                <w:sz w:val="22"/>
                <w:szCs w:val="22"/>
              </w:rPr>
            </w:pPr>
            <w:r>
              <w:rPr>
                <w:sz w:val="22"/>
                <w:szCs w:val="22"/>
              </w:rPr>
              <w:t>18</w:t>
            </w:r>
            <w:r w:rsidRPr="00B14C37">
              <w:rPr>
                <w:sz w:val="22"/>
                <w:szCs w:val="22"/>
                <w:vertAlign w:val="superscript"/>
              </w:rPr>
              <w:t>th</w:t>
            </w:r>
            <w:r>
              <w:rPr>
                <w:sz w:val="22"/>
                <w:szCs w:val="22"/>
              </w:rPr>
              <w:t xml:space="preserve"> April</w:t>
            </w:r>
          </w:p>
        </w:tc>
      </w:tr>
      <w:tr w:rsidR="00E80D9A" w:rsidRPr="00E80D9A" w14:paraId="3792D795" w14:textId="1858ADF9" w:rsidTr="00E80D9A">
        <w:tc>
          <w:tcPr>
            <w:tcW w:w="421" w:type="dxa"/>
          </w:tcPr>
          <w:p w14:paraId="0E024776" w14:textId="2D1C9717" w:rsidR="00E80D9A" w:rsidRPr="00E80D9A" w:rsidRDefault="00E80D9A" w:rsidP="00F15E5A">
            <w:pPr>
              <w:spacing w:after="0"/>
              <w:rPr>
                <w:rFonts w:eastAsia="Calibri" w:cs="Times New Roman"/>
                <w:sz w:val="22"/>
                <w:szCs w:val="22"/>
              </w:rPr>
            </w:pPr>
            <w:r w:rsidRPr="00E80D9A">
              <w:rPr>
                <w:rFonts w:eastAsia="Calibri" w:cs="Times New Roman"/>
                <w:sz w:val="22"/>
                <w:szCs w:val="22"/>
              </w:rPr>
              <w:t>5</w:t>
            </w:r>
          </w:p>
        </w:tc>
        <w:tc>
          <w:tcPr>
            <w:tcW w:w="4536" w:type="dxa"/>
          </w:tcPr>
          <w:p w14:paraId="555D8DFA" w14:textId="4530CD94" w:rsidR="00E80D9A" w:rsidRPr="00E80D9A" w:rsidRDefault="00E80D9A" w:rsidP="00451B15">
            <w:pPr>
              <w:spacing w:after="0"/>
              <w:jc w:val="both"/>
              <w:rPr>
                <w:sz w:val="22"/>
                <w:szCs w:val="22"/>
              </w:rPr>
            </w:pPr>
            <w:r w:rsidRPr="00E80D9A">
              <w:rPr>
                <w:sz w:val="22"/>
                <w:szCs w:val="22"/>
              </w:rPr>
              <w:t>Research on emerging innovations in provision of similar functions; including format and accessibility needs</w:t>
            </w:r>
          </w:p>
          <w:p w14:paraId="1F07E2F9" w14:textId="63DA5115" w:rsidR="00E80D9A" w:rsidRPr="00E80D9A" w:rsidRDefault="00E80D9A" w:rsidP="004020C7">
            <w:pPr>
              <w:spacing w:after="0"/>
              <w:rPr>
                <w:rFonts w:eastAsia="Calibri" w:cs="Times New Roman"/>
                <w:sz w:val="22"/>
                <w:szCs w:val="22"/>
              </w:rPr>
            </w:pPr>
          </w:p>
        </w:tc>
        <w:tc>
          <w:tcPr>
            <w:tcW w:w="1418" w:type="dxa"/>
          </w:tcPr>
          <w:p w14:paraId="0C9B297A" w14:textId="5A5AF135" w:rsidR="00E80D9A" w:rsidRPr="00E80D9A" w:rsidRDefault="00E80D9A" w:rsidP="002E5720">
            <w:pPr>
              <w:rPr>
                <w:sz w:val="22"/>
                <w:szCs w:val="22"/>
              </w:rPr>
            </w:pPr>
            <w:r w:rsidRPr="00E80D9A">
              <w:rPr>
                <w:sz w:val="22"/>
                <w:szCs w:val="22"/>
              </w:rPr>
              <w:t>Complete</w:t>
            </w:r>
          </w:p>
        </w:tc>
        <w:tc>
          <w:tcPr>
            <w:tcW w:w="1563" w:type="dxa"/>
          </w:tcPr>
          <w:p w14:paraId="4F1BF3CC" w14:textId="24FE34C5" w:rsidR="00E80D9A" w:rsidRPr="00E80D9A" w:rsidRDefault="00E80D9A" w:rsidP="002E5720">
            <w:pPr>
              <w:rPr>
                <w:sz w:val="22"/>
                <w:szCs w:val="22"/>
              </w:rPr>
            </w:pPr>
            <w:r w:rsidRPr="00E80D9A">
              <w:rPr>
                <w:sz w:val="22"/>
                <w:szCs w:val="22"/>
              </w:rPr>
              <w:t>8 weeks</w:t>
            </w:r>
          </w:p>
        </w:tc>
        <w:tc>
          <w:tcPr>
            <w:tcW w:w="1563" w:type="dxa"/>
          </w:tcPr>
          <w:p w14:paraId="1D16F2AA" w14:textId="6D4C3E67" w:rsidR="00E80D9A" w:rsidRPr="00E80D9A" w:rsidRDefault="00B14C37" w:rsidP="00E80D9A">
            <w:pPr>
              <w:rPr>
                <w:sz w:val="22"/>
                <w:szCs w:val="22"/>
              </w:rPr>
            </w:pPr>
            <w:r>
              <w:rPr>
                <w:sz w:val="22"/>
                <w:szCs w:val="22"/>
              </w:rPr>
              <w:t>16</w:t>
            </w:r>
            <w:r w:rsidRPr="00B14C37">
              <w:rPr>
                <w:sz w:val="22"/>
                <w:szCs w:val="22"/>
                <w:vertAlign w:val="superscript"/>
              </w:rPr>
              <w:t>th</w:t>
            </w:r>
            <w:r>
              <w:rPr>
                <w:sz w:val="22"/>
                <w:szCs w:val="22"/>
              </w:rPr>
              <w:t xml:space="preserve"> May</w:t>
            </w:r>
          </w:p>
        </w:tc>
      </w:tr>
      <w:tr w:rsidR="00E80D9A" w:rsidRPr="00E80D9A" w14:paraId="5E1FBF19" w14:textId="146828FF" w:rsidTr="00E80D9A">
        <w:tc>
          <w:tcPr>
            <w:tcW w:w="421" w:type="dxa"/>
          </w:tcPr>
          <w:p w14:paraId="6CE757A1" w14:textId="02F2FE9F" w:rsidR="00E80D9A" w:rsidRPr="00E80D9A" w:rsidRDefault="00E80D9A" w:rsidP="00F15E5A">
            <w:pPr>
              <w:spacing w:after="0"/>
              <w:rPr>
                <w:rFonts w:eastAsia="Calibri" w:cs="Times New Roman"/>
                <w:sz w:val="22"/>
                <w:szCs w:val="22"/>
              </w:rPr>
            </w:pPr>
            <w:r w:rsidRPr="00E80D9A">
              <w:rPr>
                <w:rFonts w:eastAsia="Calibri" w:cs="Times New Roman"/>
                <w:sz w:val="22"/>
                <w:szCs w:val="22"/>
              </w:rPr>
              <w:t>6</w:t>
            </w:r>
          </w:p>
        </w:tc>
        <w:tc>
          <w:tcPr>
            <w:tcW w:w="4536" w:type="dxa"/>
          </w:tcPr>
          <w:p w14:paraId="51A0AFF3" w14:textId="68F02EAE" w:rsidR="00E80D9A" w:rsidRPr="00E80D9A" w:rsidRDefault="00E80D9A" w:rsidP="00451B15">
            <w:pPr>
              <w:rPr>
                <w:sz w:val="22"/>
                <w:szCs w:val="22"/>
              </w:rPr>
            </w:pPr>
            <w:r w:rsidRPr="00E80D9A">
              <w:rPr>
                <w:sz w:val="22"/>
                <w:szCs w:val="22"/>
              </w:rPr>
              <w:t xml:space="preserve">Final review report to outline the needs for community and strategic signposting in West Berkshire (including the meeting of the Council’s legal duties under the Children and Families Act) and options for the Council to provide the most effective community signposting in future. </w:t>
            </w:r>
          </w:p>
          <w:p w14:paraId="0219AA03" w14:textId="1D94793D" w:rsidR="00E80D9A" w:rsidRPr="00E80D9A" w:rsidRDefault="00E80D9A" w:rsidP="00451B15">
            <w:pPr>
              <w:spacing w:after="0"/>
              <w:jc w:val="both"/>
              <w:rPr>
                <w:sz w:val="22"/>
                <w:szCs w:val="22"/>
              </w:rPr>
            </w:pPr>
          </w:p>
        </w:tc>
        <w:tc>
          <w:tcPr>
            <w:tcW w:w="1418" w:type="dxa"/>
          </w:tcPr>
          <w:p w14:paraId="2D9BE592" w14:textId="4B91315D" w:rsidR="00E80D9A" w:rsidRPr="00E80D9A" w:rsidRDefault="00E80D9A" w:rsidP="002E5720">
            <w:pPr>
              <w:rPr>
                <w:sz w:val="22"/>
                <w:szCs w:val="22"/>
              </w:rPr>
            </w:pPr>
            <w:r w:rsidRPr="00E80D9A">
              <w:rPr>
                <w:sz w:val="22"/>
                <w:szCs w:val="22"/>
              </w:rPr>
              <w:t>Complete</w:t>
            </w:r>
          </w:p>
        </w:tc>
        <w:tc>
          <w:tcPr>
            <w:tcW w:w="1563" w:type="dxa"/>
          </w:tcPr>
          <w:p w14:paraId="50C2D986" w14:textId="1C1F998D" w:rsidR="00E80D9A" w:rsidRPr="00E80D9A" w:rsidRDefault="00E80D9A" w:rsidP="002E5720">
            <w:pPr>
              <w:rPr>
                <w:sz w:val="22"/>
                <w:szCs w:val="22"/>
              </w:rPr>
            </w:pPr>
            <w:r w:rsidRPr="00E80D9A">
              <w:rPr>
                <w:sz w:val="22"/>
                <w:szCs w:val="22"/>
              </w:rPr>
              <w:t>12 weeks</w:t>
            </w:r>
          </w:p>
        </w:tc>
        <w:tc>
          <w:tcPr>
            <w:tcW w:w="1563" w:type="dxa"/>
          </w:tcPr>
          <w:p w14:paraId="7AF96BD1" w14:textId="68079EBE" w:rsidR="00E80D9A" w:rsidRPr="00E80D9A" w:rsidRDefault="00E80D9A" w:rsidP="00B14C37">
            <w:pPr>
              <w:rPr>
                <w:sz w:val="22"/>
                <w:szCs w:val="22"/>
              </w:rPr>
            </w:pPr>
            <w:r>
              <w:rPr>
                <w:sz w:val="22"/>
                <w:szCs w:val="22"/>
              </w:rPr>
              <w:t>13</w:t>
            </w:r>
            <w:r w:rsidRPr="00E80D9A">
              <w:rPr>
                <w:sz w:val="22"/>
                <w:szCs w:val="22"/>
                <w:vertAlign w:val="superscript"/>
              </w:rPr>
              <w:t>th</w:t>
            </w:r>
            <w:r>
              <w:rPr>
                <w:sz w:val="22"/>
                <w:szCs w:val="22"/>
              </w:rPr>
              <w:t xml:space="preserve"> </w:t>
            </w:r>
            <w:r w:rsidR="00B14C37">
              <w:rPr>
                <w:sz w:val="22"/>
                <w:szCs w:val="22"/>
              </w:rPr>
              <w:t>June</w:t>
            </w:r>
          </w:p>
        </w:tc>
      </w:tr>
    </w:tbl>
    <w:p w14:paraId="03A57D34" w14:textId="77777777" w:rsidR="0072276D" w:rsidRDefault="0072276D" w:rsidP="0072276D">
      <w:pPr>
        <w:spacing w:after="0"/>
      </w:pPr>
    </w:p>
    <w:sectPr w:rsidR="0072276D">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CFEC44" w16cid:durableId="24B78FEA"/>
  <w16cid:commentId w16cid:paraId="6A3B4EF8" w16cid:durableId="24B79009"/>
  <w16cid:commentId w16cid:paraId="005165C7" w16cid:durableId="24B7921E"/>
  <w16cid:commentId w16cid:paraId="4DBA2310" w16cid:durableId="24B79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407F7" w14:textId="77777777" w:rsidR="00A72A77" w:rsidRDefault="00A72A77" w:rsidP="00AE3952">
      <w:pPr>
        <w:spacing w:after="0"/>
      </w:pPr>
      <w:r>
        <w:separator/>
      </w:r>
    </w:p>
  </w:endnote>
  <w:endnote w:type="continuationSeparator" w:id="0">
    <w:p w14:paraId="0A7E7BF7" w14:textId="77777777" w:rsidR="00A72A77" w:rsidRDefault="00A72A77" w:rsidP="00AE39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561"/>
      <w:docPartObj>
        <w:docPartGallery w:val="Page Numbers (Bottom of Page)"/>
        <w:docPartUnique/>
      </w:docPartObj>
    </w:sdtPr>
    <w:sdtEndPr>
      <w:rPr>
        <w:noProof/>
      </w:rPr>
    </w:sdtEndPr>
    <w:sdtContent>
      <w:p w14:paraId="0F5E325B" w14:textId="471C3085" w:rsidR="00355816" w:rsidRDefault="00355816">
        <w:pPr>
          <w:pStyle w:val="Footer"/>
          <w:jc w:val="center"/>
        </w:pPr>
        <w:r>
          <w:fldChar w:fldCharType="begin"/>
        </w:r>
        <w:r>
          <w:instrText xml:space="preserve"> PAGE   \* MERGEFORMAT </w:instrText>
        </w:r>
        <w:r>
          <w:fldChar w:fldCharType="separate"/>
        </w:r>
        <w:r w:rsidR="00B14C37">
          <w:rPr>
            <w:noProof/>
          </w:rPr>
          <w:t>2</w:t>
        </w:r>
        <w:r>
          <w:rPr>
            <w:noProof/>
          </w:rPr>
          <w:fldChar w:fldCharType="end"/>
        </w:r>
      </w:p>
    </w:sdtContent>
  </w:sdt>
  <w:p w14:paraId="290FBA12" w14:textId="77777777" w:rsidR="00355816" w:rsidRDefault="00355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04B35" w14:textId="77777777" w:rsidR="00A72A77" w:rsidRDefault="00A72A77" w:rsidP="00AE3952">
      <w:pPr>
        <w:spacing w:after="0"/>
      </w:pPr>
      <w:r>
        <w:separator/>
      </w:r>
    </w:p>
  </w:footnote>
  <w:footnote w:type="continuationSeparator" w:id="0">
    <w:p w14:paraId="1620BA7D" w14:textId="77777777" w:rsidR="00A72A77" w:rsidRDefault="00A72A77" w:rsidP="00AE3952">
      <w:pPr>
        <w:spacing w:after="0"/>
      </w:pPr>
      <w:r>
        <w:continuationSeparator/>
      </w:r>
    </w:p>
  </w:footnote>
  <w:footnote w:id="1">
    <w:p w14:paraId="58D0E8DE" w14:textId="77777777" w:rsidR="00AE3952" w:rsidRPr="00CF56FC" w:rsidRDefault="00AE3952" w:rsidP="00AE3952">
      <w:pPr>
        <w:pStyle w:val="FootnoteText"/>
        <w:rPr>
          <w:sz w:val="16"/>
          <w:szCs w:val="16"/>
        </w:rPr>
      </w:pPr>
      <w:r w:rsidRPr="00CF56FC">
        <w:rPr>
          <w:rStyle w:val="FootnoteReference"/>
          <w:sz w:val="16"/>
          <w:szCs w:val="16"/>
        </w:rPr>
        <w:footnoteRef/>
      </w:r>
      <w:r w:rsidRPr="00CF56FC">
        <w:rPr>
          <w:sz w:val="16"/>
          <w:szCs w:val="16"/>
        </w:rPr>
        <w:t xml:space="preserve"> What Makes Us Healthy (2012) </w:t>
      </w:r>
      <w:hyperlink r:id="rId1" w:history="1">
        <w:r w:rsidRPr="00CF56FC">
          <w:rPr>
            <w:rStyle w:val="Hyperlink"/>
            <w:sz w:val="16"/>
            <w:szCs w:val="16"/>
          </w:rPr>
          <w:t>http://www.assetbasedconsulting.co.uk/uploads/publications/WMUH.pdf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261C"/>
    <w:multiLevelType w:val="hybridMultilevel"/>
    <w:tmpl w:val="0C661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354AE"/>
    <w:multiLevelType w:val="hybridMultilevel"/>
    <w:tmpl w:val="D16005D8"/>
    <w:lvl w:ilvl="0" w:tplc="388EE7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6BD9"/>
    <w:multiLevelType w:val="hybridMultilevel"/>
    <w:tmpl w:val="24682236"/>
    <w:lvl w:ilvl="0" w:tplc="C25863B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05F3E"/>
    <w:multiLevelType w:val="hybridMultilevel"/>
    <w:tmpl w:val="2C3075BC"/>
    <w:lvl w:ilvl="0" w:tplc="388EE7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A503E"/>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05E64"/>
    <w:multiLevelType w:val="hybridMultilevel"/>
    <w:tmpl w:val="F5EE644A"/>
    <w:lvl w:ilvl="0" w:tplc="388EE7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8699E"/>
    <w:multiLevelType w:val="hybridMultilevel"/>
    <w:tmpl w:val="42AC4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C7DB5"/>
    <w:multiLevelType w:val="hybridMultilevel"/>
    <w:tmpl w:val="5396F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83ADF"/>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B1628"/>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63D6A"/>
    <w:multiLevelType w:val="hybridMultilevel"/>
    <w:tmpl w:val="42AC4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025619"/>
    <w:multiLevelType w:val="hybridMultilevel"/>
    <w:tmpl w:val="7EC2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12EDE"/>
    <w:multiLevelType w:val="hybridMultilevel"/>
    <w:tmpl w:val="6F7E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D54FB"/>
    <w:multiLevelType w:val="hybridMultilevel"/>
    <w:tmpl w:val="C67C2AA8"/>
    <w:lvl w:ilvl="0" w:tplc="388EE7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B38C1"/>
    <w:multiLevelType w:val="hybridMultilevel"/>
    <w:tmpl w:val="F90C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D18FF"/>
    <w:multiLevelType w:val="hybridMultilevel"/>
    <w:tmpl w:val="277AD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5E63092"/>
    <w:multiLevelType w:val="hybridMultilevel"/>
    <w:tmpl w:val="20D2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D1789"/>
    <w:multiLevelType w:val="hybridMultilevel"/>
    <w:tmpl w:val="3B349CBA"/>
    <w:lvl w:ilvl="0" w:tplc="388EE7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04F4B"/>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52B26"/>
    <w:multiLevelType w:val="hybridMultilevel"/>
    <w:tmpl w:val="22C4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67AEE"/>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D3A4F"/>
    <w:multiLevelType w:val="hybridMultilevel"/>
    <w:tmpl w:val="57B66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6F3CCC"/>
    <w:multiLevelType w:val="hybridMultilevel"/>
    <w:tmpl w:val="42AC4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1690C"/>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74D57"/>
    <w:multiLevelType w:val="hybridMultilevel"/>
    <w:tmpl w:val="123AA3D8"/>
    <w:lvl w:ilvl="0" w:tplc="632ABC8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D5824"/>
    <w:multiLevelType w:val="hybridMultilevel"/>
    <w:tmpl w:val="6C60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84AE6"/>
    <w:multiLevelType w:val="hybridMultilevel"/>
    <w:tmpl w:val="203618D6"/>
    <w:lvl w:ilvl="0" w:tplc="388EE7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F36F8"/>
    <w:multiLevelType w:val="hybridMultilevel"/>
    <w:tmpl w:val="0FE8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D4509E"/>
    <w:multiLevelType w:val="hybridMultilevel"/>
    <w:tmpl w:val="21CAB3AA"/>
    <w:lvl w:ilvl="0" w:tplc="388EE7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C14B6"/>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1"/>
  </w:num>
  <w:num w:numId="4">
    <w:abstractNumId w:val="3"/>
  </w:num>
  <w:num w:numId="5">
    <w:abstractNumId w:val="17"/>
  </w:num>
  <w:num w:numId="6">
    <w:abstractNumId w:val="26"/>
  </w:num>
  <w:num w:numId="7">
    <w:abstractNumId w:val="5"/>
  </w:num>
  <w:num w:numId="8">
    <w:abstractNumId w:val="28"/>
  </w:num>
  <w:num w:numId="9">
    <w:abstractNumId w:val="1"/>
  </w:num>
  <w:num w:numId="10">
    <w:abstractNumId w:val="13"/>
  </w:num>
  <w:num w:numId="11">
    <w:abstractNumId w:val="11"/>
  </w:num>
  <w:num w:numId="12">
    <w:abstractNumId w:val="0"/>
  </w:num>
  <w:num w:numId="13">
    <w:abstractNumId w:val="27"/>
  </w:num>
  <w:num w:numId="14">
    <w:abstractNumId w:val="7"/>
  </w:num>
  <w:num w:numId="15">
    <w:abstractNumId w:val="2"/>
  </w:num>
  <w:num w:numId="16">
    <w:abstractNumId w:val="6"/>
  </w:num>
  <w:num w:numId="17">
    <w:abstractNumId w:val="29"/>
  </w:num>
  <w:num w:numId="18">
    <w:abstractNumId w:val="14"/>
  </w:num>
  <w:num w:numId="19">
    <w:abstractNumId w:val="24"/>
  </w:num>
  <w:num w:numId="20">
    <w:abstractNumId w:val="4"/>
  </w:num>
  <w:num w:numId="21">
    <w:abstractNumId w:val="23"/>
  </w:num>
  <w:num w:numId="22">
    <w:abstractNumId w:val="8"/>
  </w:num>
  <w:num w:numId="23">
    <w:abstractNumId w:val="18"/>
  </w:num>
  <w:num w:numId="24">
    <w:abstractNumId w:val="9"/>
  </w:num>
  <w:num w:numId="25">
    <w:abstractNumId w:val="20"/>
  </w:num>
  <w:num w:numId="26">
    <w:abstractNumId w:val="10"/>
  </w:num>
  <w:num w:numId="27">
    <w:abstractNumId w:val="22"/>
  </w:num>
  <w:num w:numId="28">
    <w:abstractNumId w:val="16"/>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3D"/>
    <w:rsid w:val="000D7E00"/>
    <w:rsid w:val="00110285"/>
    <w:rsid w:val="0012068E"/>
    <w:rsid w:val="00167ACD"/>
    <w:rsid w:val="002C60A4"/>
    <w:rsid w:val="00332D16"/>
    <w:rsid w:val="00340D3D"/>
    <w:rsid w:val="00355816"/>
    <w:rsid w:val="003B70FB"/>
    <w:rsid w:val="004020C7"/>
    <w:rsid w:val="00402A41"/>
    <w:rsid w:val="00451B15"/>
    <w:rsid w:val="004C02C5"/>
    <w:rsid w:val="00512189"/>
    <w:rsid w:val="0053716A"/>
    <w:rsid w:val="0057692A"/>
    <w:rsid w:val="005E644E"/>
    <w:rsid w:val="00612C08"/>
    <w:rsid w:val="006A48FC"/>
    <w:rsid w:val="006D0464"/>
    <w:rsid w:val="0072276D"/>
    <w:rsid w:val="00787771"/>
    <w:rsid w:val="007B1DD2"/>
    <w:rsid w:val="007E1186"/>
    <w:rsid w:val="007E75B9"/>
    <w:rsid w:val="00833F38"/>
    <w:rsid w:val="008434E1"/>
    <w:rsid w:val="008F0CD2"/>
    <w:rsid w:val="0094069D"/>
    <w:rsid w:val="00A64AB6"/>
    <w:rsid w:val="00A65C2D"/>
    <w:rsid w:val="00A72A77"/>
    <w:rsid w:val="00AC61F8"/>
    <w:rsid w:val="00AE3952"/>
    <w:rsid w:val="00AE7FDC"/>
    <w:rsid w:val="00AF1CDD"/>
    <w:rsid w:val="00B042F1"/>
    <w:rsid w:val="00B14C37"/>
    <w:rsid w:val="00B579A8"/>
    <w:rsid w:val="00C443C0"/>
    <w:rsid w:val="00C44526"/>
    <w:rsid w:val="00C47099"/>
    <w:rsid w:val="00C52B3D"/>
    <w:rsid w:val="00CD1C40"/>
    <w:rsid w:val="00D04583"/>
    <w:rsid w:val="00D25EED"/>
    <w:rsid w:val="00D329E6"/>
    <w:rsid w:val="00D85C96"/>
    <w:rsid w:val="00DC46DB"/>
    <w:rsid w:val="00DD7CB2"/>
    <w:rsid w:val="00DE7585"/>
    <w:rsid w:val="00E20D76"/>
    <w:rsid w:val="00E80D9A"/>
    <w:rsid w:val="00ED53B0"/>
    <w:rsid w:val="00F15E5A"/>
    <w:rsid w:val="00F7712A"/>
    <w:rsid w:val="00F90227"/>
    <w:rsid w:val="00FB4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B770"/>
  <w15:chartTrackingRefBased/>
  <w15:docId w15:val="{1A974237-21D0-4396-B278-3D7C2320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CIE Normal"/>
    <w:qFormat/>
    <w:rsid w:val="00C52B3D"/>
    <w:pPr>
      <w:spacing w:after="12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D1C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7E00"/>
    <w:pPr>
      <w:keepNext/>
      <w:spacing w:before="240" w:after="60"/>
      <w:outlineLvl w:val="1"/>
    </w:pPr>
    <w:rPr>
      <w:rFonts w:asciiTheme="majorHAnsi" w:eastAsiaTheme="majorEastAsia" w:hAnsiTheme="majorHAns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276D"/>
    <w:pPr>
      <w:ind w:left="720"/>
      <w:contextualSpacing/>
    </w:pPr>
  </w:style>
  <w:style w:type="character" w:customStyle="1" w:styleId="ParagraphChar">
    <w:name w:val="Paragraph Char"/>
    <w:basedOn w:val="DefaultParagraphFont"/>
    <w:link w:val="Paragraph"/>
    <w:locked/>
    <w:rsid w:val="0053716A"/>
    <w:rPr>
      <w:rFonts w:ascii="Arial" w:hAnsi="Arial" w:cs="Arial"/>
      <w:bCs/>
      <w:color w:val="000000" w:themeColor="text1"/>
      <w:sz w:val="26"/>
      <w:szCs w:val="26"/>
    </w:rPr>
  </w:style>
  <w:style w:type="paragraph" w:customStyle="1" w:styleId="Paragraph">
    <w:name w:val="Paragraph"/>
    <w:basedOn w:val="Normal"/>
    <w:link w:val="ParagraphChar"/>
    <w:qFormat/>
    <w:rsid w:val="0053716A"/>
    <w:pPr>
      <w:spacing w:after="240"/>
    </w:pPr>
    <w:rPr>
      <w:rFonts w:eastAsiaTheme="minorHAnsi"/>
      <w:bCs/>
      <w:color w:val="000000" w:themeColor="text1"/>
      <w:sz w:val="26"/>
      <w:szCs w:val="26"/>
    </w:rPr>
  </w:style>
  <w:style w:type="character" w:styleId="CommentReference">
    <w:name w:val="annotation reference"/>
    <w:basedOn w:val="DefaultParagraphFont"/>
    <w:uiPriority w:val="99"/>
    <w:semiHidden/>
    <w:unhideWhenUsed/>
    <w:rsid w:val="008434E1"/>
    <w:rPr>
      <w:sz w:val="16"/>
      <w:szCs w:val="16"/>
    </w:rPr>
  </w:style>
  <w:style w:type="paragraph" w:styleId="CommentText">
    <w:name w:val="annotation text"/>
    <w:basedOn w:val="Normal"/>
    <w:link w:val="CommentTextChar"/>
    <w:uiPriority w:val="99"/>
    <w:unhideWhenUsed/>
    <w:rsid w:val="008434E1"/>
    <w:rPr>
      <w:sz w:val="20"/>
      <w:szCs w:val="20"/>
    </w:rPr>
  </w:style>
  <w:style w:type="character" w:customStyle="1" w:styleId="CommentTextChar">
    <w:name w:val="Comment Text Char"/>
    <w:basedOn w:val="DefaultParagraphFont"/>
    <w:link w:val="CommentText"/>
    <w:uiPriority w:val="99"/>
    <w:rsid w:val="008434E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434E1"/>
    <w:rPr>
      <w:b/>
      <w:bCs/>
    </w:rPr>
  </w:style>
  <w:style w:type="character" w:customStyle="1" w:styleId="CommentSubjectChar">
    <w:name w:val="Comment Subject Char"/>
    <w:basedOn w:val="CommentTextChar"/>
    <w:link w:val="CommentSubject"/>
    <w:uiPriority w:val="99"/>
    <w:semiHidden/>
    <w:rsid w:val="008434E1"/>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8434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4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0D7E00"/>
    <w:rPr>
      <w:rFonts w:asciiTheme="majorHAnsi" w:eastAsiaTheme="majorEastAsia" w:hAnsiTheme="majorHAnsi" w:cs="Times New Roman"/>
      <w:b/>
      <w:bCs/>
      <w:i/>
      <w:iCs/>
      <w:sz w:val="28"/>
      <w:szCs w:val="28"/>
    </w:rPr>
  </w:style>
  <w:style w:type="table" w:styleId="TableGrid">
    <w:name w:val="Table Grid"/>
    <w:basedOn w:val="TableNormal"/>
    <w:uiPriority w:val="39"/>
    <w:rsid w:val="000D7E0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D7E00"/>
    <w:rPr>
      <w:rFonts w:ascii="Arial" w:eastAsia="Times New Roman" w:hAnsi="Arial" w:cs="Arial"/>
      <w:sz w:val="24"/>
      <w:szCs w:val="24"/>
    </w:rPr>
  </w:style>
  <w:style w:type="character" w:styleId="Hyperlink">
    <w:name w:val="Hyperlink"/>
    <w:basedOn w:val="DefaultParagraphFont"/>
    <w:uiPriority w:val="99"/>
    <w:unhideWhenUsed/>
    <w:rsid w:val="00AE3952"/>
    <w:rPr>
      <w:color w:val="0563C1" w:themeColor="hyperlink"/>
      <w:u w:val="single"/>
    </w:rPr>
  </w:style>
  <w:style w:type="paragraph" w:styleId="FootnoteText">
    <w:name w:val="footnote text"/>
    <w:basedOn w:val="Normal"/>
    <w:link w:val="FootnoteTextChar"/>
    <w:uiPriority w:val="99"/>
    <w:semiHidden/>
    <w:unhideWhenUsed/>
    <w:rsid w:val="00AE3952"/>
    <w:pPr>
      <w:spacing w:after="0"/>
    </w:pPr>
    <w:rPr>
      <w:rFonts w:asciiTheme="minorHAnsi" w:eastAsiaTheme="minorHAnsi" w:hAnsiTheme="minorHAnsi" w:cs="Times New Roman"/>
      <w:sz w:val="20"/>
      <w:szCs w:val="20"/>
    </w:rPr>
  </w:style>
  <w:style w:type="character" w:customStyle="1" w:styleId="FootnoteTextChar">
    <w:name w:val="Footnote Text Char"/>
    <w:basedOn w:val="DefaultParagraphFont"/>
    <w:link w:val="FootnoteText"/>
    <w:uiPriority w:val="99"/>
    <w:semiHidden/>
    <w:rsid w:val="00AE3952"/>
    <w:rPr>
      <w:rFonts w:cs="Times New Roman"/>
      <w:sz w:val="20"/>
      <w:szCs w:val="20"/>
    </w:rPr>
  </w:style>
  <w:style w:type="character" w:styleId="FootnoteReference">
    <w:name w:val="footnote reference"/>
    <w:basedOn w:val="DefaultParagraphFont"/>
    <w:uiPriority w:val="99"/>
    <w:semiHidden/>
    <w:unhideWhenUsed/>
    <w:rsid w:val="00AE3952"/>
    <w:rPr>
      <w:vertAlign w:val="superscript"/>
    </w:rPr>
  </w:style>
  <w:style w:type="paragraph" w:styleId="Header">
    <w:name w:val="header"/>
    <w:basedOn w:val="Normal"/>
    <w:link w:val="HeaderChar"/>
    <w:uiPriority w:val="99"/>
    <w:unhideWhenUsed/>
    <w:rsid w:val="00355816"/>
    <w:pPr>
      <w:tabs>
        <w:tab w:val="center" w:pos="4513"/>
        <w:tab w:val="right" w:pos="9026"/>
      </w:tabs>
      <w:spacing w:after="0"/>
    </w:pPr>
  </w:style>
  <w:style w:type="character" w:customStyle="1" w:styleId="HeaderChar">
    <w:name w:val="Header Char"/>
    <w:basedOn w:val="DefaultParagraphFont"/>
    <w:link w:val="Header"/>
    <w:uiPriority w:val="99"/>
    <w:rsid w:val="00355816"/>
    <w:rPr>
      <w:rFonts w:ascii="Arial" w:eastAsia="Times New Roman" w:hAnsi="Arial" w:cs="Arial"/>
      <w:sz w:val="24"/>
      <w:szCs w:val="24"/>
    </w:rPr>
  </w:style>
  <w:style w:type="paragraph" w:styleId="Footer">
    <w:name w:val="footer"/>
    <w:basedOn w:val="Normal"/>
    <w:link w:val="FooterChar"/>
    <w:uiPriority w:val="99"/>
    <w:unhideWhenUsed/>
    <w:rsid w:val="00355816"/>
    <w:pPr>
      <w:tabs>
        <w:tab w:val="center" w:pos="4513"/>
        <w:tab w:val="right" w:pos="9026"/>
      </w:tabs>
      <w:spacing w:after="0"/>
    </w:pPr>
  </w:style>
  <w:style w:type="character" w:customStyle="1" w:styleId="FooterChar">
    <w:name w:val="Footer Char"/>
    <w:basedOn w:val="DefaultParagraphFont"/>
    <w:link w:val="Footer"/>
    <w:uiPriority w:val="99"/>
    <w:rsid w:val="00355816"/>
    <w:rPr>
      <w:rFonts w:ascii="Arial" w:eastAsia="Times New Roman" w:hAnsi="Arial" w:cs="Arial"/>
      <w:sz w:val="24"/>
      <w:szCs w:val="24"/>
    </w:rPr>
  </w:style>
  <w:style w:type="paragraph" w:styleId="BodyText">
    <w:name w:val="Body Text"/>
    <w:basedOn w:val="Normal"/>
    <w:link w:val="BodyTextChar"/>
    <w:rsid w:val="00ED53B0"/>
    <w:pPr>
      <w:spacing w:before="60" w:after="60"/>
    </w:pPr>
    <w:rPr>
      <w:rFonts w:cs="Times New Roman"/>
      <w:sz w:val="20"/>
      <w:szCs w:val="20"/>
      <w:lang w:val="en-US"/>
    </w:rPr>
  </w:style>
  <w:style w:type="character" w:customStyle="1" w:styleId="BodyTextChar">
    <w:name w:val="Body Text Char"/>
    <w:basedOn w:val="DefaultParagraphFont"/>
    <w:link w:val="BodyText"/>
    <w:rsid w:val="00ED53B0"/>
    <w:rPr>
      <w:rFonts w:ascii="Arial" w:eastAsia="Times New Roman" w:hAnsi="Arial" w:cs="Times New Roman"/>
      <w:sz w:val="20"/>
      <w:szCs w:val="20"/>
      <w:lang w:val="en-US"/>
    </w:rPr>
  </w:style>
  <w:style w:type="character" w:customStyle="1" w:styleId="Heading1Char">
    <w:name w:val="Heading 1 Char"/>
    <w:basedOn w:val="DefaultParagraphFont"/>
    <w:link w:val="Heading1"/>
    <w:uiPriority w:val="9"/>
    <w:rsid w:val="00CD1C4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berks.gov.uk/media/49982/Communications-and-Engagement-Strategy/pdf/Comms___Engagement_Strategy_2020_-_FINAL.pdf?m=637508159233300000" TargetMode="External"/><Relationship Id="rId3" Type="http://schemas.openxmlformats.org/officeDocument/2006/relationships/settings" Target="settings.xml"/><Relationship Id="rId7" Type="http://schemas.openxmlformats.org/officeDocument/2006/relationships/hyperlink" Target="https://info.westberks.gov.uk/CHttpHandler.ashx?id=47200&amp;p=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ssetbasedconsulting.co.uk/uploads/publications/WMU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Crofton-Martin (SCIE)</dc:creator>
  <cp:keywords/>
  <dc:description/>
  <cp:lastModifiedBy>Chris Pathmadeva</cp:lastModifiedBy>
  <cp:revision>2</cp:revision>
  <dcterms:created xsi:type="dcterms:W3CDTF">2022-02-16T16:37:00Z</dcterms:created>
  <dcterms:modified xsi:type="dcterms:W3CDTF">2022-02-16T16:37:00Z</dcterms:modified>
</cp:coreProperties>
</file>