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513"/>
      </w:tblGrid>
      <w:tr w:rsidR="00A7492D" w:rsidRPr="003A657F" w14:paraId="4A88B257" w14:textId="77777777" w:rsidTr="43C49729">
        <w:tc>
          <w:tcPr>
            <w:tcW w:w="6232" w:type="dxa"/>
          </w:tcPr>
          <w:p w14:paraId="750CC748" w14:textId="74F92223" w:rsidR="00A7492D" w:rsidRPr="003A657F" w:rsidRDefault="00A7492D">
            <w:pPr>
              <w:rPr>
                <w:b/>
              </w:rPr>
            </w:pPr>
            <w:bookmarkStart w:id="0" w:name="_GoBack"/>
            <w:bookmarkEnd w:id="0"/>
            <w:r w:rsidRPr="003A657F">
              <w:rPr>
                <w:b/>
              </w:rPr>
              <w:t>QUESTIONS</w:t>
            </w:r>
          </w:p>
        </w:tc>
        <w:tc>
          <w:tcPr>
            <w:tcW w:w="7513" w:type="dxa"/>
          </w:tcPr>
          <w:p w14:paraId="06461B0F" w14:textId="74E07A30" w:rsidR="00A7492D" w:rsidRPr="003A657F" w:rsidRDefault="00A7492D">
            <w:pPr>
              <w:rPr>
                <w:b/>
              </w:rPr>
            </w:pPr>
            <w:r w:rsidRPr="003A657F">
              <w:rPr>
                <w:b/>
              </w:rPr>
              <w:t>ANSWERS</w:t>
            </w:r>
          </w:p>
        </w:tc>
      </w:tr>
      <w:tr w:rsidR="00A7492D" w:rsidRPr="00CB0395" w14:paraId="66B00320" w14:textId="77777777" w:rsidTr="43C49729">
        <w:tc>
          <w:tcPr>
            <w:tcW w:w="6232" w:type="dxa"/>
          </w:tcPr>
          <w:p w14:paraId="792E8DAB" w14:textId="7FF6F7EE" w:rsidR="00A7492D" w:rsidRPr="00CB0395" w:rsidRDefault="00CF2787" w:rsidP="007B2D58">
            <w:pPr>
              <w:pStyle w:val="ListParagraph"/>
              <w:numPr>
                <w:ilvl w:val="0"/>
                <w:numId w:val="3"/>
              </w:numPr>
            </w:pPr>
            <w:r w:rsidRPr="00CB0395">
              <w:t xml:space="preserve">Is the </w:t>
            </w:r>
            <w:r w:rsidR="00636501" w:rsidRPr="00CB0395">
              <w:t>competition only open</w:t>
            </w:r>
            <w:r w:rsidR="0011006D">
              <w:t xml:space="preserve"> to</w:t>
            </w:r>
            <w:r w:rsidRPr="00CB0395">
              <w:t xml:space="preserve"> </w:t>
            </w:r>
            <w:r w:rsidR="00636501" w:rsidRPr="00CB0395">
              <w:t>projects demonstrating load control over electric vehicles?</w:t>
            </w:r>
          </w:p>
        </w:tc>
        <w:tc>
          <w:tcPr>
            <w:tcW w:w="7513" w:type="dxa"/>
          </w:tcPr>
          <w:p w14:paraId="09FDBFB4" w14:textId="2184B6B2" w:rsidR="00A7492D" w:rsidRPr="00CB0395" w:rsidRDefault="00636501">
            <w:r w:rsidRPr="00CB0395">
              <w:t xml:space="preserve">The </w:t>
            </w:r>
            <w:r w:rsidR="00B84ADC" w:rsidRPr="00CB0395">
              <w:t xml:space="preserve">competition </w:t>
            </w:r>
            <w:r w:rsidRPr="00CB0395">
              <w:t xml:space="preserve">is open to proposals </w:t>
            </w:r>
            <w:r w:rsidR="00B84ADC" w:rsidRPr="00CB0395">
              <w:t>which demonstrate control over</w:t>
            </w:r>
            <w:r w:rsidR="00EE7696" w:rsidRPr="00CB0395">
              <w:t xml:space="preserve"> any domestic load</w:t>
            </w:r>
            <w:r w:rsidR="00CF2787" w:rsidRPr="00CB0395">
              <w:t xml:space="preserve">. </w:t>
            </w:r>
            <w:r w:rsidR="00EE7696" w:rsidRPr="00CB0395">
              <w:t>However</w:t>
            </w:r>
            <w:r w:rsidR="00EA4AF8">
              <w:t>,</w:t>
            </w:r>
            <w:r w:rsidR="00EE7696" w:rsidRPr="00CB0395">
              <w:t xml:space="preserve"> there is focus on EVs as this is where there seems to be most growth in terms of load control devices. </w:t>
            </w:r>
            <w:r w:rsidR="00CF2787" w:rsidRPr="00CB0395">
              <w:t xml:space="preserve">We intend to </w:t>
            </w:r>
            <w:r w:rsidR="00B97ED2">
              <w:t>fund two full projects</w:t>
            </w:r>
            <w:r w:rsidR="00CF2787" w:rsidRPr="00CB0395">
              <w:t xml:space="preserve"> and expect </w:t>
            </w:r>
            <w:r w:rsidR="0019654E" w:rsidRPr="00CB0395">
              <w:t xml:space="preserve">at least </w:t>
            </w:r>
            <w:r w:rsidR="00CF2787" w:rsidRPr="00CB0395">
              <w:t>one of them to be focussed</w:t>
            </w:r>
            <w:r w:rsidR="0077031B" w:rsidRPr="00CB0395">
              <w:t xml:space="preserve"> on </w:t>
            </w:r>
            <w:r w:rsidR="00CF2787" w:rsidRPr="00CB0395">
              <w:t xml:space="preserve">managing </w:t>
            </w:r>
            <w:r w:rsidR="0077031B" w:rsidRPr="00CB0395">
              <w:t xml:space="preserve">EV </w:t>
            </w:r>
            <w:r w:rsidR="00CF2787" w:rsidRPr="00CB0395">
              <w:t>load</w:t>
            </w:r>
            <w:r w:rsidR="0077031B" w:rsidRPr="00CB0395">
              <w:t xml:space="preserve">. </w:t>
            </w:r>
          </w:p>
        </w:tc>
      </w:tr>
      <w:tr w:rsidR="00A7492D" w:rsidRPr="00B825D1" w14:paraId="2F4FB878" w14:textId="77777777" w:rsidTr="43C49729">
        <w:tc>
          <w:tcPr>
            <w:tcW w:w="6232" w:type="dxa"/>
          </w:tcPr>
          <w:p w14:paraId="0974DF4F" w14:textId="7316D795" w:rsidR="00A7492D" w:rsidRPr="00CB0395" w:rsidRDefault="00CF2787" w:rsidP="007B2D58">
            <w:pPr>
              <w:pStyle w:val="ListParagraph"/>
              <w:numPr>
                <w:ilvl w:val="0"/>
                <w:numId w:val="3"/>
              </w:numPr>
            </w:pPr>
            <w:r w:rsidRPr="00CB0395">
              <w:t xml:space="preserve">Is there scope </w:t>
            </w:r>
            <w:r w:rsidR="00491F52" w:rsidRPr="00CB0395">
              <w:t>for</w:t>
            </w:r>
            <w:r w:rsidR="00736DC7" w:rsidRPr="00CB0395">
              <w:t xml:space="preserve"> DNOs </w:t>
            </w:r>
            <w:r w:rsidR="00491F52" w:rsidRPr="00CB0395">
              <w:t xml:space="preserve">and other parties to have control over the </w:t>
            </w:r>
            <w:r w:rsidR="00236F3F" w:rsidRPr="00CB0395">
              <w:t>switch</w:t>
            </w:r>
            <w:r w:rsidR="00736DC7" w:rsidRPr="00CB0395">
              <w:t>?</w:t>
            </w:r>
          </w:p>
        </w:tc>
        <w:tc>
          <w:tcPr>
            <w:tcW w:w="7513" w:type="dxa"/>
          </w:tcPr>
          <w:p w14:paraId="63A796C4" w14:textId="63C8C1B1" w:rsidR="00A7492D" w:rsidRPr="00B825D1" w:rsidRDefault="00236F3F" w:rsidP="00101C27">
            <w:r w:rsidRPr="00B825D1">
              <w:t xml:space="preserve">The </w:t>
            </w:r>
            <w:r w:rsidR="00EF590B" w:rsidRPr="00B825D1">
              <w:t>Data and Communication Company (</w:t>
            </w:r>
            <w:r w:rsidRPr="00B825D1">
              <w:t>DCC</w:t>
            </w:r>
            <w:r w:rsidR="00EF590B" w:rsidRPr="00B825D1">
              <w:t>)</w:t>
            </w:r>
            <w:r w:rsidRPr="00B825D1">
              <w:t xml:space="preserve"> systems </w:t>
            </w:r>
            <w:r w:rsidR="00514F32">
              <w:t xml:space="preserve">and the smart energy code </w:t>
            </w:r>
            <w:r w:rsidRPr="00B825D1">
              <w:t xml:space="preserve">do not currently allow for parties other than electricity suppliers to </w:t>
            </w:r>
            <w:r w:rsidR="006D4B73" w:rsidRPr="00B825D1">
              <w:t xml:space="preserve">initiate a load control message over the </w:t>
            </w:r>
            <w:r w:rsidR="246D722C" w:rsidRPr="00B825D1">
              <w:t xml:space="preserve">DCC </w:t>
            </w:r>
            <w:r w:rsidR="006D4B73" w:rsidRPr="00B825D1">
              <w:t xml:space="preserve">wide area network. </w:t>
            </w:r>
            <w:r w:rsidR="006E266C" w:rsidRPr="00B825D1">
              <w:t xml:space="preserve">There is potential to demonstrate the concept of a load control message being initiated by </w:t>
            </w:r>
            <w:r w:rsidR="00441598">
              <w:t>someone other than an electricity supplier</w:t>
            </w:r>
            <w:r w:rsidR="006E266C" w:rsidRPr="00B825D1">
              <w:t xml:space="preserve">, but </w:t>
            </w:r>
            <w:r w:rsidR="000E735E">
              <w:t>this other organisation</w:t>
            </w:r>
            <w:r w:rsidR="006E266C" w:rsidRPr="00B825D1">
              <w:t xml:space="preserve"> </w:t>
            </w:r>
            <w:r w:rsidR="008250C8">
              <w:t xml:space="preserve">(e.g. DNO) </w:t>
            </w:r>
            <w:r w:rsidR="006E266C" w:rsidRPr="00B825D1">
              <w:t xml:space="preserve">would need to </w:t>
            </w:r>
            <w:r w:rsidR="00994939" w:rsidRPr="00B825D1">
              <w:t>have an arrangement with an electricity supplier</w:t>
            </w:r>
            <w:r w:rsidR="006D3B9A" w:rsidRPr="00B825D1">
              <w:t xml:space="preserve">, who would send the message over the WAN upon the third party’s instruction. </w:t>
            </w:r>
            <w:r w:rsidR="246D722C" w:rsidRPr="00B825D1">
              <w:t xml:space="preserve">This </w:t>
            </w:r>
            <w:r w:rsidR="7816F8A1" w:rsidRPr="00B825D1">
              <w:t>is why we are keen to involve energy suppliers in the consortia.</w:t>
            </w:r>
            <w:r w:rsidR="008534D9">
              <w:t xml:space="preserve"> There could be some useful learnings from a project which sought to demonstrate </w:t>
            </w:r>
            <w:r w:rsidR="00765AAC">
              <w:t>this concept, however it</w:t>
            </w:r>
            <w:r w:rsidR="00025F4A">
              <w:t>’</w:t>
            </w:r>
            <w:r w:rsidR="00765AAC">
              <w:t xml:space="preserve">s not </w:t>
            </w:r>
            <w:r w:rsidR="00025F4A">
              <w:t xml:space="preserve">an </w:t>
            </w:r>
            <w:r w:rsidR="00765AAC">
              <w:t xml:space="preserve">essential part of the project. </w:t>
            </w:r>
          </w:p>
        </w:tc>
      </w:tr>
      <w:tr w:rsidR="006D3B9A" w:rsidRPr="00B825D1" w14:paraId="794EC168" w14:textId="77777777" w:rsidTr="43C49729">
        <w:tc>
          <w:tcPr>
            <w:tcW w:w="6232" w:type="dxa"/>
          </w:tcPr>
          <w:p w14:paraId="198C1D9C" w14:textId="29FCFEBA" w:rsidR="006D3B9A" w:rsidRPr="00B825D1" w:rsidRDefault="006D3B9A" w:rsidP="007B2D58">
            <w:pPr>
              <w:pStyle w:val="ListParagraph"/>
              <w:numPr>
                <w:ilvl w:val="0"/>
                <w:numId w:val="3"/>
              </w:numPr>
            </w:pPr>
            <w:r w:rsidRPr="00B825D1">
              <w:t>How does this compe</w:t>
            </w:r>
            <w:r w:rsidR="00E60D37" w:rsidRPr="00B825D1">
              <w:t>ti</w:t>
            </w:r>
            <w:r w:rsidRPr="00B825D1">
              <w:t xml:space="preserve">tion fit with the SEC mod 46 Process? </w:t>
            </w:r>
          </w:p>
        </w:tc>
        <w:tc>
          <w:tcPr>
            <w:tcW w:w="7513" w:type="dxa"/>
          </w:tcPr>
          <w:p w14:paraId="57F3128E" w14:textId="724AEF9A" w:rsidR="00194AA1" w:rsidRPr="00B825D1" w:rsidRDefault="006D3B9A" w:rsidP="006D3B9A">
            <w:r w:rsidRPr="00B825D1">
              <w:t xml:space="preserve">Smart Energy Code modification </w:t>
            </w:r>
            <w:r w:rsidR="005D3D33" w:rsidRPr="00B825D1">
              <w:t xml:space="preserve">(SEC Mod) </w:t>
            </w:r>
            <w:r w:rsidRPr="00B825D1">
              <w:t>46 is currently looking at different option</w:t>
            </w:r>
            <w:r w:rsidR="00284051" w:rsidRPr="00B825D1">
              <w:t>s</w:t>
            </w:r>
            <w:r w:rsidRPr="00B825D1">
              <w:t xml:space="preserve"> to </w:t>
            </w:r>
            <w:r w:rsidR="00284051" w:rsidRPr="00B825D1">
              <w:t xml:space="preserve">use smart meter infrastructure to allow distribution network operators </w:t>
            </w:r>
            <w:r w:rsidR="005D3D33" w:rsidRPr="00B825D1">
              <w:t xml:space="preserve">(DNOs) to perform load control. One of the options being considered in this modification </w:t>
            </w:r>
            <w:r w:rsidR="00E60D37" w:rsidRPr="00B825D1">
              <w:t xml:space="preserve">is giving DNOs control of an </w:t>
            </w:r>
            <w:r w:rsidR="00194AA1" w:rsidRPr="00B825D1">
              <w:t>auxiliary</w:t>
            </w:r>
            <w:r w:rsidR="00E60D37" w:rsidRPr="00B825D1">
              <w:t xml:space="preserve"> load switch. </w:t>
            </w:r>
          </w:p>
          <w:p w14:paraId="7A552632" w14:textId="77777777" w:rsidR="00194AA1" w:rsidRPr="00B825D1" w:rsidRDefault="00194AA1" w:rsidP="006D3B9A"/>
          <w:p w14:paraId="06BC4AE7" w14:textId="14C4666E" w:rsidR="006D3B9A" w:rsidRPr="00DA62D4" w:rsidRDefault="00E60D37" w:rsidP="1CAF3EAE">
            <w:r w:rsidRPr="00B825D1">
              <w:t xml:space="preserve">This competition seeks to demonstrate the technical potential of the smart meters system to </w:t>
            </w:r>
            <w:r w:rsidR="00194AA1" w:rsidRPr="00B825D1">
              <w:t xml:space="preserve">perform load control using an </w:t>
            </w:r>
            <w:r w:rsidR="004774D6" w:rsidRPr="00B825D1">
              <w:t>auxiliary</w:t>
            </w:r>
            <w:r w:rsidR="00194AA1" w:rsidRPr="00B825D1">
              <w:t xml:space="preserve"> load switch, but, as noted under response to question 2 will only be able to do this </w:t>
            </w:r>
            <w:r w:rsidR="004774D6" w:rsidRPr="00B825D1">
              <w:t xml:space="preserve">based on a message initiated by an electricity supplier, as this is all the SEC and the </w:t>
            </w:r>
            <w:r w:rsidR="00EF590B" w:rsidRPr="00B825D1">
              <w:t xml:space="preserve">DCC systems </w:t>
            </w:r>
            <w:r w:rsidR="4407DF57" w:rsidRPr="00B825D1">
              <w:t xml:space="preserve">currently </w:t>
            </w:r>
            <w:r w:rsidR="00EF590B" w:rsidRPr="00B825D1">
              <w:t>allow.</w:t>
            </w:r>
            <w:r w:rsidR="00EF590B" w:rsidRPr="00CB0395">
              <w:t xml:space="preserve"> </w:t>
            </w:r>
            <w:r w:rsidR="00D050A7" w:rsidRPr="00B825D1">
              <w:t xml:space="preserve">This procurement exercise </w:t>
            </w:r>
            <w:r w:rsidR="00212004">
              <w:t>will</w:t>
            </w:r>
            <w:r w:rsidR="00D050A7" w:rsidRPr="00B825D1">
              <w:t xml:space="preserve"> not </w:t>
            </w:r>
            <w:r w:rsidR="00CF43A3">
              <w:t>result in</w:t>
            </w:r>
            <w:r w:rsidR="00D050A7" w:rsidRPr="00B825D1">
              <w:t xml:space="preserve"> any changes to Smart Energy Code (SEC)</w:t>
            </w:r>
            <w:r w:rsidR="00CF43A3">
              <w:t xml:space="preserve"> </w:t>
            </w:r>
            <w:r w:rsidR="001A63F1">
              <w:t>for example to allow DNOs control of loads</w:t>
            </w:r>
            <w:r w:rsidR="00763DFC">
              <w:t xml:space="preserve">, which is what the SEC mod process could </w:t>
            </w:r>
            <w:r w:rsidR="00212004">
              <w:t>result in</w:t>
            </w:r>
            <w:r w:rsidR="00763DFC">
              <w:t xml:space="preserve">. </w:t>
            </w:r>
          </w:p>
          <w:p w14:paraId="2F58B61A" w14:textId="6B9964C1" w:rsidR="006D3B9A" w:rsidRPr="00B825D1" w:rsidRDefault="006D3B9A"/>
        </w:tc>
      </w:tr>
      <w:tr w:rsidR="00A7492D" w:rsidRPr="00B825D1" w14:paraId="2A775AAB" w14:textId="77777777" w:rsidTr="43C49729">
        <w:tc>
          <w:tcPr>
            <w:tcW w:w="6232" w:type="dxa"/>
          </w:tcPr>
          <w:p w14:paraId="20649037" w14:textId="05AB8CFE" w:rsidR="00A7492D" w:rsidRPr="00B825D1" w:rsidRDefault="005917DC" w:rsidP="007B2D58">
            <w:pPr>
              <w:pStyle w:val="ListParagraph"/>
              <w:numPr>
                <w:ilvl w:val="0"/>
                <w:numId w:val="3"/>
              </w:numPr>
            </w:pPr>
            <w:r w:rsidRPr="00B825D1">
              <w:t>Regarding the technical solution, do you envisage the device to be p</w:t>
            </w:r>
            <w:r w:rsidR="00736DC7" w:rsidRPr="00B825D1">
              <w:t xml:space="preserve">hysically integrated </w:t>
            </w:r>
            <w:r w:rsidRPr="00B825D1">
              <w:t xml:space="preserve">with the charger </w:t>
            </w:r>
            <w:r w:rsidR="00736DC7" w:rsidRPr="00B825D1">
              <w:t>or just installed together?</w:t>
            </w:r>
            <w:r w:rsidR="001A1CB6">
              <w:t xml:space="preserve"> Are there any restrictions on design? Could this be a very simple solution?</w:t>
            </w:r>
          </w:p>
        </w:tc>
        <w:tc>
          <w:tcPr>
            <w:tcW w:w="7513" w:type="dxa"/>
          </w:tcPr>
          <w:p w14:paraId="4CFD3F6F" w14:textId="364214D8" w:rsidR="00A7492D" w:rsidRPr="00B825D1" w:rsidRDefault="005917DC">
            <w:r w:rsidRPr="00B825D1">
              <w:t xml:space="preserve">We </w:t>
            </w:r>
            <w:r w:rsidR="001A1CB6">
              <w:t>are</w:t>
            </w:r>
            <w:r w:rsidRPr="00B825D1">
              <w:t xml:space="preserve"> not prescrib</w:t>
            </w:r>
            <w:r w:rsidR="001A1CB6">
              <w:t>ing</w:t>
            </w:r>
            <w:r w:rsidRPr="00B825D1">
              <w:t xml:space="preserve"> the ‘format’ and are open to different solutions</w:t>
            </w:r>
            <w:r w:rsidR="007932EE">
              <w:t xml:space="preserve">. Both </w:t>
            </w:r>
            <w:r w:rsidR="0057115F">
              <w:t>integrated or dual installations</w:t>
            </w:r>
            <w:r w:rsidR="007120EA">
              <w:t xml:space="preserve"> of the charge point with the switch</w:t>
            </w:r>
            <w:r w:rsidR="002578B4" w:rsidRPr="00B825D1">
              <w:t xml:space="preserve"> would </w:t>
            </w:r>
            <w:r w:rsidR="007120EA">
              <w:t xml:space="preserve">be acceptable. </w:t>
            </w:r>
            <w:r w:rsidR="00D03B26">
              <w:t>The design can be simple as along as it meets</w:t>
            </w:r>
            <w:r w:rsidR="002578B4" w:rsidRPr="00B825D1">
              <w:t xml:space="preserve"> the requirements</w:t>
            </w:r>
            <w:r w:rsidR="00D03B26">
              <w:t xml:space="preserve"> set out in the </w:t>
            </w:r>
            <w:r w:rsidR="0033299F">
              <w:t xml:space="preserve">ITT. </w:t>
            </w:r>
            <w:r w:rsidR="00305204">
              <w:t xml:space="preserve">We </w:t>
            </w:r>
            <w:r w:rsidR="008C50DB">
              <w:t xml:space="preserve">however </w:t>
            </w:r>
            <w:r w:rsidR="00305204">
              <w:t xml:space="preserve">are interested in the </w:t>
            </w:r>
            <w:r w:rsidR="0067494E">
              <w:t xml:space="preserve">learnings (commercial, technical </w:t>
            </w:r>
            <w:r w:rsidR="0067494E">
              <w:lastRenderedPageBreak/>
              <w:t xml:space="preserve">and </w:t>
            </w:r>
            <w:r w:rsidR="00A95C75">
              <w:t>consumer based</w:t>
            </w:r>
            <w:r w:rsidR="0091786B">
              <w:t xml:space="preserve">) arising from the project and </w:t>
            </w:r>
            <w:r w:rsidR="00012C56">
              <w:t xml:space="preserve">there will be a proportion of the scoring </w:t>
            </w:r>
            <w:r w:rsidR="00C14C52">
              <w:t xml:space="preserve">of bids </w:t>
            </w:r>
            <w:r w:rsidR="00012C56">
              <w:t>allocated to this</w:t>
            </w:r>
            <w:r w:rsidRPr="00B825D1">
              <w:t xml:space="preserve">. </w:t>
            </w:r>
          </w:p>
        </w:tc>
      </w:tr>
      <w:tr w:rsidR="00A7492D" w:rsidRPr="006204C1" w14:paraId="0E961B42" w14:textId="77777777" w:rsidTr="43C49729">
        <w:tc>
          <w:tcPr>
            <w:tcW w:w="6232" w:type="dxa"/>
          </w:tcPr>
          <w:p w14:paraId="3FDE27B1" w14:textId="527963D3" w:rsidR="00264468" w:rsidRPr="00CB0395" w:rsidRDefault="00736DC7" w:rsidP="009C3BFD">
            <w:pPr>
              <w:pStyle w:val="ListParagraph"/>
              <w:numPr>
                <w:ilvl w:val="0"/>
                <w:numId w:val="3"/>
              </w:numPr>
            </w:pPr>
            <w:r w:rsidRPr="00B825D1">
              <w:lastRenderedPageBreak/>
              <w:t xml:space="preserve">How do </w:t>
            </w:r>
            <w:r w:rsidR="005917DC" w:rsidRPr="00B825D1">
              <w:t>you envisage</w:t>
            </w:r>
            <w:r w:rsidRPr="00B825D1">
              <w:t xml:space="preserve"> </w:t>
            </w:r>
            <w:r w:rsidR="00264468" w:rsidRPr="00B825D1">
              <w:t xml:space="preserve">EV </w:t>
            </w:r>
            <w:r w:rsidRPr="00B825D1">
              <w:t xml:space="preserve">charging </w:t>
            </w:r>
            <w:r w:rsidR="00264468" w:rsidRPr="00B825D1">
              <w:t>to be tracked</w:t>
            </w:r>
            <w:r w:rsidR="004D438D" w:rsidRPr="00B825D1">
              <w:t xml:space="preserve">? </w:t>
            </w:r>
          </w:p>
        </w:tc>
        <w:tc>
          <w:tcPr>
            <w:tcW w:w="7513" w:type="dxa"/>
          </w:tcPr>
          <w:p w14:paraId="48A57569" w14:textId="4BDE15EE" w:rsidR="008F4C4D" w:rsidRPr="00CB0395" w:rsidRDefault="47C0B723">
            <w:r w:rsidRPr="00B825D1">
              <w:t>This could be t</w:t>
            </w:r>
            <w:r w:rsidR="521E84C9" w:rsidRPr="00B825D1">
              <w:t>hrough a</w:t>
            </w:r>
            <w:r w:rsidR="228DA6FB" w:rsidRPr="00B825D1">
              <w:t xml:space="preserve"> s</w:t>
            </w:r>
            <w:r w:rsidR="521E84C9" w:rsidRPr="00B825D1">
              <w:t xml:space="preserve">mart electricity meter </w:t>
            </w:r>
            <w:r w:rsidR="228DA6FB" w:rsidRPr="00B825D1">
              <w:t xml:space="preserve">(including </w:t>
            </w:r>
            <w:r w:rsidR="000E692A">
              <w:t xml:space="preserve">potentially </w:t>
            </w:r>
            <w:r w:rsidR="228DA6FB" w:rsidRPr="00B825D1">
              <w:t>additional meters, the system supports 4 per pr</w:t>
            </w:r>
            <w:r w:rsidR="5387A174" w:rsidRPr="00B825D1">
              <w:t>emise)</w:t>
            </w:r>
            <w:r w:rsidR="00A77819">
              <w:t xml:space="preserve">, twin element </w:t>
            </w:r>
            <w:r w:rsidR="521E84C9" w:rsidRPr="00B825D1">
              <w:t>or a measu</w:t>
            </w:r>
            <w:r w:rsidR="228DA6FB" w:rsidRPr="00B825D1">
              <w:t>remen</w:t>
            </w:r>
            <w:r w:rsidR="5387A174" w:rsidRPr="00B825D1">
              <w:t>t method outside of the smart metering system.</w:t>
            </w:r>
            <w:r w:rsidR="5C1ABBE7" w:rsidRPr="00B825D1">
              <w:t xml:space="preserve">  </w:t>
            </w:r>
            <w:r w:rsidR="00AB7782">
              <w:t xml:space="preserve">But </w:t>
            </w:r>
            <w:r w:rsidR="00887DE7">
              <w:t xml:space="preserve">tracking of </w:t>
            </w:r>
            <w:r w:rsidR="00592FE9">
              <w:t>charging levels</w:t>
            </w:r>
            <w:r w:rsidR="00AB7782">
              <w:t xml:space="preserve"> could also be achieved through communications outside the smart meter system. </w:t>
            </w:r>
          </w:p>
        </w:tc>
      </w:tr>
      <w:tr w:rsidR="00747E94" w:rsidRPr="006204C1" w14:paraId="4F7E2898" w14:textId="77777777" w:rsidTr="43C49729">
        <w:tc>
          <w:tcPr>
            <w:tcW w:w="6232" w:type="dxa"/>
          </w:tcPr>
          <w:p w14:paraId="0E58A71E" w14:textId="49E024F6" w:rsidR="00747E94" w:rsidRPr="00B825D1" w:rsidRDefault="00747E94" w:rsidP="009C3BFD">
            <w:pPr>
              <w:pStyle w:val="ListParagraph"/>
              <w:numPr>
                <w:ilvl w:val="0"/>
                <w:numId w:val="3"/>
              </w:numPr>
            </w:pPr>
            <w:r w:rsidRPr="00B825D1">
              <w:t xml:space="preserve">How would the EV </w:t>
            </w:r>
            <w:r>
              <w:t xml:space="preserve">load </w:t>
            </w:r>
            <w:r w:rsidRPr="00B825D1">
              <w:t xml:space="preserve">be settled? </w:t>
            </w:r>
          </w:p>
        </w:tc>
        <w:tc>
          <w:tcPr>
            <w:tcW w:w="7513" w:type="dxa"/>
          </w:tcPr>
          <w:p w14:paraId="7A0FE982" w14:textId="6BF1F4AC" w:rsidR="00747E94" w:rsidRPr="00B825D1" w:rsidRDefault="00747E94">
            <w:r w:rsidRPr="00B825D1">
              <w:t>How EVs</w:t>
            </w:r>
            <w:r w:rsidR="007E50BD">
              <w:t xml:space="preserve"> or other </w:t>
            </w:r>
            <w:r w:rsidRPr="00B825D1">
              <w:t xml:space="preserve">specific loads are settled </w:t>
            </w:r>
            <w:r>
              <w:t xml:space="preserve">will be up to the contractor to determine. </w:t>
            </w:r>
            <w:r w:rsidR="004F0B1B">
              <w:t>T</w:t>
            </w:r>
            <w:r>
              <w:t>here may be</w:t>
            </w:r>
            <w:r w:rsidR="00767710">
              <w:t xml:space="preserve"> valuable</w:t>
            </w:r>
            <w:r w:rsidR="0040778C">
              <w:t xml:space="preserve"> commercial</w:t>
            </w:r>
            <w:r>
              <w:t xml:space="preserve"> learnings which </w:t>
            </w:r>
            <w:r w:rsidR="004F0B1B">
              <w:t>could be dependent for example on half hourly settlement</w:t>
            </w:r>
            <w:r w:rsidR="00302878">
              <w:t>, but we do not have specific</w:t>
            </w:r>
            <w:r w:rsidRPr="00B825D1">
              <w:t xml:space="preserve"> requirements (beyond existing regulation) in this area.</w:t>
            </w:r>
          </w:p>
        </w:tc>
      </w:tr>
      <w:tr w:rsidR="00A7492D" w14:paraId="06328003" w14:textId="77777777" w:rsidTr="43C49729">
        <w:tc>
          <w:tcPr>
            <w:tcW w:w="6232" w:type="dxa"/>
          </w:tcPr>
          <w:p w14:paraId="54B83CAD" w14:textId="26068600" w:rsidR="00A7492D" w:rsidRDefault="00E53052" w:rsidP="00E53052">
            <w:pPr>
              <w:pStyle w:val="ListParagraph"/>
              <w:numPr>
                <w:ilvl w:val="0"/>
                <w:numId w:val="3"/>
              </w:numPr>
            </w:pPr>
            <w:r>
              <w:t xml:space="preserve">Can a </w:t>
            </w:r>
            <w:r w:rsidR="001234AE">
              <w:t>HCALCS</w:t>
            </w:r>
            <w:r w:rsidR="000F1BBD">
              <w:t xml:space="preserve"> work</w:t>
            </w:r>
            <w:r w:rsidR="001234AE">
              <w:t xml:space="preserve"> </w:t>
            </w:r>
            <w:r w:rsidR="000F1BBD">
              <w:t>with both SMETS1 and</w:t>
            </w:r>
            <w:r w:rsidR="001234AE">
              <w:t xml:space="preserve"> SMETS2</w:t>
            </w:r>
            <w:r w:rsidR="000F1BBD">
              <w:t>?</w:t>
            </w:r>
          </w:p>
        </w:tc>
        <w:tc>
          <w:tcPr>
            <w:tcW w:w="7513" w:type="dxa"/>
          </w:tcPr>
          <w:p w14:paraId="3AFC9024" w14:textId="46E4BC7F" w:rsidR="00A7492D" w:rsidRPr="009F65F9" w:rsidRDefault="000F1BBD" w:rsidP="007B5F54">
            <w:r w:rsidRPr="009F65F9">
              <w:t>HCLACS are defined under SMETS2 so this (currently)</w:t>
            </w:r>
            <w:r w:rsidR="001234AE" w:rsidRPr="009F65F9">
              <w:t xml:space="preserve"> is </w:t>
            </w:r>
            <w:r w:rsidR="5D8EF3A8" w:rsidRPr="009F65F9">
              <w:t xml:space="preserve">a </w:t>
            </w:r>
            <w:r w:rsidR="001234AE" w:rsidRPr="009F65F9">
              <w:t xml:space="preserve">SMETS2 </w:t>
            </w:r>
            <w:r w:rsidRPr="009F65F9">
              <w:t xml:space="preserve">only </w:t>
            </w:r>
            <w:r w:rsidR="5D8EF3A8" w:rsidRPr="009F65F9">
              <w:t>trial</w:t>
            </w:r>
            <w:r w:rsidR="001234AE" w:rsidRPr="009F65F9">
              <w:t>.</w:t>
            </w:r>
          </w:p>
        </w:tc>
      </w:tr>
      <w:tr w:rsidR="00A7492D" w14:paraId="343045D7" w14:textId="77777777" w:rsidTr="43C49729">
        <w:tc>
          <w:tcPr>
            <w:tcW w:w="6232" w:type="dxa"/>
          </w:tcPr>
          <w:p w14:paraId="5A6598C7" w14:textId="5BCCF1A2" w:rsidR="00A7492D" w:rsidRDefault="00E57A33" w:rsidP="00E45ACB">
            <w:pPr>
              <w:pStyle w:val="ListParagraph"/>
              <w:numPr>
                <w:ilvl w:val="0"/>
                <w:numId w:val="3"/>
              </w:numPr>
            </w:pPr>
            <w:r>
              <w:t xml:space="preserve">Does the </w:t>
            </w:r>
            <w:r w:rsidR="000F1BBD">
              <w:t xml:space="preserve">project </w:t>
            </w:r>
            <w:r>
              <w:t xml:space="preserve">apply to domestic </w:t>
            </w:r>
            <w:r w:rsidR="000F1BBD">
              <w:t>charging points only or for public charging posts as well</w:t>
            </w:r>
            <w:r w:rsidR="001234AE">
              <w:t>?</w:t>
            </w:r>
          </w:p>
        </w:tc>
        <w:tc>
          <w:tcPr>
            <w:tcW w:w="7513" w:type="dxa"/>
          </w:tcPr>
          <w:p w14:paraId="06A2F226" w14:textId="5AC2313B" w:rsidR="008F4C4D" w:rsidRDefault="0053750F" w:rsidP="007B5F54">
            <w:r>
              <w:t xml:space="preserve">The project </w:t>
            </w:r>
            <w:r w:rsidR="00464379">
              <w:t>relates to demonstrat</w:t>
            </w:r>
            <w:r w:rsidR="003D13C5">
              <w:t>ion</w:t>
            </w:r>
            <w:r w:rsidR="00464379">
              <w:t xml:space="preserve"> of smart meter infrastructure</w:t>
            </w:r>
            <w:r w:rsidR="006C3E58">
              <w:t>,</w:t>
            </w:r>
            <w:r w:rsidR="5A86AE48">
              <w:t xml:space="preserve"> the scope of </w:t>
            </w:r>
            <w:r w:rsidR="694A311D">
              <w:t>which is</w:t>
            </w:r>
            <w:r w:rsidR="00D64993">
              <w:t xml:space="preserve"> domestic and small business properties. </w:t>
            </w:r>
            <w:r w:rsidR="001234AE" w:rsidRPr="57A27CC5">
              <w:t xml:space="preserve"> </w:t>
            </w:r>
            <w:r w:rsidR="00B85166">
              <w:t>Public charge points are therefore out of scope</w:t>
            </w:r>
            <w:r w:rsidR="00B85166" w:rsidRPr="57A27CC5">
              <w:t xml:space="preserve">. </w:t>
            </w:r>
          </w:p>
        </w:tc>
      </w:tr>
      <w:tr w:rsidR="000F1BBD" w:rsidRPr="000F1BBD" w14:paraId="0126B2D2" w14:textId="77777777" w:rsidTr="00F901EB">
        <w:tc>
          <w:tcPr>
            <w:tcW w:w="6232" w:type="dxa"/>
          </w:tcPr>
          <w:p w14:paraId="1726F931" w14:textId="52D18FBB" w:rsidR="00D10FA9" w:rsidRDefault="00E93D87" w:rsidP="005A4369">
            <w:pPr>
              <w:pStyle w:val="ListParagraph"/>
              <w:numPr>
                <w:ilvl w:val="0"/>
                <w:numId w:val="3"/>
              </w:numPr>
            </w:pPr>
            <w:r w:rsidRPr="00CA0AB1">
              <w:t xml:space="preserve">What if we spend all this money and effort but </w:t>
            </w:r>
            <w:r w:rsidR="007B1BBD" w:rsidRPr="00CA0AB1">
              <w:t>suppliers decide</w:t>
            </w:r>
            <w:r w:rsidR="00CA0AB1">
              <w:t xml:space="preserve"> not</w:t>
            </w:r>
            <w:r w:rsidR="007B1BBD" w:rsidRPr="00CA0AB1">
              <w:t xml:space="preserve"> to use this solution? If there was an appetite for the solution, </w:t>
            </w:r>
            <w:r w:rsidR="00257510">
              <w:t>why aren’t suppliers doing this already</w:t>
            </w:r>
            <w:r w:rsidR="007B1BBD" w:rsidRPr="00CA0AB1">
              <w:t>?</w:t>
            </w:r>
            <w:r w:rsidR="001234AE" w:rsidRPr="00CA0AB1">
              <w:t xml:space="preserve"> </w:t>
            </w:r>
          </w:p>
          <w:p w14:paraId="27BA5B16" w14:textId="77777777" w:rsidR="00D10FA9" w:rsidRDefault="00D10FA9" w:rsidP="00D10FA9">
            <w:pPr>
              <w:rPr>
                <w:highlight w:val="yellow"/>
              </w:rPr>
            </w:pPr>
          </w:p>
          <w:p w14:paraId="3580FFFD" w14:textId="4F648937" w:rsidR="00A7492D" w:rsidRPr="000F1BBD" w:rsidRDefault="00A7492D" w:rsidP="00FE548F">
            <w:pPr>
              <w:rPr>
                <w:color w:val="FF0000"/>
              </w:rPr>
            </w:pPr>
          </w:p>
        </w:tc>
        <w:tc>
          <w:tcPr>
            <w:tcW w:w="7513" w:type="dxa"/>
          </w:tcPr>
          <w:p w14:paraId="119637CD" w14:textId="2CF0759F" w:rsidR="003708EE" w:rsidRDefault="00263806" w:rsidP="005F6845">
            <w:r>
              <w:t xml:space="preserve">The </w:t>
            </w:r>
            <w:r w:rsidR="00562EA5">
              <w:t xml:space="preserve">Office for Low Emission Vehicles </w:t>
            </w:r>
            <w:r w:rsidRPr="6E19BCB8">
              <w:t>(</w:t>
            </w:r>
            <w:r w:rsidR="00257510">
              <w:t>OLEV</w:t>
            </w:r>
            <w:r w:rsidRPr="6E19BCB8">
              <w:t>)</w:t>
            </w:r>
            <w:r w:rsidR="00257510" w:rsidRPr="6E19BCB8">
              <w:t xml:space="preserve"> </w:t>
            </w:r>
            <w:r>
              <w:t xml:space="preserve">is planning </w:t>
            </w:r>
            <w:r w:rsidR="00FC3996">
              <w:t>secondary</w:t>
            </w:r>
            <w:r w:rsidRPr="6E19BCB8">
              <w:t xml:space="preserve"> </w:t>
            </w:r>
            <w:r w:rsidR="0085110E">
              <w:t>legislation</w:t>
            </w:r>
            <w:r w:rsidR="00713883">
              <w:t xml:space="preserve"> which will </w:t>
            </w:r>
            <w:r w:rsidR="005865A5">
              <w:t xml:space="preserve">set out minimum </w:t>
            </w:r>
            <w:r w:rsidR="00117D8E">
              <w:t xml:space="preserve">requirements for </w:t>
            </w:r>
            <w:r w:rsidR="0010382E">
              <w:t xml:space="preserve">electric vehicle charge points. These regulations </w:t>
            </w:r>
            <w:r w:rsidR="005865A5">
              <w:t>are expected to take</w:t>
            </w:r>
            <w:r w:rsidR="005865A5" w:rsidRPr="6E19BCB8">
              <w:t xml:space="preserve"> </w:t>
            </w:r>
            <w:r w:rsidR="00E22837">
              <w:t>to effect</w:t>
            </w:r>
            <w:r w:rsidR="005865A5" w:rsidRPr="6E19BCB8">
              <w:t xml:space="preserve"> </w:t>
            </w:r>
            <w:r w:rsidR="00713883">
              <w:t>mid</w:t>
            </w:r>
            <w:r w:rsidR="46B0FFAF">
              <w:t>-2019</w:t>
            </w:r>
            <w:r w:rsidR="4DC779C0" w:rsidRPr="6E19BCB8">
              <w:t xml:space="preserve"> </w:t>
            </w:r>
            <w:r w:rsidR="0010382E">
              <w:t>and</w:t>
            </w:r>
            <w:r w:rsidR="005865A5">
              <w:t xml:space="preserve"> include provision</w:t>
            </w:r>
            <w:r w:rsidR="0010382E">
              <w:t>s</w:t>
            </w:r>
            <w:r w:rsidR="005865A5">
              <w:t xml:space="preserve"> on both</w:t>
            </w:r>
            <w:r w:rsidR="0085110E" w:rsidRPr="6E19BCB8">
              <w:t xml:space="preserve"> </w:t>
            </w:r>
            <w:r w:rsidR="001D64C0">
              <w:t>interoperability</w:t>
            </w:r>
            <w:r w:rsidR="00257510">
              <w:t xml:space="preserve"> and security. </w:t>
            </w:r>
            <w:r w:rsidR="00FA12A6">
              <w:t xml:space="preserve">Whilst it is expected industry will be </w:t>
            </w:r>
            <w:r w:rsidR="00286FD8">
              <w:t>remain free to ch</w:t>
            </w:r>
            <w:r w:rsidR="00D5713E">
              <w:t>o</w:t>
            </w:r>
            <w:r w:rsidR="00286FD8">
              <w:t>ose how to meet these requirements, i</w:t>
            </w:r>
            <w:r w:rsidR="00713883">
              <w:t xml:space="preserve">t is expected </w:t>
            </w:r>
            <w:r w:rsidR="00286FD8">
              <w:t xml:space="preserve">that the legislation </w:t>
            </w:r>
            <w:r w:rsidR="00713883">
              <w:t xml:space="preserve">could </w:t>
            </w:r>
            <w:r w:rsidR="003149D4">
              <w:t xml:space="preserve">make smart meters </w:t>
            </w:r>
            <w:r w:rsidR="000D5D5C">
              <w:t xml:space="preserve">a more attractive solution to industry as they </w:t>
            </w:r>
            <w:r w:rsidR="00390B5A">
              <w:t xml:space="preserve">are </w:t>
            </w:r>
            <w:r w:rsidR="00965944">
              <w:t>a</w:t>
            </w:r>
            <w:r w:rsidR="000D5D5C" w:rsidRPr="6E19BCB8">
              <w:t xml:space="preserve"> </w:t>
            </w:r>
            <w:r w:rsidR="00D5713E">
              <w:t>ready</w:t>
            </w:r>
            <w:r w:rsidR="00B860A6">
              <w:t>-</w:t>
            </w:r>
            <w:r w:rsidR="00D5713E">
              <w:t>made</w:t>
            </w:r>
            <w:r w:rsidR="000D5D5C">
              <w:t xml:space="preserve"> system providing interoperability and security. </w:t>
            </w:r>
          </w:p>
          <w:p w14:paraId="3AFB3EB0" w14:textId="5610F774" w:rsidR="005F6845" w:rsidRDefault="00647054" w:rsidP="005F6845">
            <w:r>
              <w:t>Whilst there are many aspects to i</w:t>
            </w:r>
            <w:r w:rsidR="00874E8C">
              <w:t>nteroperability</w:t>
            </w:r>
            <w:r w:rsidR="0049379A">
              <w:t>,</w:t>
            </w:r>
            <w:r w:rsidR="00874E8C">
              <w:t xml:space="preserve"> </w:t>
            </w:r>
            <w:r>
              <w:t xml:space="preserve">BEIS is interested </w:t>
            </w:r>
            <w:r w:rsidR="0049379A">
              <w:t xml:space="preserve">in </w:t>
            </w:r>
            <w:r w:rsidR="002D44E4">
              <w:t>interoperability between charge point operators</w:t>
            </w:r>
            <w:r w:rsidR="0024336E">
              <w:t xml:space="preserve">, i.e. </w:t>
            </w:r>
            <w:r w:rsidR="002D44E4">
              <w:t xml:space="preserve">that smart </w:t>
            </w:r>
            <w:r w:rsidR="008C4ED6">
              <w:t>functionality</w:t>
            </w:r>
            <w:r w:rsidR="002D44E4">
              <w:t xml:space="preserve"> is </w:t>
            </w:r>
            <w:r w:rsidR="00D563C9">
              <w:t>r</w:t>
            </w:r>
            <w:r w:rsidR="00874E8C">
              <w:t>etain</w:t>
            </w:r>
            <w:r w:rsidR="0049379A">
              <w:t xml:space="preserve">ed and usable by </w:t>
            </w:r>
            <w:r w:rsidR="00D563C9">
              <w:t xml:space="preserve">different </w:t>
            </w:r>
            <w:r w:rsidR="0049379A">
              <w:t xml:space="preserve">charge point operators </w:t>
            </w:r>
            <w:r w:rsidR="00EE172C">
              <w:t>(</w:t>
            </w:r>
            <w:r w:rsidR="0049379A">
              <w:t xml:space="preserve">who </w:t>
            </w:r>
            <w:r w:rsidR="001B72E5">
              <w:t>are</w:t>
            </w:r>
            <w:r w:rsidR="0049379A">
              <w:t xml:space="preserve"> in some cases </w:t>
            </w:r>
            <w:r w:rsidR="00EE172C">
              <w:t xml:space="preserve">also </w:t>
            </w:r>
            <w:r w:rsidR="0049379A">
              <w:t xml:space="preserve">the electricity </w:t>
            </w:r>
            <w:r w:rsidR="00D563C9">
              <w:t>supplier</w:t>
            </w:r>
            <w:r w:rsidR="00EE172C">
              <w:t>)</w:t>
            </w:r>
            <w:r w:rsidR="002D44E4">
              <w:t xml:space="preserve"> without the need for a site visit or change of hardware</w:t>
            </w:r>
            <w:r w:rsidR="00D563C9">
              <w:t xml:space="preserve">. </w:t>
            </w:r>
            <w:r w:rsidR="0049379A">
              <w:t xml:space="preserve">This relates to BEIS </w:t>
            </w:r>
            <w:r w:rsidR="004400FA">
              <w:t xml:space="preserve">departmental strategic objective 4 – </w:t>
            </w:r>
            <w:r w:rsidR="002D44E4">
              <w:t>p</w:t>
            </w:r>
            <w:r w:rsidR="004400FA">
              <w:t xml:space="preserve">romotion of competitive markets. </w:t>
            </w:r>
            <w:r w:rsidR="002D44E4">
              <w:t xml:space="preserve">A key facet of BEIS’ strategy for delivery of this objective </w:t>
            </w:r>
            <w:r w:rsidR="003439D3">
              <w:t>in the retail electricity market has been roll out of smart meters to facilitate switching.</w:t>
            </w:r>
            <w:r w:rsidR="00E41B35">
              <w:t xml:space="preserve"> </w:t>
            </w:r>
          </w:p>
          <w:p w14:paraId="30E94C73" w14:textId="1224A1B5" w:rsidR="00D10FA9" w:rsidRPr="000F1BBD" w:rsidRDefault="00D10FA9" w:rsidP="00FE741D">
            <w:pPr>
              <w:rPr>
                <w:color w:val="FF0000"/>
              </w:rPr>
            </w:pPr>
          </w:p>
        </w:tc>
      </w:tr>
      <w:tr w:rsidR="00A7492D" w14:paraId="11E8B22C" w14:textId="77777777" w:rsidTr="43C49729">
        <w:tc>
          <w:tcPr>
            <w:tcW w:w="6232" w:type="dxa"/>
          </w:tcPr>
          <w:p w14:paraId="60E724CE" w14:textId="7507DF06" w:rsidR="00A7492D" w:rsidRDefault="00382B0F" w:rsidP="006964FB">
            <w:pPr>
              <w:pStyle w:val="ListParagraph"/>
              <w:numPr>
                <w:ilvl w:val="0"/>
                <w:numId w:val="3"/>
              </w:numPr>
            </w:pPr>
            <w:r>
              <w:t xml:space="preserve">Has BEIS held any discussions with </w:t>
            </w:r>
            <w:r w:rsidR="001234AE">
              <w:t>Ofgem</w:t>
            </w:r>
            <w:r w:rsidR="001B4FFD">
              <w:t xml:space="preserve"> on settlement of </w:t>
            </w:r>
            <w:r w:rsidR="006F7105">
              <w:t xml:space="preserve">EV charging </w:t>
            </w:r>
            <w:r>
              <w:t xml:space="preserve">and </w:t>
            </w:r>
            <w:r w:rsidR="001234AE">
              <w:t xml:space="preserve">how </w:t>
            </w:r>
            <w:r>
              <w:t>does this project</w:t>
            </w:r>
            <w:r w:rsidR="001234AE">
              <w:t xml:space="preserve"> </w:t>
            </w:r>
            <w:r>
              <w:t>link up</w:t>
            </w:r>
            <w:r w:rsidR="001234AE">
              <w:t xml:space="preserve"> with</w:t>
            </w:r>
            <w:r>
              <w:t xml:space="preserve"> the</w:t>
            </w:r>
            <w:r w:rsidR="001234AE">
              <w:t xml:space="preserve"> settlement process</w:t>
            </w:r>
            <w:r>
              <w:t>?</w:t>
            </w:r>
          </w:p>
        </w:tc>
        <w:tc>
          <w:tcPr>
            <w:tcW w:w="7513" w:type="dxa"/>
          </w:tcPr>
          <w:p w14:paraId="1E7BE40E" w14:textId="0855DEDF" w:rsidR="00A7492D" w:rsidRDefault="00382B0F" w:rsidP="007B5F54">
            <w:r>
              <w:t xml:space="preserve">We haven’t discussed </w:t>
            </w:r>
            <w:r w:rsidR="007007A8">
              <w:t xml:space="preserve">the specifics of settlement </w:t>
            </w:r>
            <w:r w:rsidR="00852B67">
              <w:t xml:space="preserve">with regard to this project </w:t>
            </w:r>
            <w:r w:rsidR="001234AE">
              <w:t xml:space="preserve">with Ofgem, but </w:t>
            </w:r>
            <w:r w:rsidR="00BC5AD7">
              <w:t xml:space="preserve">BEIS </w:t>
            </w:r>
            <w:r w:rsidR="00287F0A">
              <w:t xml:space="preserve">is engaged </w:t>
            </w:r>
            <w:r w:rsidR="005D7153">
              <w:t>closely</w:t>
            </w:r>
            <w:r w:rsidR="00014C9D">
              <w:t xml:space="preserve"> with Ofgem’s work on market wide half hourly settlement.</w:t>
            </w:r>
            <w:r w:rsidR="00014C9D" w:rsidDel="00014C9D">
              <w:t xml:space="preserve"> </w:t>
            </w:r>
          </w:p>
        </w:tc>
      </w:tr>
      <w:tr w:rsidR="00A7492D" w14:paraId="03228480" w14:textId="77777777" w:rsidTr="43C49729">
        <w:tc>
          <w:tcPr>
            <w:tcW w:w="6232" w:type="dxa"/>
          </w:tcPr>
          <w:p w14:paraId="477F080D" w14:textId="3308AB56" w:rsidR="00A7492D" w:rsidRDefault="002974F3" w:rsidP="001A0BC7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Is there a potential problem with the</w:t>
            </w:r>
            <w:r w:rsidR="00DE3F28">
              <w:t xml:space="preserve"> messages to reduce or increase demand being offset by </w:t>
            </w:r>
            <w:r w:rsidR="001267ED">
              <w:t>changes in demand from the same property? For an example, a</w:t>
            </w:r>
            <w:r w:rsidR="0089702D">
              <w:t xml:space="preserve">n EV is ramped down, but a battery elsewhere in the house increases </w:t>
            </w:r>
            <w:r w:rsidR="00EA5B80">
              <w:t xml:space="preserve">charge rate. </w:t>
            </w:r>
          </w:p>
        </w:tc>
        <w:tc>
          <w:tcPr>
            <w:tcW w:w="7513" w:type="dxa"/>
          </w:tcPr>
          <w:p w14:paraId="6F64A533" w14:textId="0E948E55" w:rsidR="00A7492D" w:rsidRDefault="009F1DD1" w:rsidP="007B5F54">
            <w:r>
              <w:t xml:space="preserve">There is potential for this </w:t>
            </w:r>
            <w:r w:rsidR="001234AE">
              <w:t xml:space="preserve">problem </w:t>
            </w:r>
            <w:r>
              <w:t xml:space="preserve">to exist </w:t>
            </w:r>
            <w:r w:rsidR="000E51DB">
              <w:t xml:space="preserve">already. It is not within scope of this project to try and resolve it. </w:t>
            </w:r>
            <w:r w:rsidR="001234AE">
              <w:t xml:space="preserve"> </w:t>
            </w:r>
            <w:r w:rsidR="00235F6F">
              <w:t>Whilst any learnings around governance</w:t>
            </w:r>
            <w:r w:rsidR="00A82143">
              <w:t>/control of load</w:t>
            </w:r>
            <w:r w:rsidR="00235F6F">
              <w:t xml:space="preserve"> </w:t>
            </w:r>
            <w:r w:rsidR="00BD3EEC">
              <w:t xml:space="preserve">will be valuable, the essence of the project </w:t>
            </w:r>
            <w:r w:rsidR="008E5040">
              <w:t xml:space="preserve">is </w:t>
            </w:r>
            <w:r w:rsidR="00235F6F">
              <w:t xml:space="preserve">to </w:t>
            </w:r>
            <w:r w:rsidR="003427CC">
              <w:t xml:space="preserve">demonstrate </w:t>
            </w:r>
            <w:r w:rsidR="00235F6F">
              <w:t xml:space="preserve">load control </w:t>
            </w:r>
            <w:r w:rsidR="003427CC">
              <w:t>functionality</w:t>
            </w:r>
            <w:r w:rsidR="00E73F53">
              <w:t xml:space="preserve"> </w:t>
            </w:r>
            <w:r w:rsidR="00BD3EEC">
              <w:t xml:space="preserve">of smart meter systems. </w:t>
            </w:r>
          </w:p>
        </w:tc>
      </w:tr>
      <w:tr w:rsidR="00A7492D" w14:paraId="17F718DC" w14:textId="77777777" w:rsidTr="43C49729">
        <w:tc>
          <w:tcPr>
            <w:tcW w:w="6232" w:type="dxa"/>
          </w:tcPr>
          <w:p w14:paraId="165CD4DF" w14:textId="476BDEF3" w:rsidR="00A7492D" w:rsidRDefault="006F44AD" w:rsidP="006964FB">
            <w:pPr>
              <w:pStyle w:val="ListParagraph"/>
              <w:numPr>
                <w:ilvl w:val="0"/>
                <w:numId w:val="3"/>
              </w:numPr>
            </w:pPr>
            <w:r>
              <w:t xml:space="preserve">The </w:t>
            </w:r>
            <w:r w:rsidR="006077E1">
              <w:t xml:space="preserve">requirement to include </w:t>
            </w:r>
            <w:r w:rsidR="004B059E">
              <w:t>C</w:t>
            </w:r>
            <w:r w:rsidR="006077E1">
              <w:t xml:space="preserve">ommercial </w:t>
            </w:r>
            <w:r w:rsidR="004B059E">
              <w:t>P</w:t>
            </w:r>
            <w:r w:rsidR="006077E1">
              <w:t xml:space="preserve">roduct </w:t>
            </w:r>
            <w:r w:rsidR="004B059E">
              <w:t>A</w:t>
            </w:r>
            <w:r w:rsidR="006077E1">
              <w:t xml:space="preserve">ssurance </w:t>
            </w:r>
            <w:r w:rsidR="004B059E" w:rsidRPr="26961A30">
              <w:t>(</w:t>
            </w:r>
            <w:r>
              <w:t>CPA</w:t>
            </w:r>
            <w:r w:rsidR="004B059E" w:rsidRPr="26961A30">
              <w:t>)</w:t>
            </w:r>
            <w:r>
              <w:t xml:space="preserve"> stage </w:t>
            </w:r>
            <w:r w:rsidR="004B059E">
              <w:t>could</w:t>
            </w:r>
            <w:r w:rsidR="004B059E" w:rsidRPr="26961A30">
              <w:t xml:space="preserve"> </w:t>
            </w:r>
            <w:r w:rsidR="004B059E">
              <w:t>make delivering agains</w:t>
            </w:r>
            <w:r w:rsidR="003531AB">
              <w:t>t</w:t>
            </w:r>
            <w:r w:rsidR="004B059E">
              <w:t xml:space="preserve"> the proposed </w:t>
            </w:r>
            <w:r>
              <w:t>timescales</w:t>
            </w:r>
            <w:r w:rsidR="006C7036">
              <w:t xml:space="preserve"> challenging</w:t>
            </w:r>
            <w:r>
              <w:t xml:space="preserve">, as </w:t>
            </w:r>
            <w:r w:rsidR="00F36253">
              <w:t>current</w:t>
            </w:r>
            <w:r w:rsidR="00204B2C">
              <w:t xml:space="preserve"> experience suggests that it</w:t>
            </w:r>
            <w:r w:rsidR="00F36253">
              <w:t xml:space="preserve"> take</w:t>
            </w:r>
            <w:r>
              <w:t>s</w:t>
            </w:r>
            <w:r w:rsidR="00204B2C">
              <w:t xml:space="preserve"> about</w:t>
            </w:r>
            <w:r w:rsidR="00F36253">
              <w:t xml:space="preserve"> 18</w:t>
            </w:r>
            <w:r w:rsidRPr="26961A30">
              <w:t xml:space="preserve"> </w:t>
            </w:r>
            <w:r w:rsidR="00F36253">
              <w:t>m</w:t>
            </w:r>
            <w:r>
              <w:t xml:space="preserve">onths for </w:t>
            </w:r>
            <w:r w:rsidR="26961A30">
              <w:t xml:space="preserve">some </w:t>
            </w:r>
            <w:r w:rsidR="00204B2C">
              <w:t>products to obtain CPA.</w:t>
            </w:r>
            <w:r w:rsidR="00F36253" w:rsidRPr="26961A30">
              <w:t xml:space="preserve"> </w:t>
            </w:r>
            <w:r w:rsidR="00204B2C">
              <w:t xml:space="preserve">How are you planning to manage this? </w:t>
            </w:r>
            <w:r w:rsidR="00F36253" w:rsidRPr="26961A30">
              <w:t xml:space="preserve"> </w:t>
            </w:r>
          </w:p>
        </w:tc>
        <w:tc>
          <w:tcPr>
            <w:tcW w:w="7513" w:type="dxa"/>
          </w:tcPr>
          <w:p w14:paraId="06D29A80" w14:textId="3F1E2AA5" w:rsidR="00CE4FC7" w:rsidRDefault="00CE4FC7" w:rsidP="007B5F54">
            <w:r>
              <w:t>Devices that are suitably secure will pass through the CPA accreditation scheme smoothly and as such we are not expecting it to take this length of time.</w:t>
            </w:r>
          </w:p>
          <w:p w14:paraId="025F2ABC" w14:textId="3772E423" w:rsidR="00A7492D" w:rsidRDefault="00F36253" w:rsidP="007B5F54">
            <w:r w:rsidRPr="00B945B5">
              <w:t xml:space="preserve">We </w:t>
            </w:r>
            <w:r w:rsidR="00ED4FDD" w:rsidRPr="00B945B5">
              <w:t xml:space="preserve">have </w:t>
            </w:r>
            <w:r w:rsidR="00A13CB5" w:rsidRPr="00B945B5">
              <w:t>an</w:t>
            </w:r>
            <w:r w:rsidR="00ED4FDD" w:rsidRPr="00B945B5">
              <w:t xml:space="preserve"> established relationship </w:t>
            </w:r>
            <w:r w:rsidRPr="00B945B5">
              <w:t>with N</w:t>
            </w:r>
            <w:r w:rsidR="005D1E0F" w:rsidRPr="00B945B5">
              <w:t xml:space="preserve">ational </w:t>
            </w:r>
            <w:r w:rsidRPr="00B945B5">
              <w:t>C</w:t>
            </w:r>
            <w:r w:rsidR="005D1E0F" w:rsidRPr="00B945B5">
              <w:t>yber Security Centre (NCSC)</w:t>
            </w:r>
            <w:r w:rsidR="00E73F53" w:rsidRPr="00B945B5">
              <w:t>,</w:t>
            </w:r>
            <w:r w:rsidRPr="00B945B5">
              <w:t xml:space="preserve"> </w:t>
            </w:r>
            <w:r w:rsidR="005019E8" w:rsidRPr="00B945B5">
              <w:t>with regard</w:t>
            </w:r>
            <w:r w:rsidR="53AE39BF" w:rsidRPr="00B945B5">
              <w:t>s</w:t>
            </w:r>
            <w:r w:rsidR="005019E8" w:rsidRPr="00B945B5">
              <w:t xml:space="preserve"> to </w:t>
            </w:r>
            <w:r w:rsidRPr="00B945B5">
              <w:t>this and other projects</w:t>
            </w:r>
            <w:r w:rsidR="005019E8" w:rsidRPr="00B945B5">
              <w:t xml:space="preserve">, and are </w:t>
            </w:r>
            <w:r w:rsidR="00ED4FDD" w:rsidRPr="00B945B5">
              <w:t xml:space="preserve">and are using this to manage any risks around </w:t>
            </w:r>
            <w:r w:rsidR="00133BDE" w:rsidRPr="00B945B5">
              <w:t xml:space="preserve">the length of </w:t>
            </w:r>
            <w:r w:rsidR="00D67F56" w:rsidRPr="00B945B5">
              <w:t xml:space="preserve">the </w:t>
            </w:r>
            <w:r w:rsidR="00133BDE" w:rsidRPr="00B945B5">
              <w:t>accreditation process</w:t>
            </w:r>
            <w:r w:rsidRPr="00B945B5">
              <w:t>.</w:t>
            </w:r>
            <w:r w:rsidRPr="6994868C">
              <w:t xml:space="preserve"> </w:t>
            </w:r>
          </w:p>
        </w:tc>
      </w:tr>
      <w:tr w:rsidR="00A7492D" w14:paraId="798EC4B5" w14:textId="77777777" w:rsidTr="43C49729">
        <w:tc>
          <w:tcPr>
            <w:tcW w:w="6232" w:type="dxa"/>
          </w:tcPr>
          <w:p w14:paraId="7D8169FD" w14:textId="51CE2351" w:rsidR="00A7492D" w:rsidRDefault="00032639" w:rsidP="0000005D">
            <w:pPr>
              <w:pStyle w:val="ListParagraph"/>
              <w:numPr>
                <w:ilvl w:val="0"/>
                <w:numId w:val="3"/>
              </w:numPr>
            </w:pPr>
            <w:r>
              <w:t xml:space="preserve">Who </w:t>
            </w:r>
            <w:r w:rsidR="00507C15">
              <w:t>is</w:t>
            </w:r>
            <w:r w:rsidR="00507C15" w:rsidRPr="2F03B6AF">
              <w:t xml:space="preserve"> </w:t>
            </w:r>
            <w:r w:rsidR="00F36253">
              <w:t xml:space="preserve">going to </w:t>
            </w:r>
            <w:r w:rsidR="00C91653">
              <w:t>manage</w:t>
            </w:r>
            <w:r w:rsidR="00F36253">
              <w:t xml:space="preserve"> data capture and analysis</w:t>
            </w:r>
            <w:r w:rsidR="0085311E" w:rsidRPr="2F03B6AF">
              <w:t xml:space="preserve">? </w:t>
            </w:r>
          </w:p>
        </w:tc>
        <w:tc>
          <w:tcPr>
            <w:tcW w:w="7513" w:type="dxa"/>
          </w:tcPr>
          <w:p w14:paraId="623BA653" w14:textId="635BE7B9" w:rsidR="00A7492D" w:rsidRDefault="0085311E" w:rsidP="007B5F54">
            <w:r>
              <w:t>This will be</w:t>
            </w:r>
            <w:r w:rsidR="00F36253">
              <w:t xml:space="preserve"> up to consortium to decide. </w:t>
            </w:r>
            <w:r w:rsidR="002E41E7">
              <w:t xml:space="preserve">Bids will be assessed on their ability to drawn out and share learnings based on data analysis. </w:t>
            </w:r>
            <w:r w:rsidR="0091337B">
              <w:t xml:space="preserve">We will consider putting some detail in the </w:t>
            </w:r>
            <w:r w:rsidR="00C404E2">
              <w:t>I</w:t>
            </w:r>
            <w:r w:rsidR="0091337B">
              <w:t xml:space="preserve">TT about what data </w:t>
            </w:r>
            <w:r w:rsidR="00C404E2">
              <w:t xml:space="preserve">from the trial </w:t>
            </w:r>
            <w:r w:rsidR="0091337B">
              <w:t xml:space="preserve">is required. </w:t>
            </w:r>
          </w:p>
          <w:p w14:paraId="68CC1D59" w14:textId="1519A6F1" w:rsidR="00F36253" w:rsidRDefault="00F36253" w:rsidP="007B5F54"/>
        </w:tc>
      </w:tr>
      <w:tr w:rsidR="00A7492D" w14:paraId="61CD78C2" w14:textId="77777777" w:rsidTr="43C49729">
        <w:tc>
          <w:tcPr>
            <w:tcW w:w="6232" w:type="dxa"/>
          </w:tcPr>
          <w:p w14:paraId="751D4ABD" w14:textId="701C6567" w:rsidR="00A7492D" w:rsidRDefault="0085311E" w:rsidP="00FA4576">
            <w:pPr>
              <w:pStyle w:val="ListParagraph"/>
              <w:numPr>
                <w:ilvl w:val="0"/>
                <w:numId w:val="3"/>
              </w:numPr>
            </w:pPr>
            <w:r>
              <w:t>How do you intend to compare data from the t</w:t>
            </w:r>
            <w:r w:rsidR="00F36253">
              <w:t xml:space="preserve">wo trials </w:t>
            </w:r>
            <w:r>
              <w:t xml:space="preserve">in the final stages of the project? </w:t>
            </w:r>
          </w:p>
        </w:tc>
        <w:tc>
          <w:tcPr>
            <w:tcW w:w="7513" w:type="dxa"/>
          </w:tcPr>
          <w:p w14:paraId="7FC91F94" w14:textId="1A4FA969" w:rsidR="00A7492D" w:rsidRDefault="0085311E" w:rsidP="007B5F54">
            <w:r>
              <w:t xml:space="preserve">There will be a </w:t>
            </w:r>
            <w:r w:rsidR="005D27A4">
              <w:t>third-party</w:t>
            </w:r>
            <w:r w:rsidR="00F36253">
              <w:t xml:space="preserve"> project manager</w:t>
            </w:r>
            <w:r w:rsidR="00DA6411" w:rsidRPr="53AE39BF">
              <w:t xml:space="preserve"> </w:t>
            </w:r>
            <w:r w:rsidR="005D27A4">
              <w:t xml:space="preserve">to </w:t>
            </w:r>
            <w:r w:rsidR="00DA6411">
              <w:t>manage these outputs</w:t>
            </w:r>
            <w:r w:rsidR="00FA4576">
              <w:t>, in conjunction with BEIS</w:t>
            </w:r>
            <w:r w:rsidR="00F36253" w:rsidRPr="53AE39BF">
              <w:t>.</w:t>
            </w:r>
            <w:r w:rsidR="00DA6411" w:rsidRPr="53AE39BF">
              <w:t xml:space="preserve"> </w:t>
            </w:r>
            <w:r w:rsidR="00B31CA6">
              <w:t xml:space="preserve">The trials may </w:t>
            </w:r>
            <w:r w:rsidR="2F03B6AF">
              <w:t>demonstrate</w:t>
            </w:r>
            <w:r w:rsidR="5171198B" w:rsidRPr="53AE39BF">
              <w:t xml:space="preserve"> </w:t>
            </w:r>
            <w:r w:rsidR="00B31CA6">
              <w:t xml:space="preserve">control of different types of load, so the data coming out may not be </w:t>
            </w:r>
            <w:r w:rsidR="00400C3E">
              <w:t>totally</w:t>
            </w:r>
            <w:r w:rsidR="00B31CA6">
              <w:t xml:space="preserve"> comparable. </w:t>
            </w:r>
            <w:r w:rsidR="00DA6411">
              <w:t>As for</w:t>
            </w:r>
            <w:r w:rsidR="00F36253" w:rsidRPr="53AE39BF">
              <w:t xml:space="preserve"> </w:t>
            </w:r>
            <w:r w:rsidR="00DA6411">
              <w:t>d</w:t>
            </w:r>
            <w:r w:rsidR="00F36253">
              <w:t>ata management in the project, that</w:t>
            </w:r>
            <w:r w:rsidR="00DA6411">
              <w:t xml:space="preserve"> will be</w:t>
            </w:r>
            <w:r w:rsidR="00F36253">
              <w:t xml:space="preserve"> up to </w:t>
            </w:r>
            <w:r w:rsidR="00DA6411">
              <w:t xml:space="preserve">each </w:t>
            </w:r>
            <w:r w:rsidR="00F36253">
              <w:t>consortium</w:t>
            </w:r>
            <w:r w:rsidR="00DA6411">
              <w:t xml:space="preserve"> to manage individually</w:t>
            </w:r>
            <w:r w:rsidR="00F36253" w:rsidRPr="53AE39BF">
              <w:t>.</w:t>
            </w:r>
          </w:p>
        </w:tc>
      </w:tr>
      <w:tr w:rsidR="00A7492D" w14:paraId="41212F6C" w14:textId="77777777" w:rsidTr="43C49729">
        <w:tc>
          <w:tcPr>
            <w:tcW w:w="6232" w:type="dxa"/>
          </w:tcPr>
          <w:p w14:paraId="229E9E65" w14:textId="47EE1180" w:rsidR="00A7492D" w:rsidRDefault="00F36253" w:rsidP="00AF66F4">
            <w:pPr>
              <w:pStyle w:val="ListParagraph"/>
              <w:numPr>
                <w:ilvl w:val="0"/>
                <w:numId w:val="3"/>
              </w:numPr>
            </w:pPr>
            <w:r>
              <w:t xml:space="preserve">Who evaluates feasibility studies? </w:t>
            </w:r>
          </w:p>
        </w:tc>
        <w:tc>
          <w:tcPr>
            <w:tcW w:w="7513" w:type="dxa"/>
          </w:tcPr>
          <w:p w14:paraId="3A2F3C18" w14:textId="06790E42" w:rsidR="00A7492D" w:rsidRDefault="00F36253" w:rsidP="007B5F54">
            <w:r>
              <w:t>BEIS</w:t>
            </w:r>
            <w:r w:rsidR="00391609">
              <w:t xml:space="preserve"> will evaluate the studies and determine which go through to full project delivery</w:t>
            </w:r>
            <w:r>
              <w:t xml:space="preserve">. </w:t>
            </w:r>
          </w:p>
        </w:tc>
      </w:tr>
      <w:tr w:rsidR="00A7492D" w14:paraId="3E58E36F" w14:textId="77777777" w:rsidTr="43C49729">
        <w:tc>
          <w:tcPr>
            <w:tcW w:w="6232" w:type="dxa"/>
          </w:tcPr>
          <w:p w14:paraId="31251FBF" w14:textId="5A4C6441" w:rsidR="00A7492D" w:rsidRDefault="00F36253" w:rsidP="00AF66F4">
            <w:pPr>
              <w:pStyle w:val="ListParagraph"/>
              <w:numPr>
                <w:ilvl w:val="0"/>
                <w:numId w:val="3"/>
              </w:numPr>
            </w:pPr>
            <w:r>
              <w:t xml:space="preserve">Are timelines that </w:t>
            </w:r>
            <w:r w:rsidR="00E22837">
              <w:t xml:space="preserve">the </w:t>
            </w:r>
            <w:r w:rsidR="003936F2">
              <w:t>Procurement</w:t>
            </w:r>
            <w:r>
              <w:t xml:space="preserve"> shared realistic</w:t>
            </w:r>
            <w:r w:rsidR="003F695D">
              <w:t xml:space="preserve">, as </w:t>
            </w:r>
            <w:r>
              <w:t>evaluations</w:t>
            </w:r>
            <w:r w:rsidR="003F695D">
              <w:t xml:space="preserve"> are finalised towards the end of December</w:t>
            </w:r>
            <w:r>
              <w:t xml:space="preserve"> and </w:t>
            </w:r>
            <w:r w:rsidR="003F695D">
              <w:t>notifying bidders occurs</w:t>
            </w:r>
            <w:r>
              <w:t xml:space="preserve"> </w:t>
            </w:r>
            <w:r w:rsidR="003936F2">
              <w:t>over</w:t>
            </w:r>
            <w:r w:rsidR="003F695D">
              <w:t xml:space="preserve"> the</w:t>
            </w:r>
            <w:r w:rsidR="003936F2">
              <w:t xml:space="preserve"> </w:t>
            </w:r>
            <w:r w:rsidR="00394687">
              <w:t>Christmas</w:t>
            </w:r>
            <w:r w:rsidR="003F695D">
              <w:t xml:space="preserve"> week</w:t>
            </w:r>
            <w:r w:rsidR="003936F2">
              <w:t xml:space="preserve">? </w:t>
            </w:r>
          </w:p>
        </w:tc>
        <w:tc>
          <w:tcPr>
            <w:tcW w:w="7513" w:type="dxa"/>
          </w:tcPr>
          <w:p w14:paraId="783FB03C" w14:textId="6153C72F" w:rsidR="00A7492D" w:rsidRDefault="00B02CCF" w:rsidP="007B5F54">
            <w:r>
              <w:t xml:space="preserve">The concern of </w:t>
            </w:r>
            <w:r w:rsidR="008600A3">
              <w:t xml:space="preserve">availability over the Christmas period is noted and additional time has been added to the timetable to address this. </w:t>
            </w:r>
          </w:p>
        </w:tc>
      </w:tr>
      <w:tr w:rsidR="00F36253" w:rsidRPr="00FD0C7F" w14:paraId="77CEBBCD" w14:textId="77777777" w:rsidTr="43C49729">
        <w:tc>
          <w:tcPr>
            <w:tcW w:w="6232" w:type="dxa"/>
          </w:tcPr>
          <w:p w14:paraId="739B5990" w14:textId="1BF44B2F" w:rsidR="00F36253" w:rsidRPr="00FD0C7F" w:rsidRDefault="002F3231" w:rsidP="00EC271A">
            <w:pPr>
              <w:pStyle w:val="ListParagraph"/>
              <w:numPr>
                <w:ilvl w:val="0"/>
                <w:numId w:val="3"/>
              </w:numPr>
            </w:pPr>
            <w:r w:rsidRPr="00FD0C7F">
              <w:t xml:space="preserve">What happens in a scenario when </w:t>
            </w:r>
            <w:r w:rsidR="00AC0F83" w:rsidRPr="00FD0C7F">
              <w:t xml:space="preserve">EV </w:t>
            </w:r>
            <w:r w:rsidRPr="00FD0C7F">
              <w:t xml:space="preserve">battery is </w:t>
            </w:r>
            <w:r w:rsidR="00AC0F83" w:rsidRPr="00FD0C7F">
              <w:t xml:space="preserve">depleted and customers need to </w:t>
            </w:r>
            <w:r w:rsidR="0017649E" w:rsidRPr="00FD0C7F">
              <w:t xml:space="preserve">continue </w:t>
            </w:r>
            <w:r w:rsidRPr="00FD0C7F">
              <w:t>charging</w:t>
            </w:r>
            <w:r w:rsidR="0085702B" w:rsidRPr="00FD0C7F">
              <w:t xml:space="preserve">? Are </w:t>
            </w:r>
            <w:r w:rsidR="00AC0F83" w:rsidRPr="00FD0C7F">
              <w:t>there</w:t>
            </w:r>
            <w:r w:rsidRPr="00FD0C7F">
              <w:t xml:space="preserve"> going to be</w:t>
            </w:r>
            <w:r w:rsidR="00AC0F83" w:rsidRPr="00FD0C7F">
              <w:t xml:space="preserve"> any comm</w:t>
            </w:r>
            <w:r w:rsidRPr="00FD0C7F">
              <w:t>unications</w:t>
            </w:r>
            <w:r w:rsidR="00AC0F83" w:rsidRPr="00FD0C7F">
              <w:t xml:space="preserve"> with customers?</w:t>
            </w:r>
          </w:p>
          <w:p w14:paraId="604C0907" w14:textId="19A13410" w:rsidR="00AC0F83" w:rsidRPr="00FD0C7F" w:rsidRDefault="00AC0F83" w:rsidP="007B5F54"/>
        </w:tc>
        <w:tc>
          <w:tcPr>
            <w:tcW w:w="7513" w:type="dxa"/>
          </w:tcPr>
          <w:p w14:paraId="60034083" w14:textId="2A8234C9" w:rsidR="00AC0F83" w:rsidRPr="00FD0C7F" w:rsidRDefault="0085702B" w:rsidP="000E7692">
            <w:r w:rsidRPr="00FD0C7F">
              <w:t>Similar to question</w:t>
            </w:r>
            <w:r w:rsidR="00B42835" w:rsidRPr="00FD0C7F">
              <w:t xml:space="preserve"> 1</w:t>
            </w:r>
            <w:r w:rsidR="00FD0C7F" w:rsidRPr="00FD0C7F">
              <w:t>2</w:t>
            </w:r>
            <w:r w:rsidR="00B42835" w:rsidRPr="00FD0C7F">
              <w:t xml:space="preserve">, this is a potential problem that exists in the market already. </w:t>
            </w:r>
            <w:r w:rsidR="0059699F" w:rsidRPr="00FD0C7F">
              <w:t>Most current market offerings where load control is performed by the supplier or a third party include an</w:t>
            </w:r>
            <w:r w:rsidR="6994868C" w:rsidRPr="00FD0C7F">
              <w:t xml:space="preserve"> </w:t>
            </w:r>
            <w:r w:rsidR="0059699F" w:rsidRPr="00FD0C7F">
              <w:t>override provision for the consumer</w:t>
            </w:r>
            <w:r w:rsidR="004D27BA" w:rsidRPr="00FD0C7F">
              <w:t>, and it is likely that similar functionality will be needed to gain consumer acceptance in the trial</w:t>
            </w:r>
            <w:r w:rsidR="0059699F" w:rsidRPr="00FD0C7F">
              <w:t xml:space="preserve">. </w:t>
            </w:r>
            <w:r w:rsidR="00CC4E6B" w:rsidRPr="00FD0C7F">
              <w:t>Potential bid</w:t>
            </w:r>
            <w:r w:rsidR="001D6969" w:rsidRPr="00FD0C7F">
              <w:t>d</w:t>
            </w:r>
            <w:r w:rsidR="00CC4E6B" w:rsidRPr="00FD0C7F">
              <w:t xml:space="preserve">ers will need to consider how best to meet consumer’s needs, and </w:t>
            </w:r>
            <w:r w:rsidR="006042F8" w:rsidRPr="00FD0C7F">
              <w:t>this</w:t>
            </w:r>
            <w:r w:rsidR="00CC4E6B" w:rsidRPr="00FD0C7F">
              <w:t xml:space="preserve"> will be </w:t>
            </w:r>
            <w:r w:rsidR="009D1F97" w:rsidRPr="00FD0C7F">
              <w:t>something against which bids are scored</w:t>
            </w:r>
            <w:r w:rsidR="2566875C" w:rsidRPr="00FD0C7F">
              <w:t xml:space="preserve"> as part of broader consumer engagement</w:t>
            </w:r>
            <w:r w:rsidR="6784F00A" w:rsidRPr="00FD0C7F">
              <w:t xml:space="preserve"> strategy.</w:t>
            </w:r>
          </w:p>
        </w:tc>
      </w:tr>
      <w:tr w:rsidR="00F36253" w14:paraId="4D7B4E21" w14:textId="77777777" w:rsidTr="43C49729">
        <w:tc>
          <w:tcPr>
            <w:tcW w:w="6232" w:type="dxa"/>
          </w:tcPr>
          <w:p w14:paraId="21AF343E" w14:textId="7B8B9E45" w:rsidR="00F36253" w:rsidRDefault="00773DE6" w:rsidP="0057006C">
            <w:pPr>
              <w:pStyle w:val="ListParagraph"/>
              <w:numPr>
                <w:ilvl w:val="0"/>
                <w:numId w:val="3"/>
              </w:numPr>
            </w:pPr>
            <w:r>
              <w:t>What about consumers and whether they will accept this - t</w:t>
            </w:r>
            <w:r w:rsidR="00CE5062">
              <w:t xml:space="preserve">here is currently nothing in the shared documentation about </w:t>
            </w:r>
            <w:r w:rsidR="00884D6F">
              <w:t>the need to consider</w:t>
            </w:r>
            <w:r>
              <w:t xml:space="preserve"> consumer’s needs. </w:t>
            </w:r>
            <w:r w:rsidR="00884D6F">
              <w:t xml:space="preserve"> </w:t>
            </w:r>
          </w:p>
        </w:tc>
        <w:tc>
          <w:tcPr>
            <w:tcW w:w="7513" w:type="dxa"/>
          </w:tcPr>
          <w:p w14:paraId="5973E093" w14:textId="7AF11FE7" w:rsidR="00F36253" w:rsidRDefault="00860D73" w:rsidP="007B5F54">
            <w:r>
              <w:t xml:space="preserve">This is </w:t>
            </w:r>
            <w:r w:rsidR="00453F81">
              <w:t xml:space="preserve">implied but </w:t>
            </w:r>
            <w:r w:rsidR="00295EA6">
              <w:t>BEIS will consider how to reflect it in the ITT</w:t>
            </w:r>
            <w:r w:rsidR="6784F00A">
              <w:t xml:space="preserve"> as part of </w:t>
            </w:r>
            <w:r w:rsidR="726DBA98">
              <w:t>a bidder’s consumer engagement strategy.</w:t>
            </w:r>
          </w:p>
        </w:tc>
      </w:tr>
      <w:tr w:rsidR="00F36253" w14:paraId="09EDD4B1" w14:textId="77777777" w:rsidTr="43C49729">
        <w:tc>
          <w:tcPr>
            <w:tcW w:w="6232" w:type="dxa"/>
          </w:tcPr>
          <w:p w14:paraId="0E7122F4" w14:textId="364B0161" w:rsidR="00F36253" w:rsidRDefault="00453F81" w:rsidP="0057006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</w:t>
            </w:r>
            <w:r w:rsidR="00AC0F83">
              <w:t xml:space="preserve">here </w:t>
            </w:r>
            <w:r>
              <w:t>will high level control come from</w:t>
            </w:r>
            <w:r w:rsidR="00AC0F83" w:rsidRPr="26F31524">
              <w:t xml:space="preserve">? </w:t>
            </w:r>
            <w:r>
              <w:t xml:space="preserve">What will switch </w:t>
            </w:r>
            <w:r w:rsidR="00094B40">
              <w:t>HCALCS on</w:t>
            </w:r>
            <w:r w:rsidR="00AC0F83">
              <w:t xml:space="preserve"> home</w:t>
            </w:r>
            <w:r>
              <w:t xml:space="preserve"> chargers</w:t>
            </w:r>
            <w:r w:rsidR="00AC0F83">
              <w:t xml:space="preserve"> on/off</w:t>
            </w:r>
            <w:r w:rsidR="00094B40" w:rsidRPr="26F31524">
              <w:t>?</w:t>
            </w:r>
            <w:r w:rsidR="00E91AED">
              <w:t xml:space="preserve"> Is there a potential to extend the trial to agents acting on behalf of suppliers – at the moment, it seems only suppliers can control the load?</w:t>
            </w:r>
          </w:p>
        </w:tc>
        <w:tc>
          <w:tcPr>
            <w:tcW w:w="7513" w:type="dxa"/>
          </w:tcPr>
          <w:p w14:paraId="2556B1C0" w14:textId="031FC0F3" w:rsidR="008C05C0" w:rsidRDefault="0087189D" w:rsidP="00C14623">
            <w:r>
              <w:t xml:space="preserve">The current smart meter systems allow the </w:t>
            </w:r>
            <w:r w:rsidR="002321EA">
              <w:t xml:space="preserve">load </w:t>
            </w:r>
            <w:r>
              <w:t xml:space="preserve">control </w:t>
            </w:r>
            <w:r w:rsidR="00B06DAE">
              <w:t xml:space="preserve">message to be initiated </w:t>
            </w:r>
            <w:r w:rsidR="001461F4">
              <w:t xml:space="preserve">by the </w:t>
            </w:r>
            <w:r w:rsidR="00524F26">
              <w:t xml:space="preserve">energy </w:t>
            </w:r>
            <w:r w:rsidR="001461F4">
              <w:t>supplier</w:t>
            </w:r>
            <w:r w:rsidR="00313922">
              <w:t>,</w:t>
            </w:r>
            <w:r w:rsidR="00A65DDA">
              <w:t xml:space="preserve"> using smart meter communications infrastructure</w:t>
            </w:r>
            <w:r w:rsidR="001461F4" w:rsidRPr="609273AB">
              <w:t xml:space="preserve">. </w:t>
            </w:r>
            <w:r w:rsidR="00E91AED">
              <w:t>This is all that’s currently provided for by the SEC and changes to SEC are not in the scope of this project.  If other non-energy supplier parties want to control the load, they will need to work with</w:t>
            </w:r>
            <w:r w:rsidR="00E91AED" w:rsidRPr="57318F0B">
              <w:t xml:space="preserve"> </w:t>
            </w:r>
            <w:r w:rsidR="00E91AED">
              <w:t>energy suppliers and communicate with them (outside of the smart meter communications infrastructure) for the suppliers to send control messages on their behalf</w:t>
            </w:r>
            <w:r w:rsidR="00E91AED" w:rsidRPr="57318F0B">
              <w:t xml:space="preserve">. </w:t>
            </w:r>
            <w:r w:rsidR="00E91AED">
              <w:t>It would be interesting to draw out learning for how/if this type of arrangement could work in practice. This is why</w:t>
            </w:r>
            <w:r w:rsidR="00E91AED" w:rsidRPr="57318F0B">
              <w:t xml:space="preserve"> </w:t>
            </w:r>
            <w:r w:rsidR="00E91AED">
              <w:t xml:space="preserve">DNOs are listed as “potential” party in the ITT. </w:t>
            </w:r>
          </w:p>
        </w:tc>
      </w:tr>
      <w:tr w:rsidR="00F36253" w14:paraId="6105E1DD" w14:textId="77777777" w:rsidTr="43C49729">
        <w:tc>
          <w:tcPr>
            <w:tcW w:w="6232" w:type="dxa"/>
          </w:tcPr>
          <w:p w14:paraId="040537C9" w14:textId="7ADBA6E7" w:rsidR="00F36253" w:rsidRDefault="008C05C0" w:rsidP="0057006C">
            <w:pPr>
              <w:pStyle w:val="ListParagraph"/>
              <w:numPr>
                <w:ilvl w:val="0"/>
                <w:numId w:val="3"/>
              </w:numPr>
            </w:pPr>
            <w:r>
              <w:t xml:space="preserve">Architecture </w:t>
            </w:r>
            <w:r w:rsidR="001038FA">
              <w:t>seems to imply that</w:t>
            </w:r>
            <w:r>
              <w:t xml:space="preserve"> brain </w:t>
            </w:r>
            <w:r w:rsidR="001038FA">
              <w:t xml:space="preserve">is </w:t>
            </w:r>
            <w:r>
              <w:t>with supplier</w:t>
            </w:r>
            <w:r w:rsidR="001038FA">
              <w:t>; some are of the opinion that the</w:t>
            </w:r>
            <w:r>
              <w:t xml:space="preserve"> brain should be</w:t>
            </w:r>
            <w:r w:rsidR="001038FA">
              <w:t xml:space="preserve"> with</w:t>
            </w:r>
            <w:r>
              <w:t xml:space="preserve"> customer. </w:t>
            </w:r>
          </w:p>
        </w:tc>
        <w:tc>
          <w:tcPr>
            <w:tcW w:w="7513" w:type="dxa"/>
          </w:tcPr>
          <w:p w14:paraId="5739D74F" w14:textId="5D972C21" w:rsidR="00F36253" w:rsidRDefault="00E97756" w:rsidP="007B5F54">
            <w:r>
              <w:t xml:space="preserve">Smart Meters </w:t>
            </w:r>
            <w:r w:rsidR="00201B28">
              <w:t>enable</w:t>
            </w:r>
            <w:r>
              <w:t xml:space="preserve"> a range of demand side response models</w:t>
            </w:r>
            <w:r w:rsidR="00BE49B9">
              <w:t>, for example for consumer</w:t>
            </w:r>
            <w:r w:rsidR="00103DF7">
              <w:t>s</w:t>
            </w:r>
            <w:r w:rsidR="00BE49B9">
              <w:t xml:space="preserve"> to manage their load </w:t>
            </w:r>
            <w:r w:rsidR="00201B28">
              <w:t xml:space="preserve">themselves </w:t>
            </w:r>
            <w:r w:rsidR="00BE49B9">
              <w:t xml:space="preserve">in response to a price signal through a time of use tariff. </w:t>
            </w:r>
            <w:r w:rsidR="00054B22">
              <w:t xml:space="preserve">This project seeks to demonstrate load control initiated by the supplier. </w:t>
            </w:r>
            <w:r w:rsidR="00890447">
              <w:t>Current</w:t>
            </w:r>
            <w:r w:rsidR="00890447" w:rsidRPr="6FA43BBB">
              <w:t xml:space="preserve"> </w:t>
            </w:r>
            <w:r w:rsidR="001539D9">
              <w:t xml:space="preserve">commercial </w:t>
            </w:r>
            <w:r w:rsidR="00890447">
              <w:t xml:space="preserve">models for remote load control generally include some kind of </w:t>
            </w:r>
            <w:r w:rsidR="001539D9">
              <w:t>financial</w:t>
            </w:r>
            <w:r w:rsidR="001539D9" w:rsidRPr="6FA43BBB">
              <w:t xml:space="preserve"> </w:t>
            </w:r>
            <w:r w:rsidR="00890447">
              <w:t>incentive to the consumer</w:t>
            </w:r>
            <w:r w:rsidR="001D2D5E" w:rsidRPr="6FA43BBB">
              <w:t>,</w:t>
            </w:r>
            <w:r w:rsidR="00890447" w:rsidRPr="6FA43BBB">
              <w:t xml:space="preserve"> </w:t>
            </w:r>
            <w:r w:rsidR="001539D9">
              <w:t>such as an annual rebate</w:t>
            </w:r>
            <w:r w:rsidR="001D2D5E" w:rsidRPr="6FA43BBB">
              <w:t>,</w:t>
            </w:r>
            <w:r w:rsidR="001539D9">
              <w:t xml:space="preserve"> in return for provision of flexibility. </w:t>
            </w:r>
            <w:r w:rsidR="00C42167">
              <w:t>Bidders will need to consi</w:t>
            </w:r>
            <w:r w:rsidR="00EC1A37">
              <w:t xml:space="preserve">der how </w:t>
            </w:r>
            <w:r w:rsidR="00E83A07">
              <w:t>they can</w:t>
            </w:r>
            <w:r w:rsidR="00EC1A37">
              <w:t xml:space="preserve"> engage consumers in the trial</w:t>
            </w:r>
            <w:r w:rsidR="00784C66" w:rsidRPr="6FA43BBB">
              <w:t xml:space="preserve">, </w:t>
            </w:r>
            <w:r w:rsidR="008F3ED5">
              <w:t xml:space="preserve">the extent to which this will incur costs, and </w:t>
            </w:r>
            <w:r w:rsidR="00784C66">
              <w:t xml:space="preserve">how </w:t>
            </w:r>
            <w:r w:rsidR="008F3ED5">
              <w:t>these can be of</w:t>
            </w:r>
            <w:r w:rsidR="0068797B">
              <w:t>fs</w:t>
            </w:r>
            <w:r w:rsidR="008F3ED5">
              <w:t xml:space="preserve">et </w:t>
            </w:r>
            <w:r w:rsidR="00784C66">
              <w:t xml:space="preserve">by any commercial gains </w:t>
            </w:r>
            <w:r w:rsidR="0068797B">
              <w:t>from being able to control load</w:t>
            </w:r>
            <w:r w:rsidR="00EC1A37" w:rsidRPr="6FA43BBB">
              <w:t xml:space="preserve">. </w:t>
            </w:r>
            <w:r w:rsidR="4CB5C913" w:rsidRPr="4CB5C913">
              <w:t>Please also see Q1</w:t>
            </w:r>
            <w:r w:rsidR="002B5A0A">
              <w:t>8</w:t>
            </w:r>
            <w:r w:rsidR="4CB5C913" w:rsidRPr="4CB5C913">
              <w:t xml:space="preserve"> and related answer.</w:t>
            </w:r>
          </w:p>
        </w:tc>
      </w:tr>
      <w:tr w:rsidR="00F36253" w14:paraId="5D16ACBB" w14:textId="77777777" w:rsidTr="43C49729">
        <w:tc>
          <w:tcPr>
            <w:tcW w:w="6232" w:type="dxa"/>
          </w:tcPr>
          <w:p w14:paraId="5878C0CF" w14:textId="7C719142" w:rsidR="00F36253" w:rsidRDefault="00F0065F" w:rsidP="0057006C">
            <w:pPr>
              <w:pStyle w:val="ListParagraph"/>
              <w:numPr>
                <w:ilvl w:val="0"/>
                <w:numId w:val="3"/>
              </w:numPr>
            </w:pPr>
            <w:r>
              <w:t xml:space="preserve">What happens with revenues </w:t>
            </w:r>
            <w:r w:rsidR="005B7880">
              <w:t>associated with the</w:t>
            </w:r>
            <w:r w:rsidR="00A23E63">
              <w:t xml:space="preserve"> smart charging </w:t>
            </w:r>
            <w:r w:rsidR="005B7880">
              <w:t xml:space="preserve">(smart charging/ load control </w:t>
            </w:r>
            <w:r w:rsidR="00A23E63">
              <w:t>has</w:t>
            </w:r>
            <w:r w:rsidR="005B7880">
              <w:t xml:space="preserve"> a market</w:t>
            </w:r>
            <w:r w:rsidR="00A23E63">
              <w:t xml:space="preserve"> value</w:t>
            </w:r>
            <w:r w:rsidR="005B7880" w:rsidRPr="6FA43BBB">
              <w:t>)</w:t>
            </w:r>
            <w:r w:rsidR="00A23E63" w:rsidRPr="6FA43BBB">
              <w:t xml:space="preserve">? </w:t>
            </w:r>
          </w:p>
        </w:tc>
        <w:tc>
          <w:tcPr>
            <w:tcW w:w="7513" w:type="dxa"/>
          </w:tcPr>
          <w:p w14:paraId="2B89B5F8" w14:textId="45A7B739" w:rsidR="00F36253" w:rsidRDefault="006F33FC" w:rsidP="007B5F54">
            <w:r>
              <w:t>There is no intention for BEIS to seek to claim any such benefits</w:t>
            </w:r>
            <w:r w:rsidR="00E33117">
              <w:t xml:space="preserve"> from contractors</w:t>
            </w:r>
            <w:r>
              <w:t>, it will be up</w:t>
            </w:r>
            <w:r w:rsidR="00C14623">
              <w:t xml:space="preserve"> </w:t>
            </w:r>
            <w:r>
              <w:t xml:space="preserve">to the consortium to decide how these are used. </w:t>
            </w:r>
            <w:r w:rsidR="00C14623">
              <w:t xml:space="preserve">However as per response to </w:t>
            </w:r>
            <w:r w:rsidR="00A64BBA">
              <w:t>Q</w:t>
            </w:r>
            <w:r w:rsidR="00C14623">
              <w:t>2</w:t>
            </w:r>
            <w:r w:rsidR="003D2A8F">
              <w:t>0</w:t>
            </w:r>
            <w:r w:rsidR="00A64BBA">
              <w:t>,</w:t>
            </w:r>
            <w:r w:rsidR="00C14623">
              <w:t xml:space="preserve"> consortium will need to show how they are going to ensure engagement of consumers</w:t>
            </w:r>
            <w:r w:rsidR="00116787">
              <w:t>, which could include financial incentives</w:t>
            </w:r>
            <w:r w:rsidR="00C14623">
              <w:t xml:space="preserve">. </w:t>
            </w:r>
          </w:p>
        </w:tc>
      </w:tr>
      <w:tr w:rsidR="00F36253" w14:paraId="4D2D9AC6" w14:textId="77777777" w:rsidTr="43C49729">
        <w:tc>
          <w:tcPr>
            <w:tcW w:w="6232" w:type="dxa"/>
          </w:tcPr>
          <w:p w14:paraId="49ED6045" w14:textId="5EF49A05" w:rsidR="00F36253" w:rsidRDefault="00BA7CB5" w:rsidP="0057006C">
            <w:pPr>
              <w:pStyle w:val="ListParagraph"/>
              <w:numPr>
                <w:ilvl w:val="0"/>
                <w:numId w:val="3"/>
              </w:numPr>
            </w:pPr>
            <w:r>
              <w:t xml:space="preserve">Will there be </w:t>
            </w:r>
            <w:r w:rsidR="00A23E63">
              <w:t xml:space="preserve">one </w:t>
            </w:r>
            <w:r>
              <w:t xml:space="preserve">ITT </w:t>
            </w:r>
            <w:r w:rsidR="00A23E63">
              <w:t xml:space="preserve">or two ITTs </w:t>
            </w:r>
            <w:r>
              <w:t>(</w:t>
            </w:r>
            <w:r w:rsidR="00A23E63">
              <w:t>for</w:t>
            </w:r>
            <w:r>
              <w:t xml:space="preserve"> each of the phases -</w:t>
            </w:r>
            <w:r w:rsidR="00A23E63">
              <w:t xml:space="preserve"> feasibility </w:t>
            </w:r>
            <w:r>
              <w:t xml:space="preserve">study </w:t>
            </w:r>
            <w:r w:rsidR="00A23E63">
              <w:t xml:space="preserve">and </w:t>
            </w:r>
            <w:r>
              <w:t xml:space="preserve">actual project to </w:t>
            </w:r>
            <w:r w:rsidR="00A23E63">
              <w:t>design</w:t>
            </w:r>
            <w:r>
              <w:t xml:space="preserve">, </w:t>
            </w:r>
            <w:r w:rsidR="0005677F">
              <w:t>build, test and trail devices)</w:t>
            </w:r>
            <w:r w:rsidR="00A23E63">
              <w:t xml:space="preserve">? </w:t>
            </w:r>
          </w:p>
        </w:tc>
        <w:tc>
          <w:tcPr>
            <w:tcW w:w="7513" w:type="dxa"/>
          </w:tcPr>
          <w:p w14:paraId="329304D8" w14:textId="1F59D7CB" w:rsidR="00F36253" w:rsidRDefault="00BF3ECE" w:rsidP="007B5F54">
            <w:r>
              <w:t>There will be one</w:t>
            </w:r>
            <w:r w:rsidRPr="6EE85928">
              <w:t xml:space="preserve"> </w:t>
            </w:r>
            <w:r w:rsidR="0005677F">
              <w:t>ITT that</w:t>
            </w:r>
            <w:r w:rsidR="00A23E63">
              <w:t xml:space="preserve"> covers both phases</w:t>
            </w:r>
            <w:r>
              <w:t xml:space="preserve">, with a break clause at the end of </w:t>
            </w:r>
            <w:r w:rsidR="6FA43BBB">
              <w:t>Phas</w:t>
            </w:r>
            <w:r w:rsidR="6EE85928">
              <w:t>e 1,</w:t>
            </w:r>
            <w:r w:rsidR="6FA43BBB">
              <w:t xml:space="preserve"> </w:t>
            </w:r>
            <w:r w:rsidR="0054538E">
              <w:t xml:space="preserve">the </w:t>
            </w:r>
            <w:r>
              <w:t>feasibility</w:t>
            </w:r>
            <w:r w:rsidR="0054538E">
              <w:t xml:space="preserve"> stage</w:t>
            </w:r>
            <w:r w:rsidR="00A23E63" w:rsidRPr="6EE85928">
              <w:t xml:space="preserve">. </w:t>
            </w:r>
            <w:r>
              <w:t xml:space="preserve">This break clause </w:t>
            </w:r>
            <w:r w:rsidR="006C7ABE">
              <w:t xml:space="preserve">is expected to </w:t>
            </w:r>
            <w:r>
              <w:t xml:space="preserve">be </w:t>
            </w:r>
            <w:r w:rsidR="00705510">
              <w:t xml:space="preserve">used </w:t>
            </w:r>
            <w:r w:rsidR="00F22F01">
              <w:t>for up</w:t>
            </w:r>
            <w:r w:rsidR="005E05EA" w:rsidRPr="6EE85928">
              <w:t xml:space="preserve"> </w:t>
            </w:r>
            <w:r w:rsidR="00F22F01">
              <w:t xml:space="preserve">to 3 projects </w:t>
            </w:r>
            <w:r w:rsidR="00FE790C">
              <w:t xml:space="preserve">if 5 </w:t>
            </w:r>
            <w:r w:rsidR="003232E2">
              <w:t>feasibility</w:t>
            </w:r>
            <w:r w:rsidR="00FE790C">
              <w:t xml:space="preserve"> studies are commissioned. </w:t>
            </w:r>
          </w:p>
        </w:tc>
      </w:tr>
      <w:tr w:rsidR="00F36253" w14:paraId="3C0B01B2" w14:textId="77777777" w:rsidTr="43C49729">
        <w:tc>
          <w:tcPr>
            <w:tcW w:w="6232" w:type="dxa"/>
          </w:tcPr>
          <w:p w14:paraId="699782A2" w14:textId="785068F7" w:rsidR="00B5239D" w:rsidRPr="006B0ABD" w:rsidRDefault="00724FA5" w:rsidP="0057006C">
            <w:pPr>
              <w:pStyle w:val="ListParagraph"/>
              <w:numPr>
                <w:ilvl w:val="0"/>
                <w:numId w:val="3"/>
              </w:numPr>
            </w:pPr>
            <w:r>
              <w:t>What about impacts on the end load – for example</w:t>
            </w:r>
            <w:r w:rsidR="00763CD0">
              <w:t>,</w:t>
            </w:r>
            <w:r>
              <w:t xml:space="preserve"> on an EV</w:t>
            </w:r>
            <w:r w:rsidR="00973AC5">
              <w:t>?</w:t>
            </w:r>
            <w:r>
              <w:t xml:space="preserve"> </w:t>
            </w:r>
            <w:r w:rsidR="00973AC5">
              <w:t>T</w:t>
            </w:r>
            <w:r>
              <w:t xml:space="preserve">here is potential to override </w:t>
            </w:r>
            <w:r w:rsidR="00BB0B8E" w:rsidRPr="006B0ABD">
              <w:t xml:space="preserve">functionality </w:t>
            </w:r>
            <w:r w:rsidR="00ED2821">
              <w:t>built into the car</w:t>
            </w:r>
            <w:r w:rsidR="000546D4">
              <w:t xml:space="preserve"> by switching on and off, which could cause damage to the battery</w:t>
            </w:r>
            <w:r w:rsidR="00B179F0">
              <w:t>?</w:t>
            </w:r>
          </w:p>
        </w:tc>
        <w:tc>
          <w:tcPr>
            <w:tcW w:w="7513" w:type="dxa"/>
          </w:tcPr>
          <w:p w14:paraId="747B5F7C" w14:textId="1B4E69F7" w:rsidR="00F36253" w:rsidRDefault="003A4014" w:rsidP="007B5F54">
            <w:r>
              <w:t>T</w:t>
            </w:r>
            <w:r w:rsidR="00E06F4A">
              <w:t xml:space="preserve">his is a potential problem which already </w:t>
            </w:r>
            <w:proofErr w:type="gramStart"/>
            <w:r w:rsidR="00E06F4A">
              <w:t>exists</w:t>
            </w:r>
            <w:proofErr w:type="gramEnd"/>
            <w:r w:rsidR="00E06F4A">
              <w:t xml:space="preserve"> and the market is </w:t>
            </w:r>
            <w:r w:rsidR="00777049">
              <w:t>addressing</w:t>
            </w:r>
            <w:r w:rsidR="00A001CF">
              <w:t>.</w:t>
            </w:r>
            <w:r w:rsidR="005E05EA" w:rsidRPr="62D7BDD3">
              <w:t xml:space="preserve"> </w:t>
            </w:r>
            <w:r w:rsidR="300228B4">
              <w:t>We no</w:t>
            </w:r>
            <w:r w:rsidR="002B2727">
              <w:t>t</w:t>
            </w:r>
            <w:r w:rsidR="300228B4">
              <w:t xml:space="preserve">e again </w:t>
            </w:r>
            <w:r w:rsidR="3BB63854">
              <w:t>that</w:t>
            </w:r>
            <w:r w:rsidR="002B2727" w:rsidRPr="62D7BDD3">
              <w:t xml:space="preserve"> </w:t>
            </w:r>
            <w:r w:rsidR="0022266C">
              <w:t xml:space="preserve">HCALCS </w:t>
            </w:r>
            <w:r w:rsidR="007031F1">
              <w:t xml:space="preserve">control </w:t>
            </w:r>
            <w:r w:rsidR="2EA462F3">
              <w:t xml:space="preserve">functionality </w:t>
            </w:r>
            <w:r w:rsidR="00FD79CC">
              <w:t xml:space="preserve">can be </w:t>
            </w:r>
            <w:r w:rsidR="4FC49B33">
              <w:t>used to</w:t>
            </w:r>
            <w:r w:rsidR="0022266C">
              <w:t xml:space="preserve"> set </w:t>
            </w:r>
            <w:r w:rsidR="00155512">
              <w:t xml:space="preserve">any </w:t>
            </w:r>
            <w:r w:rsidR="008E7FB5">
              <w:t xml:space="preserve">two </w:t>
            </w:r>
            <w:r w:rsidR="0022266C">
              <w:t>charging levels</w:t>
            </w:r>
            <w:r w:rsidR="00B32152">
              <w:t xml:space="preserve"> </w:t>
            </w:r>
            <w:r w:rsidR="00B5239D" w:rsidRPr="006B0ABD">
              <w:t>e.g. 100</w:t>
            </w:r>
            <w:r w:rsidR="003422EB" w:rsidRPr="62D7BDD3">
              <w:t>%</w:t>
            </w:r>
            <w:r w:rsidR="00B5239D" w:rsidRPr="006B0ABD">
              <w:t xml:space="preserve"> and 75</w:t>
            </w:r>
            <w:r w:rsidR="00B5239D" w:rsidRPr="62D7BDD3">
              <w:t>%</w:t>
            </w:r>
            <w:r w:rsidR="00971ADA" w:rsidRPr="62D7BDD3">
              <w:t xml:space="preserve">, </w:t>
            </w:r>
            <w:r w:rsidR="4FC49B33">
              <w:t>rather</w:t>
            </w:r>
            <w:r w:rsidR="00971ADA" w:rsidRPr="62D7BDD3">
              <w:t xml:space="preserve"> </w:t>
            </w:r>
            <w:r w:rsidR="4FC49B33">
              <w:t xml:space="preserve">than </w:t>
            </w:r>
            <w:r w:rsidR="00971ADA">
              <w:t>100% and 0%</w:t>
            </w:r>
            <w:r w:rsidR="005622EC">
              <w:t xml:space="preserve">, which is </w:t>
            </w:r>
            <w:r w:rsidR="00F53CC1">
              <w:t>what</w:t>
            </w:r>
            <w:r w:rsidR="005622EC">
              <w:t xml:space="preserve"> we understand </w:t>
            </w:r>
            <w:r w:rsidR="006B70DF">
              <w:t xml:space="preserve">would </w:t>
            </w:r>
            <w:r w:rsidR="00BD264A">
              <w:t xml:space="preserve">cause </w:t>
            </w:r>
            <w:r w:rsidR="00EF6229">
              <w:t xml:space="preserve">problems for vehicles and </w:t>
            </w:r>
            <w:r w:rsidR="00BA2F78">
              <w:t>batteries</w:t>
            </w:r>
            <w:r w:rsidR="00CD688C">
              <w:t>.</w:t>
            </w:r>
            <w:r w:rsidR="009F0F26" w:rsidRPr="62D7BDD3">
              <w:t xml:space="preserve"> </w:t>
            </w:r>
          </w:p>
        </w:tc>
      </w:tr>
      <w:tr w:rsidR="00F36253" w14:paraId="3438B5ED" w14:textId="77777777" w:rsidTr="43C49729">
        <w:tc>
          <w:tcPr>
            <w:tcW w:w="6232" w:type="dxa"/>
          </w:tcPr>
          <w:p w14:paraId="3EBA9A57" w14:textId="1A18C8FB" w:rsidR="00F36253" w:rsidRDefault="00E203F6" w:rsidP="0057006C">
            <w:pPr>
              <w:pStyle w:val="ListParagraph"/>
              <w:numPr>
                <w:ilvl w:val="0"/>
                <w:numId w:val="3"/>
              </w:numPr>
            </w:pPr>
            <w:r>
              <w:t>What</w:t>
            </w:r>
            <w:r w:rsidR="00B5239D">
              <w:t xml:space="preserve"> are you </w:t>
            </w:r>
            <w:r>
              <w:t xml:space="preserve">specifically </w:t>
            </w:r>
            <w:r w:rsidR="00B5239D">
              <w:t xml:space="preserve">looking at </w:t>
            </w:r>
            <w:r>
              <w:t>to tr</w:t>
            </w:r>
            <w:r w:rsidR="57318F0B">
              <w:t>ia</w:t>
            </w:r>
            <w:r>
              <w:t>l</w:t>
            </w:r>
            <w:r w:rsidR="00B5239D" w:rsidRPr="57318F0B">
              <w:t xml:space="preserve">? </w:t>
            </w:r>
          </w:p>
        </w:tc>
        <w:tc>
          <w:tcPr>
            <w:tcW w:w="7513" w:type="dxa"/>
          </w:tcPr>
          <w:p w14:paraId="17BFCD6E" w14:textId="1F197C26" w:rsidR="00B5239D" w:rsidRDefault="00452BEB" w:rsidP="007B5F54">
            <w:r>
              <w:t xml:space="preserve">The project seeks to demonstrate the load control functionality of the smart meter system. </w:t>
            </w:r>
            <w:r w:rsidR="00E52B08">
              <w:t xml:space="preserve">Further </w:t>
            </w:r>
            <w:r w:rsidR="00A64C65">
              <w:t>detail</w:t>
            </w:r>
            <w:r w:rsidR="00E52B08">
              <w:t xml:space="preserve"> is in the ITT. </w:t>
            </w:r>
          </w:p>
        </w:tc>
      </w:tr>
      <w:tr w:rsidR="00F36253" w14:paraId="04D86A5D" w14:textId="77777777" w:rsidTr="43C49729">
        <w:tc>
          <w:tcPr>
            <w:tcW w:w="6232" w:type="dxa"/>
          </w:tcPr>
          <w:p w14:paraId="7EA80B14" w14:textId="7D8246A1" w:rsidR="00F36253" w:rsidRDefault="0035112B" w:rsidP="0057006C">
            <w:pPr>
              <w:pStyle w:val="ListParagraph"/>
              <w:numPr>
                <w:ilvl w:val="0"/>
                <w:numId w:val="3"/>
              </w:numPr>
            </w:pPr>
            <w:r>
              <w:t xml:space="preserve">Will </w:t>
            </w:r>
            <w:r w:rsidR="00B5239D">
              <w:t xml:space="preserve">CPA, </w:t>
            </w:r>
            <w:r>
              <w:t>Z</w:t>
            </w:r>
            <w:r w:rsidR="00B5239D">
              <w:t xml:space="preserve">igbee </w:t>
            </w:r>
            <w:r w:rsidR="00DF5960">
              <w:t>and similar standards</w:t>
            </w:r>
            <w:r>
              <w:t xml:space="preserve"> be mandatory?</w:t>
            </w:r>
          </w:p>
        </w:tc>
        <w:tc>
          <w:tcPr>
            <w:tcW w:w="7513" w:type="dxa"/>
          </w:tcPr>
          <w:p w14:paraId="3877E63B" w14:textId="34D70FBA" w:rsidR="00392A16" w:rsidRDefault="00AC7661" w:rsidP="007B5F54">
            <w:r>
              <w:t xml:space="preserve">Devices </w:t>
            </w:r>
            <w:r w:rsidR="00781CD3">
              <w:t xml:space="preserve">will need to comply </w:t>
            </w:r>
            <w:r w:rsidR="0039226B">
              <w:t>with the requirements for HCALC</w:t>
            </w:r>
            <w:r w:rsidR="00F47CB3">
              <w:t xml:space="preserve">S </w:t>
            </w:r>
            <w:r w:rsidR="00B16622">
              <w:t xml:space="preserve">defined in </w:t>
            </w:r>
            <w:hyperlink r:id="rId10" w:history="1">
              <w:r w:rsidR="00275787">
                <w:rPr>
                  <w:rStyle w:val="Hyperlink"/>
                </w:rPr>
                <w:t>SMETS</w:t>
              </w:r>
            </w:hyperlink>
            <w:r w:rsidR="00275787">
              <w:t xml:space="preserve"> </w:t>
            </w:r>
            <w:r w:rsidR="00B16622">
              <w:t xml:space="preserve"> </w:t>
            </w:r>
            <w:r w:rsidR="00F47CB3">
              <w:t xml:space="preserve">and </w:t>
            </w:r>
            <w:r w:rsidR="00B05A76">
              <w:t xml:space="preserve">so </w:t>
            </w:r>
            <w:r w:rsidR="00F47CB3">
              <w:t xml:space="preserve">will need to </w:t>
            </w:r>
            <w:r w:rsidR="00BC02FC">
              <w:t xml:space="preserve">show how they are going to </w:t>
            </w:r>
            <w:r w:rsidR="00531580">
              <w:t xml:space="preserve">pass </w:t>
            </w:r>
            <w:r w:rsidR="00103184">
              <w:t xml:space="preserve">CPA </w:t>
            </w:r>
            <w:r w:rsidR="00B05A76">
              <w:t>for HCALCS</w:t>
            </w:r>
            <w:r w:rsidR="00822CF0">
              <w:t xml:space="preserve">. </w:t>
            </w:r>
          </w:p>
          <w:p w14:paraId="54905994" w14:textId="6FE3EBDF" w:rsidR="00993324" w:rsidRDefault="00E8043B" w:rsidP="007B5F54">
            <w:r>
              <w:lastRenderedPageBreak/>
              <w:t>R</w:t>
            </w:r>
            <w:r w:rsidR="00392A16">
              <w:t>elevant standards (e.g. such as MID for measuring instruments etc.) need to be met.</w:t>
            </w:r>
          </w:p>
          <w:p w14:paraId="0FBDF122" w14:textId="20E1E7D1" w:rsidR="00F36253" w:rsidRDefault="00F36253" w:rsidP="007B5F54"/>
        </w:tc>
      </w:tr>
      <w:tr w:rsidR="00F36253" w14:paraId="66993B97" w14:textId="77777777" w:rsidTr="43C49729">
        <w:tc>
          <w:tcPr>
            <w:tcW w:w="6232" w:type="dxa"/>
          </w:tcPr>
          <w:p w14:paraId="040DCA2D" w14:textId="1910D9D2" w:rsidR="00F36253" w:rsidRDefault="007B5F54" w:rsidP="0057006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Will </w:t>
            </w:r>
            <w:r w:rsidR="00405CFA">
              <w:t>scoring criteria be made available?</w:t>
            </w:r>
          </w:p>
        </w:tc>
        <w:tc>
          <w:tcPr>
            <w:tcW w:w="7513" w:type="dxa"/>
          </w:tcPr>
          <w:p w14:paraId="2011D15A" w14:textId="17616BEE" w:rsidR="00F36253" w:rsidRDefault="007B5F54" w:rsidP="007B5F54">
            <w:r>
              <w:t xml:space="preserve">Yes, </w:t>
            </w:r>
            <w:r w:rsidR="00B223BD">
              <w:t xml:space="preserve">this will be made available </w:t>
            </w:r>
            <w:r>
              <w:t>as a part of ITT</w:t>
            </w:r>
            <w:r w:rsidR="00405CFA">
              <w:t xml:space="preserve">. </w:t>
            </w:r>
          </w:p>
        </w:tc>
      </w:tr>
    </w:tbl>
    <w:p w14:paraId="567CEFC2" w14:textId="7632C0A6" w:rsidR="00E67809" w:rsidRDefault="00E67809"/>
    <w:sectPr w:rsidR="00E67809" w:rsidSect="000F1B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04B9F"/>
    <w:multiLevelType w:val="hybridMultilevel"/>
    <w:tmpl w:val="BF06E7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AC7979"/>
    <w:multiLevelType w:val="hybridMultilevel"/>
    <w:tmpl w:val="4516B2AC"/>
    <w:lvl w:ilvl="0" w:tplc="A81E34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D30CF"/>
    <w:multiLevelType w:val="hybridMultilevel"/>
    <w:tmpl w:val="3DEAC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25"/>
    <w:rsid w:val="0000005D"/>
    <w:rsid w:val="00002AA0"/>
    <w:rsid w:val="00005479"/>
    <w:rsid w:val="00011508"/>
    <w:rsid w:val="00012C56"/>
    <w:rsid w:val="00014C9D"/>
    <w:rsid w:val="0002320D"/>
    <w:rsid w:val="00025E5A"/>
    <w:rsid w:val="00025F4A"/>
    <w:rsid w:val="000268FE"/>
    <w:rsid w:val="00030911"/>
    <w:rsid w:val="0003193F"/>
    <w:rsid w:val="00032639"/>
    <w:rsid w:val="00035346"/>
    <w:rsid w:val="00035CA4"/>
    <w:rsid w:val="00036010"/>
    <w:rsid w:val="0003720D"/>
    <w:rsid w:val="00046608"/>
    <w:rsid w:val="000504D3"/>
    <w:rsid w:val="00052C20"/>
    <w:rsid w:val="000546D4"/>
    <w:rsid w:val="00054B22"/>
    <w:rsid w:val="0005677F"/>
    <w:rsid w:val="000572B1"/>
    <w:rsid w:val="000606ED"/>
    <w:rsid w:val="00060C80"/>
    <w:rsid w:val="00060FFF"/>
    <w:rsid w:val="00065054"/>
    <w:rsid w:val="00073462"/>
    <w:rsid w:val="00094B40"/>
    <w:rsid w:val="000A3B55"/>
    <w:rsid w:val="000B2915"/>
    <w:rsid w:val="000C26AE"/>
    <w:rsid w:val="000C2F73"/>
    <w:rsid w:val="000C60E1"/>
    <w:rsid w:val="000C6729"/>
    <w:rsid w:val="000D5D5C"/>
    <w:rsid w:val="000E5194"/>
    <w:rsid w:val="000E51DB"/>
    <w:rsid w:val="000E692A"/>
    <w:rsid w:val="000E735E"/>
    <w:rsid w:val="000E7692"/>
    <w:rsid w:val="000F1BBD"/>
    <w:rsid w:val="000F5B44"/>
    <w:rsid w:val="00101C27"/>
    <w:rsid w:val="00103184"/>
    <w:rsid w:val="0010382E"/>
    <w:rsid w:val="001038FA"/>
    <w:rsid w:val="00103DF7"/>
    <w:rsid w:val="0011006D"/>
    <w:rsid w:val="00110D4C"/>
    <w:rsid w:val="0011591B"/>
    <w:rsid w:val="00116787"/>
    <w:rsid w:val="00117D8E"/>
    <w:rsid w:val="001234AE"/>
    <w:rsid w:val="00123F09"/>
    <w:rsid w:val="00124FE6"/>
    <w:rsid w:val="001267ED"/>
    <w:rsid w:val="00131CC9"/>
    <w:rsid w:val="00133AAA"/>
    <w:rsid w:val="00133BDE"/>
    <w:rsid w:val="00136ACA"/>
    <w:rsid w:val="0014619F"/>
    <w:rsid w:val="001461F4"/>
    <w:rsid w:val="0014694A"/>
    <w:rsid w:val="001502CC"/>
    <w:rsid w:val="001539D9"/>
    <w:rsid w:val="00153CFC"/>
    <w:rsid w:val="00155512"/>
    <w:rsid w:val="00156574"/>
    <w:rsid w:val="001658C8"/>
    <w:rsid w:val="00165FE8"/>
    <w:rsid w:val="00170C6D"/>
    <w:rsid w:val="0017285F"/>
    <w:rsid w:val="00175F81"/>
    <w:rsid w:val="0017649E"/>
    <w:rsid w:val="00176E8E"/>
    <w:rsid w:val="001832C7"/>
    <w:rsid w:val="00191249"/>
    <w:rsid w:val="00194AA1"/>
    <w:rsid w:val="0019654E"/>
    <w:rsid w:val="001A0BC7"/>
    <w:rsid w:val="001A1CB6"/>
    <w:rsid w:val="001A63F1"/>
    <w:rsid w:val="001B4FFD"/>
    <w:rsid w:val="001B72E5"/>
    <w:rsid w:val="001C1439"/>
    <w:rsid w:val="001C1DEE"/>
    <w:rsid w:val="001C4930"/>
    <w:rsid w:val="001C7098"/>
    <w:rsid w:val="001D2D5E"/>
    <w:rsid w:val="001D64C0"/>
    <w:rsid w:val="001D6969"/>
    <w:rsid w:val="001E3F14"/>
    <w:rsid w:val="001E5374"/>
    <w:rsid w:val="0020002A"/>
    <w:rsid w:val="002000E2"/>
    <w:rsid w:val="00201B28"/>
    <w:rsid w:val="002022F8"/>
    <w:rsid w:val="00203914"/>
    <w:rsid w:val="00204B2C"/>
    <w:rsid w:val="002052E1"/>
    <w:rsid w:val="00212004"/>
    <w:rsid w:val="002150C1"/>
    <w:rsid w:val="0022266C"/>
    <w:rsid w:val="002321EA"/>
    <w:rsid w:val="00235F6F"/>
    <w:rsid w:val="00236F3F"/>
    <w:rsid w:val="00240554"/>
    <w:rsid w:val="0024234B"/>
    <w:rsid w:val="0024336E"/>
    <w:rsid w:val="00245989"/>
    <w:rsid w:val="00257510"/>
    <w:rsid w:val="002578B4"/>
    <w:rsid w:val="00263806"/>
    <w:rsid w:val="00264468"/>
    <w:rsid w:val="002676EF"/>
    <w:rsid w:val="0027405E"/>
    <w:rsid w:val="00275787"/>
    <w:rsid w:val="002757EF"/>
    <w:rsid w:val="00275E2C"/>
    <w:rsid w:val="00284051"/>
    <w:rsid w:val="00286FD8"/>
    <w:rsid w:val="00287F0A"/>
    <w:rsid w:val="0029138E"/>
    <w:rsid w:val="00295EA6"/>
    <w:rsid w:val="002974F3"/>
    <w:rsid w:val="002B2727"/>
    <w:rsid w:val="002B2798"/>
    <w:rsid w:val="002B3C64"/>
    <w:rsid w:val="002B5A0A"/>
    <w:rsid w:val="002B6860"/>
    <w:rsid w:val="002B6BED"/>
    <w:rsid w:val="002D44E4"/>
    <w:rsid w:val="002D467B"/>
    <w:rsid w:val="002E2850"/>
    <w:rsid w:val="002E41E7"/>
    <w:rsid w:val="002E6C16"/>
    <w:rsid w:val="002F3231"/>
    <w:rsid w:val="002F520B"/>
    <w:rsid w:val="0030205D"/>
    <w:rsid w:val="00302878"/>
    <w:rsid w:val="00305204"/>
    <w:rsid w:val="00311610"/>
    <w:rsid w:val="00313922"/>
    <w:rsid w:val="00314926"/>
    <w:rsid w:val="003149D4"/>
    <w:rsid w:val="003206D8"/>
    <w:rsid w:val="00321780"/>
    <w:rsid w:val="003228A9"/>
    <w:rsid w:val="003232E2"/>
    <w:rsid w:val="00330A1A"/>
    <w:rsid w:val="0033299F"/>
    <w:rsid w:val="00335B8C"/>
    <w:rsid w:val="003422EB"/>
    <w:rsid w:val="003427CC"/>
    <w:rsid w:val="003439D3"/>
    <w:rsid w:val="0035112B"/>
    <w:rsid w:val="00351473"/>
    <w:rsid w:val="00352231"/>
    <w:rsid w:val="00352AB6"/>
    <w:rsid w:val="003531AB"/>
    <w:rsid w:val="00355567"/>
    <w:rsid w:val="00355D10"/>
    <w:rsid w:val="00356641"/>
    <w:rsid w:val="00362298"/>
    <w:rsid w:val="003708EE"/>
    <w:rsid w:val="00382B0F"/>
    <w:rsid w:val="00387943"/>
    <w:rsid w:val="003904F7"/>
    <w:rsid w:val="00390B5A"/>
    <w:rsid w:val="00391609"/>
    <w:rsid w:val="0039216B"/>
    <w:rsid w:val="0039226B"/>
    <w:rsid w:val="00392A16"/>
    <w:rsid w:val="003936F2"/>
    <w:rsid w:val="00394063"/>
    <w:rsid w:val="00394687"/>
    <w:rsid w:val="00394E85"/>
    <w:rsid w:val="003A1C73"/>
    <w:rsid w:val="003A4014"/>
    <w:rsid w:val="003A657F"/>
    <w:rsid w:val="003B207E"/>
    <w:rsid w:val="003B2610"/>
    <w:rsid w:val="003B381D"/>
    <w:rsid w:val="003D13C5"/>
    <w:rsid w:val="003D2A8F"/>
    <w:rsid w:val="003D6C0F"/>
    <w:rsid w:val="003D7BF7"/>
    <w:rsid w:val="003E3B22"/>
    <w:rsid w:val="003E3BB8"/>
    <w:rsid w:val="003E4E07"/>
    <w:rsid w:val="003E553E"/>
    <w:rsid w:val="003F1D4E"/>
    <w:rsid w:val="003F695D"/>
    <w:rsid w:val="00400C3E"/>
    <w:rsid w:val="00403512"/>
    <w:rsid w:val="004035E9"/>
    <w:rsid w:val="00405CFA"/>
    <w:rsid w:val="0040778C"/>
    <w:rsid w:val="0041202E"/>
    <w:rsid w:val="00422F07"/>
    <w:rsid w:val="00424E3A"/>
    <w:rsid w:val="00433689"/>
    <w:rsid w:val="00435258"/>
    <w:rsid w:val="004369A0"/>
    <w:rsid w:val="00437949"/>
    <w:rsid w:val="004400FA"/>
    <w:rsid w:val="00441598"/>
    <w:rsid w:val="00452BEB"/>
    <w:rsid w:val="00453F81"/>
    <w:rsid w:val="0046112C"/>
    <w:rsid w:val="00464379"/>
    <w:rsid w:val="00465430"/>
    <w:rsid w:val="00470C90"/>
    <w:rsid w:val="00473F3B"/>
    <w:rsid w:val="004774D6"/>
    <w:rsid w:val="00477F57"/>
    <w:rsid w:val="00487A5C"/>
    <w:rsid w:val="00491F52"/>
    <w:rsid w:val="0049354C"/>
    <w:rsid w:val="0049379A"/>
    <w:rsid w:val="00495885"/>
    <w:rsid w:val="004A2F21"/>
    <w:rsid w:val="004B059E"/>
    <w:rsid w:val="004B071C"/>
    <w:rsid w:val="004B29ED"/>
    <w:rsid w:val="004B6806"/>
    <w:rsid w:val="004B78F7"/>
    <w:rsid w:val="004C09D1"/>
    <w:rsid w:val="004C0D50"/>
    <w:rsid w:val="004C104B"/>
    <w:rsid w:val="004C6055"/>
    <w:rsid w:val="004D075B"/>
    <w:rsid w:val="004D27BA"/>
    <w:rsid w:val="004D438D"/>
    <w:rsid w:val="004D7CF4"/>
    <w:rsid w:val="004F0B1B"/>
    <w:rsid w:val="004F17A1"/>
    <w:rsid w:val="004F31E6"/>
    <w:rsid w:val="004F3740"/>
    <w:rsid w:val="004F3E2E"/>
    <w:rsid w:val="004F44C9"/>
    <w:rsid w:val="004F4E48"/>
    <w:rsid w:val="004F5EB5"/>
    <w:rsid w:val="005019E8"/>
    <w:rsid w:val="0050676F"/>
    <w:rsid w:val="005079E2"/>
    <w:rsid w:val="00507C15"/>
    <w:rsid w:val="00514F32"/>
    <w:rsid w:val="00524AEC"/>
    <w:rsid w:val="00524F26"/>
    <w:rsid w:val="0052794E"/>
    <w:rsid w:val="00531580"/>
    <w:rsid w:val="005335A7"/>
    <w:rsid w:val="005354D3"/>
    <w:rsid w:val="00537451"/>
    <w:rsid w:val="0053750F"/>
    <w:rsid w:val="00542D82"/>
    <w:rsid w:val="00544036"/>
    <w:rsid w:val="00544647"/>
    <w:rsid w:val="0054538E"/>
    <w:rsid w:val="00551752"/>
    <w:rsid w:val="00556577"/>
    <w:rsid w:val="005622EC"/>
    <w:rsid w:val="00562EA5"/>
    <w:rsid w:val="0057006C"/>
    <w:rsid w:val="0057115F"/>
    <w:rsid w:val="00571D0B"/>
    <w:rsid w:val="005825C3"/>
    <w:rsid w:val="005865A5"/>
    <w:rsid w:val="005917DC"/>
    <w:rsid w:val="00592FE9"/>
    <w:rsid w:val="0059699F"/>
    <w:rsid w:val="005A031C"/>
    <w:rsid w:val="005A4369"/>
    <w:rsid w:val="005A5657"/>
    <w:rsid w:val="005A68F9"/>
    <w:rsid w:val="005B39CC"/>
    <w:rsid w:val="005B4D38"/>
    <w:rsid w:val="005B5742"/>
    <w:rsid w:val="005B7880"/>
    <w:rsid w:val="005D02FF"/>
    <w:rsid w:val="005D1E0F"/>
    <w:rsid w:val="005D27A4"/>
    <w:rsid w:val="005D3D33"/>
    <w:rsid w:val="005D4D49"/>
    <w:rsid w:val="005D7153"/>
    <w:rsid w:val="005E05EA"/>
    <w:rsid w:val="005E2AC1"/>
    <w:rsid w:val="005E65E0"/>
    <w:rsid w:val="005F0F87"/>
    <w:rsid w:val="005F264A"/>
    <w:rsid w:val="005F6845"/>
    <w:rsid w:val="0060170F"/>
    <w:rsid w:val="006041B4"/>
    <w:rsid w:val="006042F8"/>
    <w:rsid w:val="00605FA0"/>
    <w:rsid w:val="00607734"/>
    <w:rsid w:val="006077E1"/>
    <w:rsid w:val="00615A8A"/>
    <w:rsid w:val="00615D37"/>
    <w:rsid w:val="006204C1"/>
    <w:rsid w:val="00624CF2"/>
    <w:rsid w:val="00627D87"/>
    <w:rsid w:val="00631808"/>
    <w:rsid w:val="00636501"/>
    <w:rsid w:val="006367D8"/>
    <w:rsid w:val="006410BE"/>
    <w:rsid w:val="006426A9"/>
    <w:rsid w:val="006440FD"/>
    <w:rsid w:val="00647054"/>
    <w:rsid w:val="00655FB4"/>
    <w:rsid w:val="006603DD"/>
    <w:rsid w:val="00672A9E"/>
    <w:rsid w:val="00673338"/>
    <w:rsid w:val="0067494E"/>
    <w:rsid w:val="0068143C"/>
    <w:rsid w:val="006819E7"/>
    <w:rsid w:val="006821E4"/>
    <w:rsid w:val="0068438E"/>
    <w:rsid w:val="00686955"/>
    <w:rsid w:val="00686DBC"/>
    <w:rsid w:val="006877EB"/>
    <w:rsid w:val="0068797B"/>
    <w:rsid w:val="00694589"/>
    <w:rsid w:val="006964FB"/>
    <w:rsid w:val="006A3451"/>
    <w:rsid w:val="006A7313"/>
    <w:rsid w:val="006B0ABD"/>
    <w:rsid w:val="006B1A60"/>
    <w:rsid w:val="006B494D"/>
    <w:rsid w:val="006B70DF"/>
    <w:rsid w:val="006C3E58"/>
    <w:rsid w:val="006C7036"/>
    <w:rsid w:val="006C7ABE"/>
    <w:rsid w:val="006D2D9B"/>
    <w:rsid w:val="006D3B04"/>
    <w:rsid w:val="006D3B9A"/>
    <w:rsid w:val="006D4B73"/>
    <w:rsid w:val="006E184D"/>
    <w:rsid w:val="006E215E"/>
    <w:rsid w:val="006E266C"/>
    <w:rsid w:val="006E7145"/>
    <w:rsid w:val="006F1816"/>
    <w:rsid w:val="006F33FC"/>
    <w:rsid w:val="006F44AD"/>
    <w:rsid w:val="006F7105"/>
    <w:rsid w:val="007002A9"/>
    <w:rsid w:val="007007A8"/>
    <w:rsid w:val="00700811"/>
    <w:rsid w:val="007031F1"/>
    <w:rsid w:val="00705510"/>
    <w:rsid w:val="00706729"/>
    <w:rsid w:val="007103F6"/>
    <w:rsid w:val="007120EA"/>
    <w:rsid w:val="00713883"/>
    <w:rsid w:val="00714680"/>
    <w:rsid w:val="00721D90"/>
    <w:rsid w:val="00723C0D"/>
    <w:rsid w:val="00724FA5"/>
    <w:rsid w:val="007313B9"/>
    <w:rsid w:val="00731D1A"/>
    <w:rsid w:val="007352B3"/>
    <w:rsid w:val="00736724"/>
    <w:rsid w:val="00736D16"/>
    <w:rsid w:val="00736DC7"/>
    <w:rsid w:val="0074392A"/>
    <w:rsid w:val="00744F55"/>
    <w:rsid w:val="00745EFE"/>
    <w:rsid w:val="00747E94"/>
    <w:rsid w:val="0075111D"/>
    <w:rsid w:val="00762434"/>
    <w:rsid w:val="007629BF"/>
    <w:rsid w:val="00763CD0"/>
    <w:rsid w:val="00763DFC"/>
    <w:rsid w:val="00765AAC"/>
    <w:rsid w:val="00766E34"/>
    <w:rsid w:val="00767710"/>
    <w:rsid w:val="00770178"/>
    <w:rsid w:val="0077031B"/>
    <w:rsid w:val="00770FE0"/>
    <w:rsid w:val="00772594"/>
    <w:rsid w:val="00773DE6"/>
    <w:rsid w:val="007766EC"/>
    <w:rsid w:val="00777049"/>
    <w:rsid w:val="0078046F"/>
    <w:rsid w:val="00781CD3"/>
    <w:rsid w:val="00782007"/>
    <w:rsid w:val="00784C66"/>
    <w:rsid w:val="00785025"/>
    <w:rsid w:val="007866E6"/>
    <w:rsid w:val="00786FE8"/>
    <w:rsid w:val="007932EE"/>
    <w:rsid w:val="00794EA9"/>
    <w:rsid w:val="00795244"/>
    <w:rsid w:val="00797D7F"/>
    <w:rsid w:val="007A2169"/>
    <w:rsid w:val="007B1BBD"/>
    <w:rsid w:val="007B2D58"/>
    <w:rsid w:val="007B5CEF"/>
    <w:rsid w:val="007B5F54"/>
    <w:rsid w:val="007E50BD"/>
    <w:rsid w:val="007F13D2"/>
    <w:rsid w:val="007F1F00"/>
    <w:rsid w:val="007F5C6A"/>
    <w:rsid w:val="007F7425"/>
    <w:rsid w:val="0080726B"/>
    <w:rsid w:val="00810648"/>
    <w:rsid w:val="00810AF2"/>
    <w:rsid w:val="00810C12"/>
    <w:rsid w:val="008141F4"/>
    <w:rsid w:val="00822CF0"/>
    <w:rsid w:val="00822DF4"/>
    <w:rsid w:val="008235AA"/>
    <w:rsid w:val="008250C8"/>
    <w:rsid w:val="00835109"/>
    <w:rsid w:val="00843CBF"/>
    <w:rsid w:val="00843E0F"/>
    <w:rsid w:val="0085110E"/>
    <w:rsid w:val="00852B67"/>
    <w:rsid w:val="00852D9B"/>
    <w:rsid w:val="0085311E"/>
    <w:rsid w:val="008534D9"/>
    <w:rsid w:val="00854002"/>
    <w:rsid w:val="00854897"/>
    <w:rsid w:val="0085702B"/>
    <w:rsid w:val="008600A3"/>
    <w:rsid w:val="00860D73"/>
    <w:rsid w:val="00861175"/>
    <w:rsid w:val="00861448"/>
    <w:rsid w:val="008658C0"/>
    <w:rsid w:val="00866ADA"/>
    <w:rsid w:val="0087189D"/>
    <w:rsid w:val="00874E8C"/>
    <w:rsid w:val="00877581"/>
    <w:rsid w:val="0087762E"/>
    <w:rsid w:val="00877680"/>
    <w:rsid w:val="00880572"/>
    <w:rsid w:val="00884D6F"/>
    <w:rsid w:val="00886403"/>
    <w:rsid w:val="00887DE7"/>
    <w:rsid w:val="00890447"/>
    <w:rsid w:val="00891151"/>
    <w:rsid w:val="00896D68"/>
    <w:rsid w:val="0089702D"/>
    <w:rsid w:val="008A2017"/>
    <w:rsid w:val="008A3F47"/>
    <w:rsid w:val="008A4D7B"/>
    <w:rsid w:val="008B0473"/>
    <w:rsid w:val="008B359F"/>
    <w:rsid w:val="008C013F"/>
    <w:rsid w:val="008C05C0"/>
    <w:rsid w:val="008C4ED6"/>
    <w:rsid w:val="008C50DB"/>
    <w:rsid w:val="008C5825"/>
    <w:rsid w:val="008E5040"/>
    <w:rsid w:val="008E527A"/>
    <w:rsid w:val="008E67CD"/>
    <w:rsid w:val="008E69E4"/>
    <w:rsid w:val="008E7FB5"/>
    <w:rsid w:val="008F3ED5"/>
    <w:rsid w:val="008F4C4D"/>
    <w:rsid w:val="009042C7"/>
    <w:rsid w:val="00906DE1"/>
    <w:rsid w:val="00906DFF"/>
    <w:rsid w:val="0091337B"/>
    <w:rsid w:val="0091786B"/>
    <w:rsid w:val="009178DD"/>
    <w:rsid w:val="009208D5"/>
    <w:rsid w:val="00926859"/>
    <w:rsid w:val="00931DD7"/>
    <w:rsid w:val="00932768"/>
    <w:rsid w:val="009417D1"/>
    <w:rsid w:val="009500A8"/>
    <w:rsid w:val="009560D2"/>
    <w:rsid w:val="00961A80"/>
    <w:rsid w:val="00965944"/>
    <w:rsid w:val="00971ADA"/>
    <w:rsid w:val="0097266A"/>
    <w:rsid w:val="00973AC5"/>
    <w:rsid w:val="00973D3D"/>
    <w:rsid w:val="009765AD"/>
    <w:rsid w:val="00984AE8"/>
    <w:rsid w:val="009879BC"/>
    <w:rsid w:val="00991200"/>
    <w:rsid w:val="00991993"/>
    <w:rsid w:val="00992AC9"/>
    <w:rsid w:val="00993093"/>
    <w:rsid w:val="00993324"/>
    <w:rsid w:val="00994939"/>
    <w:rsid w:val="00995D02"/>
    <w:rsid w:val="009C1A43"/>
    <w:rsid w:val="009C3BFD"/>
    <w:rsid w:val="009C47BE"/>
    <w:rsid w:val="009C7672"/>
    <w:rsid w:val="009D1F97"/>
    <w:rsid w:val="009D228C"/>
    <w:rsid w:val="009D624B"/>
    <w:rsid w:val="009D7047"/>
    <w:rsid w:val="009D78E9"/>
    <w:rsid w:val="009F0F26"/>
    <w:rsid w:val="009F102A"/>
    <w:rsid w:val="009F1DD1"/>
    <w:rsid w:val="009F2250"/>
    <w:rsid w:val="009F40ED"/>
    <w:rsid w:val="009F65F9"/>
    <w:rsid w:val="00A001CF"/>
    <w:rsid w:val="00A10A97"/>
    <w:rsid w:val="00A10F58"/>
    <w:rsid w:val="00A11C51"/>
    <w:rsid w:val="00A13CB5"/>
    <w:rsid w:val="00A23E63"/>
    <w:rsid w:val="00A2481D"/>
    <w:rsid w:val="00A24A27"/>
    <w:rsid w:val="00A25DF8"/>
    <w:rsid w:val="00A41592"/>
    <w:rsid w:val="00A4362F"/>
    <w:rsid w:val="00A452B9"/>
    <w:rsid w:val="00A520E2"/>
    <w:rsid w:val="00A548C7"/>
    <w:rsid w:val="00A55AE0"/>
    <w:rsid w:val="00A55F26"/>
    <w:rsid w:val="00A5647C"/>
    <w:rsid w:val="00A612BD"/>
    <w:rsid w:val="00A62549"/>
    <w:rsid w:val="00A64BBA"/>
    <w:rsid w:val="00A64C65"/>
    <w:rsid w:val="00A65DDA"/>
    <w:rsid w:val="00A7492D"/>
    <w:rsid w:val="00A77819"/>
    <w:rsid w:val="00A82143"/>
    <w:rsid w:val="00A845FC"/>
    <w:rsid w:val="00A847CD"/>
    <w:rsid w:val="00A85388"/>
    <w:rsid w:val="00A95C75"/>
    <w:rsid w:val="00AA3D03"/>
    <w:rsid w:val="00AA4C20"/>
    <w:rsid w:val="00AA73EE"/>
    <w:rsid w:val="00AB1A91"/>
    <w:rsid w:val="00AB4311"/>
    <w:rsid w:val="00AB69BB"/>
    <w:rsid w:val="00AB7782"/>
    <w:rsid w:val="00AC0F83"/>
    <w:rsid w:val="00AC64C0"/>
    <w:rsid w:val="00AC7661"/>
    <w:rsid w:val="00AD446D"/>
    <w:rsid w:val="00AD61BE"/>
    <w:rsid w:val="00AD6CF0"/>
    <w:rsid w:val="00AD73DB"/>
    <w:rsid w:val="00AE0FB2"/>
    <w:rsid w:val="00AE7206"/>
    <w:rsid w:val="00AE762A"/>
    <w:rsid w:val="00AF1470"/>
    <w:rsid w:val="00AF33CA"/>
    <w:rsid w:val="00AF66F4"/>
    <w:rsid w:val="00B02CCF"/>
    <w:rsid w:val="00B05A76"/>
    <w:rsid w:val="00B06DAE"/>
    <w:rsid w:val="00B10E1C"/>
    <w:rsid w:val="00B1329C"/>
    <w:rsid w:val="00B15410"/>
    <w:rsid w:val="00B16622"/>
    <w:rsid w:val="00B179F0"/>
    <w:rsid w:val="00B20008"/>
    <w:rsid w:val="00B223BD"/>
    <w:rsid w:val="00B22A11"/>
    <w:rsid w:val="00B23C89"/>
    <w:rsid w:val="00B25E62"/>
    <w:rsid w:val="00B31CA6"/>
    <w:rsid w:val="00B32152"/>
    <w:rsid w:val="00B3595F"/>
    <w:rsid w:val="00B42835"/>
    <w:rsid w:val="00B508CF"/>
    <w:rsid w:val="00B5239D"/>
    <w:rsid w:val="00B52947"/>
    <w:rsid w:val="00B5429D"/>
    <w:rsid w:val="00B547FB"/>
    <w:rsid w:val="00B66809"/>
    <w:rsid w:val="00B704E0"/>
    <w:rsid w:val="00B75845"/>
    <w:rsid w:val="00B825D1"/>
    <w:rsid w:val="00B84ADC"/>
    <w:rsid w:val="00B85166"/>
    <w:rsid w:val="00B860A6"/>
    <w:rsid w:val="00B9156A"/>
    <w:rsid w:val="00B91B6E"/>
    <w:rsid w:val="00B91F43"/>
    <w:rsid w:val="00B9217E"/>
    <w:rsid w:val="00B945B5"/>
    <w:rsid w:val="00B959D6"/>
    <w:rsid w:val="00B95AAD"/>
    <w:rsid w:val="00B97ED2"/>
    <w:rsid w:val="00BA2F78"/>
    <w:rsid w:val="00BA7CB5"/>
    <w:rsid w:val="00BB0B8E"/>
    <w:rsid w:val="00BB1068"/>
    <w:rsid w:val="00BB19B3"/>
    <w:rsid w:val="00BB4002"/>
    <w:rsid w:val="00BB773B"/>
    <w:rsid w:val="00BC02FC"/>
    <w:rsid w:val="00BC1D0D"/>
    <w:rsid w:val="00BC4D76"/>
    <w:rsid w:val="00BC5AD7"/>
    <w:rsid w:val="00BC5C04"/>
    <w:rsid w:val="00BD0D83"/>
    <w:rsid w:val="00BD2435"/>
    <w:rsid w:val="00BD264A"/>
    <w:rsid w:val="00BD28C7"/>
    <w:rsid w:val="00BD3EEC"/>
    <w:rsid w:val="00BD46CC"/>
    <w:rsid w:val="00BD4E11"/>
    <w:rsid w:val="00BD65E1"/>
    <w:rsid w:val="00BD70CA"/>
    <w:rsid w:val="00BE49B9"/>
    <w:rsid w:val="00BE6519"/>
    <w:rsid w:val="00BF062B"/>
    <w:rsid w:val="00BF086C"/>
    <w:rsid w:val="00BF142F"/>
    <w:rsid w:val="00BF3ECE"/>
    <w:rsid w:val="00C00DD4"/>
    <w:rsid w:val="00C06643"/>
    <w:rsid w:val="00C07C76"/>
    <w:rsid w:val="00C1062C"/>
    <w:rsid w:val="00C11912"/>
    <w:rsid w:val="00C14623"/>
    <w:rsid w:val="00C14C52"/>
    <w:rsid w:val="00C14C60"/>
    <w:rsid w:val="00C22DA3"/>
    <w:rsid w:val="00C31236"/>
    <w:rsid w:val="00C32143"/>
    <w:rsid w:val="00C402C5"/>
    <w:rsid w:val="00C404E2"/>
    <w:rsid w:val="00C42167"/>
    <w:rsid w:val="00C43C71"/>
    <w:rsid w:val="00C44185"/>
    <w:rsid w:val="00C4630C"/>
    <w:rsid w:val="00C469F5"/>
    <w:rsid w:val="00C52E5B"/>
    <w:rsid w:val="00C61D11"/>
    <w:rsid w:val="00C76C91"/>
    <w:rsid w:val="00C7776B"/>
    <w:rsid w:val="00C83433"/>
    <w:rsid w:val="00C90696"/>
    <w:rsid w:val="00C91653"/>
    <w:rsid w:val="00CA0AB1"/>
    <w:rsid w:val="00CB0395"/>
    <w:rsid w:val="00CB35CF"/>
    <w:rsid w:val="00CB5854"/>
    <w:rsid w:val="00CC027A"/>
    <w:rsid w:val="00CC4E6B"/>
    <w:rsid w:val="00CD5CD2"/>
    <w:rsid w:val="00CD688C"/>
    <w:rsid w:val="00CE0222"/>
    <w:rsid w:val="00CE382C"/>
    <w:rsid w:val="00CE4662"/>
    <w:rsid w:val="00CE4FC7"/>
    <w:rsid w:val="00CE5062"/>
    <w:rsid w:val="00CF1836"/>
    <w:rsid w:val="00CF1C4E"/>
    <w:rsid w:val="00CF2787"/>
    <w:rsid w:val="00CF43A3"/>
    <w:rsid w:val="00D03B26"/>
    <w:rsid w:val="00D050A7"/>
    <w:rsid w:val="00D10FA9"/>
    <w:rsid w:val="00D22B3B"/>
    <w:rsid w:val="00D24445"/>
    <w:rsid w:val="00D33A43"/>
    <w:rsid w:val="00D44068"/>
    <w:rsid w:val="00D450DD"/>
    <w:rsid w:val="00D5399B"/>
    <w:rsid w:val="00D563C9"/>
    <w:rsid w:val="00D5713E"/>
    <w:rsid w:val="00D57DFE"/>
    <w:rsid w:val="00D64993"/>
    <w:rsid w:val="00D67F56"/>
    <w:rsid w:val="00D73A3D"/>
    <w:rsid w:val="00D74693"/>
    <w:rsid w:val="00D747B5"/>
    <w:rsid w:val="00D8188F"/>
    <w:rsid w:val="00D82E6F"/>
    <w:rsid w:val="00D841DC"/>
    <w:rsid w:val="00D93DAE"/>
    <w:rsid w:val="00DA0BC0"/>
    <w:rsid w:val="00DA5A2C"/>
    <w:rsid w:val="00DA5CFF"/>
    <w:rsid w:val="00DA62D4"/>
    <w:rsid w:val="00DA6411"/>
    <w:rsid w:val="00DB14A5"/>
    <w:rsid w:val="00DB5263"/>
    <w:rsid w:val="00DC0CD3"/>
    <w:rsid w:val="00DD404E"/>
    <w:rsid w:val="00DD4675"/>
    <w:rsid w:val="00DD6EBA"/>
    <w:rsid w:val="00DE3F28"/>
    <w:rsid w:val="00DE6253"/>
    <w:rsid w:val="00DF33FC"/>
    <w:rsid w:val="00DF4B96"/>
    <w:rsid w:val="00DF5960"/>
    <w:rsid w:val="00DF78C0"/>
    <w:rsid w:val="00E06F4A"/>
    <w:rsid w:val="00E12D71"/>
    <w:rsid w:val="00E13CAD"/>
    <w:rsid w:val="00E15DF7"/>
    <w:rsid w:val="00E163D0"/>
    <w:rsid w:val="00E203F6"/>
    <w:rsid w:val="00E22837"/>
    <w:rsid w:val="00E24A29"/>
    <w:rsid w:val="00E26960"/>
    <w:rsid w:val="00E33117"/>
    <w:rsid w:val="00E37598"/>
    <w:rsid w:val="00E41B35"/>
    <w:rsid w:val="00E43A83"/>
    <w:rsid w:val="00E43D10"/>
    <w:rsid w:val="00E45ACB"/>
    <w:rsid w:val="00E52B08"/>
    <w:rsid w:val="00E53052"/>
    <w:rsid w:val="00E544DC"/>
    <w:rsid w:val="00E576B2"/>
    <w:rsid w:val="00E57A33"/>
    <w:rsid w:val="00E60360"/>
    <w:rsid w:val="00E60D37"/>
    <w:rsid w:val="00E67809"/>
    <w:rsid w:val="00E73F53"/>
    <w:rsid w:val="00E74431"/>
    <w:rsid w:val="00E7514F"/>
    <w:rsid w:val="00E8043B"/>
    <w:rsid w:val="00E83551"/>
    <w:rsid w:val="00E83A07"/>
    <w:rsid w:val="00E83B3E"/>
    <w:rsid w:val="00E83C72"/>
    <w:rsid w:val="00E91AED"/>
    <w:rsid w:val="00E93D87"/>
    <w:rsid w:val="00E96068"/>
    <w:rsid w:val="00E97756"/>
    <w:rsid w:val="00EA0E36"/>
    <w:rsid w:val="00EA4AF8"/>
    <w:rsid w:val="00EA56F6"/>
    <w:rsid w:val="00EA5B80"/>
    <w:rsid w:val="00EB2789"/>
    <w:rsid w:val="00EB7791"/>
    <w:rsid w:val="00EC1A37"/>
    <w:rsid w:val="00EC271A"/>
    <w:rsid w:val="00EC544A"/>
    <w:rsid w:val="00ED2040"/>
    <w:rsid w:val="00ED2821"/>
    <w:rsid w:val="00ED4FDD"/>
    <w:rsid w:val="00EE172C"/>
    <w:rsid w:val="00EE7696"/>
    <w:rsid w:val="00EF590B"/>
    <w:rsid w:val="00EF6229"/>
    <w:rsid w:val="00F0065F"/>
    <w:rsid w:val="00F025DB"/>
    <w:rsid w:val="00F02A7C"/>
    <w:rsid w:val="00F0698C"/>
    <w:rsid w:val="00F06C6C"/>
    <w:rsid w:val="00F06EF6"/>
    <w:rsid w:val="00F22F01"/>
    <w:rsid w:val="00F23C92"/>
    <w:rsid w:val="00F27059"/>
    <w:rsid w:val="00F3425F"/>
    <w:rsid w:val="00F36253"/>
    <w:rsid w:val="00F431AC"/>
    <w:rsid w:val="00F45116"/>
    <w:rsid w:val="00F47CB3"/>
    <w:rsid w:val="00F51FAF"/>
    <w:rsid w:val="00F53CC1"/>
    <w:rsid w:val="00F5745B"/>
    <w:rsid w:val="00F616FD"/>
    <w:rsid w:val="00F657B4"/>
    <w:rsid w:val="00F6679A"/>
    <w:rsid w:val="00F672A8"/>
    <w:rsid w:val="00F724CD"/>
    <w:rsid w:val="00F80140"/>
    <w:rsid w:val="00F83E4B"/>
    <w:rsid w:val="00F8474E"/>
    <w:rsid w:val="00F847D6"/>
    <w:rsid w:val="00F901EB"/>
    <w:rsid w:val="00F91281"/>
    <w:rsid w:val="00F9277F"/>
    <w:rsid w:val="00F97F40"/>
    <w:rsid w:val="00FA12A6"/>
    <w:rsid w:val="00FA4576"/>
    <w:rsid w:val="00FB3FB6"/>
    <w:rsid w:val="00FC3996"/>
    <w:rsid w:val="00FC7B24"/>
    <w:rsid w:val="00FD0C7F"/>
    <w:rsid w:val="00FD49F1"/>
    <w:rsid w:val="00FD6D43"/>
    <w:rsid w:val="00FD79CC"/>
    <w:rsid w:val="00FE123E"/>
    <w:rsid w:val="00FE548F"/>
    <w:rsid w:val="00FE741D"/>
    <w:rsid w:val="00FE790C"/>
    <w:rsid w:val="00FF5EBC"/>
    <w:rsid w:val="07EC7008"/>
    <w:rsid w:val="0B6A4BD9"/>
    <w:rsid w:val="0D33C1AD"/>
    <w:rsid w:val="167D0209"/>
    <w:rsid w:val="16C74A3A"/>
    <w:rsid w:val="1AD81227"/>
    <w:rsid w:val="1BE841E2"/>
    <w:rsid w:val="1CAF3EAE"/>
    <w:rsid w:val="228DA6FB"/>
    <w:rsid w:val="246D722C"/>
    <w:rsid w:val="2566875C"/>
    <w:rsid w:val="26961A30"/>
    <w:rsid w:val="26F31524"/>
    <w:rsid w:val="2EA462F3"/>
    <w:rsid w:val="2F03B6AF"/>
    <w:rsid w:val="2F2A33A3"/>
    <w:rsid w:val="300228B4"/>
    <w:rsid w:val="30FE36CB"/>
    <w:rsid w:val="3291F876"/>
    <w:rsid w:val="354429B1"/>
    <w:rsid w:val="3A6A7D33"/>
    <w:rsid w:val="3BB63854"/>
    <w:rsid w:val="3BF4FD8D"/>
    <w:rsid w:val="3CB095C1"/>
    <w:rsid w:val="3DC6EC70"/>
    <w:rsid w:val="3DEE3821"/>
    <w:rsid w:val="412932E2"/>
    <w:rsid w:val="43A6F3E7"/>
    <w:rsid w:val="43C49729"/>
    <w:rsid w:val="4407DF57"/>
    <w:rsid w:val="44C81903"/>
    <w:rsid w:val="46B0FFAF"/>
    <w:rsid w:val="47C0B723"/>
    <w:rsid w:val="4B6A2E1E"/>
    <w:rsid w:val="4CB5C913"/>
    <w:rsid w:val="4DC779C0"/>
    <w:rsid w:val="4FC49B33"/>
    <w:rsid w:val="500214D6"/>
    <w:rsid w:val="500793D6"/>
    <w:rsid w:val="5171198B"/>
    <w:rsid w:val="521E84C9"/>
    <w:rsid w:val="5387A174"/>
    <w:rsid w:val="53AE39BF"/>
    <w:rsid w:val="549F07F9"/>
    <w:rsid w:val="57318F0B"/>
    <w:rsid w:val="57A27CC5"/>
    <w:rsid w:val="5A86AE48"/>
    <w:rsid w:val="5C1ABBE7"/>
    <w:rsid w:val="5D8EF3A8"/>
    <w:rsid w:val="5EA14665"/>
    <w:rsid w:val="609273AB"/>
    <w:rsid w:val="60FED876"/>
    <w:rsid w:val="62A2097D"/>
    <w:rsid w:val="62D7BDD3"/>
    <w:rsid w:val="6784F00A"/>
    <w:rsid w:val="694A311D"/>
    <w:rsid w:val="6994868C"/>
    <w:rsid w:val="6DAA7447"/>
    <w:rsid w:val="6E19BCB8"/>
    <w:rsid w:val="6EE85928"/>
    <w:rsid w:val="6FA43BBB"/>
    <w:rsid w:val="6FA8229A"/>
    <w:rsid w:val="71D664DC"/>
    <w:rsid w:val="726DBA98"/>
    <w:rsid w:val="7816F8A1"/>
    <w:rsid w:val="7C11AB63"/>
    <w:rsid w:val="7CC0550C"/>
    <w:rsid w:val="7D76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8D09"/>
  <w15:chartTrackingRefBased/>
  <w15:docId w15:val="{499B7728-F3D0-44DB-9FEC-50AB8FE3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7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8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1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1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smartenergycodecompany.co.uk/the-smart-energy-code-2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22A89FF23AC449F0F1C685E6ECCAA" ma:contentTypeVersion="16431" ma:contentTypeDescription="Create a new document." ma:contentTypeScope="" ma:versionID="fbeae222fc3721e03ec7d13cf9a8e28f">
  <xsd:schema xmlns:xsd="http://www.w3.org/2001/XMLSchema" xmlns:xs="http://www.w3.org/2001/XMLSchema" xmlns:p="http://schemas.microsoft.com/office/2006/metadata/properties" xmlns:ns2="b67a7830-db79-4a49-bf27-2aff92a2201a" xmlns:ns3="b413c3fd-5a3b-4239-b985-69032e371c04" xmlns:ns4="0063f72e-ace3-48fb-9c1f-5b513408b31f" xmlns:ns5="a8f60570-4bd3-4f2b-950b-a996de8ab151" xmlns:ns6="a172083e-e40c-4314-b43a-827352a1ed2c" xmlns:ns7="c963a4c1-1bb4-49f2-a011-9c776a7eed2a" xmlns:ns8="9831ce7c-368e-4164-9030-a0f9528d8984" targetNamespace="http://schemas.microsoft.com/office/2006/metadata/properties" ma:root="true" ma:fieldsID="92390a7d475ae6d5598997b175ad96c6" ns2:_="" ns3:_="" ns4:_="" ns5:_="" ns6:_="" ns7:_="" ns8:_=""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c963a4c1-1bb4-49f2-a011-9c776a7eed2a"/>
    <xsd:import namespace="9831ce7c-368e-4164-9030-a0f9528d8984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8:MediaServiceMetadata" minOccurs="0"/>
                <xsd:element ref="ns8:MediaServiceFastMetadata" minOccurs="0"/>
                <xsd:element ref="ns8:MediaServiceAutoTags" minOccurs="0"/>
                <xsd:element ref="ns8:MediaServiceOCR" minOccurs="0"/>
                <xsd:element ref="ns8:MediaServiceDateTaken" minOccurs="0"/>
                <xsd:element ref="ns4:SharedWithUsers" minOccurs="0"/>
                <xsd:element ref="ns4:SharedWithDetails" minOccurs="0"/>
                <xsd:element ref="ns8:CIRRUSPreviousRetentionPolicy" minOccurs="0"/>
                <xsd:element ref="ns8:LegacyCaseReferenceNumber" minOccurs="0"/>
                <xsd:element ref="ns8:MediaServiceEventHashCode" minOccurs="0"/>
                <xsd:element ref="ns8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1" nillable="true" ma:displayName="Taxonomy Catch All Column" ma:description="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2" nillable="true" ma:displayName="Taxonomy Catch All Column1" ma:description="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7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60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e7c-368e-4164-9030-a0f9528d8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7" nillable="true" ma:displayName="MediaServiceAutoTags" ma:internalName="MediaServiceAutoTags" ma:readOnly="true">
      <xsd:simpleType>
        <xsd:restriction base="dms:Text"/>
      </xsd:simpleType>
    </xsd:element>
    <xsd:element name="MediaServiceOCR" ma:index="6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9" nillable="true" ma:displayName="MediaServiceDateTaken" ma:hidden="true" ma:internalName="MediaServiceDateTaken" ma:readOnly="true">
      <xsd:simpleType>
        <xsd:restriction base="dms:Text"/>
      </xsd:simpleType>
    </xsd:element>
    <xsd:element name="CIRRUSPreviousRetentionPolicy" ma:index="72" nillable="true" ma:displayName="Previous Retention Policy" ma:internalName="CIRRUSPreviousRetentionPolicy">
      <xsd:simpleType>
        <xsd:restriction base="dms:Note">
          <xsd:maxLength value="255"/>
        </xsd:restriction>
      </xsd:simpleType>
    </xsd:element>
    <xsd:element name="LegacyCaseReferenceNumber" ma:index="73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  <xsd:element name="MediaServiceEventHashCode" ma:index="7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63f72e-ace3-48fb-9c1f-5b513408b31f">2QFN7KK647Q6-1438299721-20686</_dlc_DocId>
    <_dlc_DocIdUrl xmlns="0063f72e-ace3-48fb-9c1f-5b513408b31f">
      <Url>https://beisgov.sharepoint.com/sites/beis/320/_layouts/15/DocIdRedir.aspx?ID=2QFN7KK647Q6-1438299721-20686</Url>
      <Description>2QFN7KK647Q6-1438299721-20686</Description>
    </_dlc_DocIdUrl>
    <TaxCatchAll xmlns="0063f72e-ace3-48fb-9c1f-5b513408b31f">
      <Value>145</Value>
    </TaxCatchAll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Delivery</TermName>
          <TermId xmlns="http://schemas.microsoft.com/office/infopath/2007/PartnerControls">125c2427-d936-4032-b69a-60fc431a04d2</TermId>
        </TermInfo>
      </Terms>
    </m975189f4ba442ecbf67d4147307b177>
    <Retention_x0020_Label xmlns="a8f60570-4bd3-4f2b-950b-a996de8ab151">Corp PPP Review</Retention_x0020_Label>
    <Government_x0020_Body xmlns="b413c3fd-5a3b-4239-b985-69032e371c04">BEIS</Government_x0020_Body>
    <Date_x0020_Opened xmlns="b413c3fd-5a3b-4239-b985-69032e371c04">2018-11-05T10:40:35+00:00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CaseReferenceNumber xmlns="9831ce7c-368e-4164-9030-a0f9528d8984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CIRRUSPreviousRetentionPolicy xmlns="9831ce7c-368e-4164-9030-a0f9528d8984" xsi:nil="true"/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884C-1150-4AB8-BED5-44FF4D455F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99BB43-9DCB-49FA-BF9E-394243A6E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6D433-BB7C-4041-976A-981D447CF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c963a4c1-1bb4-49f2-a011-9c776a7eed2a"/>
    <ds:schemaRef ds:uri="9831ce7c-368e-4164-9030-a0f9528d8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8575C-BF49-4467-9BC8-2BB0E55EC71C}">
  <ds:schemaRefs>
    <ds:schemaRef ds:uri="http://schemas.microsoft.com/office/2006/metadata/properties"/>
    <ds:schemaRef ds:uri="http://schemas.microsoft.com/office/infopath/2007/PartnerControls"/>
    <ds:schemaRef ds:uri="0063f72e-ace3-48fb-9c1f-5b513408b31f"/>
    <ds:schemaRef ds:uri="c963a4c1-1bb4-49f2-a011-9c776a7eed2a"/>
    <ds:schemaRef ds:uri="a8f60570-4bd3-4f2b-950b-a996de8ab151"/>
    <ds:schemaRef ds:uri="b413c3fd-5a3b-4239-b985-69032e371c04"/>
    <ds:schemaRef ds:uri="b67a7830-db79-4a49-bf27-2aff92a2201a"/>
    <ds:schemaRef ds:uri="a172083e-e40c-4314-b43a-827352a1ed2c"/>
    <ds:schemaRef ds:uri="9831ce7c-368e-4164-9030-a0f9528d8984"/>
  </ds:schemaRefs>
</ds:datastoreItem>
</file>

<file path=customXml/itemProps5.xml><?xml version="1.0" encoding="utf-8"?>
<ds:datastoreItem xmlns:ds="http://schemas.openxmlformats.org/officeDocument/2006/customXml" ds:itemID="{88EB9D72-36D3-40A5-8154-5146802A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Malic, Milica (BEIS)</dc:creator>
  <cp:keywords/>
  <dc:description/>
  <cp:lastModifiedBy>Malic, Milica (BEIS)</cp:lastModifiedBy>
  <cp:revision>2</cp:revision>
  <dcterms:created xsi:type="dcterms:W3CDTF">2018-11-12T16:26:00Z</dcterms:created>
  <dcterms:modified xsi:type="dcterms:W3CDTF">2018-11-12T16:26:00Z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145;#Delivery|125c2427-d936-4032-b69a-60fc431a04d2</vt:lpwstr>
  </property>
  <property fmtid="{D5CDD505-2E9C-101B-9397-08002B2CF9AE}" pid="3" name="ContentTypeId">
    <vt:lpwstr>0x01010003C22A89FF23AC449F0F1C685E6ECCAA</vt:lpwstr>
  </property>
  <property fmtid="{D5CDD505-2E9C-101B-9397-08002B2CF9AE}" pid="4" name="_dlc_DocIdItemGuid">
    <vt:lpwstr>d38a54dd-41cc-41fe-941d-17bdb1c4287d</vt:lpwstr>
  </property>
</Properties>
</file>