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C259" w14:textId="77777777" w:rsidR="00451F36" w:rsidRPr="00451F36" w:rsidRDefault="00F3737D" w:rsidP="00451F36">
      <w:pPr>
        <w:pStyle w:val="Standard"/>
        <w:tabs>
          <w:tab w:val="left" w:pos="720"/>
          <w:tab w:val="center" w:pos="4153"/>
          <w:tab w:val="center" w:pos="4513"/>
          <w:tab w:val="right" w:pos="8306"/>
          <w:tab w:val="right" w:pos="9026"/>
        </w:tabs>
        <w:spacing w:after="0" w:line="240" w:lineRule="auto"/>
        <w:rPr>
          <w:rFonts w:ascii="Arial" w:eastAsia="Arial" w:hAnsi="Arial" w:cs="Arial"/>
          <w:b/>
          <w:color w:val="000000"/>
          <w:sz w:val="32"/>
          <w:szCs w:val="32"/>
        </w:rPr>
      </w:pPr>
      <w:r w:rsidRPr="00451F36">
        <w:rPr>
          <w:rFonts w:ascii="Arial" w:eastAsia="Arial" w:hAnsi="Arial" w:cs="Arial"/>
          <w:b/>
          <w:color w:val="000000"/>
          <w:sz w:val="32"/>
          <w:szCs w:val="32"/>
        </w:rPr>
        <w:t>Call-Off Schedule 5 (Pricing Detail</w:t>
      </w:r>
      <w:r w:rsidR="00AB4507" w:rsidRPr="00451F36">
        <w:rPr>
          <w:rFonts w:ascii="Arial" w:eastAsia="Arial" w:hAnsi="Arial" w:cs="Arial"/>
          <w:b/>
          <w:color w:val="000000"/>
          <w:sz w:val="32"/>
          <w:szCs w:val="32"/>
        </w:rPr>
        <w:t>s</w:t>
      </w:r>
      <w:r w:rsidRPr="00451F36">
        <w:rPr>
          <w:rFonts w:ascii="Arial" w:eastAsia="Arial" w:hAnsi="Arial" w:cs="Arial"/>
          <w:b/>
          <w:color w:val="000000"/>
          <w:sz w:val="32"/>
          <w:szCs w:val="32"/>
        </w:rPr>
        <w:t>)</w:t>
      </w:r>
    </w:p>
    <w:p w14:paraId="09ED5C58" w14:textId="77777777" w:rsidR="00451F36" w:rsidRDefault="00451F36" w:rsidP="00451F36">
      <w:pPr>
        <w:pStyle w:val="Standard"/>
        <w:tabs>
          <w:tab w:val="left" w:pos="720"/>
          <w:tab w:val="center" w:pos="4153"/>
          <w:tab w:val="center" w:pos="4513"/>
          <w:tab w:val="right" w:pos="8306"/>
          <w:tab w:val="right" w:pos="9026"/>
        </w:tabs>
        <w:spacing w:after="0" w:line="240" w:lineRule="auto"/>
        <w:rPr>
          <w:rFonts w:ascii="Arial" w:eastAsia="Arial" w:hAnsi="Arial" w:cs="Arial"/>
          <w:b/>
          <w:color w:val="000000"/>
          <w:sz w:val="24"/>
          <w:szCs w:val="24"/>
        </w:rPr>
      </w:pPr>
    </w:p>
    <w:p w14:paraId="4540D880" w14:textId="787529DC" w:rsidR="00E026E9" w:rsidRPr="00451F36" w:rsidRDefault="00E026E9" w:rsidP="00451F36">
      <w:pPr>
        <w:pStyle w:val="Standard"/>
        <w:tabs>
          <w:tab w:val="left" w:pos="720"/>
          <w:tab w:val="center" w:pos="4153"/>
          <w:tab w:val="center" w:pos="4513"/>
          <w:tab w:val="right" w:pos="8306"/>
          <w:tab w:val="right" w:pos="9026"/>
        </w:tabs>
        <w:spacing w:after="0" w:line="240" w:lineRule="auto"/>
        <w:rPr>
          <w:rFonts w:ascii="Arial" w:eastAsia="Arial" w:hAnsi="Arial" w:cs="Arial"/>
          <w:b/>
          <w:bCs/>
          <w:sz w:val="24"/>
          <w:szCs w:val="24"/>
        </w:rPr>
      </w:pPr>
      <w:r w:rsidRPr="00451F36">
        <w:rPr>
          <w:rFonts w:ascii="Arial" w:eastAsia="Arial" w:hAnsi="Arial" w:cs="Arial"/>
          <w:b/>
          <w:bCs/>
          <w:sz w:val="24"/>
          <w:szCs w:val="24"/>
        </w:rPr>
        <w:t>G</w:t>
      </w:r>
      <w:r w:rsidR="00451F36" w:rsidRPr="00451F36">
        <w:rPr>
          <w:rFonts w:ascii="Arial" w:eastAsia="Arial" w:hAnsi="Arial" w:cs="Arial"/>
          <w:b/>
          <w:bCs/>
          <w:sz w:val="24"/>
          <w:szCs w:val="24"/>
        </w:rPr>
        <w:t>ENERAL</w:t>
      </w:r>
    </w:p>
    <w:p w14:paraId="769D844D" w14:textId="77777777" w:rsidR="00451F36" w:rsidRPr="00451F36" w:rsidRDefault="00451F36" w:rsidP="00451F36">
      <w:pPr>
        <w:pStyle w:val="Standard"/>
        <w:tabs>
          <w:tab w:val="left" w:pos="720"/>
          <w:tab w:val="center" w:pos="4153"/>
          <w:tab w:val="center" w:pos="4513"/>
          <w:tab w:val="right" w:pos="8306"/>
          <w:tab w:val="right" w:pos="9026"/>
        </w:tabs>
        <w:spacing w:after="0" w:line="240" w:lineRule="auto"/>
        <w:rPr>
          <w:rFonts w:ascii="Arial" w:eastAsia="Arial" w:hAnsi="Arial" w:cs="Arial"/>
          <w:b/>
          <w:bCs/>
          <w:sz w:val="24"/>
          <w:szCs w:val="24"/>
        </w:rPr>
      </w:pPr>
    </w:p>
    <w:p w14:paraId="6F052DDD" w14:textId="07538FAE" w:rsidR="00CF2FA2" w:rsidRPr="00451F36" w:rsidRDefault="00CF2FA2" w:rsidP="00451F36">
      <w:pPr>
        <w:pStyle w:val="ListParagraph"/>
        <w:numPr>
          <w:ilvl w:val="2"/>
          <w:numId w:val="3"/>
        </w:numPr>
        <w:spacing w:after="200" w:line="252" w:lineRule="auto"/>
        <w:ind w:left="567" w:hanging="567"/>
        <w:contextualSpacing w:val="0"/>
        <w:rPr>
          <w:rFonts w:ascii="Arial" w:eastAsia="Arial" w:hAnsi="Arial" w:cs="Arial"/>
          <w:sz w:val="24"/>
          <w:szCs w:val="24"/>
        </w:rPr>
      </w:pPr>
      <w:r w:rsidRPr="00451F36">
        <w:rPr>
          <w:rFonts w:ascii="Arial" w:eastAsia="Arial" w:hAnsi="Arial" w:cs="Arial"/>
          <w:sz w:val="24"/>
          <w:szCs w:val="24"/>
        </w:rPr>
        <w:t xml:space="preserve">The Supplier will be instructed to carry out work via the issue of a Work Order from the Supply Chain Integrators </w:t>
      </w:r>
      <w:r w:rsidR="00F81D74" w:rsidRPr="00451F36">
        <w:rPr>
          <w:rFonts w:ascii="Arial" w:eastAsia="Arial" w:hAnsi="Arial" w:cs="Arial"/>
          <w:sz w:val="24"/>
          <w:szCs w:val="24"/>
        </w:rPr>
        <w:t>system</w:t>
      </w:r>
      <w:r w:rsidRPr="00451F36">
        <w:rPr>
          <w:rFonts w:ascii="Arial" w:eastAsia="Arial" w:hAnsi="Arial" w:cs="Arial"/>
          <w:sz w:val="24"/>
          <w:szCs w:val="24"/>
        </w:rPr>
        <w:t xml:space="preserve">. The Supplier should </w:t>
      </w:r>
      <w:r w:rsidR="00F81D74" w:rsidRPr="00451F36">
        <w:rPr>
          <w:rFonts w:ascii="Arial" w:eastAsia="Arial" w:hAnsi="Arial" w:cs="Arial"/>
          <w:sz w:val="24"/>
          <w:szCs w:val="24"/>
        </w:rPr>
        <w:t xml:space="preserve">preferably </w:t>
      </w:r>
      <w:r w:rsidRPr="00451F36">
        <w:rPr>
          <w:rFonts w:ascii="Arial" w:eastAsia="Arial" w:hAnsi="Arial" w:cs="Arial"/>
          <w:sz w:val="24"/>
          <w:szCs w:val="24"/>
        </w:rPr>
        <w:t xml:space="preserve">integrate via </w:t>
      </w:r>
      <w:r w:rsidR="00D14AD0" w:rsidRPr="00451F36">
        <w:rPr>
          <w:rFonts w:ascii="Arial" w:eastAsia="Arial" w:hAnsi="Arial" w:cs="Arial"/>
          <w:sz w:val="24"/>
          <w:szCs w:val="24"/>
        </w:rPr>
        <w:t>R</w:t>
      </w:r>
      <w:r w:rsidRPr="00451F36">
        <w:rPr>
          <w:rFonts w:ascii="Arial" w:eastAsia="Arial" w:hAnsi="Arial" w:cs="Arial"/>
          <w:sz w:val="24"/>
          <w:szCs w:val="24"/>
        </w:rPr>
        <w:t xml:space="preserve">estful API in order to receive automated transfer of Work Orders </w:t>
      </w:r>
      <w:r w:rsidR="00F81D74" w:rsidRPr="00451F36">
        <w:rPr>
          <w:rFonts w:ascii="Arial" w:eastAsia="Arial" w:hAnsi="Arial" w:cs="Arial"/>
          <w:sz w:val="24"/>
          <w:szCs w:val="24"/>
        </w:rPr>
        <w:t>in</w:t>
      </w:r>
      <w:r w:rsidRPr="00451F36">
        <w:rPr>
          <w:rFonts w:ascii="Arial" w:eastAsia="Arial" w:hAnsi="Arial" w:cs="Arial"/>
          <w:sz w:val="24"/>
          <w:szCs w:val="24"/>
        </w:rPr>
        <w:t xml:space="preserve">to their own </w:t>
      </w:r>
      <w:r w:rsidR="00F81D74" w:rsidRPr="00451F36">
        <w:rPr>
          <w:rFonts w:ascii="Arial" w:eastAsia="Arial" w:hAnsi="Arial" w:cs="Arial"/>
          <w:sz w:val="24"/>
          <w:szCs w:val="24"/>
        </w:rPr>
        <w:t>s</w:t>
      </w:r>
      <w:r w:rsidRPr="00451F36">
        <w:rPr>
          <w:rFonts w:ascii="Arial" w:eastAsia="Arial" w:hAnsi="Arial" w:cs="Arial"/>
          <w:sz w:val="24"/>
          <w:szCs w:val="24"/>
        </w:rPr>
        <w:t>ystem</w:t>
      </w:r>
      <w:r w:rsidR="00F81D74" w:rsidRPr="00451F36">
        <w:rPr>
          <w:rFonts w:ascii="Arial" w:eastAsia="Arial" w:hAnsi="Arial" w:cs="Arial"/>
          <w:sz w:val="24"/>
          <w:szCs w:val="24"/>
        </w:rPr>
        <w:t xml:space="preserve"> however this is not mandatory and/or may not be appropriate in respect of this contract</w:t>
      </w:r>
      <w:r w:rsidRPr="00451F36">
        <w:rPr>
          <w:rFonts w:ascii="Arial" w:eastAsia="Arial" w:hAnsi="Arial" w:cs="Arial"/>
          <w:sz w:val="24"/>
          <w:szCs w:val="24"/>
        </w:rPr>
        <w:t xml:space="preserve">. If </w:t>
      </w:r>
      <w:r w:rsidR="00D14AD0" w:rsidRPr="00451F36">
        <w:rPr>
          <w:rFonts w:ascii="Arial" w:eastAsia="Arial" w:hAnsi="Arial" w:cs="Arial"/>
          <w:sz w:val="24"/>
          <w:szCs w:val="24"/>
        </w:rPr>
        <w:t>R</w:t>
      </w:r>
      <w:r w:rsidRPr="00451F36">
        <w:rPr>
          <w:rFonts w:ascii="Arial" w:eastAsia="Arial" w:hAnsi="Arial" w:cs="Arial"/>
          <w:sz w:val="24"/>
          <w:szCs w:val="24"/>
        </w:rPr>
        <w:t>estful API is not in place then the Supplier will receive an email notification to access the Supply Chain Integrators system in order to receive instruction. The Supplier will provide updates, submit quotes, upload documentation</w:t>
      </w:r>
      <w:r w:rsidR="002C6423" w:rsidRPr="00451F36">
        <w:rPr>
          <w:rFonts w:ascii="Arial" w:eastAsia="Arial" w:hAnsi="Arial" w:cs="Arial"/>
          <w:sz w:val="24"/>
          <w:szCs w:val="24"/>
        </w:rPr>
        <w:t>,</w:t>
      </w:r>
      <w:r w:rsidRPr="00451F36">
        <w:rPr>
          <w:rFonts w:ascii="Arial" w:eastAsia="Arial" w:hAnsi="Arial" w:cs="Arial"/>
          <w:sz w:val="24"/>
          <w:szCs w:val="24"/>
        </w:rPr>
        <w:t xml:space="preserve"> and add final cost (to be invoiced) on the Work Order in the </w:t>
      </w:r>
      <w:r w:rsidR="00F81D74" w:rsidRPr="00451F36">
        <w:rPr>
          <w:rFonts w:ascii="Arial" w:eastAsia="Arial" w:hAnsi="Arial" w:cs="Arial"/>
          <w:sz w:val="24"/>
          <w:szCs w:val="24"/>
        </w:rPr>
        <w:t>Supply Chain Integrator’s</w:t>
      </w:r>
      <w:r w:rsidRPr="00451F36">
        <w:rPr>
          <w:rFonts w:ascii="Arial" w:eastAsia="Arial" w:hAnsi="Arial" w:cs="Arial"/>
          <w:sz w:val="24"/>
          <w:szCs w:val="24"/>
        </w:rPr>
        <w:t xml:space="preserve"> </w:t>
      </w:r>
      <w:r w:rsidR="00F81D74" w:rsidRPr="00451F36">
        <w:rPr>
          <w:rFonts w:ascii="Arial" w:eastAsia="Arial" w:hAnsi="Arial" w:cs="Arial"/>
          <w:sz w:val="24"/>
          <w:szCs w:val="24"/>
        </w:rPr>
        <w:t>system</w:t>
      </w:r>
      <w:r w:rsidRPr="00451F36">
        <w:rPr>
          <w:rFonts w:ascii="Arial" w:eastAsia="Arial" w:hAnsi="Arial" w:cs="Arial"/>
          <w:sz w:val="24"/>
          <w:szCs w:val="24"/>
        </w:rPr>
        <w:t xml:space="preserve">.  </w:t>
      </w:r>
    </w:p>
    <w:p w14:paraId="75E2DCF4" w14:textId="5CFA5928" w:rsidR="00CA7724" w:rsidRPr="00451F36" w:rsidRDefault="00CA7724" w:rsidP="00451F36">
      <w:pPr>
        <w:pStyle w:val="ListParagraph"/>
        <w:numPr>
          <w:ilvl w:val="2"/>
          <w:numId w:val="3"/>
        </w:numPr>
        <w:spacing w:after="200" w:line="252" w:lineRule="auto"/>
        <w:ind w:left="567" w:hanging="567"/>
        <w:contextualSpacing w:val="0"/>
        <w:rPr>
          <w:rFonts w:ascii="Arial" w:eastAsia="Arial" w:hAnsi="Arial" w:cs="Arial"/>
          <w:sz w:val="24"/>
          <w:szCs w:val="24"/>
        </w:rPr>
      </w:pPr>
      <w:r w:rsidRPr="00451F36">
        <w:rPr>
          <w:rFonts w:ascii="Arial" w:eastAsia="Arial" w:hAnsi="Arial" w:cs="Arial"/>
          <w:sz w:val="24"/>
          <w:szCs w:val="24"/>
        </w:rPr>
        <w:t>Supplier must be prepared to log in to and use the Supply Chain Integrators system to manage work orders issued to them</w:t>
      </w:r>
      <w:r w:rsidR="00CF2FA2" w:rsidRPr="00451F36">
        <w:rPr>
          <w:rFonts w:ascii="Arial" w:eastAsia="Arial" w:hAnsi="Arial" w:cs="Arial"/>
          <w:sz w:val="24"/>
          <w:szCs w:val="24"/>
        </w:rPr>
        <w:t>, including</w:t>
      </w:r>
      <w:r w:rsidRPr="00451F36">
        <w:rPr>
          <w:rFonts w:ascii="Arial" w:eastAsia="Arial" w:hAnsi="Arial" w:cs="Arial"/>
          <w:sz w:val="24"/>
          <w:szCs w:val="24"/>
        </w:rPr>
        <w:t xml:space="preserve"> </w:t>
      </w:r>
      <w:r w:rsidR="00CF2FA2" w:rsidRPr="00451F36">
        <w:rPr>
          <w:rFonts w:ascii="Arial" w:eastAsia="Arial" w:hAnsi="Arial" w:cs="Arial"/>
          <w:sz w:val="24"/>
          <w:szCs w:val="24"/>
        </w:rPr>
        <w:t xml:space="preserve">provide updates, submit quotes, upload documentation and add final cost (to be invoiced) </w:t>
      </w:r>
      <w:r w:rsidRPr="00451F36">
        <w:rPr>
          <w:rFonts w:ascii="Arial" w:eastAsia="Arial" w:hAnsi="Arial" w:cs="Arial"/>
          <w:sz w:val="24"/>
          <w:szCs w:val="24"/>
        </w:rPr>
        <w:t>as required to support the</w:t>
      </w:r>
      <w:r w:rsidR="00CF2FA2" w:rsidRPr="00451F36">
        <w:rPr>
          <w:rFonts w:ascii="Arial" w:eastAsia="Arial" w:hAnsi="Arial" w:cs="Arial"/>
          <w:sz w:val="24"/>
          <w:szCs w:val="24"/>
        </w:rPr>
        <w:t xml:space="preserve"> </w:t>
      </w:r>
      <w:r w:rsidR="008B1204" w:rsidRPr="00451F36">
        <w:rPr>
          <w:rFonts w:ascii="Arial" w:eastAsia="Arial" w:hAnsi="Arial" w:cs="Arial"/>
          <w:sz w:val="24"/>
          <w:szCs w:val="24"/>
        </w:rPr>
        <w:t>Buyer</w:t>
      </w:r>
      <w:r w:rsidR="00CF2FA2" w:rsidRPr="00451F36">
        <w:rPr>
          <w:rFonts w:ascii="Arial" w:eastAsia="Arial" w:hAnsi="Arial" w:cs="Arial"/>
          <w:sz w:val="24"/>
          <w:szCs w:val="24"/>
        </w:rPr>
        <w:t>’s</w:t>
      </w:r>
      <w:r w:rsidRPr="00451F36">
        <w:rPr>
          <w:rFonts w:ascii="Arial" w:eastAsia="Arial" w:hAnsi="Arial" w:cs="Arial"/>
          <w:sz w:val="24"/>
          <w:szCs w:val="24"/>
        </w:rPr>
        <w:t xml:space="preserve"> payments process.</w:t>
      </w:r>
    </w:p>
    <w:p w14:paraId="6EEC3288" w14:textId="0342AF14" w:rsidR="00773735" w:rsidRPr="00451F36" w:rsidRDefault="00F3737D" w:rsidP="00451F36">
      <w:pPr>
        <w:pStyle w:val="ListParagraph"/>
        <w:numPr>
          <w:ilvl w:val="2"/>
          <w:numId w:val="3"/>
        </w:numPr>
        <w:spacing w:after="200" w:line="252" w:lineRule="auto"/>
        <w:ind w:left="567" w:hanging="567"/>
        <w:contextualSpacing w:val="0"/>
        <w:rPr>
          <w:rFonts w:ascii="Arial" w:eastAsia="Arial" w:hAnsi="Arial" w:cs="Arial"/>
          <w:sz w:val="24"/>
          <w:szCs w:val="24"/>
        </w:rPr>
      </w:pPr>
      <w:r w:rsidRPr="00451F36">
        <w:rPr>
          <w:rFonts w:ascii="Arial" w:eastAsia="Arial" w:hAnsi="Arial" w:cs="Arial"/>
          <w:sz w:val="24"/>
          <w:szCs w:val="24"/>
        </w:rPr>
        <w:t xml:space="preserve">Before submitting any </w:t>
      </w:r>
      <w:r w:rsidR="002E4427" w:rsidRPr="00451F36">
        <w:rPr>
          <w:rFonts w:ascii="Arial" w:eastAsia="Arial" w:hAnsi="Arial" w:cs="Arial"/>
          <w:sz w:val="24"/>
          <w:szCs w:val="24"/>
        </w:rPr>
        <w:t>A</w:t>
      </w:r>
      <w:r w:rsidR="00E62985" w:rsidRPr="00451F36">
        <w:rPr>
          <w:rFonts w:ascii="Arial" w:eastAsia="Arial" w:hAnsi="Arial" w:cs="Arial"/>
          <w:sz w:val="24"/>
          <w:szCs w:val="24"/>
        </w:rPr>
        <w:t xml:space="preserve">pplication </w:t>
      </w:r>
      <w:r w:rsidR="002E4427" w:rsidRPr="00451F36">
        <w:rPr>
          <w:rFonts w:ascii="Arial" w:eastAsia="Arial" w:hAnsi="Arial" w:cs="Arial"/>
          <w:sz w:val="24"/>
          <w:szCs w:val="24"/>
        </w:rPr>
        <w:t>f</w:t>
      </w:r>
      <w:r w:rsidRPr="00451F36">
        <w:rPr>
          <w:rFonts w:ascii="Arial" w:eastAsia="Arial" w:hAnsi="Arial" w:cs="Arial"/>
          <w:sz w:val="24"/>
          <w:szCs w:val="24"/>
        </w:rPr>
        <w:t xml:space="preserve">or </w:t>
      </w:r>
      <w:r w:rsidR="002E4427" w:rsidRPr="00451F36">
        <w:rPr>
          <w:rFonts w:ascii="Arial" w:eastAsia="Arial" w:hAnsi="Arial" w:cs="Arial"/>
          <w:sz w:val="24"/>
          <w:szCs w:val="24"/>
        </w:rPr>
        <w:t>P</w:t>
      </w:r>
      <w:r w:rsidRPr="00451F36">
        <w:rPr>
          <w:rFonts w:ascii="Arial" w:eastAsia="Arial" w:hAnsi="Arial" w:cs="Arial"/>
          <w:sz w:val="24"/>
          <w:szCs w:val="24"/>
        </w:rPr>
        <w:t>ayment</w:t>
      </w:r>
      <w:r w:rsidR="002E4427" w:rsidRPr="00451F36">
        <w:rPr>
          <w:rFonts w:ascii="Arial" w:eastAsia="Arial" w:hAnsi="Arial" w:cs="Arial"/>
          <w:sz w:val="24"/>
          <w:szCs w:val="24"/>
        </w:rPr>
        <w:t xml:space="preserve"> (“AFP”)</w:t>
      </w:r>
      <w:r w:rsidRPr="00451F36">
        <w:rPr>
          <w:rFonts w:ascii="Arial" w:eastAsia="Arial" w:hAnsi="Arial" w:cs="Arial"/>
          <w:sz w:val="24"/>
          <w:szCs w:val="24"/>
        </w:rPr>
        <w:t>, the Supplier must ensure that it only submits a claim for payment to which it is entitled, the Supplier will be required to make a declaration to this effect.</w:t>
      </w:r>
    </w:p>
    <w:p w14:paraId="6EEC3289" w14:textId="21384C87" w:rsidR="00773735" w:rsidRPr="00451F36" w:rsidRDefault="00F3737D" w:rsidP="00451F36">
      <w:pPr>
        <w:pStyle w:val="ListParagraph"/>
        <w:numPr>
          <w:ilvl w:val="2"/>
          <w:numId w:val="3"/>
        </w:numPr>
        <w:spacing w:after="200" w:line="252" w:lineRule="auto"/>
        <w:ind w:left="567" w:hanging="567"/>
        <w:contextualSpacing w:val="0"/>
        <w:rPr>
          <w:rFonts w:ascii="Arial" w:eastAsia="Arial" w:hAnsi="Arial" w:cs="Arial"/>
          <w:sz w:val="24"/>
          <w:szCs w:val="24"/>
        </w:rPr>
      </w:pPr>
      <w:r w:rsidRPr="00451F36">
        <w:rPr>
          <w:rFonts w:ascii="Arial" w:eastAsia="Arial" w:hAnsi="Arial" w:cs="Arial"/>
          <w:sz w:val="24"/>
          <w:szCs w:val="24"/>
        </w:rPr>
        <w:t xml:space="preserve">The Supplier is expected to maintain a robust system of internal control which must include appropriate checks, monitoring arrangements and adequate records to demonstrate that they are entitled to make the claim for payment. </w:t>
      </w:r>
    </w:p>
    <w:p w14:paraId="6EEC328A" w14:textId="3813246E" w:rsidR="00773735" w:rsidRPr="00451F36" w:rsidRDefault="00F3737D" w:rsidP="00451F36">
      <w:pPr>
        <w:pStyle w:val="ListParagraph"/>
        <w:numPr>
          <w:ilvl w:val="2"/>
          <w:numId w:val="3"/>
        </w:numPr>
        <w:spacing w:after="200" w:line="252" w:lineRule="auto"/>
        <w:ind w:left="567" w:hanging="567"/>
        <w:contextualSpacing w:val="0"/>
        <w:rPr>
          <w:rFonts w:ascii="Arial" w:eastAsia="Arial" w:hAnsi="Arial" w:cs="Arial"/>
          <w:sz w:val="24"/>
          <w:szCs w:val="24"/>
        </w:rPr>
      </w:pPr>
      <w:r w:rsidRPr="00451F36">
        <w:rPr>
          <w:rFonts w:ascii="Arial" w:eastAsia="Arial" w:hAnsi="Arial" w:cs="Arial"/>
          <w:sz w:val="24"/>
          <w:szCs w:val="24"/>
        </w:rPr>
        <w:t xml:space="preserve">The Supplier must keep sufficient records not only to support any claims for payment but also to allow internal management checks and independent validation by the Buyer and/or other external bodies. </w:t>
      </w:r>
    </w:p>
    <w:p w14:paraId="6EEC328B" w14:textId="7700B63C" w:rsidR="00773735" w:rsidRPr="00451F36" w:rsidRDefault="00F3737D" w:rsidP="00451F36">
      <w:pPr>
        <w:pStyle w:val="ListParagraph"/>
        <w:numPr>
          <w:ilvl w:val="2"/>
          <w:numId w:val="3"/>
        </w:numPr>
        <w:spacing w:after="200" w:line="252" w:lineRule="auto"/>
        <w:ind w:left="567" w:hanging="567"/>
        <w:contextualSpacing w:val="0"/>
        <w:rPr>
          <w:rFonts w:ascii="Arial" w:eastAsia="Arial" w:hAnsi="Arial" w:cs="Arial"/>
          <w:sz w:val="24"/>
          <w:szCs w:val="24"/>
        </w:rPr>
      </w:pPr>
      <w:r w:rsidRPr="00451F36">
        <w:rPr>
          <w:rFonts w:ascii="Arial" w:eastAsia="Arial" w:hAnsi="Arial" w:cs="Arial"/>
          <w:sz w:val="24"/>
          <w:szCs w:val="24"/>
        </w:rPr>
        <w:t xml:space="preserve">The Supplier will be required to provide the </w:t>
      </w:r>
      <w:r w:rsidR="00F45234" w:rsidRPr="00451F36">
        <w:rPr>
          <w:rFonts w:ascii="Arial" w:eastAsia="Arial" w:hAnsi="Arial" w:cs="Arial"/>
          <w:sz w:val="24"/>
          <w:szCs w:val="24"/>
        </w:rPr>
        <w:t xml:space="preserve">Supply Chain </w:t>
      </w:r>
      <w:r w:rsidRPr="00451F36">
        <w:rPr>
          <w:rFonts w:ascii="Arial" w:eastAsia="Arial" w:hAnsi="Arial" w:cs="Arial"/>
          <w:sz w:val="24"/>
          <w:szCs w:val="24"/>
        </w:rPr>
        <w:t xml:space="preserve">Integrator with a payment remittance and be required to build this into other M.I. reporting stated elsewhere within this </w:t>
      </w:r>
      <w:r w:rsidR="00871753" w:rsidRPr="00451F36">
        <w:rPr>
          <w:rFonts w:ascii="Arial" w:eastAsia="Arial" w:hAnsi="Arial" w:cs="Arial"/>
          <w:sz w:val="24"/>
          <w:szCs w:val="24"/>
        </w:rPr>
        <w:t>Contract</w:t>
      </w:r>
      <w:r w:rsidRPr="00451F36">
        <w:rPr>
          <w:rFonts w:ascii="Arial" w:eastAsia="Arial" w:hAnsi="Arial" w:cs="Arial"/>
          <w:sz w:val="24"/>
          <w:szCs w:val="24"/>
        </w:rPr>
        <w:t>.</w:t>
      </w:r>
    </w:p>
    <w:p w14:paraId="6EEC328C" w14:textId="01F1FBB1" w:rsidR="00773735" w:rsidRPr="00451F36" w:rsidRDefault="00F3737D" w:rsidP="00451F36">
      <w:pPr>
        <w:pStyle w:val="ListParagraph"/>
        <w:numPr>
          <w:ilvl w:val="2"/>
          <w:numId w:val="3"/>
        </w:numPr>
        <w:spacing w:after="200" w:line="252" w:lineRule="auto"/>
        <w:ind w:left="567" w:hanging="567"/>
        <w:contextualSpacing w:val="0"/>
        <w:rPr>
          <w:rFonts w:ascii="Arial" w:eastAsia="Arial" w:hAnsi="Arial" w:cs="Arial"/>
          <w:sz w:val="24"/>
          <w:szCs w:val="24"/>
        </w:rPr>
      </w:pPr>
      <w:r w:rsidRPr="00451F36">
        <w:rPr>
          <w:rFonts w:ascii="Arial" w:eastAsia="Arial" w:hAnsi="Arial" w:cs="Arial"/>
          <w:sz w:val="24"/>
          <w:szCs w:val="24"/>
        </w:rPr>
        <w:t xml:space="preserve">The Buyer has a contractual relationship with a third-party supplier </w:t>
      </w:r>
      <w:r w:rsidR="00871753" w:rsidRPr="00451F36">
        <w:rPr>
          <w:rFonts w:ascii="Arial" w:eastAsia="Arial" w:hAnsi="Arial" w:cs="Arial"/>
          <w:sz w:val="24"/>
          <w:szCs w:val="24"/>
        </w:rPr>
        <w:t xml:space="preserve">Shared Services Connect Ltd </w:t>
      </w:r>
      <w:r w:rsidRPr="00451F36">
        <w:rPr>
          <w:rFonts w:ascii="Arial" w:eastAsia="Arial" w:hAnsi="Arial" w:cs="Arial"/>
          <w:sz w:val="24"/>
          <w:szCs w:val="24"/>
        </w:rPr>
        <w:t>(</w:t>
      </w:r>
      <w:r w:rsidR="00871753" w:rsidRPr="00451F36">
        <w:rPr>
          <w:rFonts w:ascii="Arial" w:eastAsia="Arial" w:hAnsi="Arial" w:cs="Arial"/>
          <w:sz w:val="24"/>
          <w:szCs w:val="24"/>
        </w:rPr>
        <w:t>“</w:t>
      </w:r>
      <w:r w:rsidRPr="00451F36">
        <w:rPr>
          <w:rFonts w:ascii="Arial" w:eastAsia="Arial" w:hAnsi="Arial" w:cs="Arial"/>
          <w:sz w:val="24"/>
          <w:szCs w:val="24"/>
        </w:rPr>
        <w:t>SSCL</w:t>
      </w:r>
      <w:r w:rsidR="00871753" w:rsidRPr="00451F36">
        <w:rPr>
          <w:rFonts w:ascii="Arial" w:eastAsia="Arial" w:hAnsi="Arial" w:cs="Arial"/>
          <w:sz w:val="24"/>
          <w:szCs w:val="24"/>
        </w:rPr>
        <w:t>”</w:t>
      </w:r>
      <w:r w:rsidRPr="00451F36">
        <w:rPr>
          <w:rFonts w:ascii="Arial" w:eastAsia="Arial" w:hAnsi="Arial" w:cs="Arial"/>
          <w:sz w:val="24"/>
          <w:szCs w:val="24"/>
        </w:rPr>
        <w:t>) who pays the Supplier invoices. The Supplier will work with the Integrator to ensure its invoicing complies with SSCL Oracle system technical requirements ensuring Purchase Orders are processed automatically. The Integrator will lead on ensuring the Supplier is compliant in this respect.</w:t>
      </w:r>
    </w:p>
    <w:p w14:paraId="6EEC328D" w14:textId="206176B0" w:rsidR="00773735" w:rsidRPr="00451F36" w:rsidRDefault="00F3737D" w:rsidP="00451F36">
      <w:pPr>
        <w:pStyle w:val="ListParagraph"/>
        <w:numPr>
          <w:ilvl w:val="2"/>
          <w:numId w:val="3"/>
        </w:numPr>
        <w:spacing w:after="200" w:line="252" w:lineRule="auto"/>
        <w:ind w:left="567" w:hanging="567"/>
        <w:contextualSpacing w:val="0"/>
        <w:rPr>
          <w:rFonts w:ascii="Arial" w:eastAsia="Arial" w:hAnsi="Arial" w:cs="Arial"/>
          <w:sz w:val="24"/>
          <w:szCs w:val="24"/>
        </w:rPr>
      </w:pPr>
      <w:r w:rsidRPr="00451F36">
        <w:rPr>
          <w:rFonts w:ascii="Arial" w:eastAsia="Arial" w:hAnsi="Arial" w:cs="Arial"/>
          <w:sz w:val="24"/>
          <w:szCs w:val="24"/>
        </w:rPr>
        <w:t>Suppliers must be prepared to use electronic purchase to pay (</w:t>
      </w:r>
      <w:r w:rsidR="00871753" w:rsidRPr="00451F36">
        <w:rPr>
          <w:rFonts w:ascii="Arial" w:eastAsia="Arial" w:hAnsi="Arial" w:cs="Arial"/>
          <w:sz w:val="24"/>
          <w:szCs w:val="24"/>
        </w:rPr>
        <w:t>“</w:t>
      </w:r>
      <w:r w:rsidRPr="00451F36">
        <w:rPr>
          <w:rFonts w:ascii="Arial" w:eastAsia="Arial" w:hAnsi="Arial" w:cs="Arial"/>
          <w:sz w:val="24"/>
          <w:szCs w:val="24"/>
        </w:rPr>
        <w:t>P2P</w:t>
      </w:r>
      <w:r w:rsidR="00871753" w:rsidRPr="00451F36">
        <w:rPr>
          <w:rFonts w:ascii="Arial" w:eastAsia="Arial" w:hAnsi="Arial" w:cs="Arial"/>
          <w:sz w:val="24"/>
          <w:szCs w:val="24"/>
        </w:rPr>
        <w:t>”</w:t>
      </w:r>
      <w:r w:rsidRPr="00451F36">
        <w:rPr>
          <w:rFonts w:ascii="Arial" w:eastAsia="Arial" w:hAnsi="Arial" w:cs="Arial"/>
          <w:sz w:val="24"/>
          <w:szCs w:val="24"/>
        </w:rPr>
        <w:t xml:space="preserve">) routes, including e-Invoicing.  Suppliers must be prepared to work with the Buyer to set up and test all electronic P2P routes.  This may involve creating technical </w:t>
      </w:r>
      <w:r w:rsidRPr="00451F36">
        <w:rPr>
          <w:rFonts w:ascii="Arial" w:eastAsia="Arial" w:hAnsi="Arial" w:cs="Arial"/>
          <w:sz w:val="24"/>
          <w:szCs w:val="24"/>
        </w:rPr>
        <w:lastRenderedPageBreak/>
        <w:t xml:space="preserve">ordering and invoice files, including working with our Enterprise Resource Planning service suppliers and systems. </w:t>
      </w:r>
    </w:p>
    <w:p w14:paraId="6EEC3292" w14:textId="760266DF" w:rsidR="00773735" w:rsidRPr="00451F36" w:rsidRDefault="00F3737D">
      <w:pPr>
        <w:spacing w:after="200" w:line="251" w:lineRule="auto"/>
        <w:rPr>
          <w:sz w:val="24"/>
          <w:szCs w:val="24"/>
        </w:rPr>
      </w:pPr>
      <w:r w:rsidRPr="00451F36">
        <w:rPr>
          <w:rFonts w:ascii="Arial" w:eastAsia="Arial" w:hAnsi="Arial" w:cs="Arial"/>
          <w:b/>
          <w:bCs/>
          <w:sz w:val="24"/>
          <w:szCs w:val="24"/>
        </w:rPr>
        <w:t>Payment Mechanism</w:t>
      </w:r>
      <w:r w:rsidRPr="00451F36">
        <w:rPr>
          <w:rFonts w:eastAsia="Calibri" w:cs="Calibri"/>
          <w:sz w:val="24"/>
          <w:szCs w:val="24"/>
        </w:rPr>
        <w:t xml:space="preserve"> </w:t>
      </w:r>
    </w:p>
    <w:p w14:paraId="6EEC3293" w14:textId="77777777" w:rsidR="00773735" w:rsidRPr="00451F36" w:rsidRDefault="00F3737D">
      <w:pPr>
        <w:spacing w:after="200" w:line="251" w:lineRule="auto"/>
        <w:rPr>
          <w:sz w:val="24"/>
          <w:szCs w:val="24"/>
        </w:rPr>
      </w:pPr>
      <w:r w:rsidRPr="00451F36">
        <w:rPr>
          <w:rFonts w:ascii="Arial" w:eastAsia="Arial" w:hAnsi="Arial" w:cs="Arial"/>
          <w:b/>
          <w:bCs/>
          <w:sz w:val="24"/>
          <w:szCs w:val="24"/>
        </w:rPr>
        <w:t>Application for Payment</w:t>
      </w:r>
    </w:p>
    <w:p w14:paraId="6EEC3295" w14:textId="05AF4B4A" w:rsidR="00773735" w:rsidRPr="00451F36" w:rsidRDefault="00F3737D" w:rsidP="00451F36">
      <w:pPr>
        <w:pStyle w:val="ListParagraph"/>
        <w:numPr>
          <w:ilvl w:val="2"/>
          <w:numId w:val="9"/>
        </w:numPr>
        <w:spacing w:after="200" w:line="252" w:lineRule="auto"/>
        <w:ind w:hanging="464"/>
        <w:contextualSpacing w:val="0"/>
        <w:rPr>
          <w:sz w:val="24"/>
          <w:szCs w:val="24"/>
        </w:rPr>
      </w:pPr>
      <w:r w:rsidRPr="00451F36">
        <w:rPr>
          <w:rFonts w:ascii="Arial" w:eastAsia="Arial" w:hAnsi="Arial" w:cs="Arial"/>
          <w:sz w:val="24"/>
          <w:szCs w:val="24"/>
        </w:rPr>
        <w:t>Upon completion of a Work Order</w:t>
      </w:r>
      <w:r w:rsidR="00CA7724" w:rsidRPr="00451F36">
        <w:rPr>
          <w:rFonts w:ascii="Arial" w:eastAsia="Arial" w:hAnsi="Arial" w:cs="Arial"/>
          <w:sz w:val="24"/>
          <w:szCs w:val="24"/>
        </w:rPr>
        <w:t xml:space="preserve"> </w:t>
      </w:r>
      <w:r w:rsidRPr="00451F36">
        <w:rPr>
          <w:rFonts w:ascii="Arial" w:eastAsia="Arial" w:hAnsi="Arial" w:cs="Arial"/>
          <w:sz w:val="24"/>
          <w:szCs w:val="24"/>
        </w:rPr>
        <w:t xml:space="preserve">the Supplier shall notify the Buyer via a Work Order Status update on the Buyer Supply Chain Integrator system and attach all Supporting Documentation to the Work Order allowing the Buyer </w:t>
      </w:r>
      <w:r w:rsidR="008B1204" w:rsidRPr="00451F36">
        <w:rPr>
          <w:rFonts w:ascii="Arial" w:eastAsia="Arial" w:hAnsi="Arial" w:cs="Arial"/>
          <w:sz w:val="24"/>
          <w:szCs w:val="24"/>
        </w:rPr>
        <w:t>Authorised R</w:t>
      </w:r>
      <w:r w:rsidRPr="00451F36">
        <w:rPr>
          <w:rFonts w:ascii="Arial" w:eastAsia="Arial" w:hAnsi="Arial" w:cs="Arial"/>
          <w:sz w:val="24"/>
          <w:szCs w:val="24"/>
        </w:rPr>
        <w:t>epresentative to undertake the necessary checks to enable the Work Order to be agreed as complete and for the Work Order status to be updated for invoicing purposes.</w:t>
      </w:r>
    </w:p>
    <w:p w14:paraId="783B42B0" w14:textId="43A6EF92" w:rsidR="00CF2FA2" w:rsidRPr="00451F36" w:rsidRDefault="00CA7724" w:rsidP="00451F36">
      <w:pPr>
        <w:pStyle w:val="ListParagraph"/>
        <w:numPr>
          <w:ilvl w:val="2"/>
          <w:numId w:val="9"/>
        </w:numPr>
        <w:spacing w:after="200" w:line="252" w:lineRule="auto"/>
        <w:ind w:hanging="464"/>
        <w:contextualSpacing w:val="0"/>
        <w:rPr>
          <w:rFonts w:ascii="Arial" w:eastAsia="Arial" w:hAnsi="Arial" w:cs="Arial"/>
          <w:sz w:val="24"/>
          <w:szCs w:val="24"/>
        </w:rPr>
      </w:pPr>
      <w:r w:rsidRPr="00451F36">
        <w:rPr>
          <w:rFonts w:ascii="Arial" w:eastAsia="Arial" w:hAnsi="Arial" w:cs="Arial"/>
          <w:sz w:val="24"/>
          <w:szCs w:val="24"/>
        </w:rPr>
        <w:t>Prior to submitting an invoice, t</w:t>
      </w:r>
      <w:r w:rsidR="00F3737D" w:rsidRPr="00451F36">
        <w:rPr>
          <w:rFonts w:ascii="Arial" w:eastAsia="Arial" w:hAnsi="Arial" w:cs="Arial"/>
          <w:sz w:val="24"/>
          <w:szCs w:val="24"/>
        </w:rPr>
        <w:t xml:space="preserve">he Supplier shall submit an </w:t>
      </w:r>
      <w:r w:rsidR="002E4427" w:rsidRPr="00451F36">
        <w:rPr>
          <w:rFonts w:ascii="Arial" w:eastAsia="Arial" w:hAnsi="Arial" w:cs="Arial"/>
          <w:sz w:val="24"/>
          <w:szCs w:val="24"/>
        </w:rPr>
        <w:t>AFP</w:t>
      </w:r>
      <w:r w:rsidR="00F3737D" w:rsidRPr="00451F36">
        <w:rPr>
          <w:rFonts w:ascii="Arial" w:eastAsia="Arial" w:hAnsi="Arial" w:cs="Arial"/>
          <w:sz w:val="24"/>
          <w:szCs w:val="24"/>
        </w:rPr>
        <w:t xml:space="preserve"> based on the Work Orders </w:t>
      </w:r>
      <w:r w:rsidRPr="00451F36">
        <w:rPr>
          <w:rFonts w:ascii="Arial" w:eastAsia="Arial" w:hAnsi="Arial" w:cs="Arial"/>
          <w:sz w:val="24"/>
          <w:szCs w:val="24"/>
        </w:rPr>
        <w:t xml:space="preserve">completed and </w:t>
      </w:r>
      <w:r w:rsidR="00F3737D" w:rsidRPr="00451F36">
        <w:rPr>
          <w:rFonts w:ascii="Arial" w:eastAsia="Arial" w:hAnsi="Arial" w:cs="Arial"/>
          <w:sz w:val="24"/>
          <w:szCs w:val="24"/>
        </w:rPr>
        <w:t>approved by the Buyer</w:t>
      </w:r>
      <w:r w:rsidR="00AB4507" w:rsidRPr="00451F36">
        <w:rPr>
          <w:rFonts w:ascii="Arial" w:eastAsia="Arial" w:hAnsi="Arial" w:cs="Arial"/>
          <w:sz w:val="24"/>
          <w:szCs w:val="24"/>
        </w:rPr>
        <w:t xml:space="preserve"> Authorised</w:t>
      </w:r>
      <w:r w:rsidR="00F3737D" w:rsidRPr="00451F36">
        <w:rPr>
          <w:rFonts w:ascii="Arial" w:eastAsia="Arial" w:hAnsi="Arial" w:cs="Arial"/>
          <w:sz w:val="24"/>
          <w:szCs w:val="24"/>
        </w:rPr>
        <w:t xml:space="preserve"> Representative, in a format to be agreed during the Implementation Phase to the Buyer’s Supply Chain Integrator for review and approval by </w:t>
      </w:r>
      <w:r w:rsidR="00D14AD0" w:rsidRPr="00451F36">
        <w:rPr>
          <w:rFonts w:ascii="Arial" w:eastAsia="Arial" w:hAnsi="Arial" w:cs="Arial"/>
          <w:sz w:val="24"/>
          <w:szCs w:val="24"/>
        </w:rPr>
        <w:t xml:space="preserve">the Buyer Authorised Representatives </w:t>
      </w:r>
      <w:r w:rsidR="00F3737D" w:rsidRPr="00451F36">
        <w:rPr>
          <w:rFonts w:ascii="Arial" w:eastAsia="Arial" w:hAnsi="Arial" w:cs="Arial"/>
          <w:sz w:val="24"/>
          <w:szCs w:val="24"/>
        </w:rPr>
        <w:t>and in accordance with the timetable to be agreed during the Implementation Phase.</w:t>
      </w:r>
    </w:p>
    <w:p w14:paraId="352FA1B2" w14:textId="42B4F16B" w:rsidR="00515444" w:rsidRPr="00451F36" w:rsidRDefault="00451F36" w:rsidP="00451F36">
      <w:pPr>
        <w:pStyle w:val="ListParagraph"/>
        <w:numPr>
          <w:ilvl w:val="2"/>
          <w:numId w:val="9"/>
        </w:numPr>
        <w:spacing w:after="200" w:line="252" w:lineRule="auto"/>
        <w:ind w:hanging="464"/>
        <w:contextualSpacing w:val="0"/>
        <w:rPr>
          <w:rFonts w:ascii="Arial" w:eastAsia="Arial" w:hAnsi="Arial" w:cs="Arial"/>
          <w:sz w:val="24"/>
          <w:szCs w:val="24"/>
        </w:rPr>
      </w:pPr>
      <w:r w:rsidRPr="00451F36">
        <w:rPr>
          <w:rFonts w:ascii="Arial" w:eastAsia="Arial" w:hAnsi="Arial" w:cs="Arial"/>
          <w:sz w:val="24"/>
          <w:szCs w:val="24"/>
        </w:rPr>
        <w:t>Th</w:t>
      </w:r>
      <w:r w:rsidR="00515444" w:rsidRPr="00451F36">
        <w:rPr>
          <w:rFonts w:ascii="Arial" w:eastAsia="Arial" w:hAnsi="Arial" w:cs="Arial"/>
          <w:sz w:val="24"/>
          <w:szCs w:val="24"/>
        </w:rPr>
        <w:t xml:space="preserve">e Supplier will manage </w:t>
      </w:r>
      <w:r w:rsidR="002C6423" w:rsidRPr="00451F36">
        <w:rPr>
          <w:rFonts w:ascii="Arial" w:eastAsia="Arial" w:hAnsi="Arial" w:cs="Arial"/>
          <w:sz w:val="24"/>
          <w:szCs w:val="24"/>
        </w:rPr>
        <w:t xml:space="preserve">all </w:t>
      </w:r>
      <w:r w:rsidR="00515444" w:rsidRPr="00451F36">
        <w:rPr>
          <w:rFonts w:ascii="Arial" w:eastAsia="Arial" w:hAnsi="Arial" w:cs="Arial"/>
          <w:sz w:val="24"/>
          <w:szCs w:val="24"/>
        </w:rPr>
        <w:t xml:space="preserve">invoicing of all call off services that incur a cost via an </w:t>
      </w:r>
      <w:r w:rsidR="00D14AD0" w:rsidRPr="00451F36">
        <w:rPr>
          <w:rFonts w:ascii="Arial" w:eastAsia="Arial" w:hAnsi="Arial" w:cs="Arial"/>
          <w:sz w:val="24"/>
          <w:szCs w:val="24"/>
        </w:rPr>
        <w:t>i</w:t>
      </w:r>
      <w:r w:rsidR="00515444" w:rsidRPr="00451F36">
        <w:rPr>
          <w:rFonts w:ascii="Arial" w:eastAsia="Arial" w:hAnsi="Arial" w:cs="Arial"/>
          <w:sz w:val="24"/>
          <w:szCs w:val="24"/>
        </w:rPr>
        <w:t xml:space="preserve">nvoicing </w:t>
      </w:r>
      <w:r w:rsidR="00AB4507" w:rsidRPr="00451F36">
        <w:rPr>
          <w:rFonts w:ascii="Arial" w:eastAsia="Arial" w:hAnsi="Arial" w:cs="Arial"/>
          <w:sz w:val="24"/>
          <w:szCs w:val="24"/>
        </w:rPr>
        <w:t>a</w:t>
      </w:r>
      <w:r w:rsidR="00515444" w:rsidRPr="00451F36">
        <w:rPr>
          <w:rFonts w:ascii="Arial" w:eastAsia="Arial" w:hAnsi="Arial" w:cs="Arial"/>
          <w:sz w:val="24"/>
          <w:szCs w:val="24"/>
        </w:rPr>
        <w:t xml:space="preserve">pplication on the </w:t>
      </w:r>
      <w:r w:rsidR="002C6423" w:rsidRPr="00451F36">
        <w:rPr>
          <w:rFonts w:ascii="Arial" w:eastAsia="Arial" w:hAnsi="Arial" w:cs="Arial"/>
          <w:sz w:val="24"/>
          <w:szCs w:val="24"/>
        </w:rPr>
        <w:t>Supply Chain Integrators</w:t>
      </w:r>
      <w:r w:rsidR="00D14AD0" w:rsidRPr="00451F36">
        <w:rPr>
          <w:rFonts w:ascii="Arial" w:eastAsia="Arial" w:hAnsi="Arial" w:cs="Arial"/>
          <w:sz w:val="24"/>
          <w:szCs w:val="24"/>
        </w:rPr>
        <w:t xml:space="preserve"> </w:t>
      </w:r>
      <w:r w:rsidR="002C6423" w:rsidRPr="00451F36">
        <w:rPr>
          <w:rFonts w:ascii="Arial" w:eastAsia="Arial" w:hAnsi="Arial" w:cs="Arial"/>
          <w:sz w:val="24"/>
          <w:szCs w:val="24"/>
        </w:rPr>
        <w:t>system</w:t>
      </w:r>
      <w:r w:rsidR="00515444" w:rsidRPr="00451F36">
        <w:rPr>
          <w:rFonts w:ascii="Arial" w:eastAsia="Arial" w:hAnsi="Arial" w:cs="Arial"/>
          <w:sz w:val="24"/>
          <w:szCs w:val="24"/>
        </w:rPr>
        <w:t xml:space="preserve">. This process will ensure </w:t>
      </w:r>
      <w:r w:rsidR="002C6423" w:rsidRPr="00451F36">
        <w:rPr>
          <w:rFonts w:ascii="Arial" w:eastAsia="Arial" w:hAnsi="Arial" w:cs="Arial"/>
          <w:sz w:val="24"/>
          <w:szCs w:val="24"/>
        </w:rPr>
        <w:t xml:space="preserve">all </w:t>
      </w:r>
      <w:r w:rsidR="002E4427" w:rsidRPr="00451F36">
        <w:rPr>
          <w:rFonts w:ascii="Arial" w:eastAsia="Arial" w:hAnsi="Arial" w:cs="Arial"/>
          <w:sz w:val="24"/>
          <w:szCs w:val="24"/>
        </w:rPr>
        <w:t>AFP</w:t>
      </w:r>
      <w:r w:rsidR="006B4802">
        <w:rPr>
          <w:rFonts w:ascii="Arial" w:eastAsia="Arial" w:hAnsi="Arial" w:cs="Arial"/>
          <w:sz w:val="24"/>
          <w:szCs w:val="24"/>
        </w:rPr>
        <w:t xml:space="preserve"> </w:t>
      </w:r>
      <w:r w:rsidR="002C6423" w:rsidRPr="00451F36">
        <w:rPr>
          <w:rFonts w:ascii="Arial" w:eastAsia="Arial" w:hAnsi="Arial" w:cs="Arial"/>
          <w:sz w:val="24"/>
          <w:szCs w:val="24"/>
        </w:rPr>
        <w:t xml:space="preserve">are </w:t>
      </w:r>
      <w:r w:rsidR="00515444" w:rsidRPr="00451F36">
        <w:rPr>
          <w:rFonts w:ascii="Arial" w:eastAsia="Arial" w:hAnsi="Arial" w:cs="Arial"/>
          <w:sz w:val="24"/>
          <w:szCs w:val="24"/>
        </w:rPr>
        <w:t xml:space="preserve">being compiled from completed Work Orders with agreed costings broken down. Following submission and approval of the AFP by the </w:t>
      </w:r>
      <w:r w:rsidR="00AB4507" w:rsidRPr="00451F36">
        <w:rPr>
          <w:rFonts w:ascii="Arial" w:eastAsia="Arial" w:hAnsi="Arial" w:cs="Arial"/>
          <w:sz w:val="24"/>
          <w:szCs w:val="24"/>
        </w:rPr>
        <w:t>Buyer</w:t>
      </w:r>
      <w:r w:rsidR="00515444" w:rsidRPr="00451F36">
        <w:rPr>
          <w:rFonts w:ascii="Arial" w:eastAsia="Arial" w:hAnsi="Arial" w:cs="Arial"/>
          <w:sz w:val="24"/>
          <w:szCs w:val="24"/>
        </w:rPr>
        <w:t>, the Supplier will receive a Costs Due Notice (</w:t>
      </w:r>
      <w:r w:rsidR="00D14AD0" w:rsidRPr="00451F36">
        <w:rPr>
          <w:rFonts w:ascii="Arial" w:eastAsia="Arial" w:hAnsi="Arial" w:cs="Arial"/>
          <w:sz w:val="24"/>
          <w:szCs w:val="24"/>
        </w:rPr>
        <w:t>“</w:t>
      </w:r>
      <w:r w:rsidR="00515444" w:rsidRPr="00451F36">
        <w:rPr>
          <w:rFonts w:ascii="Arial" w:eastAsia="Arial" w:hAnsi="Arial" w:cs="Arial"/>
          <w:sz w:val="24"/>
          <w:szCs w:val="24"/>
        </w:rPr>
        <w:t>CDN</w:t>
      </w:r>
      <w:r w:rsidR="00D14AD0" w:rsidRPr="00451F36">
        <w:rPr>
          <w:rFonts w:ascii="Arial" w:eastAsia="Arial" w:hAnsi="Arial" w:cs="Arial"/>
          <w:sz w:val="24"/>
          <w:szCs w:val="24"/>
        </w:rPr>
        <w:t>”</w:t>
      </w:r>
      <w:r w:rsidR="00515444" w:rsidRPr="00451F36">
        <w:rPr>
          <w:rFonts w:ascii="Arial" w:eastAsia="Arial" w:hAnsi="Arial" w:cs="Arial"/>
          <w:sz w:val="24"/>
          <w:szCs w:val="24"/>
        </w:rPr>
        <w:t xml:space="preserve">) issued via the </w:t>
      </w:r>
      <w:r w:rsidR="00AB4507" w:rsidRPr="00451F36">
        <w:rPr>
          <w:rFonts w:ascii="Arial" w:eastAsia="Arial" w:hAnsi="Arial" w:cs="Arial"/>
          <w:sz w:val="24"/>
          <w:szCs w:val="24"/>
        </w:rPr>
        <w:t xml:space="preserve">Buyer’s </w:t>
      </w:r>
      <w:r w:rsidR="002C6423" w:rsidRPr="00451F36">
        <w:rPr>
          <w:rFonts w:ascii="Arial" w:eastAsia="Arial" w:hAnsi="Arial" w:cs="Arial"/>
          <w:sz w:val="24"/>
          <w:szCs w:val="24"/>
        </w:rPr>
        <w:t>Supply Chain Integrators system</w:t>
      </w:r>
      <w:r w:rsidR="00515444" w:rsidRPr="00451F36">
        <w:rPr>
          <w:rFonts w:ascii="Arial" w:eastAsia="Arial" w:hAnsi="Arial" w:cs="Arial"/>
          <w:sz w:val="24"/>
          <w:szCs w:val="24"/>
        </w:rPr>
        <w:t xml:space="preserve">. The Supplier will upload the VAT invoice to the </w:t>
      </w:r>
      <w:r w:rsidR="00F45234" w:rsidRPr="00451F36">
        <w:rPr>
          <w:rFonts w:ascii="Arial" w:eastAsia="Arial" w:hAnsi="Arial" w:cs="Arial"/>
          <w:sz w:val="24"/>
          <w:szCs w:val="24"/>
        </w:rPr>
        <w:t xml:space="preserve">Supply Chain Integrator’s </w:t>
      </w:r>
      <w:r w:rsidR="00515444" w:rsidRPr="00451F36">
        <w:rPr>
          <w:rFonts w:ascii="Arial" w:eastAsia="Arial" w:hAnsi="Arial" w:cs="Arial"/>
          <w:sz w:val="24"/>
          <w:szCs w:val="24"/>
        </w:rPr>
        <w:t xml:space="preserve">Invoice Application and submit the final invoice value. Invoices will be submitted to the SSCL by the </w:t>
      </w:r>
      <w:r w:rsidR="002C6423" w:rsidRPr="00451F36">
        <w:rPr>
          <w:rFonts w:ascii="Arial" w:eastAsia="Arial" w:hAnsi="Arial" w:cs="Arial"/>
          <w:sz w:val="24"/>
          <w:szCs w:val="24"/>
        </w:rPr>
        <w:t>Supply Chain Integrators system and f</w:t>
      </w:r>
      <w:r w:rsidR="00515444" w:rsidRPr="00451F36">
        <w:rPr>
          <w:rFonts w:ascii="Arial" w:eastAsia="Arial" w:hAnsi="Arial" w:cs="Arial"/>
          <w:sz w:val="24"/>
          <w:szCs w:val="24"/>
        </w:rPr>
        <w:t>unds will be released to the Supplier’s account by SSCL.</w:t>
      </w:r>
    </w:p>
    <w:p w14:paraId="6EEC3299" w14:textId="77777777" w:rsidR="00773735" w:rsidRPr="00451F36" w:rsidRDefault="00F3737D">
      <w:pPr>
        <w:spacing w:after="200" w:line="251" w:lineRule="auto"/>
        <w:rPr>
          <w:sz w:val="24"/>
          <w:szCs w:val="24"/>
        </w:rPr>
      </w:pPr>
      <w:r w:rsidRPr="00451F36">
        <w:rPr>
          <w:rFonts w:ascii="Arial" w:eastAsia="Arial" w:hAnsi="Arial" w:cs="Arial"/>
          <w:b/>
          <w:bCs/>
          <w:sz w:val="24"/>
          <w:szCs w:val="24"/>
        </w:rPr>
        <w:t xml:space="preserve">Payment Terms </w:t>
      </w:r>
    </w:p>
    <w:p w14:paraId="6EEC329A" w14:textId="3A64BD59" w:rsidR="00773735" w:rsidRPr="00451F36" w:rsidRDefault="00F3737D" w:rsidP="00451F36">
      <w:pPr>
        <w:pStyle w:val="ListParagraph"/>
        <w:numPr>
          <w:ilvl w:val="2"/>
          <w:numId w:val="10"/>
        </w:numPr>
        <w:spacing w:after="200" w:line="252" w:lineRule="auto"/>
        <w:ind w:hanging="464"/>
        <w:contextualSpacing w:val="0"/>
        <w:rPr>
          <w:sz w:val="24"/>
          <w:szCs w:val="24"/>
        </w:rPr>
      </w:pPr>
      <w:r w:rsidRPr="00451F36">
        <w:rPr>
          <w:rFonts w:ascii="Arial" w:eastAsia="Arial" w:hAnsi="Arial" w:cs="Arial"/>
          <w:sz w:val="24"/>
          <w:szCs w:val="24"/>
        </w:rPr>
        <w:t xml:space="preserve">The </w:t>
      </w:r>
      <w:r w:rsidR="00AB4507" w:rsidRPr="00451F36">
        <w:rPr>
          <w:rFonts w:ascii="Arial" w:eastAsia="Arial" w:hAnsi="Arial" w:cs="Arial"/>
          <w:sz w:val="24"/>
          <w:szCs w:val="24"/>
        </w:rPr>
        <w:t>Buyer</w:t>
      </w:r>
      <w:r w:rsidRPr="00451F36">
        <w:rPr>
          <w:rFonts w:ascii="Arial" w:eastAsia="Arial" w:hAnsi="Arial" w:cs="Arial"/>
          <w:sz w:val="24"/>
          <w:szCs w:val="24"/>
        </w:rPr>
        <w:t xml:space="preserve"> shall pay all sums properly due and payable to the Supplier in respect of the Contract Services in cleared funds by no later than thirty (30) calendar days after the date of a validly issued invoice for such sums. </w:t>
      </w:r>
    </w:p>
    <w:p w14:paraId="2C97C685" w14:textId="0F631C04" w:rsidR="53868089" w:rsidRPr="00451F36" w:rsidRDefault="53868089" w:rsidP="53868089">
      <w:pPr>
        <w:spacing w:after="200" w:line="251" w:lineRule="auto"/>
        <w:rPr>
          <w:rFonts w:ascii="Arial" w:eastAsia="Arial" w:hAnsi="Arial" w:cs="Arial"/>
          <w:sz w:val="24"/>
          <w:szCs w:val="24"/>
        </w:rPr>
      </w:pPr>
    </w:p>
    <w:p w14:paraId="554DBD4F" w14:textId="3BF300C5" w:rsidR="53868089" w:rsidRDefault="53868089" w:rsidP="53868089">
      <w:pPr>
        <w:spacing w:after="200" w:line="251" w:lineRule="auto"/>
        <w:rPr>
          <w:rFonts w:ascii="Arial" w:eastAsia="Arial" w:hAnsi="Arial" w:cs="Arial"/>
          <w:highlight w:val="yellow"/>
        </w:rPr>
      </w:pPr>
    </w:p>
    <w:p w14:paraId="6EEC329B" w14:textId="77777777" w:rsidR="00773735" w:rsidRDefault="00F3737D" w:rsidP="53868089">
      <w:pPr>
        <w:spacing w:after="200" w:line="251" w:lineRule="auto"/>
        <w:rPr>
          <w:rFonts w:ascii="Arial" w:eastAsia="Arial" w:hAnsi="Arial" w:cs="Arial"/>
          <w:highlight w:val="yellow"/>
        </w:rPr>
      </w:pPr>
      <w:r w:rsidRPr="53868089">
        <w:rPr>
          <w:rFonts w:ascii="Arial" w:eastAsia="Arial" w:hAnsi="Arial" w:cs="Arial"/>
          <w:highlight w:val="yellow"/>
        </w:rPr>
        <w:t xml:space="preserve"> </w:t>
      </w:r>
    </w:p>
    <w:p w14:paraId="6EEC329C" w14:textId="77777777" w:rsidR="00773735" w:rsidRDefault="00773735" w:rsidP="53868089">
      <w:pPr>
        <w:spacing w:after="200" w:line="251" w:lineRule="auto"/>
        <w:rPr>
          <w:rFonts w:ascii="Arial" w:eastAsia="Arial" w:hAnsi="Arial" w:cs="Arial"/>
          <w:highlight w:val="yellow"/>
        </w:rPr>
      </w:pPr>
    </w:p>
    <w:p w14:paraId="6EEC329D" w14:textId="77777777" w:rsidR="00773735" w:rsidRDefault="00773735" w:rsidP="53868089">
      <w:pPr>
        <w:pStyle w:val="Standard"/>
        <w:spacing w:after="200" w:line="276" w:lineRule="auto"/>
        <w:jc w:val="left"/>
        <w:rPr>
          <w:highlight w:val="yellow"/>
        </w:rPr>
      </w:pPr>
    </w:p>
    <w:sectPr w:rsidR="00773735">
      <w:headerReference w:type="default" r:id="rId10"/>
      <w:footerReference w:type="defaul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AD4F" w14:textId="77777777" w:rsidR="00F9406D" w:rsidRDefault="00F9406D">
      <w:r>
        <w:separator/>
      </w:r>
    </w:p>
  </w:endnote>
  <w:endnote w:type="continuationSeparator" w:id="0">
    <w:p w14:paraId="0DECE872" w14:textId="77777777" w:rsidR="00F9406D" w:rsidRDefault="00F9406D">
      <w:r>
        <w:continuationSeparator/>
      </w:r>
    </w:p>
  </w:endnote>
  <w:endnote w:type="continuationNotice" w:id="1">
    <w:p w14:paraId="4FF4E13F" w14:textId="77777777" w:rsidR="00F9406D" w:rsidRDefault="00F94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3299" w14:textId="77777777" w:rsidR="0038063B" w:rsidRDefault="0038063B">
    <w:pPr>
      <w:pStyle w:val="Standard"/>
      <w:tabs>
        <w:tab w:val="center" w:pos="4513"/>
        <w:tab w:val="right" w:pos="9026"/>
      </w:tabs>
      <w:spacing w:after="0" w:line="240" w:lineRule="auto"/>
      <w:rPr>
        <w:rFonts w:eastAsia="Calibri" w:cs="Calibri"/>
      </w:rPr>
    </w:pPr>
  </w:p>
  <w:p w14:paraId="0454E151" w14:textId="77777777" w:rsidR="00E62985" w:rsidRDefault="00E62985" w:rsidP="00E62985">
    <w:pPr>
      <w:pStyle w:val="Standard"/>
      <w:tabs>
        <w:tab w:val="center" w:pos="4513"/>
        <w:tab w:val="right" w:pos="9026"/>
      </w:tabs>
      <w:spacing w:after="0" w:line="240" w:lineRule="auto"/>
      <w:rPr>
        <w:rFonts w:eastAsia="Calibri" w:cs="Calibri"/>
      </w:rPr>
    </w:pPr>
    <w:r>
      <w:rPr>
        <w:rFonts w:eastAsia="Calibri" w:cs="Calibri"/>
      </w:rPr>
      <w:t>Framework Ref: RM6168 – Estate Management Services</w:t>
    </w:r>
  </w:p>
  <w:p w14:paraId="4754A343" w14:textId="77777777" w:rsidR="00E62985" w:rsidRDefault="00E62985" w:rsidP="00E62985">
    <w:pPr>
      <w:pStyle w:val="Standard"/>
      <w:tabs>
        <w:tab w:val="center" w:pos="4513"/>
        <w:tab w:val="right" w:pos="9026"/>
      </w:tabs>
      <w:spacing w:after="0" w:line="240" w:lineRule="auto"/>
    </w:pPr>
  </w:p>
  <w:p w14:paraId="15081C15" w14:textId="77777777" w:rsidR="00E62985" w:rsidRDefault="00E62985" w:rsidP="00E62985">
    <w:pPr>
      <w:pStyle w:val="Standard"/>
      <w:widowControl w:val="0"/>
      <w:spacing w:after="0" w:line="276" w:lineRule="auto"/>
      <w:jc w:val="left"/>
      <w:rPr>
        <w:rFonts w:eastAsia="Calibri" w:cs="Calibri"/>
      </w:rPr>
    </w:pPr>
    <w:r>
      <w:rPr>
        <w:rFonts w:eastAsia="Calibri" w:cs="Calibri"/>
      </w:rPr>
      <w:t>Project Version: v1.0</w:t>
    </w:r>
  </w:p>
  <w:p w14:paraId="732A03D4" w14:textId="77777777" w:rsidR="00E62985" w:rsidRDefault="00E62985" w:rsidP="00E62985">
    <w:pPr>
      <w:pStyle w:val="Standard"/>
      <w:widowControl w:val="0"/>
      <w:spacing w:after="0" w:line="276" w:lineRule="auto"/>
      <w:jc w:val="left"/>
    </w:pPr>
    <w:r>
      <w:rPr>
        <w:rFonts w:eastAsia="Calibri" w:cs="Calibri"/>
      </w:rPr>
      <w:t>Model Version: v3.1</w:t>
    </w:r>
  </w:p>
  <w:p w14:paraId="6EEC329B" w14:textId="5032BCF5" w:rsidR="0038063B" w:rsidRDefault="0038063B" w:rsidP="00E62985">
    <w:pPr>
      <w:pStyle w:val="Standard"/>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A3005" w14:textId="77777777" w:rsidR="00F9406D" w:rsidRDefault="00F9406D">
      <w:r>
        <w:rPr>
          <w:color w:val="000000"/>
        </w:rPr>
        <w:separator/>
      </w:r>
    </w:p>
  </w:footnote>
  <w:footnote w:type="continuationSeparator" w:id="0">
    <w:p w14:paraId="6D0E5653" w14:textId="77777777" w:rsidR="00F9406D" w:rsidRDefault="00F9406D">
      <w:r>
        <w:continuationSeparator/>
      </w:r>
    </w:p>
  </w:footnote>
  <w:footnote w:type="continuationNotice" w:id="1">
    <w:p w14:paraId="169E4E81" w14:textId="77777777" w:rsidR="00F9406D" w:rsidRDefault="00F94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55B6" w14:textId="77777777" w:rsidR="00E62985" w:rsidRDefault="00E62985" w:rsidP="00E62985">
    <w:pPr>
      <w:pStyle w:val="Standard"/>
      <w:tabs>
        <w:tab w:val="center" w:pos="4513"/>
        <w:tab w:val="right" w:pos="9026"/>
      </w:tabs>
      <w:spacing w:after="0" w:line="240" w:lineRule="auto"/>
    </w:pPr>
    <w:r>
      <w:rPr>
        <w:rFonts w:eastAsia="Calibri" w:cs="Calibri"/>
        <w:b/>
      </w:rPr>
      <w:t>Call-Off Schedule 5 (Pricing Details)</w:t>
    </w:r>
    <w:r>
      <w:rPr>
        <w:noProof/>
        <w:lang w:eastAsia="en-GB" w:bidi="ar-SA"/>
      </w:rPr>
      <w:drawing>
        <wp:anchor distT="0" distB="0" distL="114300" distR="114300" simplePos="0" relativeHeight="251658240" behindDoc="1" locked="0" layoutInCell="1" allowOverlap="1" wp14:anchorId="13FB941E" wp14:editId="356DF2DB">
          <wp:simplePos x="0" y="0"/>
          <wp:positionH relativeFrom="column">
            <wp:posOffset>5562752</wp:posOffset>
          </wp:positionH>
          <wp:positionV relativeFrom="paragraph">
            <wp:posOffset>-165597</wp:posOffset>
          </wp:positionV>
          <wp:extent cx="848837" cy="685800"/>
          <wp:effectExtent l="0" t="0" r="8413"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48837" cy="685800"/>
                  </a:xfrm>
                  <a:prstGeom prst="rect">
                    <a:avLst/>
                  </a:prstGeom>
                  <a:noFill/>
                  <a:ln>
                    <a:noFill/>
                    <a:prstDash/>
                  </a:ln>
                </pic:spPr>
              </pic:pic>
            </a:graphicData>
          </a:graphic>
        </wp:anchor>
      </w:drawing>
    </w:r>
  </w:p>
  <w:p w14:paraId="40F50CDF" w14:textId="71F20C73" w:rsidR="00E62985" w:rsidRDefault="00E62985" w:rsidP="00451F36">
    <w:pPr>
      <w:pStyle w:val="Standard"/>
      <w:tabs>
        <w:tab w:val="right" w:pos="9026"/>
      </w:tabs>
      <w:spacing w:after="0" w:line="240" w:lineRule="auto"/>
    </w:pPr>
    <w:r>
      <w:rPr>
        <w:rFonts w:eastAsia="Calibri" w:cs="Calibri"/>
      </w:rPr>
      <w:t>Crown Copyright 2020</w:t>
    </w:r>
    <w:r w:rsidR="00002A4D">
      <w:rPr>
        <w:rFonts w:eastAsia="Calibri" w:cs="Calibri"/>
      </w:rPr>
      <w:tab/>
    </w:r>
  </w:p>
  <w:p w14:paraId="6EEC3297" w14:textId="4D21B524" w:rsidR="0038063B" w:rsidRDefault="00002A4D" w:rsidP="00451F36">
    <w:pPr>
      <w:pStyle w:val="Standard"/>
      <w:tabs>
        <w:tab w:val="left" w:pos="2848"/>
        <w:tab w:val="center" w:pos="4153"/>
        <w:tab w:val="right" w:pos="8306"/>
      </w:tabs>
      <w:rPr>
        <w:color w:val="000000"/>
      </w:rPr>
    </w:pP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12F"/>
    <w:multiLevelType w:val="multilevel"/>
    <w:tmpl w:val="12F460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464"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DB7E0D"/>
    <w:multiLevelType w:val="hybridMultilevel"/>
    <w:tmpl w:val="E306E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1728C"/>
    <w:multiLevelType w:val="hybridMultilevel"/>
    <w:tmpl w:val="8B04913A"/>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2718058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3F8D4D3E"/>
    <w:multiLevelType w:val="hybridMultilevel"/>
    <w:tmpl w:val="12A23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DC571D"/>
    <w:multiLevelType w:val="multilevel"/>
    <w:tmpl w:val="80B28A8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51AD2A72"/>
    <w:multiLevelType w:val="multilevel"/>
    <w:tmpl w:val="12F460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464"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497622"/>
    <w:multiLevelType w:val="multilevel"/>
    <w:tmpl w:val="12F460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464"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5A1FFE"/>
    <w:multiLevelType w:val="multilevel"/>
    <w:tmpl w:val="2FDEBBE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78B17407"/>
    <w:multiLevelType w:val="hybridMultilevel"/>
    <w:tmpl w:val="EF0C4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1"/>
  </w:num>
  <w:num w:numId="5">
    <w:abstractNumId w:val="4"/>
  </w:num>
  <w:num w:numId="6">
    <w:abstractNumId w:val="3"/>
  </w:num>
  <w:num w:numId="7">
    <w:abstractNumId w:val="2"/>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735"/>
    <w:rsid w:val="00002A4D"/>
    <w:rsid w:val="0009039D"/>
    <w:rsid w:val="000D32A8"/>
    <w:rsid w:val="000E27CA"/>
    <w:rsid w:val="0012098B"/>
    <w:rsid w:val="00152561"/>
    <w:rsid w:val="001D663C"/>
    <w:rsid w:val="001F205E"/>
    <w:rsid w:val="0026180D"/>
    <w:rsid w:val="002B476D"/>
    <w:rsid w:val="002C6423"/>
    <w:rsid w:val="002E4427"/>
    <w:rsid w:val="00366A3D"/>
    <w:rsid w:val="00370157"/>
    <w:rsid w:val="0038063B"/>
    <w:rsid w:val="003B0CED"/>
    <w:rsid w:val="004014EA"/>
    <w:rsid w:val="00440802"/>
    <w:rsid w:val="00451F36"/>
    <w:rsid w:val="00515444"/>
    <w:rsid w:val="0059070B"/>
    <w:rsid w:val="005D2BDE"/>
    <w:rsid w:val="00683866"/>
    <w:rsid w:val="006B4802"/>
    <w:rsid w:val="006E51B4"/>
    <w:rsid w:val="006E5B75"/>
    <w:rsid w:val="00773735"/>
    <w:rsid w:val="007E7F66"/>
    <w:rsid w:val="007F2818"/>
    <w:rsid w:val="0083183C"/>
    <w:rsid w:val="00836A0C"/>
    <w:rsid w:val="00871753"/>
    <w:rsid w:val="00871EC6"/>
    <w:rsid w:val="008B1204"/>
    <w:rsid w:val="008D3DC0"/>
    <w:rsid w:val="008F3EA4"/>
    <w:rsid w:val="008F5088"/>
    <w:rsid w:val="009576AF"/>
    <w:rsid w:val="0098142A"/>
    <w:rsid w:val="009A5F1A"/>
    <w:rsid w:val="009B7DB8"/>
    <w:rsid w:val="009F14E7"/>
    <w:rsid w:val="009F45AC"/>
    <w:rsid w:val="009F6933"/>
    <w:rsid w:val="00A22FF1"/>
    <w:rsid w:val="00A36AC7"/>
    <w:rsid w:val="00A46C56"/>
    <w:rsid w:val="00AB4372"/>
    <w:rsid w:val="00AB4507"/>
    <w:rsid w:val="00AD2128"/>
    <w:rsid w:val="00B1363A"/>
    <w:rsid w:val="00B84496"/>
    <w:rsid w:val="00BC615C"/>
    <w:rsid w:val="00C02CA1"/>
    <w:rsid w:val="00C2041E"/>
    <w:rsid w:val="00C2182A"/>
    <w:rsid w:val="00C255CE"/>
    <w:rsid w:val="00CA7724"/>
    <w:rsid w:val="00CF2FA2"/>
    <w:rsid w:val="00D14AD0"/>
    <w:rsid w:val="00D24E4B"/>
    <w:rsid w:val="00D33216"/>
    <w:rsid w:val="00D45130"/>
    <w:rsid w:val="00D57CDE"/>
    <w:rsid w:val="00E026E9"/>
    <w:rsid w:val="00E330F3"/>
    <w:rsid w:val="00E366EA"/>
    <w:rsid w:val="00E53B02"/>
    <w:rsid w:val="00E62985"/>
    <w:rsid w:val="00EA66E3"/>
    <w:rsid w:val="00F24B01"/>
    <w:rsid w:val="00F3737D"/>
    <w:rsid w:val="00F45234"/>
    <w:rsid w:val="00F81D74"/>
    <w:rsid w:val="00F9406D"/>
    <w:rsid w:val="00FA2441"/>
    <w:rsid w:val="00FB208C"/>
    <w:rsid w:val="00FD7B5F"/>
    <w:rsid w:val="02B5F0A0"/>
    <w:rsid w:val="059331B7"/>
    <w:rsid w:val="05D828A6"/>
    <w:rsid w:val="0E6968C8"/>
    <w:rsid w:val="10E1E99E"/>
    <w:rsid w:val="15CD9C2F"/>
    <w:rsid w:val="2805281A"/>
    <w:rsid w:val="2DC5D06B"/>
    <w:rsid w:val="4348FA76"/>
    <w:rsid w:val="4C450CC7"/>
    <w:rsid w:val="51D68B8C"/>
    <w:rsid w:val="53868089"/>
    <w:rsid w:val="5655F5F8"/>
    <w:rsid w:val="5F63DA98"/>
    <w:rsid w:val="68787DCE"/>
    <w:rsid w:val="6B1752C0"/>
    <w:rsid w:val="76B5F9A4"/>
    <w:rsid w:val="7CA0D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EC3285"/>
  <w15:docId w15:val="{30A171C0-734E-4D68-8A3B-075311F5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ind w:left="720" w:hanging="720"/>
      <w:outlineLvl w:val="0"/>
    </w:pPr>
    <w:rPr>
      <w:color w:val="000000"/>
    </w:rPr>
  </w:style>
  <w:style w:type="paragraph" w:styleId="Heading2">
    <w:name w:val="heading 2"/>
    <w:basedOn w:val="Normal"/>
    <w:next w:val="Standard"/>
    <w:uiPriority w:val="9"/>
    <w:semiHidden/>
    <w:unhideWhenUsed/>
    <w:qFormat/>
    <w:pPr>
      <w:ind w:left="720" w:hanging="720"/>
      <w:outlineLvl w:val="1"/>
    </w:pPr>
    <w:rPr>
      <w:rFonts w:eastAsia="Calibri" w:cs="Calibri"/>
      <w:color w:val="000000"/>
    </w:rPr>
  </w:style>
  <w:style w:type="paragraph" w:styleId="Heading3">
    <w:name w:val="heading 3"/>
    <w:basedOn w:val="Normal"/>
    <w:next w:val="Standard"/>
    <w:uiPriority w:val="9"/>
    <w:semiHidden/>
    <w:unhideWhenUsed/>
    <w:qFormat/>
    <w:pPr>
      <w:ind w:left="1800" w:hanging="1080"/>
      <w:outlineLvl w:val="2"/>
    </w:pPr>
    <w:rPr>
      <w:color w:val="000000"/>
    </w:rPr>
  </w:style>
  <w:style w:type="paragraph" w:styleId="Heading4">
    <w:name w:val="heading 4"/>
    <w:basedOn w:val="Normal"/>
    <w:next w:val="Standard"/>
    <w:uiPriority w:val="9"/>
    <w:semiHidden/>
    <w:unhideWhenUsed/>
    <w:qFormat/>
    <w:pPr>
      <w:ind w:left="2880" w:hanging="1080"/>
      <w:outlineLvl w:val="3"/>
    </w:pPr>
    <w:rPr>
      <w:color w:val="000000"/>
    </w:rPr>
  </w:style>
  <w:style w:type="paragraph" w:styleId="Heading5">
    <w:name w:val="heading 5"/>
    <w:basedOn w:val="Normal"/>
    <w:next w:val="Standard"/>
    <w:uiPriority w:val="9"/>
    <w:semiHidden/>
    <w:unhideWhenUsed/>
    <w:qFormat/>
    <w:pPr>
      <w:ind w:left="3600" w:hanging="720"/>
      <w:outlineLvl w:val="4"/>
    </w:pPr>
    <w:rPr>
      <w:color w:val="000000"/>
    </w:rPr>
  </w:style>
  <w:style w:type="paragraph" w:styleId="Heading6">
    <w:name w:val="heading 6"/>
    <w:basedOn w:val="Normal"/>
    <w:next w:val="Standard"/>
    <w:uiPriority w:val="9"/>
    <w:semiHidden/>
    <w:unhideWhenUsed/>
    <w:qFormat/>
    <w:pPr>
      <w:ind w:left="4320"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40" w:line="360" w:lineRule="auto"/>
      <w:jc w:val="both"/>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spacing w:before="240" w:after="60"/>
      <w:jc w:val="center"/>
    </w:pPr>
    <w:rPr>
      <w:rFonts w:ascii="Arial" w:eastAsia="Arial" w:hAnsi="Arial" w:cs="Arial"/>
      <w:b/>
      <w:sz w:val="32"/>
      <w:szCs w:val="32"/>
    </w:rPr>
  </w:style>
  <w:style w:type="paragraph" w:styleId="Subtitle">
    <w:name w:val="Subtitle"/>
    <w:basedOn w:val="Normal"/>
    <w:next w:val="Standard"/>
    <w:uiPriority w:val="11"/>
    <w:qFormat/>
    <w:pPr>
      <w:spacing w:after="60"/>
      <w:jc w:val="center"/>
    </w:pPr>
    <w:rPr>
      <w:rFonts w:ascii="Cambria" w:eastAsia="Cambria" w:hAnsi="Cambria" w:cs="Cambria"/>
      <w:sz w:val="24"/>
      <w:szCs w:val="24"/>
    </w:rPr>
  </w:style>
  <w:style w:type="paragraph" w:styleId="Header">
    <w:name w:val="header"/>
    <w:basedOn w:val="Standard"/>
  </w:style>
  <w:style w:type="paragraph" w:styleId="Footer">
    <w:name w:val="footer"/>
    <w:basedOn w:val="Standard"/>
  </w:style>
  <w:style w:type="paragraph" w:styleId="ListParagraph">
    <w:name w:val="List Paragraph"/>
    <w:basedOn w:val="Normal"/>
    <w:pPr>
      <w:ind w:left="720"/>
      <w:contextualSpacing/>
    </w:pPr>
  </w:style>
  <w:style w:type="numbering" w:customStyle="1" w:styleId="NoList1">
    <w:name w:val="No List_1"/>
    <w:basedOn w:val="NoList"/>
    <w:pPr>
      <w:numPr>
        <w:numId w:val="2"/>
      </w:numPr>
    </w:pPr>
  </w:style>
  <w:style w:type="character" w:styleId="CommentReference">
    <w:name w:val="annotation reference"/>
    <w:basedOn w:val="DefaultParagraphFont"/>
    <w:uiPriority w:val="99"/>
    <w:semiHidden/>
    <w:unhideWhenUsed/>
    <w:rsid w:val="00F3737D"/>
    <w:rPr>
      <w:sz w:val="16"/>
      <w:szCs w:val="16"/>
    </w:rPr>
  </w:style>
  <w:style w:type="paragraph" w:styleId="CommentText">
    <w:name w:val="annotation text"/>
    <w:basedOn w:val="Normal"/>
    <w:link w:val="CommentTextChar"/>
    <w:uiPriority w:val="99"/>
    <w:semiHidden/>
    <w:unhideWhenUsed/>
    <w:rsid w:val="00F3737D"/>
    <w:rPr>
      <w:rFonts w:cs="Mangal"/>
      <w:sz w:val="20"/>
      <w:szCs w:val="18"/>
    </w:rPr>
  </w:style>
  <w:style w:type="character" w:customStyle="1" w:styleId="CommentTextChar">
    <w:name w:val="Comment Text Char"/>
    <w:basedOn w:val="DefaultParagraphFont"/>
    <w:link w:val="CommentText"/>
    <w:uiPriority w:val="99"/>
    <w:semiHidden/>
    <w:rsid w:val="00F3737D"/>
    <w:rPr>
      <w:rFonts w:cs="Mangal"/>
      <w:sz w:val="20"/>
      <w:szCs w:val="18"/>
    </w:rPr>
  </w:style>
  <w:style w:type="paragraph" w:styleId="CommentSubject">
    <w:name w:val="annotation subject"/>
    <w:basedOn w:val="CommentText"/>
    <w:next w:val="CommentText"/>
    <w:link w:val="CommentSubjectChar"/>
    <w:uiPriority w:val="99"/>
    <w:semiHidden/>
    <w:unhideWhenUsed/>
    <w:rsid w:val="00F3737D"/>
    <w:rPr>
      <w:b/>
      <w:bCs/>
    </w:rPr>
  </w:style>
  <w:style w:type="character" w:customStyle="1" w:styleId="CommentSubjectChar">
    <w:name w:val="Comment Subject Char"/>
    <w:basedOn w:val="CommentTextChar"/>
    <w:link w:val="CommentSubject"/>
    <w:uiPriority w:val="99"/>
    <w:semiHidden/>
    <w:rsid w:val="00F3737D"/>
    <w:rPr>
      <w:rFonts w:cs="Mangal"/>
      <w:b/>
      <w:bCs/>
      <w:sz w:val="20"/>
      <w:szCs w:val="18"/>
    </w:rPr>
  </w:style>
  <w:style w:type="paragraph" w:styleId="BalloonText">
    <w:name w:val="Balloon Text"/>
    <w:basedOn w:val="Normal"/>
    <w:link w:val="BalloonTextChar"/>
    <w:uiPriority w:val="99"/>
    <w:semiHidden/>
    <w:unhideWhenUsed/>
    <w:rsid w:val="00E026E9"/>
    <w:rPr>
      <w:rFonts w:ascii="Segoe UI" w:hAnsi="Segoe UI" w:cs="Mangal"/>
      <w:sz w:val="18"/>
      <w:szCs w:val="16"/>
    </w:rPr>
  </w:style>
  <w:style w:type="character" w:customStyle="1" w:styleId="BalloonTextChar">
    <w:name w:val="Balloon Text Char"/>
    <w:basedOn w:val="DefaultParagraphFont"/>
    <w:link w:val="BalloonText"/>
    <w:uiPriority w:val="99"/>
    <w:semiHidden/>
    <w:rsid w:val="00E026E9"/>
    <w:rPr>
      <w:rFonts w:ascii="Segoe UI" w:hAnsi="Segoe UI" w:cs="Mangal"/>
      <w:sz w:val="18"/>
      <w:szCs w:val="16"/>
    </w:rPr>
  </w:style>
  <w:style w:type="character" w:customStyle="1" w:styleId="UnresolvedMention1">
    <w:name w:val="Unresolved Mention1"/>
    <w:basedOn w:val="DefaultParagraphFont"/>
    <w:uiPriority w:val="99"/>
    <w:unhideWhenUsed/>
    <w:rsid w:val="00C2041E"/>
    <w:rPr>
      <w:color w:val="605E5C"/>
      <w:shd w:val="clear" w:color="auto" w:fill="E1DFDD"/>
    </w:rPr>
  </w:style>
  <w:style w:type="character" w:customStyle="1" w:styleId="Mention1">
    <w:name w:val="Mention1"/>
    <w:basedOn w:val="DefaultParagraphFont"/>
    <w:uiPriority w:val="99"/>
    <w:unhideWhenUsed/>
    <w:rsid w:val="00C2041E"/>
    <w:rPr>
      <w:color w:val="2B579A"/>
      <w:shd w:val="clear" w:color="auto" w:fill="E1DFDD"/>
    </w:rPr>
  </w:style>
  <w:style w:type="character" w:customStyle="1" w:styleId="normaltextrun">
    <w:name w:val="normaltextrun"/>
    <w:basedOn w:val="DefaultParagraphFont"/>
    <w:rsid w:val="00871753"/>
  </w:style>
  <w:style w:type="character" w:customStyle="1" w:styleId="eop">
    <w:name w:val="eop"/>
    <w:basedOn w:val="DefaultParagraphFont"/>
    <w:rsid w:val="0087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BC8FD-B973-45C6-B0B1-EAD802A10FD8}">
  <ds:schemaRefs>
    <ds:schemaRef ds:uri="http://schemas.microsoft.com/sharepoint/v3/contenttype/forms"/>
  </ds:schemaRefs>
</ds:datastoreItem>
</file>

<file path=customXml/itemProps2.xml><?xml version="1.0" encoding="utf-8"?>
<ds:datastoreItem xmlns:ds="http://schemas.openxmlformats.org/officeDocument/2006/customXml" ds:itemID="{3A707722-314C-4CC5-B163-F18D01279240}">
  <ds:schemaRef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a04dbe3e-63b4-48d2-9d03-f0eb0c7bc09d"/>
    <ds:schemaRef ds:uri="e508060a-f9db-4210-bc03-698d3f04150f"/>
    <ds:schemaRef ds:uri="http://purl.org/dc/elements/1.1/"/>
    <ds:schemaRef ds:uri="4feac705-4105-4bb1-bb77-ced40c3f9fcd"/>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F13565FD-158C-49EE-B0FB-86F0A45D5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ac705-4105-4bb1-bb77-ced40c3f9fcd"/>
    <ds:schemaRef ds:uri="e508060a-f9db-4210-bc03-698d3f04150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Sue DWP Sheffield Hartshead Square</dc:creator>
  <cp:keywords/>
  <cp:lastModifiedBy>Hodge Ian DWP Sheffield Hartshead Square</cp:lastModifiedBy>
  <cp:revision>4</cp:revision>
  <dcterms:created xsi:type="dcterms:W3CDTF">2022-04-26T19:20:00Z</dcterms:created>
  <dcterms:modified xsi:type="dcterms:W3CDTF">2022-08-16T09:15:00Z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0x0101005F83A7E0F53D994BB05DCB30071F1493</vt:lpwstr>
  </property>
  <property fmtid="{D5CDD505-2E9C-101B-9397-08002B2CF9AE}" pid="3" name="MediaServiceImageTags">
    <vt:lpwstr/>
  </property>
</Properties>
</file>