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982B1" w14:textId="6934F628" w:rsidR="003C0901" w:rsidRPr="005B0686" w:rsidRDefault="003C0901" w:rsidP="003C0901">
      <w:pPr>
        <w:pStyle w:val="Heading1"/>
        <w:rPr>
          <w:sz w:val="28"/>
        </w:rPr>
      </w:pPr>
      <w:r w:rsidRPr="007035FC">
        <w:rPr>
          <w:sz w:val="28"/>
        </w:rPr>
        <w:t xml:space="preserve">Presented </w:t>
      </w:r>
      <w:r>
        <w:rPr>
          <w:sz w:val="28"/>
        </w:rPr>
        <w:t>at relevant C</w:t>
      </w:r>
      <w:r w:rsidRPr="007035FC">
        <w:rPr>
          <w:sz w:val="28"/>
        </w:rPr>
        <w:t xml:space="preserve">ommittees </w:t>
      </w:r>
    </w:p>
    <w:tbl>
      <w:tblPr>
        <w:tblStyle w:val="GridTable4-Accent11"/>
        <w:tblW w:w="0" w:type="auto"/>
        <w:tblLook w:val="04A0" w:firstRow="1" w:lastRow="0" w:firstColumn="1" w:lastColumn="0" w:noHBand="0" w:noVBand="1"/>
      </w:tblPr>
      <w:tblGrid>
        <w:gridCol w:w="3710"/>
        <w:gridCol w:w="2519"/>
        <w:gridCol w:w="2737"/>
      </w:tblGrid>
      <w:tr w:rsidR="003C0901" w:rsidRPr="00DE28B4" w14:paraId="21A5F272" w14:textId="77777777" w:rsidTr="00873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Borders>
              <w:top w:val="single" w:sz="24" w:space="0" w:color="5B9BD5" w:themeColor="accent1"/>
              <w:left w:val="single" w:sz="24" w:space="0" w:color="5B9BD5" w:themeColor="accent1"/>
            </w:tcBorders>
          </w:tcPr>
          <w:p w14:paraId="49C7C167" w14:textId="77777777" w:rsidR="003C0901" w:rsidRPr="00E7692A" w:rsidRDefault="003C0901" w:rsidP="00B60396">
            <w:r w:rsidRPr="00E7692A">
              <w:t>Meeting / Committee</w:t>
            </w:r>
          </w:p>
        </w:tc>
        <w:tc>
          <w:tcPr>
            <w:tcW w:w="2519" w:type="dxa"/>
            <w:tcBorders>
              <w:top w:val="single" w:sz="24" w:space="0" w:color="5B9BD5" w:themeColor="accent1"/>
            </w:tcBorders>
          </w:tcPr>
          <w:p w14:paraId="0F536510" w14:textId="77777777" w:rsidR="003C0901" w:rsidRPr="00E7692A" w:rsidRDefault="003C0901" w:rsidP="00B60396">
            <w:pPr>
              <w:cnfStyle w:val="100000000000" w:firstRow="1" w:lastRow="0" w:firstColumn="0" w:lastColumn="0" w:oddVBand="0" w:evenVBand="0" w:oddHBand="0" w:evenHBand="0" w:firstRowFirstColumn="0" w:firstRowLastColumn="0" w:lastRowFirstColumn="0" w:lastRowLastColumn="0"/>
            </w:pPr>
            <w:r w:rsidRPr="00E7692A">
              <w:t>Attendance</w:t>
            </w:r>
          </w:p>
        </w:tc>
        <w:tc>
          <w:tcPr>
            <w:tcW w:w="2737" w:type="dxa"/>
            <w:tcBorders>
              <w:top w:val="single" w:sz="24" w:space="0" w:color="5B9BD5" w:themeColor="accent1"/>
              <w:right w:val="single" w:sz="24" w:space="0" w:color="5B9BD5" w:themeColor="accent1"/>
            </w:tcBorders>
          </w:tcPr>
          <w:p w14:paraId="0D58C5B9" w14:textId="77777777" w:rsidR="003C0901" w:rsidRPr="00DE28B4" w:rsidRDefault="003C0901" w:rsidP="00B60396">
            <w:pPr>
              <w:cnfStyle w:val="100000000000" w:firstRow="1" w:lastRow="0" w:firstColumn="0" w:lastColumn="0" w:oddVBand="0" w:evenVBand="0" w:oddHBand="0" w:evenHBand="0" w:firstRowFirstColumn="0" w:firstRowLastColumn="0" w:lastRowFirstColumn="0" w:lastRowLastColumn="0"/>
              <w:rPr>
                <w:color w:val="5B9BD5" w:themeColor="accent1"/>
              </w:rPr>
            </w:pPr>
            <w:r>
              <w:t>Date s</w:t>
            </w:r>
            <w:r w:rsidRPr="00E7692A">
              <w:t>chedule to attend</w:t>
            </w:r>
          </w:p>
        </w:tc>
      </w:tr>
      <w:tr w:rsidR="003C0901" w:rsidRPr="00DE28B4" w14:paraId="4C07D222" w14:textId="77777777" w:rsidTr="0087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7835B771" w14:textId="77777777" w:rsidR="003C0901" w:rsidRPr="00DE28B4" w:rsidRDefault="003C0901" w:rsidP="00B60396">
            <w:pPr>
              <w:rPr>
                <w:b w:val="0"/>
              </w:rPr>
            </w:pPr>
            <w:r w:rsidRPr="00DE28B4">
              <w:rPr>
                <w:b w:val="0"/>
              </w:rPr>
              <w:t>Internal QIPP Planning Committee</w:t>
            </w:r>
          </w:p>
          <w:p w14:paraId="3FCB6289" w14:textId="77777777" w:rsidR="003C0901" w:rsidRPr="00DE28B4" w:rsidRDefault="003C0901" w:rsidP="00B60396">
            <w:pPr>
              <w:rPr>
                <w:b w:val="0"/>
              </w:rPr>
            </w:pPr>
          </w:p>
        </w:tc>
        <w:tc>
          <w:tcPr>
            <w:tcW w:w="2519" w:type="dxa"/>
          </w:tcPr>
          <w:p w14:paraId="788FFE9A"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r w:rsidRPr="00DE28B4">
              <w:t xml:space="preserve">Yes </w:t>
            </w:r>
            <w:sdt>
              <w:sdtPr>
                <w:id w:val="8958576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No </w:t>
            </w:r>
            <w:sdt>
              <w:sdtPr>
                <w:id w:val="610393113"/>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2737" w:type="dxa"/>
            <w:tcBorders>
              <w:right w:val="single" w:sz="24" w:space="0" w:color="5B9BD5" w:themeColor="accent1"/>
            </w:tcBorders>
          </w:tcPr>
          <w:p w14:paraId="47275C2C"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p>
        </w:tc>
      </w:tr>
      <w:tr w:rsidR="003C0901" w:rsidRPr="00DE28B4" w14:paraId="41A47FF1" w14:textId="77777777" w:rsidTr="00873561">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63154D7F" w14:textId="77777777" w:rsidR="003C0901" w:rsidRPr="00DE28B4" w:rsidRDefault="003C0901" w:rsidP="00B60396">
            <w:pPr>
              <w:rPr>
                <w:b w:val="0"/>
              </w:rPr>
            </w:pPr>
            <w:r w:rsidRPr="00DE28B4">
              <w:rPr>
                <w:b w:val="0"/>
              </w:rPr>
              <w:t>Procurement Working Group</w:t>
            </w:r>
          </w:p>
          <w:p w14:paraId="434AF799" w14:textId="77777777" w:rsidR="003C0901" w:rsidRPr="00DE28B4" w:rsidRDefault="003C0901" w:rsidP="00B60396">
            <w:pPr>
              <w:rPr>
                <w:b w:val="0"/>
              </w:rPr>
            </w:pPr>
          </w:p>
        </w:tc>
        <w:tc>
          <w:tcPr>
            <w:tcW w:w="2519" w:type="dxa"/>
          </w:tcPr>
          <w:p w14:paraId="2E098917" w14:textId="024AB2F9"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r w:rsidRPr="00DE28B4">
              <w:t xml:space="preserve">Yes </w:t>
            </w:r>
            <w:sdt>
              <w:sdtPr>
                <w:id w:val="-699168421"/>
                <w14:checkbox>
                  <w14:checked w14:val="1"/>
                  <w14:checkedState w14:val="2612" w14:font="MS Gothic"/>
                  <w14:uncheckedState w14:val="2610" w14:font="MS Gothic"/>
                </w14:checkbox>
              </w:sdtPr>
              <w:sdtEndPr/>
              <w:sdtContent>
                <w:r w:rsidR="00873561">
                  <w:rPr>
                    <w:rFonts w:ascii="MS Gothic" w:eastAsia="MS Gothic" w:hAnsi="MS Gothic" w:hint="eastAsia"/>
                  </w:rPr>
                  <w:t>☒</w:t>
                </w:r>
              </w:sdtContent>
            </w:sdt>
            <w:r w:rsidRPr="00DE28B4">
              <w:t xml:space="preserve">       No </w:t>
            </w:r>
            <w:sdt>
              <w:sdtPr>
                <w:id w:val="-1267537951"/>
                <w14:checkbox>
                  <w14:checked w14:val="0"/>
                  <w14:checkedState w14:val="2612" w14:font="MS Gothic"/>
                  <w14:uncheckedState w14:val="2610" w14:font="MS Gothic"/>
                </w14:checkbox>
              </w:sdtPr>
              <w:sdtEndPr/>
              <w:sdtContent>
                <w:r w:rsidR="00873561">
                  <w:rPr>
                    <w:rFonts w:ascii="MS Gothic" w:eastAsia="MS Gothic" w:hAnsi="MS Gothic" w:hint="eastAsia"/>
                  </w:rPr>
                  <w:t>☐</w:t>
                </w:r>
              </w:sdtContent>
            </w:sdt>
            <w:r w:rsidRPr="00DE28B4">
              <w:t xml:space="preserve">    </w:t>
            </w:r>
          </w:p>
        </w:tc>
        <w:tc>
          <w:tcPr>
            <w:tcW w:w="2737" w:type="dxa"/>
            <w:tcBorders>
              <w:right w:val="single" w:sz="24" w:space="0" w:color="5B9BD5" w:themeColor="accent1"/>
            </w:tcBorders>
          </w:tcPr>
          <w:p w14:paraId="3EDD0F66" w14:textId="77777777"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r>
              <w:t>24/04/2018</w:t>
            </w:r>
          </w:p>
        </w:tc>
      </w:tr>
      <w:tr w:rsidR="003C0901" w:rsidRPr="00DE28B4" w14:paraId="2A6D324B" w14:textId="77777777" w:rsidTr="0087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5ECD09C1" w14:textId="77777777" w:rsidR="003C0901" w:rsidRPr="00DE28B4" w:rsidRDefault="003C0901" w:rsidP="00B60396">
            <w:pPr>
              <w:rPr>
                <w:b w:val="0"/>
              </w:rPr>
            </w:pPr>
            <w:r w:rsidRPr="00DE28B4">
              <w:rPr>
                <w:b w:val="0"/>
              </w:rPr>
              <w:t>Planning and Innovation Committee</w:t>
            </w:r>
          </w:p>
          <w:p w14:paraId="7AFC1CB5" w14:textId="77777777" w:rsidR="003C0901" w:rsidRPr="00DE28B4" w:rsidRDefault="003C0901" w:rsidP="00B60396">
            <w:pPr>
              <w:rPr>
                <w:b w:val="0"/>
              </w:rPr>
            </w:pPr>
          </w:p>
        </w:tc>
        <w:tc>
          <w:tcPr>
            <w:tcW w:w="2519" w:type="dxa"/>
          </w:tcPr>
          <w:p w14:paraId="34E645AA"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r w:rsidRPr="00DE28B4">
              <w:t xml:space="preserve">Yes </w:t>
            </w:r>
            <w:sdt>
              <w:sdtPr>
                <w:id w:val="-7266842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No </w:t>
            </w:r>
            <w:sdt>
              <w:sdtPr>
                <w:id w:val="1137151003"/>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2737" w:type="dxa"/>
            <w:tcBorders>
              <w:right w:val="single" w:sz="24" w:space="0" w:color="5B9BD5" w:themeColor="accent1"/>
            </w:tcBorders>
          </w:tcPr>
          <w:p w14:paraId="010B529E"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p>
        </w:tc>
      </w:tr>
      <w:tr w:rsidR="003C0901" w:rsidRPr="00DE28B4" w14:paraId="2B1EC763" w14:textId="77777777" w:rsidTr="00873561">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3A2F383F" w14:textId="77777777" w:rsidR="003C0901" w:rsidRPr="00DE28B4" w:rsidRDefault="003C0901" w:rsidP="00B60396">
            <w:pPr>
              <w:rPr>
                <w:b w:val="0"/>
              </w:rPr>
            </w:pPr>
            <w:r w:rsidRPr="00DE28B4">
              <w:rPr>
                <w:b w:val="0"/>
              </w:rPr>
              <w:t xml:space="preserve">Committee approval depending on the Business case  e.g. IT committee, Meds Management Committee  </w:t>
            </w:r>
          </w:p>
        </w:tc>
        <w:tc>
          <w:tcPr>
            <w:tcW w:w="2519" w:type="dxa"/>
          </w:tcPr>
          <w:p w14:paraId="408D956D" w14:textId="77777777"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r w:rsidRPr="00DE28B4">
              <w:t xml:space="preserve">Yes </w:t>
            </w:r>
            <w:sdt>
              <w:sdtPr>
                <w:id w:val="1381591844"/>
                <w14:checkbox>
                  <w14:checked w14:val="0"/>
                  <w14:checkedState w14:val="2612" w14:font="MS Gothic"/>
                  <w14:uncheckedState w14:val="2610" w14:font="MS Gothic"/>
                </w14:checkbox>
              </w:sdtPr>
              <w:sdtEndPr/>
              <w:sdtContent>
                <w:r w:rsidRPr="00DE28B4">
                  <w:rPr>
                    <w:rFonts w:ascii="MS Gothic" w:eastAsia="MS Gothic" w:hAnsi="MS Gothic" w:hint="eastAsia"/>
                  </w:rPr>
                  <w:t>☐</w:t>
                </w:r>
              </w:sdtContent>
            </w:sdt>
            <w:r w:rsidRPr="00DE28B4">
              <w:t xml:space="preserve">       No </w:t>
            </w:r>
            <w:sdt>
              <w:sdtPr>
                <w:id w:val="-1855031018"/>
                <w14:checkbox>
                  <w14:checked w14:val="1"/>
                  <w14:checkedState w14:val="2612" w14:font="MS Gothic"/>
                  <w14:uncheckedState w14:val="2610" w14:font="MS Gothic"/>
                </w14:checkbox>
              </w:sdtPr>
              <w:sdtEndPr/>
              <w:sdtContent>
                <w:r>
                  <w:rPr>
                    <w:rFonts w:ascii="MS Gothic" w:eastAsia="MS Gothic" w:hAnsi="MS Gothic" w:hint="eastAsia"/>
                  </w:rPr>
                  <w:t>☒</w:t>
                </w:r>
              </w:sdtContent>
            </w:sdt>
          </w:p>
        </w:tc>
        <w:tc>
          <w:tcPr>
            <w:tcW w:w="2737" w:type="dxa"/>
            <w:tcBorders>
              <w:right w:val="single" w:sz="24" w:space="0" w:color="5B9BD5" w:themeColor="accent1"/>
            </w:tcBorders>
          </w:tcPr>
          <w:p w14:paraId="12AA522A" w14:textId="77777777"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p>
        </w:tc>
      </w:tr>
      <w:tr w:rsidR="003C0901" w:rsidRPr="00DE28B4" w14:paraId="78DD26BC" w14:textId="77777777" w:rsidTr="0087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56D3E84C" w14:textId="77777777" w:rsidR="003C0901" w:rsidRPr="00DE28B4" w:rsidRDefault="003C0901" w:rsidP="00B60396">
            <w:pPr>
              <w:rPr>
                <w:b w:val="0"/>
              </w:rPr>
            </w:pPr>
            <w:r w:rsidRPr="00DE28B4">
              <w:rPr>
                <w:b w:val="0"/>
              </w:rPr>
              <w:t>Finance and QIPP Committee</w:t>
            </w:r>
          </w:p>
          <w:p w14:paraId="1A838274" w14:textId="77777777" w:rsidR="003C0901" w:rsidRPr="00DE28B4" w:rsidRDefault="003C0901" w:rsidP="00B60396">
            <w:pPr>
              <w:rPr>
                <w:b w:val="0"/>
              </w:rPr>
            </w:pPr>
          </w:p>
        </w:tc>
        <w:tc>
          <w:tcPr>
            <w:tcW w:w="2519" w:type="dxa"/>
          </w:tcPr>
          <w:p w14:paraId="4230639F"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r w:rsidRPr="00DE28B4">
              <w:t xml:space="preserve">Yes </w:t>
            </w:r>
            <w:sdt>
              <w:sdtPr>
                <w:id w:val="521595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No </w:t>
            </w:r>
            <w:sdt>
              <w:sdtPr>
                <w:id w:val="2033221155"/>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w:t>
            </w:r>
          </w:p>
        </w:tc>
        <w:tc>
          <w:tcPr>
            <w:tcW w:w="2737" w:type="dxa"/>
            <w:tcBorders>
              <w:right w:val="single" w:sz="24" w:space="0" w:color="5B9BD5" w:themeColor="accent1"/>
            </w:tcBorders>
          </w:tcPr>
          <w:p w14:paraId="556AAF8A"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p>
        </w:tc>
      </w:tr>
      <w:tr w:rsidR="003C0901" w:rsidRPr="00DE28B4" w14:paraId="753C01CE" w14:textId="77777777" w:rsidTr="00873561">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tcBorders>
          </w:tcPr>
          <w:p w14:paraId="5723DFD3" w14:textId="77777777" w:rsidR="003C0901" w:rsidRPr="00DE28B4" w:rsidRDefault="003C0901" w:rsidP="00B60396">
            <w:pPr>
              <w:rPr>
                <w:b w:val="0"/>
              </w:rPr>
            </w:pPr>
            <w:r w:rsidRPr="00721CE7">
              <w:rPr>
                <w:b w:val="0"/>
              </w:rPr>
              <w:t>iBCF Grant Joint Working Group</w:t>
            </w:r>
          </w:p>
        </w:tc>
        <w:tc>
          <w:tcPr>
            <w:tcW w:w="2519" w:type="dxa"/>
          </w:tcPr>
          <w:p w14:paraId="164E804A" w14:textId="77777777"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r w:rsidRPr="00DE28B4">
              <w:t xml:space="preserve">Yes </w:t>
            </w:r>
            <w:sdt>
              <w:sdtPr>
                <w:id w:val="-202508158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No </w:t>
            </w:r>
            <w:sdt>
              <w:sdtPr>
                <w:id w:val="-378116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37" w:type="dxa"/>
            <w:tcBorders>
              <w:right w:val="single" w:sz="24" w:space="0" w:color="5B9BD5" w:themeColor="accent1"/>
            </w:tcBorders>
          </w:tcPr>
          <w:p w14:paraId="5C9C5A2B" w14:textId="77777777" w:rsidR="003C0901" w:rsidRPr="00DE28B4" w:rsidRDefault="003C0901" w:rsidP="00B60396">
            <w:pPr>
              <w:spacing w:line="360" w:lineRule="auto"/>
              <w:cnfStyle w:val="000000000000" w:firstRow="0" w:lastRow="0" w:firstColumn="0" w:lastColumn="0" w:oddVBand="0" w:evenVBand="0" w:oddHBand="0" w:evenHBand="0" w:firstRowFirstColumn="0" w:firstRowLastColumn="0" w:lastRowFirstColumn="0" w:lastRowLastColumn="0"/>
            </w:pPr>
            <w:r>
              <w:t>23/04/2018 (Verbally)</w:t>
            </w:r>
          </w:p>
        </w:tc>
      </w:tr>
      <w:tr w:rsidR="003C0901" w:rsidRPr="00DE28B4" w14:paraId="17676BD3" w14:textId="77777777" w:rsidTr="0087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Borders>
              <w:left w:val="single" w:sz="24" w:space="0" w:color="5B9BD5" w:themeColor="accent1"/>
              <w:bottom w:val="single" w:sz="24" w:space="0" w:color="5B9BD5" w:themeColor="accent1"/>
            </w:tcBorders>
          </w:tcPr>
          <w:p w14:paraId="1A1E220A" w14:textId="77777777" w:rsidR="003C0901" w:rsidRPr="00DE28B4" w:rsidRDefault="003C0901" w:rsidP="00B60396">
            <w:pPr>
              <w:rPr>
                <w:b w:val="0"/>
              </w:rPr>
            </w:pPr>
            <w:r w:rsidRPr="00DE28B4">
              <w:rPr>
                <w:b w:val="0"/>
              </w:rPr>
              <w:t>Clinical lead sign off / engagement</w:t>
            </w:r>
          </w:p>
          <w:p w14:paraId="110CAA2F" w14:textId="77777777" w:rsidR="003C0901" w:rsidRPr="00DE28B4" w:rsidRDefault="003C0901" w:rsidP="00B60396">
            <w:pPr>
              <w:rPr>
                <w:b w:val="0"/>
              </w:rPr>
            </w:pPr>
          </w:p>
        </w:tc>
        <w:tc>
          <w:tcPr>
            <w:tcW w:w="2519" w:type="dxa"/>
            <w:tcBorders>
              <w:bottom w:val="single" w:sz="24" w:space="0" w:color="5B9BD5" w:themeColor="accent1"/>
            </w:tcBorders>
          </w:tcPr>
          <w:p w14:paraId="2DE98AAB" w14:textId="77777777" w:rsidR="003C0901" w:rsidRPr="00DE28B4" w:rsidRDefault="003C0901" w:rsidP="00B60396">
            <w:pPr>
              <w:spacing w:line="360" w:lineRule="auto"/>
              <w:cnfStyle w:val="000000100000" w:firstRow="0" w:lastRow="0" w:firstColumn="0" w:lastColumn="0" w:oddVBand="0" w:evenVBand="0" w:oddHBand="1" w:evenHBand="0" w:firstRowFirstColumn="0" w:firstRowLastColumn="0" w:lastRowFirstColumn="0" w:lastRowLastColumn="0"/>
            </w:pPr>
            <w:r w:rsidRPr="00DE28B4">
              <w:t xml:space="preserve">Yes </w:t>
            </w:r>
            <w:sdt>
              <w:sdtPr>
                <w:rPr>
                  <w:rFonts w:ascii="MS Gothic" w:eastAsia="MS Gothic" w:hAnsi="MS Gothic"/>
                </w:rPr>
                <w:id w:val="-183082441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DE28B4">
              <w:t xml:space="preserve">       No </w:t>
            </w:r>
            <w:sdt>
              <w:sdtPr>
                <w:id w:val="17245536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737" w:type="dxa"/>
            <w:tcBorders>
              <w:bottom w:val="single" w:sz="24" w:space="0" w:color="5B9BD5" w:themeColor="accent1"/>
              <w:right w:val="single" w:sz="24" w:space="0" w:color="5B9BD5" w:themeColor="accent1"/>
            </w:tcBorders>
          </w:tcPr>
          <w:p w14:paraId="7379816F" w14:textId="1A0E1E9D" w:rsidR="003C0901" w:rsidRPr="00DE28B4" w:rsidRDefault="00873561" w:rsidP="00B60396">
            <w:pPr>
              <w:spacing w:line="360" w:lineRule="auto"/>
              <w:cnfStyle w:val="000000100000" w:firstRow="0" w:lastRow="0" w:firstColumn="0" w:lastColumn="0" w:oddVBand="0" w:evenVBand="0" w:oddHBand="1" w:evenHBand="0" w:firstRowFirstColumn="0" w:firstRowLastColumn="0" w:lastRowFirstColumn="0" w:lastRowLastColumn="0"/>
            </w:pPr>
            <w:r>
              <w:t>23/04/2018 (Verbally)</w:t>
            </w:r>
          </w:p>
        </w:tc>
      </w:tr>
    </w:tbl>
    <w:p w14:paraId="33B2CC0F" w14:textId="77777777" w:rsidR="003C0901" w:rsidRPr="009D6BD1" w:rsidRDefault="003C0901" w:rsidP="003C0901">
      <w:pPr>
        <w:pStyle w:val="Heading1"/>
        <w:rPr>
          <w:sz w:val="28"/>
        </w:rPr>
      </w:pPr>
      <w:r w:rsidRPr="009D6BD1">
        <w:rPr>
          <w:sz w:val="28"/>
        </w:rPr>
        <w:t>Proposed Timeline</w:t>
      </w:r>
    </w:p>
    <w:p w14:paraId="6D4B3A9B" w14:textId="77777777" w:rsidR="003C0901" w:rsidRDefault="003C0901" w:rsidP="003C0901">
      <w:pPr>
        <w:pStyle w:val="Heading2"/>
        <w:rPr>
          <w:sz w:val="22"/>
        </w:rPr>
      </w:pPr>
      <w:r w:rsidRPr="009D6BD1">
        <w:rPr>
          <w:sz w:val="22"/>
        </w:rPr>
        <w:t>High</w:t>
      </w:r>
      <w:r>
        <w:rPr>
          <w:sz w:val="22"/>
        </w:rPr>
        <w:t xml:space="preserve"> level procurement plan;</w:t>
      </w:r>
    </w:p>
    <w:tbl>
      <w:tblPr>
        <w:tblStyle w:val="ListTable3-Accent11"/>
        <w:tblW w:w="10194" w:type="dxa"/>
        <w:tblCellMar>
          <w:left w:w="28" w:type="dxa"/>
          <w:right w:w="28" w:type="dxa"/>
        </w:tblCellMar>
        <w:tblLook w:val="04A0" w:firstRow="1" w:lastRow="0" w:firstColumn="1" w:lastColumn="0" w:noHBand="0" w:noVBand="1"/>
      </w:tblPr>
      <w:tblGrid>
        <w:gridCol w:w="881"/>
        <w:gridCol w:w="3770"/>
        <w:gridCol w:w="2385"/>
        <w:gridCol w:w="3158"/>
      </w:tblGrid>
      <w:tr w:rsidR="003C0901" w:rsidRPr="00CA4843" w14:paraId="4F5CCAD5" w14:textId="77777777" w:rsidTr="00B60396">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881" w:type="dxa"/>
            <w:tcBorders>
              <w:top w:val="single" w:sz="24" w:space="0" w:color="5B9BD5" w:themeColor="accent1"/>
              <w:left w:val="single" w:sz="24" w:space="0" w:color="5B9BD5" w:themeColor="accent1"/>
              <w:right w:val="single" w:sz="4" w:space="0" w:color="5B9BD5" w:themeColor="accent1"/>
            </w:tcBorders>
            <w:textDirection w:val="btLr"/>
          </w:tcPr>
          <w:p w14:paraId="7A14405F" w14:textId="77777777" w:rsidR="003C0901" w:rsidRPr="00CA4843" w:rsidRDefault="003C0901" w:rsidP="00B60396">
            <w:pPr>
              <w:rPr>
                <w:rFonts w:eastAsia="Times New Roman" w:cstheme="minorHAnsi"/>
                <w:color w:val="000000"/>
                <w:lang w:eastAsia="en-GB"/>
              </w:rPr>
            </w:pPr>
          </w:p>
        </w:tc>
        <w:tc>
          <w:tcPr>
            <w:tcW w:w="3770" w:type="dxa"/>
            <w:tcBorders>
              <w:top w:val="single" w:sz="24" w:space="0" w:color="5B9BD5" w:themeColor="accent1"/>
              <w:left w:val="single" w:sz="4" w:space="0" w:color="5B9BD5" w:themeColor="accent1"/>
              <w:right w:val="single" w:sz="4" w:space="0" w:color="5B9BD5" w:themeColor="accent1"/>
            </w:tcBorders>
          </w:tcPr>
          <w:p w14:paraId="75F66449" w14:textId="77777777" w:rsidR="003C0901" w:rsidRPr="00CA4843" w:rsidRDefault="003C0901" w:rsidP="00B6039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A4843">
              <w:rPr>
                <w:rFonts w:cstheme="minorHAnsi"/>
              </w:rPr>
              <w:t>Actions</w:t>
            </w:r>
          </w:p>
        </w:tc>
        <w:tc>
          <w:tcPr>
            <w:tcW w:w="2385" w:type="dxa"/>
            <w:tcBorders>
              <w:top w:val="single" w:sz="24" w:space="0" w:color="5B9BD5" w:themeColor="accent1"/>
              <w:left w:val="single" w:sz="4" w:space="0" w:color="5B9BD5" w:themeColor="accent1"/>
              <w:right w:val="single" w:sz="4" w:space="0" w:color="5B9BD5" w:themeColor="accent1"/>
            </w:tcBorders>
          </w:tcPr>
          <w:p w14:paraId="08723464" w14:textId="77777777" w:rsidR="003C0901" w:rsidRPr="00CA4843" w:rsidRDefault="003C0901" w:rsidP="00B6039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A4843">
              <w:rPr>
                <w:rFonts w:cstheme="minorHAnsi"/>
              </w:rPr>
              <w:t>Completion Date</w:t>
            </w:r>
          </w:p>
        </w:tc>
        <w:tc>
          <w:tcPr>
            <w:tcW w:w="3158" w:type="dxa"/>
            <w:tcBorders>
              <w:top w:val="single" w:sz="24" w:space="0" w:color="5B9BD5" w:themeColor="accent1"/>
              <w:left w:val="single" w:sz="4" w:space="0" w:color="5B9BD5" w:themeColor="accent1"/>
              <w:right w:val="single" w:sz="24" w:space="0" w:color="5B9BD5" w:themeColor="accent1"/>
            </w:tcBorders>
          </w:tcPr>
          <w:p w14:paraId="20509B26" w14:textId="77777777" w:rsidR="003C0901" w:rsidRPr="00CA4843" w:rsidRDefault="003C0901" w:rsidP="00B6039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A4843">
              <w:rPr>
                <w:rFonts w:cstheme="minorHAnsi"/>
              </w:rPr>
              <w:t>Responsibility</w:t>
            </w:r>
          </w:p>
        </w:tc>
      </w:tr>
      <w:tr w:rsidR="003C0901" w:rsidRPr="00CA4843" w14:paraId="5BC06680" w14:textId="77777777" w:rsidTr="00B6039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81" w:type="dxa"/>
            <w:vMerge w:val="restart"/>
            <w:tcBorders>
              <w:left w:val="single" w:sz="24" w:space="0" w:color="5B9BD5" w:themeColor="accent1"/>
              <w:right w:val="single" w:sz="24" w:space="0" w:color="5B9BD5" w:themeColor="accent1"/>
            </w:tcBorders>
            <w:textDirection w:val="btLr"/>
            <w:vAlign w:val="center"/>
            <w:hideMark/>
          </w:tcPr>
          <w:p w14:paraId="35DE38E7" w14:textId="77777777" w:rsidR="003C0901" w:rsidRPr="00DD0EC2" w:rsidRDefault="003C0901" w:rsidP="00B60396">
            <w:pPr>
              <w:jc w:val="center"/>
              <w:rPr>
                <w:rFonts w:eastAsia="Times New Roman" w:cstheme="minorHAnsi"/>
                <w:color w:val="000000"/>
                <w:lang w:eastAsia="en-GB"/>
              </w:rPr>
            </w:pPr>
            <w:r w:rsidRPr="00DD0EC2">
              <w:rPr>
                <w:rFonts w:eastAsia="Times New Roman" w:cstheme="minorHAnsi"/>
                <w:color w:val="000000"/>
                <w:lang w:eastAsia="en-GB"/>
              </w:rPr>
              <w:t>Pre-procurement preparation</w:t>
            </w:r>
          </w:p>
        </w:tc>
        <w:tc>
          <w:tcPr>
            <w:tcW w:w="3770" w:type="dxa"/>
            <w:tcBorders>
              <w:left w:val="single" w:sz="24" w:space="0" w:color="5B9BD5" w:themeColor="accent1"/>
              <w:right w:val="single" w:sz="4" w:space="0" w:color="5B9BD5" w:themeColor="accent1"/>
            </w:tcBorders>
            <w:hideMark/>
          </w:tcPr>
          <w:p w14:paraId="2939C27F"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Specification formally approved</w:t>
            </w:r>
          </w:p>
        </w:tc>
        <w:tc>
          <w:tcPr>
            <w:tcW w:w="2385" w:type="dxa"/>
            <w:tcBorders>
              <w:left w:val="single" w:sz="4" w:space="0" w:color="5B9BD5" w:themeColor="accent1"/>
              <w:right w:val="single" w:sz="4" w:space="0" w:color="5B9BD5" w:themeColor="accent1"/>
            </w:tcBorders>
          </w:tcPr>
          <w:p w14:paraId="27E74E0A"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April 18</w:t>
            </w:r>
          </w:p>
        </w:tc>
        <w:tc>
          <w:tcPr>
            <w:tcW w:w="3158" w:type="dxa"/>
            <w:tcBorders>
              <w:left w:val="single" w:sz="4" w:space="0" w:color="5B9BD5" w:themeColor="accent1"/>
              <w:right w:val="single" w:sz="24" w:space="0" w:color="5B9BD5" w:themeColor="accent1"/>
            </w:tcBorders>
          </w:tcPr>
          <w:p w14:paraId="6FA9AF8B"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Project Lead / P&amp;I</w:t>
            </w:r>
          </w:p>
        </w:tc>
      </w:tr>
      <w:tr w:rsidR="003C0901" w:rsidRPr="00CA4843" w14:paraId="6616E65D" w14:textId="77777777" w:rsidTr="00B60396">
        <w:trPr>
          <w:trHeight w:val="540"/>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7F2911D7"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bottom w:val="single" w:sz="24" w:space="0" w:color="5B9BD5" w:themeColor="accent1"/>
              <w:right w:val="single" w:sz="4" w:space="0" w:color="5B9BD5" w:themeColor="accent1"/>
            </w:tcBorders>
            <w:hideMark/>
          </w:tcPr>
          <w:p w14:paraId="659E6109" w14:textId="77777777" w:rsidR="003C0901" w:rsidRPr="00DD0EC2"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Confirm TUPE applicability</w:t>
            </w:r>
          </w:p>
        </w:tc>
        <w:tc>
          <w:tcPr>
            <w:tcW w:w="2385" w:type="dxa"/>
            <w:tcBorders>
              <w:left w:val="single" w:sz="4" w:space="0" w:color="5B9BD5" w:themeColor="accent1"/>
              <w:bottom w:val="single" w:sz="24" w:space="0" w:color="5B9BD5" w:themeColor="accent1"/>
              <w:right w:val="single" w:sz="4" w:space="0" w:color="5B9BD5" w:themeColor="accent1"/>
            </w:tcBorders>
          </w:tcPr>
          <w:p w14:paraId="07FD80E5"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N/A</w:t>
            </w:r>
          </w:p>
        </w:tc>
        <w:tc>
          <w:tcPr>
            <w:tcW w:w="3158" w:type="dxa"/>
            <w:tcBorders>
              <w:left w:val="single" w:sz="4" w:space="0" w:color="5B9BD5" w:themeColor="accent1"/>
              <w:bottom w:val="single" w:sz="24" w:space="0" w:color="5B9BD5" w:themeColor="accent1"/>
              <w:right w:val="single" w:sz="24" w:space="0" w:color="5B9BD5" w:themeColor="accent1"/>
            </w:tcBorders>
          </w:tcPr>
          <w:p w14:paraId="234696E0"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Project Lead / Contracts Lead</w:t>
            </w:r>
          </w:p>
        </w:tc>
      </w:tr>
      <w:tr w:rsidR="003C0901" w:rsidRPr="00CA4843" w14:paraId="7A0AF8BE" w14:textId="77777777" w:rsidTr="00B6039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881" w:type="dxa"/>
            <w:vMerge w:val="restart"/>
            <w:tcBorders>
              <w:top w:val="single" w:sz="24" w:space="0" w:color="5B9BD5" w:themeColor="accent1"/>
              <w:left w:val="single" w:sz="24" w:space="0" w:color="5B9BD5" w:themeColor="accent1"/>
              <w:bottom w:val="single" w:sz="24" w:space="0" w:color="5B9BD5" w:themeColor="accent1"/>
              <w:right w:val="single" w:sz="24" w:space="0" w:color="5B9BD5" w:themeColor="accent1"/>
            </w:tcBorders>
            <w:textDirection w:val="btLr"/>
            <w:vAlign w:val="center"/>
            <w:hideMark/>
          </w:tcPr>
          <w:p w14:paraId="17907992" w14:textId="77777777" w:rsidR="003C0901" w:rsidRPr="00DD0EC2" w:rsidRDefault="003C0901" w:rsidP="00B60396">
            <w:pPr>
              <w:jc w:val="center"/>
              <w:rPr>
                <w:rFonts w:eastAsia="Times New Roman" w:cstheme="minorHAnsi"/>
                <w:color w:val="000000"/>
                <w:lang w:eastAsia="en-GB"/>
              </w:rPr>
            </w:pPr>
            <w:r w:rsidRPr="00DD0EC2">
              <w:rPr>
                <w:rFonts w:eastAsia="Times New Roman" w:cstheme="minorHAnsi"/>
                <w:color w:val="000000"/>
                <w:lang w:eastAsia="en-GB"/>
              </w:rPr>
              <w:t>Procurement Stage</w:t>
            </w:r>
          </w:p>
        </w:tc>
        <w:tc>
          <w:tcPr>
            <w:tcW w:w="3770" w:type="dxa"/>
            <w:tcBorders>
              <w:top w:val="single" w:sz="24" w:space="0" w:color="5B9BD5" w:themeColor="accent1"/>
              <w:left w:val="single" w:sz="24" w:space="0" w:color="5B9BD5" w:themeColor="accent1"/>
              <w:right w:val="single" w:sz="4" w:space="0" w:color="5B9BD5" w:themeColor="accent1"/>
            </w:tcBorders>
            <w:hideMark/>
          </w:tcPr>
          <w:p w14:paraId="1C948C37"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Market engagement</w:t>
            </w:r>
          </w:p>
        </w:tc>
        <w:tc>
          <w:tcPr>
            <w:tcW w:w="2385" w:type="dxa"/>
            <w:tcBorders>
              <w:top w:val="single" w:sz="24" w:space="0" w:color="5B9BD5" w:themeColor="accent1"/>
              <w:left w:val="single" w:sz="4" w:space="0" w:color="5B9BD5" w:themeColor="accent1"/>
              <w:right w:val="single" w:sz="4" w:space="0" w:color="5B9BD5" w:themeColor="accent1"/>
            </w:tcBorders>
          </w:tcPr>
          <w:p w14:paraId="09D3D9F9"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April/May 18</w:t>
            </w:r>
          </w:p>
        </w:tc>
        <w:tc>
          <w:tcPr>
            <w:tcW w:w="3158" w:type="dxa"/>
            <w:tcBorders>
              <w:top w:val="single" w:sz="24" w:space="0" w:color="5B9BD5" w:themeColor="accent1"/>
              <w:left w:val="single" w:sz="4" w:space="0" w:color="5B9BD5" w:themeColor="accent1"/>
              <w:right w:val="single" w:sz="24" w:space="0" w:color="5B9BD5" w:themeColor="accent1"/>
            </w:tcBorders>
          </w:tcPr>
          <w:p w14:paraId="1F5DDD95" w14:textId="77777777" w:rsidR="003C0901"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Project Lead</w:t>
            </w:r>
          </w:p>
          <w:p w14:paraId="6F0A527A"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p>
        </w:tc>
      </w:tr>
      <w:tr w:rsidR="003C0901" w:rsidRPr="00CA4843" w14:paraId="68BA7C58" w14:textId="77777777" w:rsidTr="00B60396">
        <w:trPr>
          <w:trHeight w:val="420"/>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11F59CEB"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16919BA5" w14:textId="77777777" w:rsidR="003C0901" w:rsidRPr="00DD0EC2"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 xml:space="preserve">Serve contract notice </w:t>
            </w:r>
          </w:p>
        </w:tc>
        <w:tc>
          <w:tcPr>
            <w:tcW w:w="2385" w:type="dxa"/>
            <w:tcBorders>
              <w:left w:val="single" w:sz="4" w:space="0" w:color="5B9BD5" w:themeColor="accent1"/>
              <w:right w:val="single" w:sz="4" w:space="0" w:color="5B9BD5" w:themeColor="accent1"/>
            </w:tcBorders>
          </w:tcPr>
          <w:p w14:paraId="6B0CCC3A"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N/A</w:t>
            </w:r>
          </w:p>
        </w:tc>
        <w:tc>
          <w:tcPr>
            <w:tcW w:w="3158" w:type="dxa"/>
            <w:tcBorders>
              <w:left w:val="single" w:sz="4" w:space="0" w:color="5B9BD5" w:themeColor="accent1"/>
              <w:right w:val="single" w:sz="24" w:space="0" w:color="5B9BD5" w:themeColor="accent1"/>
            </w:tcBorders>
          </w:tcPr>
          <w:p w14:paraId="6503AB41" w14:textId="77777777" w:rsidR="003C0901"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Contracts Lead</w:t>
            </w:r>
          </w:p>
          <w:p w14:paraId="58CDC2E4"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p>
        </w:tc>
      </w:tr>
      <w:tr w:rsidR="003C0901" w:rsidRPr="00CA4843" w14:paraId="18481229" w14:textId="77777777" w:rsidTr="00B6039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55411BCD"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3DD46D87"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Interview</w:t>
            </w:r>
            <w:r w:rsidRPr="00CA4843">
              <w:rPr>
                <w:rFonts w:eastAsia="Times New Roman" w:cstheme="minorHAnsi"/>
                <w:color w:val="000000"/>
                <w:lang w:eastAsia="en-GB"/>
              </w:rPr>
              <w:t xml:space="preserve"> </w:t>
            </w:r>
            <w:r w:rsidRPr="00DD0EC2">
              <w:rPr>
                <w:rFonts w:eastAsia="Times New Roman" w:cstheme="minorHAnsi"/>
                <w:color w:val="000000"/>
                <w:lang w:eastAsia="en-GB"/>
              </w:rPr>
              <w:t>/ presentations</w:t>
            </w:r>
          </w:p>
        </w:tc>
        <w:tc>
          <w:tcPr>
            <w:tcW w:w="2385" w:type="dxa"/>
            <w:tcBorders>
              <w:left w:val="single" w:sz="4" w:space="0" w:color="5B9BD5" w:themeColor="accent1"/>
              <w:right w:val="single" w:sz="4" w:space="0" w:color="5B9BD5" w:themeColor="accent1"/>
            </w:tcBorders>
          </w:tcPr>
          <w:p w14:paraId="197A96A8"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TBC – if required</w:t>
            </w:r>
          </w:p>
        </w:tc>
        <w:tc>
          <w:tcPr>
            <w:tcW w:w="3158" w:type="dxa"/>
            <w:tcBorders>
              <w:left w:val="single" w:sz="4" w:space="0" w:color="5B9BD5" w:themeColor="accent1"/>
              <w:right w:val="single" w:sz="24" w:space="0" w:color="5B9BD5" w:themeColor="accent1"/>
            </w:tcBorders>
          </w:tcPr>
          <w:p w14:paraId="0EF270DE" w14:textId="77777777" w:rsidR="003C0901"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 xml:space="preserve">Project Lead </w:t>
            </w:r>
          </w:p>
          <w:p w14:paraId="05E0B338"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p>
        </w:tc>
      </w:tr>
      <w:tr w:rsidR="003C0901" w:rsidRPr="00CA4843" w14:paraId="2C963A8B" w14:textId="77777777" w:rsidTr="00B60396">
        <w:trPr>
          <w:trHeight w:val="422"/>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1FED65D2"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7167E23B" w14:textId="77777777" w:rsidR="003C0901" w:rsidRPr="00DD0EC2"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Award recommendation</w:t>
            </w:r>
          </w:p>
        </w:tc>
        <w:tc>
          <w:tcPr>
            <w:tcW w:w="2385" w:type="dxa"/>
            <w:tcBorders>
              <w:left w:val="single" w:sz="4" w:space="0" w:color="5B9BD5" w:themeColor="accent1"/>
              <w:right w:val="single" w:sz="4" w:space="0" w:color="5B9BD5" w:themeColor="accent1"/>
            </w:tcBorders>
          </w:tcPr>
          <w:p w14:paraId="395EF36F"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June 18</w:t>
            </w:r>
          </w:p>
        </w:tc>
        <w:tc>
          <w:tcPr>
            <w:tcW w:w="3158" w:type="dxa"/>
            <w:tcBorders>
              <w:left w:val="single" w:sz="4" w:space="0" w:color="5B9BD5" w:themeColor="accent1"/>
              <w:right w:val="single" w:sz="24" w:space="0" w:color="5B9BD5" w:themeColor="accent1"/>
            </w:tcBorders>
          </w:tcPr>
          <w:p w14:paraId="0AADC8DD" w14:textId="77777777" w:rsidR="003C0901"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Project Lead / CSU Procurement Lead</w:t>
            </w:r>
          </w:p>
          <w:p w14:paraId="47FF6A1A"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p>
        </w:tc>
      </w:tr>
      <w:tr w:rsidR="003C0901" w:rsidRPr="00CA4843" w14:paraId="71127C01" w14:textId="77777777" w:rsidTr="00B6039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1A50AAD5"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23B67A08"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 xml:space="preserve">CCG governing body </w:t>
            </w:r>
            <w:r>
              <w:rPr>
                <w:rFonts w:eastAsia="Times New Roman" w:cstheme="minorHAnsi"/>
                <w:color w:val="000000"/>
                <w:lang w:eastAsia="en-GB"/>
              </w:rPr>
              <w:t>approve recommendation</w:t>
            </w:r>
          </w:p>
        </w:tc>
        <w:tc>
          <w:tcPr>
            <w:tcW w:w="2385" w:type="dxa"/>
            <w:tcBorders>
              <w:left w:val="single" w:sz="4" w:space="0" w:color="5B9BD5" w:themeColor="accent1"/>
              <w:right w:val="single" w:sz="4" w:space="0" w:color="5B9BD5" w:themeColor="accent1"/>
            </w:tcBorders>
          </w:tcPr>
          <w:p w14:paraId="2A7457C7"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June 18</w:t>
            </w:r>
          </w:p>
        </w:tc>
        <w:tc>
          <w:tcPr>
            <w:tcW w:w="3158" w:type="dxa"/>
            <w:tcBorders>
              <w:left w:val="single" w:sz="4" w:space="0" w:color="5B9BD5" w:themeColor="accent1"/>
              <w:right w:val="single" w:sz="24" w:space="0" w:color="5B9BD5" w:themeColor="accent1"/>
            </w:tcBorders>
          </w:tcPr>
          <w:p w14:paraId="4C584316"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Project Lead</w:t>
            </w:r>
          </w:p>
        </w:tc>
      </w:tr>
      <w:tr w:rsidR="003C0901" w:rsidRPr="00CA4843" w14:paraId="12C02EED" w14:textId="77777777" w:rsidTr="00B60396">
        <w:trPr>
          <w:trHeight w:val="27"/>
        </w:trPr>
        <w:tc>
          <w:tcPr>
            <w:cnfStyle w:val="001000000000" w:firstRow="0" w:lastRow="0" w:firstColumn="1" w:lastColumn="0" w:oddVBand="0" w:evenVBand="0" w:oddHBand="0" w:evenHBand="0" w:firstRowFirstColumn="0" w:firstRowLastColumn="0" w:lastRowFirstColumn="0" w:lastRowLastColumn="0"/>
            <w:tcW w:w="881" w:type="dxa"/>
            <w:vMerge w:val="restart"/>
            <w:tcBorders>
              <w:top w:val="single" w:sz="24" w:space="0" w:color="5B9BD5" w:themeColor="accent1"/>
              <w:left w:val="single" w:sz="24" w:space="0" w:color="5B9BD5" w:themeColor="accent1"/>
              <w:bottom w:val="single" w:sz="24" w:space="0" w:color="5B9BD5" w:themeColor="accent1"/>
              <w:right w:val="single" w:sz="24" w:space="0" w:color="5B9BD5" w:themeColor="accent1"/>
            </w:tcBorders>
            <w:textDirection w:val="btLr"/>
            <w:vAlign w:val="center"/>
          </w:tcPr>
          <w:p w14:paraId="6D2C2A79" w14:textId="77777777" w:rsidR="003C0901" w:rsidRPr="00DD0EC2" w:rsidRDefault="003C0901" w:rsidP="00B60396">
            <w:pPr>
              <w:ind w:left="113" w:right="113"/>
              <w:jc w:val="center"/>
              <w:rPr>
                <w:rFonts w:eastAsia="Times New Roman" w:cstheme="minorHAnsi"/>
                <w:color w:val="000000"/>
                <w:lang w:eastAsia="en-GB"/>
              </w:rPr>
            </w:pPr>
            <w:r w:rsidRPr="00DD0EC2">
              <w:rPr>
                <w:rFonts w:eastAsia="Times New Roman" w:cstheme="minorHAnsi"/>
                <w:color w:val="000000"/>
                <w:lang w:eastAsia="en-GB"/>
              </w:rPr>
              <w:t>Post Procurement</w:t>
            </w:r>
          </w:p>
        </w:tc>
        <w:tc>
          <w:tcPr>
            <w:tcW w:w="3770" w:type="dxa"/>
            <w:tcBorders>
              <w:top w:val="single" w:sz="24" w:space="0" w:color="5B9BD5" w:themeColor="accent1"/>
              <w:left w:val="single" w:sz="24" w:space="0" w:color="5B9BD5" w:themeColor="accent1"/>
              <w:right w:val="single" w:sz="4" w:space="0" w:color="5B9BD5" w:themeColor="accent1"/>
            </w:tcBorders>
          </w:tcPr>
          <w:p w14:paraId="52664464" w14:textId="77777777" w:rsidR="003C0901" w:rsidRPr="00DD0EC2"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Draw up contract</w:t>
            </w:r>
          </w:p>
        </w:tc>
        <w:tc>
          <w:tcPr>
            <w:tcW w:w="2385" w:type="dxa"/>
            <w:tcBorders>
              <w:top w:val="single" w:sz="24" w:space="0" w:color="5B9BD5" w:themeColor="accent1"/>
              <w:left w:val="single" w:sz="4" w:space="0" w:color="5B9BD5" w:themeColor="accent1"/>
              <w:right w:val="single" w:sz="4" w:space="0" w:color="5B9BD5" w:themeColor="accent1"/>
            </w:tcBorders>
          </w:tcPr>
          <w:p w14:paraId="385A817A" w14:textId="77777777" w:rsidR="003C0901"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June 18</w:t>
            </w:r>
          </w:p>
          <w:p w14:paraId="0325F44C"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p>
        </w:tc>
        <w:tc>
          <w:tcPr>
            <w:tcW w:w="3158" w:type="dxa"/>
            <w:tcBorders>
              <w:top w:val="single" w:sz="24" w:space="0" w:color="5B9BD5" w:themeColor="accent1"/>
              <w:left w:val="single" w:sz="4" w:space="0" w:color="5B9BD5" w:themeColor="accent1"/>
              <w:right w:val="single" w:sz="24" w:space="0" w:color="5B9BD5" w:themeColor="accent1"/>
            </w:tcBorders>
          </w:tcPr>
          <w:p w14:paraId="6219CC51"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Contract Lead</w:t>
            </w:r>
          </w:p>
        </w:tc>
      </w:tr>
      <w:tr w:rsidR="003C0901" w:rsidRPr="00CA4843" w14:paraId="2DCC3901" w14:textId="77777777" w:rsidTr="00B6039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textDirection w:val="btLr"/>
            <w:hideMark/>
          </w:tcPr>
          <w:p w14:paraId="71D4E900" w14:textId="77777777" w:rsidR="003C0901" w:rsidRPr="00DD0EC2" w:rsidRDefault="003C0901" w:rsidP="00B60396">
            <w:pPr>
              <w:jc w:val="cente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0FFB99F7"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Contract Award / Signing</w:t>
            </w:r>
          </w:p>
        </w:tc>
        <w:tc>
          <w:tcPr>
            <w:tcW w:w="2385" w:type="dxa"/>
            <w:tcBorders>
              <w:left w:val="single" w:sz="4" w:space="0" w:color="5B9BD5" w:themeColor="accent1"/>
              <w:right w:val="single" w:sz="4" w:space="0" w:color="5B9BD5" w:themeColor="accent1"/>
            </w:tcBorders>
          </w:tcPr>
          <w:p w14:paraId="424E6109" w14:textId="77777777" w:rsidR="003C0901"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June 18</w:t>
            </w:r>
          </w:p>
          <w:p w14:paraId="53ED7AF9"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p>
        </w:tc>
        <w:tc>
          <w:tcPr>
            <w:tcW w:w="3158" w:type="dxa"/>
            <w:tcBorders>
              <w:left w:val="single" w:sz="4" w:space="0" w:color="5B9BD5" w:themeColor="accent1"/>
              <w:right w:val="single" w:sz="24" w:space="0" w:color="5B9BD5" w:themeColor="accent1"/>
            </w:tcBorders>
          </w:tcPr>
          <w:p w14:paraId="58938117"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Contract Lead / Provider</w:t>
            </w:r>
          </w:p>
        </w:tc>
      </w:tr>
      <w:tr w:rsidR="003C0901" w:rsidRPr="00CA4843" w14:paraId="0FE3F58E" w14:textId="77777777" w:rsidTr="00B60396">
        <w:trPr>
          <w:trHeight w:val="525"/>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0EB3B98D"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right w:val="single" w:sz="4" w:space="0" w:color="5B9BD5" w:themeColor="accent1"/>
            </w:tcBorders>
            <w:hideMark/>
          </w:tcPr>
          <w:p w14:paraId="1FE21610" w14:textId="77777777" w:rsidR="003C0901" w:rsidRPr="00DD0EC2"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Commence mobilisation</w:t>
            </w:r>
          </w:p>
        </w:tc>
        <w:tc>
          <w:tcPr>
            <w:tcW w:w="2385" w:type="dxa"/>
            <w:tcBorders>
              <w:left w:val="single" w:sz="4" w:space="0" w:color="5B9BD5" w:themeColor="accent1"/>
              <w:right w:val="single" w:sz="4" w:space="0" w:color="5B9BD5" w:themeColor="accent1"/>
            </w:tcBorders>
          </w:tcPr>
          <w:p w14:paraId="3F75345C"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July 18</w:t>
            </w:r>
          </w:p>
        </w:tc>
        <w:tc>
          <w:tcPr>
            <w:tcW w:w="3158" w:type="dxa"/>
            <w:tcBorders>
              <w:left w:val="single" w:sz="4" w:space="0" w:color="5B9BD5" w:themeColor="accent1"/>
              <w:right w:val="single" w:sz="24" w:space="0" w:color="5B9BD5" w:themeColor="accent1"/>
            </w:tcBorders>
          </w:tcPr>
          <w:p w14:paraId="0E669161" w14:textId="77777777" w:rsidR="003C0901" w:rsidRPr="00CA4843" w:rsidRDefault="003C0901" w:rsidP="00B6039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Contract Lead / Provider</w:t>
            </w:r>
          </w:p>
        </w:tc>
      </w:tr>
      <w:tr w:rsidR="003C0901" w:rsidRPr="00CA4843" w14:paraId="737D02B6" w14:textId="77777777" w:rsidTr="00B6039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81" w:type="dxa"/>
            <w:vMerge/>
            <w:tcBorders>
              <w:left w:val="single" w:sz="24" w:space="0" w:color="5B9BD5" w:themeColor="accent1"/>
              <w:bottom w:val="single" w:sz="24" w:space="0" w:color="5B9BD5" w:themeColor="accent1"/>
              <w:right w:val="single" w:sz="24" w:space="0" w:color="5B9BD5" w:themeColor="accent1"/>
            </w:tcBorders>
            <w:hideMark/>
          </w:tcPr>
          <w:p w14:paraId="37500EB8" w14:textId="77777777" w:rsidR="003C0901" w:rsidRPr="00DD0EC2" w:rsidRDefault="003C0901" w:rsidP="00B60396">
            <w:pPr>
              <w:rPr>
                <w:rFonts w:eastAsia="Times New Roman" w:cstheme="minorHAnsi"/>
                <w:color w:val="000000"/>
                <w:lang w:eastAsia="en-GB"/>
              </w:rPr>
            </w:pPr>
          </w:p>
        </w:tc>
        <w:tc>
          <w:tcPr>
            <w:tcW w:w="3770" w:type="dxa"/>
            <w:tcBorders>
              <w:left w:val="single" w:sz="24" w:space="0" w:color="5B9BD5" w:themeColor="accent1"/>
              <w:bottom w:val="single" w:sz="24" w:space="0" w:color="5B9BD5" w:themeColor="accent1"/>
              <w:right w:val="single" w:sz="4" w:space="0" w:color="5B9BD5" w:themeColor="accent1"/>
            </w:tcBorders>
            <w:hideMark/>
          </w:tcPr>
          <w:p w14:paraId="15518349" w14:textId="77777777" w:rsidR="003C0901" w:rsidRPr="00DD0EC2"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D0EC2">
              <w:rPr>
                <w:rFonts w:eastAsia="Times New Roman" w:cstheme="minorHAnsi"/>
                <w:color w:val="000000"/>
                <w:lang w:eastAsia="en-GB"/>
              </w:rPr>
              <w:t>Contract start</w:t>
            </w:r>
          </w:p>
        </w:tc>
        <w:tc>
          <w:tcPr>
            <w:tcW w:w="2385" w:type="dxa"/>
            <w:tcBorders>
              <w:left w:val="single" w:sz="4" w:space="0" w:color="5B9BD5" w:themeColor="accent1"/>
              <w:bottom w:val="single" w:sz="24" w:space="0" w:color="5B9BD5" w:themeColor="accent1"/>
              <w:right w:val="single" w:sz="4" w:space="0" w:color="5B9BD5" w:themeColor="accent1"/>
            </w:tcBorders>
          </w:tcPr>
          <w:p w14:paraId="73264435"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July 18</w:t>
            </w:r>
          </w:p>
        </w:tc>
        <w:tc>
          <w:tcPr>
            <w:tcW w:w="3158" w:type="dxa"/>
            <w:tcBorders>
              <w:left w:val="single" w:sz="4" w:space="0" w:color="5B9BD5" w:themeColor="accent1"/>
              <w:bottom w:val="single" w:sz="24" w:space="0" w:color="5B9BD5" w:themeColor="accent1"/>
              <w:right w:val="single" w:sz="24" w:space="0" w:color="5B9BD5" w:themeColor="accent1"/>
            </w:tcBorders>
          </w:tcPr>
          <w:p w14:paraId="1E13AA67" w14:textId="77777777" w:rsidR="003C0901" w:rsidRPr="00CA4843" w:rsidRDefault="003C0901" w:rsidP="00B6039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Pr>
                <w:rFonts w:eastAsia="Times New Roman" w:cstheme="minorHAnsi"/>
                <w:color w:val="000000"/>
                <w:lang w:eastAsia="en-GB"/>
              </w:rPr>
              <w:t>Provider</w:t>
            </w:r>
          </w:p>
        </w:tc>
      </w:tr>
    </w:tbl>
    <w:tbl>
      <w:tblPr>
        <w:tblStyle w:val="TableGrid"/>
        <w:tblW w:w="0" w:type="auto"/>
        <w:tblLook w:val="04A0" w:firstRow="1" w:lastRow="0" w:firstColumn="1" w:lastColumn="0" w:noHBand="0" w:noVBand="1"/>
      </w:tblPr>
      <w:tblGrid>
        <w:gridCol w:w="3256"/>
        <w:gridCol w:w="5760"/>
      </w:tblGrid>
      <w:tr w:rsidR="00095634" w14:paraId="767B6239" w14:textId="77777777" w:rsidTr="009F17FD">
        <w:tc>
          <w:tcPr>
            <w:tcW w:w="3256" w:type="dxa"/>
            <w:shd w:val="clear" w:color="auto" w:fill="000000" w:themeFill="text1"/>
          </w:tcPr>
          <w:p w14:paraId="372E2880" w14:textId="244B1064" w:rsidR="00095634" w:rsidRPr="009F17FD" w:rsidRDefault="00095634">
            <w:pPr>
              <w:rPr>
                <w:rFonts w:ascii="Arial" w:hAnsi="Arial" w:cs="Arial"/>
                <w:b/>
                <w:color w:val="FFFFFF" w:themeColor="background1"/>
                <w:sz w:val="24"/>
                <w:szCs w:val="24"/>
              </w:rPr>
            </w:pPr>
            <w:r w:rsidRPr="009F17FD">
              <w:rPr>
                <w:rFonts w:ascii="Arial" w:hAnsi="Arial" w:cs="Arial"/>
                <w:b/>
                <w:color w:val="FFFFFF" w:themeColor="background1"/>
                <w:sz w:val="24"/>
                <w:szCs w:val="24"/>
              </w:rPr>
              <w:t>Service</w:t>
            </w:r>
          </w:p>
        </w:tc>
        <w:tc>
          <w:tcPr>
            <w:tcW w:w="5760" w:type="dxa"/>
          </w:tcPr>
          <w:p w14:paraId="00D49597" w14:textId="268BB2C6" w:rsidR="00095634" w:rsidRDefault="00095634" w:rsidP="00C3531D">
            <w:pPr>
              <w:rPr>
                <w:rFonts w:ascii="Arial" w:hAnsi="Arial" w:cs="Arial"/>
                <w:sz w:val="24"/>
                <w:szCs w:val="24"/>
              </w:rPr>
            </w:pPr>
            <w:r>
              <w:rPr>
                <w:rFonts w:ascii="Arial" w:hAnsi="Arial" w:cs="Arial"/>
                <w:sz w:val="24"/>
                <w:szCs w:val="24"/>
              </w:rPr>
              <w:t>Waltham Forest Recovery College</w:t>
            </w:r>
          </w:p>
        </w:tc>
      </w:tr>
      <w:tr w:rsidR="00095634" w14:paraId="7EE2C1EB" w14:textId="77777777" w:rsidTr="009F17FD">
        <w:tc>
          <w:tcPr>
            <w:tcW w:w="3256" w:type="dxa"/>
            <w:shd w:val="clear" w:color="auto" w:fill="000000" w:themeFill="text1"/>
          </w:tcPr>
          <w:p w14:paraId="76741087" w14:textId="77777777" w:rsidR="00095634" w:rsidRPr="009F17FD" w:rsidRDefault="00095634">
            <w:pPr>
              <w:rPr>
                <w:rFonts w:ascii="Arial" w:hAnsi="Arial" w:cs="Arial"/>
                <w:b/>
                <w:color w:val="FFFFFF" w:themeColor="background1"/>
                <w:sz w:val="24"/>
                <w:szCs w:val="24"/>
              </w:rPr>
            </w:pPr>
            <w:r w:rsidRPr="009F17FD">
              <w:rPr>
                <w:rFonts w:ascii="Arial" w:hAnsi="Arial" w:cs="Arial"/>
                <w:b/>
                <w:color w:val="FFFFFF" w:themeColor="background1"/>
                <w:sz w:val="24"/>
                <w:szCs w:val="24"/>
              </w:rPr>
              <w:t>Commissioner Lead</w:t>
            </w:r>
          </w:p>
        </w:tc>
        <w:tc>
          <w:tcPr>
            <w:tcW w:w="5760" w:type="dxa"/>
          </w:tcPr>
          <w:p w14:paraId="5DAAFF1B" w14:textId="77777777" w:rsidR="00095634" w:rsidRDefault="00095634">
            <w:pPr>
              <w:rPr>
                <w:rFonts w:ascii="Arial" w:hAnsi="Arial" w:cs="Arial"/>
                <w:sz w:val="24"/>
                <w:szCs w:val="24"/>
              </w:rPr>
            </w:pPr>
            <w:r>
              <w:rPr>
                <w:rFonts w:ascii="Arial" w:hAnsi="Arial" w:cs="Arial"/>
                <w:sz w:val="24"/>
                <w:szCs w:val="24"/>
              </w:rPr>
              <w:t>Waltham Forest CCG</w:t>
            </w:r>
          </w:p>
          <w:p w14:paraId="04099697" w14:textId="77777777" w:rsidR="009F17FD" w:rsidRDefault="009F17FD">
            <w:pPr>
              <w:rPr>
                <w:rFonts w:ascii="Arial" w:hAnsi="Arial" w:cs="Arial"/>
                <w:sz w:val="24"/>
                <w:szCs w:val="24"/>
              </w:rPr>
            </w:pPr>
          </w:p>
        </w:tc>
      </w:tr>
      <w:tr w:rsidR="00095634" w14:paraId="29F0652D" w14:textId="77777777" w:rsidTr="009F17FD">
        <w:tc>
          <w:tcPr>
            <w:tcW w:w="3256" w:type="dxa"/>
            <w:shd w:val="clear" w:color="auto" w:fill="000000" w:themeFill="text1"/>
          </w:tcPr>
          <w:p w14:paraId="5C3654DF" w14:textId="77777777" w:rsidR="00095634" w:rsidRPr="009F17FD" w:rsidRDefault="00095634">
            <w:pPr>
              <w:rPr>
                <w:rFonts w:ascii="Arial" w:hAnsi="Arial" w:cs="Arial"/>
                <w:b/>
                <w:color w:val="FFFFFF" w:themeColor="background1"/>
                <w:sz w:val="24"/>
                <w:szCs w:val="24"/>
              </w:rPr>
            </w:pPr>
            <w:r w:rsidRPr="009F17FD">
              <w:rPr>
                <w:rFonts w:ascii="Arial" w:hAnsi="Arial" w:cs="Arial"/>
                <w:b/>
                <w:color w:val="FFFFFF" w:themeColor="background1"/>
                <w:sz w:val="24"/>
                <w:szCs w:val="24"/>
              </w:rPr>
              <w:t>Provide Lead</w:t>
            </w:r>
          </w:p>
        </w:tc>
        <w:tc>
          <w:tcPr>
            <w:tcW w:w="5760" w:type="dxa"/>
          </w:tcPr>
          <w:p w14:paraId="2B62DCA2" w14:textId="77777777" w:rsidR="00095634" w:rsidRDefault="00095634">
            <w:pPr>
              <w:rPr>
                <w:rFonts w:ascii="Arial" w:hAnsi="Arial" w:cs="Arial"/>
                <w:sz w:val="24"/>
                <w:szCs w:val="24"/>
              </w:rPr>
            </w:pPr>
            <w:r>
              <w:rPr>
                <w:rFonts w:ascii="Arial" w:hAnsi="Arial" w:cs="Arial"/>
                <w:sz w:val="24"/>
                <w:szCs w:val="24"/>
              </w:rPr>
              <w:t>TBC</w:t>
            </w:r>
          </w:p>
          <w:p w14:paraId="0AB702BB" w14:textId="77777777" w:rsidR="009F17FD" w:rsidRDefault="009F17FD">
            <w:pPr>
              <w:rPr>
                <w:rFonts w:ascii="Arial" w:hAnsi="Arial" w:cs="Arial"/>
                <w:sz w:val="24"/>
                <w:szCs w:val="24"/>
              </w:rPr>
            </w:pPr>
          </w:p>
        </w:tc>
      </w:tr>
      <w:tr w:rsidR="00095634" w14:paraId="2A51EE50" w14:textId="77777777" w:rsidTr="009F17FD">
        <w:tc>
          <w:tcPr>
            <w:tcW w:w="3256" w:type="dxa"/>
            <w:shd w:val="clear" w:color="auto" w:fill="000000" w:themeFill="text1"/>
          </w:tcPr>
          <w:p w14:paraId="06662D64" w14:textId="77777777" w:rsidR="00095634" w:rsidRPr="009F17FD" w:rsidRDefault="00095634">
            <w:pPr>
              <w:rPr>
                <w:rFonts w:ascii="Arial" w:hAnsi="Arial" w:cs="Arial"/>
                <w:b/>
                <w:color w:val="FFFFFF" w:themeColor="background1"/>
                <w:sz w:val="24"/>
                <w:szCs w:val="24"/>
              </w:rPr>
            </w:pPr>
            <w:r w:rsidRPr="009F17FD">
              <w:rPr>
                <w:rFonts w:ascii="Arial" w:hAnsi="Arial" w:cs="Arial"/>
                <w:b/>
                <w:color w:val="FFFFFF" w:themeColor="background1"/>
                <w:sz w:val="24"/>
                <w:szCs w:val="24"/>
              </w:rPr>
              <w:t>Period</w:t>
            </w:r>
          </w:p>
        </w:tc>
        <w:tc>
          <w:tcPr>
            <w:tcW w:w="5760" w:type="dxa"/>
          </w:tcPr>
          <w:p w14:paraId="18E81818" w14:textId="6462D8E9" w:rsidR="00095634" w:rsidRDefault="002A3BFA">
            <w:pPr>
              <w:rPr>
                <w:rFonts w:ascii="Arial" w:hAnsi="Arial" w:cs="Arial"/>
                <w:sz w:val="24"/>
                <w:szCs w:val="24"/>
              </w:rPr>
            </w:pPr>
            <w:r>
              <w:rPr>
                <w:rFonts w:ascii="Arial" w:hAnsi="Arial" w:cs="Arial"/>
                <w:sz w:val="24"/>
                <w:szCs w:val="24"/>
              </w:rPr>
              <w:t>18 months</w:t>
            </w:r>
            <w:r w:rsidR="00C3531D">
              <w:rPr>
                <w:rFonts w:ascii="Arial" w:hAnsi="Arial" w:cs="Arial"/>
                <w:sz w:val="24"/>
                <w:szCs w:val="24"/>
              </w:rPr>
              <w:t xml:space="preserve"> pilot</w:t>
            </w:r>
            <w:r w:rsidR="0068329F">
              <w:rPr>
                <w:rFonts w:ascii="Arial" w:hAnsi="Arial" w:cs="Arial"/>
                <w:sz w:val="24"/>
                <w:szCs w:val="24"/>
              </w:rPr>
              <w:t xml:space="preserve"> ( </w:t>
            </w:r>
            <w:r w:rsidR="003C0901">
              <w:rPr>
                <w:rFonts w:ascii="Arial" w:hAnsi="Arial" w:cs="Arial"/>
                <w:sz w:val="24"/>
                <w:szCs w:val="24"/>
              </w:rPr>
              <w:t>July 2018 – December 2019</w:t>
            </w:r>
            <w:r w:rsidR="0068329F">
              <w:rPr>
                <w:rFonts w:ascii="Arial" w:hAnsi="Arial" w:cs="Arial"/>
                <w:sz w:val="24"/>
                <w:szCs w:val="24"/>
              </w:rPr>
              <w:t xml:space="preserve">) </w:t>
            </w:r>
          </w:p>
          <w:p w14:paraId="1AF0FE21" w14:textId="77777777" w:rsidR="009F17FD" w:rsidRDefault="009F17FD">
            <w:pPr>
              <w:rPr>
                <w:rFonts w:ascii="Arial" w:hAnsi="Arial" w:cs="Arial"/>
                <w:sz w:val="24"/>
                <w:szCs w:val="24"/>
              </w:rPr>
            </w:pPr>
          </w:p>
        </w:tc>
      </w:tr>
      <w:tr w:rsidR="00095634" w14:paraId="713263DF" w14:textId="77777777" w:rsidTr="009F17FD">
        <w:tc>
          <w:tcPr>
            <w:tcW w:w="3256" w:type="dxa"/>
            <w:shd w:val="clear" w:color="auto" w:fill="000000" w:themeFill="text1"/>
          </w:tcPr>
          <w:p w14:paraId="243040FD" w14:textId="77777777" w:rsidR="00095634" w:rsidRPr="009F17FD" w:rsidRDefault="00095634">
            <w:pPr>
              <w:rPr>
                <w:rFonts w:ascii="Arial" w:hAnsi="Arial" w:cs="Arial"/>
                <w:b/>
                <w:color w:val="FFFFFF" w:themeColor="background1"/>
                <w:sz w:val="24"/>
                <w:szCs w:val="24"/>
              </w:rPr>
            </w:pPr>
            <w:r w:rsidRPr="009F17FD">
              <w:rPr>
                <w:rFonts w:ascii="Arial" w:hAnsi="Arial" w:cs="Arial"/>
                <w:b/>
                <w:color w:val="FFFFFF" w:themeColor="background1"/>
                <w:sz w:val="24"/>
                <w:szCs w:val="24"/>
              </w:rPr>
              <w:t>Date of Review/Evaluation</w:t>
            </w:r>
          </w:p>
        </w:tc>
        <w:tc>
          <w:tcPr>
            <w:tcW w:w="5760" w:type="dxa"/>
          </w:tcPr>
          <w:p w14:paraId="6A3A0026" w14:textId="34F9C94E" w:rsidR="00095634" w:rsidRDefault="003C0901">
            <w:pPr>
              <w:rPr>
                <w:rFonts w:ascii="Arial" w:hAnsi="Arial" w:cs="Arial"/>
                <w:sz w:val="24"/>
                <w:szCs w:val="24"/>
              </w:rPr>
            </w:pPr>
            <w:r>
              <w:rPr>
                <w:rFonts w:ascii="Arial" w:hAnsi="Arial" w:cs="Arial"/>
                <w:sz w:val="24"/>
                <w:szCs w:val="24"/>
              </w:rPr>
              <w:t>May 2019 – July 2019</w:t>
            </w:r>
          </w:p>
          <w:p w14:paraId="4E24B4A1" w14:textId="77777777" w:rsidR="009F17FD" w:rsidRDefault="009F17FD">
            <w:pPr>
              <w:rPr>
                <w:rFonts w:ascii="Arial" w:hAnsi="Arial" w:cs="Arial"/>
                <w:sz w:val="24"/>
                <w:szCs w:val="24"/>
              </w:rPr>
            </w:pPr>
          </w:p>
        </w:tc>
      </w:tr>
    </w:tbl>
    <w:p w14:paraId="352E449E" w14:textId="77777777" w:rsidR="009F17FD" w:rsidRDefault="009F17FD">
      <w:pPr>
        <w:rPr>
          <w:rFonts w:ascii="Arial" w:hAnsi="Arial" w:cs="Arial"/>
          <w:sz w:val="24"/>
          <w:szCs w:val="24"/>
        </w:rPr>
      </w:pPr>
    </w:p>
    <w:p w14:paraId="022F7FF0" w14:textId="77777777" w:rsidR="00FC1139" w:rsidRPr="00E436D2" w:rsidRDefault="00FC1139" w:rsidP="00FC1139">
      <w:pPr>
        <w:spacing w:after="0"/>
        <w:jc w:val="center"/>
        <w:rPr>
          <w:rFonts w:ascii="Arial" w:hAnsi="Arial" w:cs="Arial"/>
          <w:sz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846"/>
      </w:tblGrid>
      <w:tr w:rsidR="00FC1139" w:rsidRPr="00B5552C" w14:paraId="3B9B5156" w14:textId="77777777" w:rsidTr="00892D46">
        <w:tc>
          <w:tcPr>
            <w:tcW w:w="8908" w:type="dxa"/>
            <w:shd w:val="clear" w:color="auto" w:fill="auto"/>
          </w:tcPr>
          <w:p w14:paraId="734BBCEA" w14:textId="77777777" w:rsidR="00FC1139" w:rsidRPr="00627D6C" w:rsidRDefault="00FC1139" w:rsidP="00A22E64">
            <w:pPr>
              <w:spacing w:after="0" w:line="276" w:lineRule="auto"/>
              <w:rPr>
                <w:rFonts w:ascii="Arial" w:hAnsi="Arial" w:cs="Arial"/>
                <w:b/>
              </w:rPr>
            </w:pPr>
            <w:r w:rsidRPr="00627D6C">
              <w:rPr>
                <w:rFonts w:ascii="Arial" w:hAnsi="Arial" w:cs="Arial"/>
                <w:b/>
              </w:rPr>
              <w:t>1.</w:t>
            </w:r>
            <w:r w:rsidRPr="00627D6C">
              <w:rPr>
                <w:rFonts w:ascii="Arial" w:hAnsi="Arial" w:cs="Arial"/>
                <w:b/>
              </w:rPr>
              <w:tab/>
              <w:t>Population Needs</w:t>
            </w:r>
          </w:p>
        </w:tc>
      </w:tr>
      <w:tr w:rsidR="00FC1139" w:rsidRPr="00512021" w14:paraId="36323B97" w14:textId="77777777" w:rsidTr="00892D46">
        <w:tc>
          <w:tcPr>
            <w:tcW w:w="8908" w:type="dxa"/>
            <w:shd w:val="clear" w:color="auto" w:fill="auto"/>
          </w:tcPr>
          <w:p w14:paraId="508C2DD4" w14:textId="2E76EFE8" w:rsidR="00FC1139" w:rsidRPr="00627D6C" w:rsidRDefault="00FC1139" w:rsidP="00A22E64">
            <w:pPr>
              <w:spacing w:after="0"/>
              <w:ind w:left="360"/>
              <w:rPr>
                <w:rFonts w:ascii="Arial" w:hAnsi="Arial" w:cs="Arial"/>
              </w:rPr>
            </w:pPr>
          </w:p>
          <w:p w14:paraId="2CC6F2D6" w14:textId="143453B9" w:rsidR="00FC1139" w:rsidRPr="00627D6C" w:rsidRDefault="00B3361A" w:rsidP="00FC1139">
            <w:pPr>
              <w:numPr>
                <w:ilvl w:val="1"/>
                <w:numId w:val="19"/>
              </w:numPr>
              <w:spacing w:after="0" w:line="240" w:lineRule="auto"/>
              <w:rPr>
                <w:rFonts w:ascii="Arial" w:hAnsi="Arial" w:cs="Arial"/>
                <w:b/>
              </w:rPr>
            </w:pPr>
            <w:r w:rsidRPr="00627D6C">
              <w:rPr>
                <w:rFonts w:ascii="Arial" w:hAnsi="Arial" w:cs="Arial"/>
                <w:b/>
              </w:rPr>
              <w:tab/>
              <w:t>National</w:t>
            </w:r>
            <w:r w:rsidR="00FC1139" w:rsidRPr="00627D6C">
              <w:rPr>
                <w:rFonts w:ascii="Arial" w:hAnsi="Arial" w:cs="Arial"/>
                <w:b/>
              </w:rPr>
              <w:t xml:space="preserve"> context and evidence base</w:t>
            </w:r>
          </w:p>
          <w:p w14:paraId="675EC6E5" w14:textId="77777777" w:rsidR="00FC1139" w:rsidRPr="00627D6C" w:rsidRDefault="00FC1139" w:rsidP="00A22E64">
            <w:pPr>
              <w:spacing w:after="0"/>
              <w:rPr>
                <w:rFonts w:ascii="Arial" w:hAnsi="Arial" w:cs="Arial"/>
              </w:rPr>
            </w:pPr>
          </w:p>
          <w:p w14:paraId="3A012026" w14:textId="33E1B41F" w:rsidR="000550CB" w:rsidRPr="00BB503D" w:rsidRDefault="000550CB" w:rsidP="0068329F">
            <w:pPr>
              <w:jc w:val="both"/>
              <w:rPr>
                <w:rFonts w:ascii="Arial" w:hAnsi="Arial" w:cs="Arial"/>
              </w:rPr>
            </w:pPr>
            <w:r w:rsidRPr="00BB503D">
              <w:rPr>
                <w:rFonts w:ascii="Arial" w:hAnsi="Arial" w:cs="Arial"/>
              </w:rPr>
              <w:t xml:space="preserve">Mental illness is very common and directly affects one in four adults. Amongst people aged under 65 years, nearly half of all ill health is mental illness. The most recent government strategy on mental health – No Health without Mental Health (February 2011) focused on improving outcomes for people with mental illness. The strategy aimed to empower individuals and their families, looking to communities to promote independence and choice. It also introduced the idea of parity of esteem - </w:t>
            </w:r>
            <w:r w:rsidRPr="00BB503D">
              <w:rPr>
                <w:rFonts w:ascii="Arial" w:hAnsi="Arial" w:cs="Arial"/>
              </w:rPr>
              <w:lastRenderedPageBreak/>
              <w:t>that mental health mush have equal priority with physical health and that discrimination associated with mental health problems must end.</w:t>
            </w:r>
          </w:p>
          <w:p w14:paraId="6CAD1E9F" w14:textId="477179C5" w:rsidR="00B3361A" w:rsidRPr="00BB503D" w:rsidRDefault="00B3361A" w:rsidP="0068329F">
            <w:pPr>
              <w:autoSpaceDE w:val="0"/>
              <w:autoSpaceDN w:val="0"/>
              <w:adjustRightInd w:val="0"/>
              <w:spacing w:after="0" w:line="240" w:lineRule="auto"/>
              <w:jc w:val="both"/>
              <w:rPr>
                <w:rFonts w:ascii="Arial" w:hAnsi="Arial" w:cs="Arial"/>
              </w:rPr>
            </w:pPr>
            <w:r w:rsidRPr="00BB503D">
              <w:rPr>
                <w:rFonts w:ascii="Arial" w:hAnsi="Arial" w:cs="Arial"/>
              </w:rPr>
              <w:t xml:space="preserve">NHS </w:t>
            </w:r>
            <w:r w:rsidR="00627D6C" w:rsidRPr="00BB503D">
              <w:rPr>
                <w:rFonts w:ascii="Arial" w:hAnsi="Arial" w:cs="Arial"/>
              </w:rPr>
              <w:t>Waltham Forest</w:t>
            </w:r>
            <w:r w:rsidRPr="00BB503D">
              <w:rPr>
                <w:rFonts w:ascii="Arial" w:hAnsi="Arial" w:cs="Arial"/>
              </w:rPr>
              <w:t xml:space="preserve"> Clinical Commissioning Group (</w:t>
            </w:r>
            <w:r w:rsidR="00627D6C" w:rsidRPr="00BB503D">
              <w:rPr>
                <w:rFonts w:ascii="Arial" w:hAnsi="Arial" w:cs="Arial"/>
              </w:rPr>
              <w:t>WF</w:t>
            </w:r>
            <w:r w:rsidRPr="00BB503D">
              <w:rPr>
                <w:rFonts w:ascii="Arial" w:hAnsi="Arial" w:cs="Arial"/>
              </w:rPr>
              <w:t>CCG) aims to improve outcomes for individuals with mental health problems by supporting people into work, vocational, learning and personal development activities according to personal wellbeing goals. This will have a positive impact for individuals and the wider health and social care economy by reducing avoidable and prolonged reliance on statutory social care and health systems, and reduction of negative health and social outcomes associated with poor mental health.</w:t>
            </w:r>
          </w:p>
          <w:p w14:paraId="28503E11" w14:textId="77777777" w:rsidR="00B3361A" w:rsidRPr="00BB503D" w:rsidRDefault="00B3361A" w:rsidP="0068329F">
            <w:pPr>
              <w:autoSpaceDE w:val="0"/>
              <w:autoSpaceDN w:val="0"/>
              <w:adjustRightInd w:val="0"/>
              <w:spacing w:after="0" w:line="240" w:lineRule="auto"/>
              <w:jc w:val="both"/>
              <w:rPr>
                <w:rFonts w:ascii="Arial" w:hAnsi="Arial" w:cs="Arial"/>
              </w:rPr>
            </w:pPr>
          </w:p>
          <w:p w14:paraId="583B2D4A" w14:textId="7646691D" w:rsidR="000550CB" w:rsidRPr="00BB503D" w:rsidRDefault="000550CB" w:rsidP="0068329F">
            <w:pPr>
              <w:jc w:val="both"/>
              <w:rPr>
                <w:rFonts w:ascii="Arial" w:hAnsi="Arial" w:cs="Arial"/>
              </w:rPr>
            </w:pPr>
            <w:r w:rsidRPr="00BB503D">
              <w:rPr>
                <w:rFonts w:ascii="Arial" w:hAnsi="Arial" w:cs="Arial"/>
              </w:rPr>
              <w:t xml:space="preserve">The </w:t>
            </w:r>
            <w:r w:rsidR="0068329F" w:rsidRPr="00BB503D">
              <w:rPr>
                <w:rFonts w:ascii="Arial" w:hAnsi="Arial" w:cs="Arial"/>
              </w:rPr>
              <w:t xml:space="preserve">‘Five Year Forward View’ </w:t>
            </w:r>
            <w:r w:rsidR="00BB503D" w:rsidRPr="00BB503D">
              <w:rPr>
                <w:rFonts w:ascii="Arial" w:hAnsi="Arial" w:cs="Arial"/>
              </w:rPr>
              <w:t xml:space="preserve">‘2016 states that </w:t>
            </w:r>
            <w:r w:rsidR="00BB503D" w:rsidRPr="00BB503D">
              <w:rPr>
                <w:rFonts w:ascii="Arial" w:hAnsi="Arial" w:cs="Arial"/>
                <w:color w:val="000000"/>
              </w:rPr>
              <w:t xml:space="preserve">by 2020/21, NHS England will invest and focus on expanding community-based services for people who require them. This is intended to prevent avoidable admissions and support ‘step down’ and ongoing recovery in the community as soon as appropriate for the individual and as close to home as possible. </w:t>
            </w:r>
          </w:p>
          <w:p w14:paraId="0C7D9BC8" w14:textId="4C3C08BB" w:rsidR="003024B9" w:rsidRPr="00BB503D" w:rsidRDefault="003024B9" w:rsidP="003024B9">
            <w:pPr>
              <w:tabs>
                <w:tab w:val="left" w:pos="1044"/>
              </w:tabs>
              <w:spacing w:before="123" w:line="276" w:lineRule="auto"/>
              <w:ind w:right="601"/>
              <w:rPr>
                <w:rFonts w:ascii="Arial" w:hAnsi="Arial" w:cs="Arial"/>
              </w:rPr>
            </w:pPr>
            <w:r w:rsidRPr="00BB503D">
              <w:rPr>
                <w:rFonts w:ascii="Arial" w:hAnsi="Arial" w:cs="Arial"/>
              </w:rPr>
              <w:t>Recovery oriented approaches to mental health care and support emphasises the fundamental importance of participation in mainstream community activities, social networks, work and employment.</w:t>
            </w:r>
          </w:p>
          <w:p w14:paraId="5A863537" w14:textId="258515F8" w:rsidR="00D56DA6" w:rsidRPr="00627D6C" w:rsidRDefault="003024B9" w:rsidP="00627D6C">
            <w:pPr>
              <w:rPr>
                <w:rFonts w:ascii="Arial" w:hAnsi="Arial" w:cs="Arial"/>
              </w:rPr>
            </w:pPr>
            <w:r w:rsidRPr="00627D6C">
              <w:rPr>
                <w:rFonts w:ascii="Arial" w:hAnsi="Arial" w:cs="Arial"/>
              </w:rPr>
              <w:t>Traditionally, this type of support has been the remit of day services with an emphasis in the past on providing a ‘structured day’ and ‘meaningful occupation’ in a safe and supportive</w:t>
            </w:r>
            <w:r w:rsidRPr="00627D6C">
              <w:rPr>
                <w:rFonts w:ascii="Arial" w:hAnsi="Arial" w:cs="Arial"/>
                <w:spacing w:val="-38"/>
              </w:rPr>
              <w:t xml:space="preserve"> </w:t>
            </w:r>
            <w:r w:rsidRPr="00627D6C">
              <w:rPr>
                <w:rFonts w:ascii="Arial" w:hAnsi="Arial" w:cs="Arial"/>
              </w:rPr>
              <w:t>environment.</w:t>
            </w:r>
          </w:p>
          <w:p w14:paraId="6D82C77B" w14:textId="615229B2" w:rsidR="00B3361A" w:rsidRPr="00627D6C" w:rsidRDefault="000550CB" w:rsidP="000550CB">
            <w:pPr>
              <w:rPr>
                <w:rFonts w:ascii="Arial" w:hAnsi="Arial" w:cs="Arial"/>
              </w:rPr>
            </w:pPr>
            <w:r w:rsidRPr="00627D6C">
              <w:rPr>
                <w:rFonts w:ascii="Arial" w:hAnsi="Arial" w:cs="Arial"/>
              </w:rPr>
              <w:t>The Public Health England and NHS England publication ‘A guide to community centred approaches for health and wellbeing (February 2015) sets out compelling arguments for the use of community centred approaches to health and wellbeing. Notably, how community connections and participation influence health and wellbeing and the ways in which local services can work with communities to improve community life.</w:t>
            </w:r>
          </w:p>
          <w:p w14:paraId="33FD80C1" w14:textId="7B8D4CAC" w:rsidR="00B3361A" w:rsidRPr="00627D6C" w:rsidRDefault="00B3361A" w:rsidP="000550CB">
            <w:pPr>
              <w:rPr>
                <w:rFonts w:ascii="Arial" w:hAnsi="Arial" w:cs="Arial"/>
                <w:b/>
              </w:rPr>
            </w:pPr>
            <w:r w:rsidRPr="00627D6C">
              <w:rPr>
                <w:rFonts w:ascii="Arial" w:hAnsi="Arial" w:cs="Arial"/>
                <w:b/>
              </w:rPr>
              <w:t>Local Context</w:t>
            </w:r>
          </w:p>
          <w:p w14:paraId="46FBE25C" w14:textId="77777777" w:rsidR="000550CB" w:rsidRPr="00627D6C" w:rsidRDefault="000550CB" w:rsidP="000550CB">
            <w:pPr>
              <w:rPr>
                <w:rFonts w:ascii="Arial" w:hAnsi="Arial" w:cs="Arial"/>
              </w:rPr>
            </w:pPr>
            <w:r w:rsidRPr="00627D6C">
              <w:rPr>
                <w:rFonts w:ascii="Arial" w:hAnsi="Arial" w:cs="Arial"/>
              </w:rPr>
              <w:t>Waltham Forest Clinical Commissioning Group (WFCCG) and Local Authority (LA) are responsible for providing prevention, early intervention and recovery services within the borough. We aim to improve outcomes for individuals with mental health problems by supporting people into work, vocational, learning and personal development activities according to personal wellbeing goals. This will have a positive impact for prolonged reliance on formal social care and heal</w:t>
            </w:r>
            <w:bookmarkStart w:id="0" w:name="_GoBack"/>
            <w:bookmarkEnd w:id="0"/>
            <w:r w:rsidRPr="00627D6C">
              <w:rPr>
                <w:rFonts w:ascii="Arial" w:hAnsi="Arial" w:cs="Arial"/>
              </w:rPr>
              <w:t>th systems, reduce suicide and prevent negative health outcomes associated with poor mental health. The service will be based on recovery and social inclusion principles and designed to be accessible to anyone needing mental health wellbeing and recovery support in Primary Care, including those who fall through the gaps between services.</w:t>
            </w:r>
          </w:p>
          <w:p w14:paraId="4827B565" w14:textId="18468306" w:rsidR="000550CB" w:rsidRPr="00BB503D" w:rsidRDefault="000550CB" w:rsidP="000550CB">
            <w:pPr>
              <w:rPr>
                <w:rFonts w:ascii="Arial" w:hAnsi="Arial" w:cs="Arial"/>
                <w:b/>
              </w:rPr>
            </w:pPr>
            <w:r w:rsidRPr="00BB503D">
              <w:rPr>
                <w:rFonts w:ascii="Arial" w:hAnsi="Arial" w:cs="Arial"/>
                <w:b/>
              </w:rPr>
              <w:lastRenderedPageBreak/>
              <w:t>This specification sets out the requirements of a Recovery College</w:t>
            </w:r>
            <w:r w:rsidR="004A205D">
              <w:rPr>
                <w:rFonts w:ascii="Arial" w:hAnsi="Arial" w:cs="Arial"/>
                <w:b/>
              </w:rPr>
              <w:t xml:space="preserve"> (Pilot Programme) </w:t>
            </w:r>
            <w:r w:rsidRPr="00BB503D">
              <w:rPr>
                <w:rFonts w:ascii="Arial" w:hAnsi="Arial" w:cs="Arial"/>
                <w:b/>
              </w:rPr>
              <w:t xml:space="preserve">. </w:t>
            </w:r>
          </w:p>
          <w:p w14:paraId="3666B298" w14:textId="77777777" w:rsidR="000550CB" w:rsidRPr="00627D6C" w:rsidRDefault="000550CB" w:rsidP="000550CB">
            <w:pPr>
              <w:rPr>
                <w:rFonts w:ascii="Arial" w:hAnsi="Arial" w:cs="Arial"/>
              </w:rPr>
            </w:pPr>
            <w:r w:rsidRPr="00627D6C">
              <w:rPr>
                <w:rFonts w:ascii="Arial" w:hAnsi="Arial" w:cs="Arial"/>
              </w:rPr>
              <w:t>In Waltham Forest there is a significant commitment and progress in terms of adopting recovery values. We are also clear that putting this commitment into practice to deliver tangible improvements and individual outcomes is complex and challenging.</w:t>
            </w:r>
          </w:p>
          <w:p w14:paraId="1CDE2EF6" w14:textId="77777777" w:rsidR="000550CB" w:rsidRPr="00627D6C" w:rsidRDefault="000550CB" w:rsidP="000550CB">
            <w:pPr>
              <w:rPr>
                <w:rFonts w:ascii="Arial" w:hAnsi="Arial" w:cs="Arial"/>
              </w:rPr>
            </w:pPr>
            <w:r w:rsidRPr="00627D6C">
              <w:rPr>
                <w:rFonts w:ascii="Arial" w:hAnsi="Arial" w:cs="Arial"/>
              </w:rPr>
              <w:t>The starting point is to develop a consistent approach shared by partners which is valued and positively embraced by service users and carers/supporters.</w:t>
            </w:r>
          </w:p>
          <w:p w14:paraId="12BC609F" w14:textId="61635091" w:rsidR="000550CB" w:rsidRPr="00627D6C" w:rsidRDefault="00B21A52" w:rsidP="000550CB">
            <w:pPr>
              <w:rPr>
                <w:rFonts w:ascii="Arial" w:hAnsi="Arial" w:cs="Arial"/>
              </w:rPr>
            </w:pPr>
            <w:r w:rsidRPr="00627D6C">
              <w:rPr>
                <w:rFonts w:ascii="Arial" w:hAnsi="Arial" w:cs="Arial"/>
              </w:rPr>
              <w:t>R</w:t>
            </w:r>
            <w:r w:rsidR="000550CB" w:rsidRPr="00627D6C">
              <w:rPr>
                <w:rFonts w:ascii="Arial" w:hAnsi="Arial" w:cs="Arial"/>
              </w:rPr>
              <w:t>ecovery can mean different things to different people we understand recovery in mental health to be about helping people live meaningful and satisfying lives – as defined by themselves. This mean</w:t>
            </w:r>
            <w:r w:rsidR="00371724" w:rsidRPr="00627D6C">
              <w:rPr>
                <w:rFonts w:ascii="Arial" w:hAnsi="Arial" w:cs="Arial"/>
              </w:rPr>
              <w:t>s</w:t>
            </w:r>
            <w:r w:rsidR="000550CB" w:rsidRPr="00627D6C">
              <w:rPr>
                <w:rFonts w:ascii="Arial" w:hAnsi="Arial" w:cs="Arial"/>
              </w:rPr>
              <w:t xml:space="preserve"> understanding how people make sense of what has happened to them and what is important to them in the future.</w:t>
            </w:r>
          </w:p>
          <w:p w14:paraId="6E746BB2" w14:textId="429E9E70" w:rsidR="000E66DB" w:rsidRPr="00627D6C" w:rsidRDefault="00A65483" w:rsidP="00A65483">
            <w:pPr>
              <w:rPr>
                <w:rFonts w:ascii="Arial" w:hAnsi="Arial" w:cs="Arial"/>
              </w:rPr>
            </w:pPr>
            <w:r w:rsidRPr="00627D6C">
              <w:rPr>
                <w:rFonts w:ascii="Arial" w:hAnsi="Arial" w:cs="Arial"/>
              </w:rPr>
              <w:t xml:space="preserve">The service will support recovery and provide a consistent offer of </w:t>
            </w:r>
            <w:r w:rsidR="00371724" w:rsidRPr="00627D6C">
              <w:rPr>
                <w:rFonts w:ascii="Arial" w:hAnsi="Arial" w:cs="Arial"/>
              </w:rPr>
              <w:t xml:space="preserve">a </w:t>
            </w:r>
            <w:r w:rsidRPr="00627D6C">
              <w:rPr>
                <w:rFonts w:ascii="Arial" w:hAnsi="Arial" w:cs="Arial"/>
              </w:rPr>
              <w:t>person centred support through services which champion mental wellbeing within communities. It will form a key part of an integrated pathway across the voluntary sector, primary care mental health and social care and include public health initiatives to ensure there is appropriate, equitable, timely and cost effective interventions for vulnerable people in the community.</w:t>
            </w:r>
          </w:p>
          <w:p w14:paraId="518A7FC3" w14:textId="77777777" w:rsidR="00ED67C1" w:rsidRPr="00627D6C" w:rsidRDefault="00ED67C1" w:rsidP="00ED67C1">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color w:val="000000"/>
              </w:rPr>
              <w:t>Recovery Colleges use an educational paradigm to complement traditional treatment approaches to mental health care through provision of information, resources and self-management education.</w:t>
            </w:r>
          </w:p>
          <w:p w14:paraId="3FFAD61B" w14:textId="77777777" w:rsidR="00ED67C1" w:rsidRPr="00627D6C" w:rsidRDefault="00ED67C1" w:rsidP="00ED67C1">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The Recovery College is an important development for a strengthened recovery focussed model focused in the Borough. The approach complements health and social care specialist assessment and treatment by helping people with mental health problems to understand their problems and learn how to manage these better in pursuit of their aspirations.</w:t>
            </w:r>
          </w:p>
          <w:p w14:paraId="14F49F28" w14:textId="77777777" w:rsidR="00ED67C1" w:rsidRPr="00627D6C" w:rsidRDefault="00ED67C1" w:rsidP="00ED67C1">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By supporting the principle of recovery and progression through course based education and peer support, the Recovery College acts as a bridge to resources already available in the local area (e.g. courses run by local colleges) improves access and social inclusion for people with mental health problems and other long-term conditions.</w:t>
            </w:r>
          </w:p>
          <w:p w14:paraId="078A70BD" w14:textId="77777777" w:rsidR="00ED67C1" w:rsidRPr="00627D6C" w:rsidRDefault="00ED67C1" w:rsidP="00ED67C1">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It is a place where expert ‘lived experience’ will be blended with the expertise of health and social care practitioners to support self-care and to enable students to look beyond specialist health and social care services and the stigma of mental health so that they can strengthen and build their social networks in the local community.</w:t>
            </w:r>
          </w:p>
          <w:p w14:paraId="6513C6C5" w14:textId="77777777" w:rsidR="00ED67C1" w:rsidRPr="00627D6C" w:rsidRDefault="00ED67C1" w:rsidP="00ED67C1">
            <w:pPr>
              <w:pStyle w:val="ListParagraph"/>
              <w:widowControl w:val="0"/>
              <w:numPr>
                <w:ilvl w:val="0"/>
                <w:numId w:val="1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Recovery will be central to course content and courses will not replicate readily available courses in the community as the Recovery College has a progressive focus and is a bridge to improving access to common community resources for people who may become marginalised because of their mental health condition. The Recovery College will operate on </w:t>
            </w:r>
            <w:r w:rsidRPr="00627D6C">
              <w:rPr>
                <w:rFonts w:ascii="Arial" w:hAnsi="Arial" w:cs="Arial"/>
                <w:color w:val="000000"/>
              </w:rPr>
              <w:lastRenderedPageBreak/>
              <w:t>college principles and will adopt a three term academic year.</w:t>
            </w:r>
          </w:p>
          <w:p w14:paraId="1DFB0006" w14:textId="77777777" w:rsidR="00ED67C1" w:rsidRDefault="00ED67C1" w:rsidP="00A65483">
            <w:pPr>
              <w:rPr>
                <w:rFonts w:ascii="Arial" w:hAnsi="Arial" w:cs="Arial"/>
              </w:rPr>
            </w:pPr>
          </w:p>
          <w:p w14:paraId="5A809DD6" w14:textId="77777777" w:rsidR="004A205D" w:rsidRPr="00627D6C" w:rsidRDefault="004A205D" w:rsidP="00A65483">
            <w:pPr>
              <w:rPr>
                <w:rFonts w:ascii="Arial" w:hAnsi="Arial" w:cs="Arial"/>
              </w:rPr>
            </w:pPr>
          </w:p>
          <w:p w14:paraId="703B7851" w14:textId="77777777" w:rsidR="0055388D" w:rsidRDefault="0055388D" w:rsidP="00A65483">
            <w:pPr>
              <w:rPr>
                <w:rFonts w:ascii="Arial" w:hAnsi="Arial" w:cs="Arial"/>
                <w:b/>
              </w:rPr>
            </w:pPr>
          </w:p>
          <w:p w14:paraId="352CD1CF" w14:textId="27D9F93E" w:rsidR="003024B9" w:rsidRPr="00627D6C" w:rsidRDefault="003024B9" w:rsidP="00A65483">
            <w:pPr>
              <w:rPr>
                <w:rFonts w:ascii="Arial" w:hAnsi="Arial" w:cs="Arial"/>
                <w:b/>
              </w:rPr>
            </w:pPr>
            <w:r w:rsidRPr="00627D6C">
              <w:rPr>
                <w:rFonts w:ascii="Arial" w:hAnsi="Arial" w:cs="Arial"/>
                <w:b/>
              </w:rPr>
              <w:t xml:space="preserve">Defining ‘Recovery’ </w:t>
            </w:r>
          </w:p>
          <w:p w14:paraId="7F7B5C01" w14:textId="77777777" w:rsidR="003024B9" w:rsidRPr="00E113C0" w:rsidRDefault="003024B9" w:rsidP="004A205D">
            <w:pPr>
              <w:widowControl w:val="0"/>
              <w:tabs>
                <w:tab w:val="left" w:pos="1098"/>
                <w:tab w:val="left" w:pos="1099"/>
              </w:tabs>
              <w:autoSpaceDE w:val="0"/>
              <w:autoSpaceDN w:val="0"/>
              <w:spacing w:after="0" w:line="276" w:lineRule="auto"/>
              <w:ind w:right="237"/>
              <w:rPr>
                <w:rFonts w:ascii="Arial" w:hAnsi="Arial" w:cs="Arial"/>
              </w:rPr>
            </w:pPr>
            <w:r w:rsidRPr="00E113C0">
              <w:rPr>
                <w:rFonts w:ascii="Arial" w:hAnsi="Arial" w:cs="Arial"/>
              </w:rPr>
              <w:t>Although recovery can mean different things to different people, we understand recovery in mental health to be about helping people live meaningful and satisfying lives - as defined by themselves. This means understanding how people make sense of what has happened to them and what is important to them in the</w:t>
            </w:r>
            <w:r w:rsidRPr="00E113C0">
              <w:rPr>
                <w:rFonts w:ascii="Arial" w:hAnsi="Arial" w:cs="Arial"/>
                <w:spacing w:val="-1"/>
              </w:rPr>
              <w:t xml:space="preserve"> </w:t>
            </w:r>
            <w:r w:rsidRPr="00E113C0">
              <w:rPr>
                <w:rFonts w:ascii="Arial" w:hAnsi="Arial" w:cs="Arial"/>
              </w:rPr>
              <w:t>future.</w:t>
            </w:r>
          </w:p>
          <w:p w14:paraId="0BC73CA2" w14:textId="77777777" w:rsidR="004A205D" w:rsidRPr="004A205D" w:rsidRDefault="004A205D" w:rsidP="004A205D">
            <w:pPr>
              <w:widowControl w:val="0"/>
              <w:tabs>
                <w:tab w:val="left" w:pos="1098"/>
                <w:tab w:val="left" w:pos="1099"/>
              </w:tabs>
              <w:autoSpaceDE w:val="0"/>
              <w:autoSpaceDN w:val="0"/>
              <w:spacing w:after="0" w:line="276" w:lineRule="auto"/>
              <w:ind w:right="237"/>
              <w:rPr>
                <w:rFonts w:ascii="Lucida Calligraphy" w:hAnsi="Lucida Calligraphy" w:cs="Arial"/>
              </w:rPr>
            </w:pPr>
          </w:p>
          <w:p w14:paraId="22B79144" w14:textId="77777777" w:rsidR="004A205D" w:rsidRPr="004A205D" w:rsidRDefault="004A205D" w:rsidP="004A205D">
            <w:pPr>
              <w:spacing w:before="1"/>
              <w:ind w:left="119"/>
              <w:rPr>
                <w:rFonts w:ascii="Arial" w:hAnsi="Arial" w:cs="Arial"/>
                <w:b/>
                <w:i/>
              </w:rPr>
            </w:pPr>
            <w:r w:rsidRPr="004A205D">
              <w:rPr>
                <w:rFonts w:ascii="Arial" w:hAnsi="Arial" w:cs="Arial"/>
                <w:b/>
                <w:i/>
              </w:rPr>
              <w:t>Principles of Recovery</w:t>
            </w:r>
          </w:p>
          <w:p w14:paraId="3A8587ED" w14:textId="77777777" w:rsidR="003024B9" w:rsidRDefault="003024B9" w:rsidP="003024B9">
            <w:pPr>
              <w:pStyle w:val="BodyText"/>
              <w:spacing w:before="8"/>
              <w:rPr>
                <w:sz w:val="22"/>
                <w:szCs w:val="22"/>
              </w:rPr>
            </w:pPr>
          </w:p>
          <w:p w14:paraId="3B148A0D" w14:textId="77777777" w:rsidR="004A205D" w:rsidRPr="004A205D" w:rsidRDefault="004A205D" w:rsidP="004A205D">
            <w:pPr>
              <w:ind w:left="170" w:hanging="51"/>
              <w:rPr>
                <w:rFonts w:ascii="Arial" w:hAnsi="Arial" w:cs="Arial"/>
              </w:rPr>
            </w:pPr>
            <w:r w:rsidRPr="004A205D">
              <w:rPr>
                <w:rFonts w:ascii="Arial" w:hAnsi="Arial" w:cs="Arial"/>
                <w:b/>
                <w:i/>
              </w:rPr>
              <w:t xml:space="preserve">Hope </w:t>
            </w:r>
            <w:r w:rsidRPr="004A205D">
              <w:rPr>
                <w:rFonts w:ascii="Arial" w:hAnsi="Arial" w:cs="Arial"/>
              </w:rPr>
              <w:t>– Maintaining a belief that it is still possible to pursue one’s chosen life goals: these are unique and ‘hope’ is therefore always personal. Relationships are central to - hope</w:t>
            </w:r>
          </w:p>
          <w:p w14:paraId="1E00DB88" w14:textId="77777777" w:rsidR="004A205D" w:rsidRPr="004A205D" w:rsidRDefault="004A205D" w:rsidP="004A205D">
            <w:pPr>
              <w:ind w:left="170" w:right="114" w:hanging="51"/>
              <w:rPr>
                <w:rFonts w:ascii="Arial" w:hAnsi="Arial" w:cs="Arial"/>
              </w:rPr>
            </w:pPr>
            <w:r w:rsidRPr="004A205D">
              <w:rPr>
                <w:rFonts w:ascii="Arial" w:hAnsi="Arial" w:cs="Arial"/>
                <w:b/>
                <w:i/>
              </w:rPr>
              <w:t xml:space="preserve">Control </w:t>
            </w:r>
            <w:r w:rsidRPr="004A205D">
              <w:rPr>
                <w:rFonts w:ascii="Arial" w:hAnsi="Arial" w:cs="Arial"/>
              </w:rPr>
              <w:t>– The importance of achieving some sense of control over one’s life and one’s symptoms – meaning and choice</w:t>
            </w:r>
          </w:p>
          <w:p w14:paraId="68A5A831" w14:textId="023453C8" w:rsidR="00FC1139" w:rsidRPr="004A205D" w:rsidRDefault="004A205D" w:rsidP="004A205D">
            <w:pPr>
              <w:ind w:left="170" w:right="169" w:hanging="51"/>
              <w:rPr>
                <w:rFonts w:ascii="Arial" w:hAnsi="Arial" w:cs="Arial"/>
              </w:rPr>
            </w:pPr>
            <w:r w:rsidRPr="004A205D">
              <w:rPr>
                <w:rFonts w:ascii="Arial" w:hAnsi="Arial" w:cs="Arial"/>
                <w:b/>
                <w:i/>
              </w:rPr>
              <w:t xml:space="preserve">Opportunity </w:t>
            </w:r>
            <w:r w:rsidRPr="004A205D">
              <w:rPr>
                <w:rFonts w:ascii="Arial" w:hAnsi="Arial" w:cs="Arial"/>
              </w:rPr>
              <w:t>– The need to build a life ‘beyond illness’. Being a part of the community (‘social inclusion’) having access to the same opportunities that exist for every other citizen, e.g. housing, employment, addressing stigma</w:t>
            </w:r>
          </w:p>
        </w:tc>
      </w:tr>
      <w:tr w:rsidR="00FC1139" w:rsidRPr="00B5552C" w14:paraId="6054A3CC" w14:textId="77777777" w:rsidTr="00892D46">
        <w:tc>
          <w:tcPr>
            <w:tcW w:w="8908" w:type="dxa"/>
            <w:shd w:val="clear" w:color="auto" w:fill="auto"/>
          </w:tcPr>
          <w:p w14:paraId="4024D6E3" w14:textId="77777777" w:rsidR="00FC1139" w:rsidRPr="00627D6C" w:rsidRDefault="00FC1139" w:rsidP="00A22E64">
            <w:pPr>
              <w:spacing w:after="0" w:line="276" w:lineRule="auto"/>
              <w:rPr>
                <w:rFonts w:ascii="Arial" w:hAnsi="Arial" w:cs="Arial"/>
                <w:b/>
              </w:rPr>
            </w:pPr>
            <w:r w:rsidRPr="00627D6C">
              <w:rPr>
                <w:rFonts w:ascii="Arial" w:hAnsi="Arial" w:cs="Arial"/>
                <w:b/>
              </w:rPr>
              <w:lastRenderedPageBreak/>
              <w:t>2.</w:t>
            </w:r>
            <w:r w:rsidRPr="00627D6C">
              <w:rPr>
                <w:rFonts w:ascii="Arial" w:hAnsi="Arial" w:cs="Arial"/>
                <w:b/>
              </w:rPr>
              <w:tab/>
              <w:t>Outcomes</w:t>
            </w:r>
          </w:p>
        </w:tc>
      </w:tr>
      <w:tr w:rsidR="00FC1139" w:rsidRPr="00DF4267" w14:paraId="7E112418" w14:textId="77777777" w:rsidTr="00892D46">
        <w:tc>
          <w:tcPr>
            <w:tcW w:w="8908" w:type="dxa"/>
            <w:shd w:val="clear" w:color="auto" w:fill="auto"/>
          </w:tcPr>
          <w:p w14:paraId="2A1CA114" w14:textId="77777777" w:rsidR="00FC1139" w:rsidRPr="00627D6C" w:rsidRDefault="00FC1139" w:rsidP="00A22E64">
            <w:pPr>
              <w:spacing w:after="0" w:line="276" w:lineRule="auto"/>
              <w:rPr>
                <w:rFonts w:ascii="Arial" w:hAnsi="Arial" w:cs="Arial"/>
                <w:b/>
              </w:rPr>
            </w:pPr>
          </w:p>
          <w:p w14:paraId="275C392F" w14:textId="77777777" w:rsidR="00FC1139" w:rsidRPr="00627D6C" w:rsidRDefault="00FC1139" w:rsidP="00A22E64">
            <w:pPr>
              <w:spacing w:after="0" w:line="276" w:lineRule="auto"/>
              <w:rPr>
                <w:rFonts w:ascii="Arial" w:hAnsi="Arial" w:cs="Arial"/>
                <w:b/>
              </w:rPr>
            </w:pPr>
            <w:r w:rsidRPr="00627D6C">
              <w:rPr>
                <w:rFonts w:ascii="Arial" w:hAnsi="Arial" w:cs="Arial"/>
                <w:b/>
              </w:rPr>
              <w:t>2.1</w:t>
            </w:r>
            <w:r w:rsidRPr="00627D6C">
              <w:rPr>
                <w:rFonts w:ascii="Arial" w:hAnsi="Arial" w:cs="Arial"/>
                <w:b/>
              </w:rPr>
              <w:tab/>
            </w:r>
            <w:r w:rsidRPr="00627D6C">
              <w:rPr>
                <w:rFonts w:ascii="Arial" w:hAnsi="Arial" w:cs="Arial"/>
                <w:b/>
                <w:u w:val="single"/>
              </w:rPr>
              <w:t>NHS Outcomes Framework Domains &amp; Indicators</w:t>
            </w:r>
          </w:p>
          <w:p w14:paraId="180A8D67" w14:textId="77777777" w:rsidR="00FC1139" w:rsidRPr="00627D6C" w:rsidRDefault="00FC1139" w:rsidP="00A22E64">
            <w:pPr>
              <w:spacing w:after="0" w:line="276" w:lineRule="auto"/>
              <w:rPr>
                <w:rFonts w:ascii="Arial" w:hAnsi="Arial" w:cs="Arial"/>
                <w:b/>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FC1139" w:rsidRPr="00627D6C" w14:paraId="543C9E1D" w14:textId="77777777" w:rsidTr="00A22E64">
              <w:trPr>
                <w:tblHeader/>
              </w:trPr>
              <w:tc>
                <w:tcPr>
                  <w:tcW w:w="1276" w:type="dxa"/>
                </w:tcPr>
                <w:p w14:paraId="67DF6D46" w14:textId="77777777" w:rsidR="00FC1139" w:rsidRPr="00627D6C" w:rsidRDefault="00FC1139" w:rsidP="00A22E64">
                  <w:pPr>
                    <w:spacing w:line="276" w:lineRule="auto"/>
                    <w:rPr>
                      <w:rFonts w:ascii="Arial" w:hAnsi="Arial" w:cs="Arial"/>
                      <w:b/>
                    </w:rPr>
                  </w:pPr>
                  <w:r w:rsidRPr="00627D6C">
                    <w:rPr>
                      <w:rFonts w:ascii="Arial" w:hAnsi="Arial" w:cs="Arial"/>
                      <w:b/>
                    </w:rPr>
                    <w:t>Domain 1</w:t>
                  </w:r>
                </w:p>
              </w:tc>
              <w:tc>
                <w:tcPr>
                  <w:tcW w:w="5528" w:type="dxa"/>
                </w:tcPr>
                <w:p w14:paraId="017013DD" w14:textId="77777777" w:rsidR="00FC1139" w:rsidRPr="00627D6C" w:rsidRDefault="00FC1139" w:rsidP="00A22E64">
                  <w:pPr>
                    <w:spacing w:line="276" w:lineRule="auto"/>
                    <w:rPr>
                      <w:rFonts w:ascii="Arial" w:hAnsi="Arial" w:cs="Arial"/>
                      <w:b/>
                    </w:rPr>
                  </w:pPr>
                  <w:r w:rsidRPr="00627D6C">
                    <w:rPr>
                      <w:rFonts w:ascii="Arial" w:hAnsi="Arial" w:cs="Arial"/>
                      <w:b/>
                    </w:rPr>
                    <w:t>Preventing people from dying prematurely</w:t>
                  </w:r>
                </w:p>
              </w:tc>
              <w:tc>
                <w:tcPr>
                  <w:tcW w:w="641" w:type="dxa"/>
                </w:tcPr>
                <w:p w14:paraId="43B6BB4F" w14:textId="77777777" w:rsidR="00FC1139" w:rsidRPr="00627D6C" w:rsidRDefault="00A65483" w:rsidP="00A22E64">
                  <w:pPr>
                    <w:spacing w:line="276" w:lineRule="auto"/>
                    <w:rPr>
                      <w:rFonts w:ascii="Arial" w:hAnsi="Arial" w:cs="Arial"/>
                      <w:b/>
                    </w:rPr>
                  </w:pPr>
                  <w:r w:rsidRPr="00627D6C">
                    <w:rPr>
                      <w:rFonts w:ascii="Arial" w:hAnsi="Arial" w:cs="Arial"/>
                      <w:b/>
                    </w:rPr>
                    <w:t>X</w:t>
                  </w:r>
                </w:p>
              </w:tc>
            </w:tr>
            <w:tr w:rsidR="00FC1139" w:rsidRPr="00627D6C" w14:paraId="6AEF075F" w14:textId="77777777" w:rsidTr="00A22E64">
              <w:tc>
                <w:tcPr>
                  <w:tcW w:w="1276" w:type="dxa"/>
                </w:tcPr>
                <w:p w14:paraId="348AB0BA" w14:textId="77777777" w:rsidR="00FC1139" w:rsidRPr="00627D6C" w:rsidRDefault="00FC1139" w:rsidP="00A22E64">
                  <w:pPr>
                    <w:spacing w:line="276" w:lineRule="auto"/>
                    <w:rPr>
                      <w:rFonts w:ascii="Arial" w:hAnsi="Arial" w:cs="Arial"/>
                      <w:b/>
                    </w:rPr>
                  </w:pPr>
                  <w:r w:rsidRPr="00627D6C">
                    <w:rPr>
                      <w:rFonts w:ascii="Arial" w:hAnsi="Arial" w:cs="Arial"/>
                      <w:b/>
                    </w:rPr>
                    <w:t>Domain 2</w:t>
                  </w:r>
                </w:p>
              </w:tc>
              <w:tc>
                <w:tcPr>
                  <w:tcW w:w="5528" w:type="dxa"/>
                </w:tcPr>
                <w:p w14:paraId="47AAA284" w14:textId="77777777" w:rsidR="00FC1139" w:rsidRPr="00627D6C" w:rsidRDefault="00FC1139" w:rsidP="00A22E64">
                  <w:pPr>
                    <w:spacing w:line="276" w:lineRule="auto"/>
                    <w:rPr>
                      <w:rFonts w:ascii="Arial" w:hAnsi="Arial" w:cs="Arial"/>
                      <w:b/>
                    </w:rPr>
                  </w:pPr>
                  <w:r w:rsidRPr="00627D6C">
                    <w:rPr>
                      <w:rFonts w:ascii="Arial" w:hAnsi="Arial" w:cs="Arial"/>
                      <w:b/>
                    </w:rPr>
                    <w:t>Enhancing quality of life for people with long-term conditions</w:t>
                  </w:r>
                </w:p>
              </w:tc>
              <w:tc>
                <w:tcPr>
                  <w:tcW w:w="641" w:type="dxa"/>
                </w:tcPr>
                <w:p w14:paraId="78297EB6" w14:textId="77777777" w:rsidR="00FC1139" w:rsidRPr="00627D6C" w:rsidRDefault="00A65483" w:rsidP="00A22E64">
                  <w:pPr>
                    <w:spacing w:line="276" w:lineRule="auto"/>
                    <w:rPr>
                      <w:rFonts w:ascii="Arial" w:hAnsi="Arial" w:cs="Arial"/>
                      <w:b/>
                    </w:rPr>
                  </w:pPr>
                  <w:r w:rsidRPr="00627D6C">
                    <w:rPr>
                      <w:rFonts w:ascii="Arial" w:hAnsi="Arial" w:cs="Arial"/>
                      <w:b/>
                    </w:rPr>
                    <w:t>X</w:t>
                  </w:r>
                </w:p>
              </w:tc>
            </w:tr>
            <w:tr w:rsidR="00FC1139" w:rsidRPr="00627D6C" w14:paraId="3AD06F41" w14:textId="77777777" w:rsidTr="00A22E64">
              <w:tc>
                <w:tcPr>
                  <w:tcW w:w="1276" w:type="dxa"/>
                </w:tcPr>
                <w:p w14:paraId="6EFAC012" w14:textId="77777777" w:rsidR="00FC1139" w:rsidRPr="00627D6C" w:rsidRDefault="00FC1139" w:rsidP="00A22E64">
                  <w:pPr>
                    <w:spacing w:line="276" w:lineRule="auto"/>
                    <w:rPr>
                      <w:rFonts w:ascii="Arial" w:hAnsi="Arial" w:cs="Arial"/>
                      <w:b/>
                    </w:rPr>
                  </w:pPr>
                  <w:r w:rsidRPr="00627D6C">
                    <w:rPr>
                      <w:rFonts w:ascii="Arial" w:hAnsi="Arial" w:cs="Arial"/>
                      <w:b/>
                    </w:rPr>
                    <w:t>Domain 3</w:t>
                  </w:r>
                </w:p>
              </w:tc>
              <w:tc>
                <w:tcPr>
                  <w:tcW w:w="5528" w:type="dxa"/>
                </w:tcPr>
                <w:p w14:paraId="24A7566C" w14:textId="77777777" w:rsidR="00FC1139" w:rsidRPr="00627D6C" w:rsidRDefault="00FC1139" w:rsidP="00A22E64">
                  <w:pPr>
                    <w:spacing w:line="276" w:lineRule="auto"/>
                    <w:rPr>
                      <w:rFonts w:ascii="Arial" w:hAnsi="Arial" w:cs="Arial"/>
                      <w:b/>
                    </w:rPr>
                  </w:pPr>
                  <w:r w:rsidRPr="00627D6C">
                    <w:rPr>
                      <w:rFonts w:ascii="Arial" w:hAnsi="Arial" w:cs="Arial"/>
                      <w:b/>
                    </w:rPr>
                    <w:t>Helping people to recover from episodes of ill-health or following injury</w:t>
                  </w:r>
                </w:p>
              </w:tc>
              <w:tc>
                <w:tcPr>
                  <w:tcW w:w="641" w:type="dxa"/>
                </w:tcPr>
                <w:p w14:paraId="42AB25A8" w14:textId="77777777" w:rsidR="00FC1139" w:rsidRPr="00627D6C" w:rsidRDefault="00A65483" w:rsidP="00A22E64">
                  <w:pPr>
                    <w:spacing w:line="276" w:lineRule="auto"/>
                    <w:rPr>
                      <w:rFonts w:ascii="Arial" w:hAnsi="Arial" w:cs="Arial"/>
                      <w:b/>
                    </w:rPr>
                  </w:pPr>
                  <w:r w:rsidRPr="00627D6C">
                    <w:rPr>
                      <w:rFonts w:ascii="Arial" w:hAnsi="Arial" w:cs="Arial"/>
                      <w:b/>
                    </w:rPr>
                    <w:t>X</w:t>
                  </w:r>
                </w:p>
              </w:tc>
            </w:tr>
            <w:tr w:rsidR="00FC1139" w:rsidRPr="00627D6C" w14:paraId="5DE02552" w14:textId="77777777" w:rsidTr="00A22E64">
              <w:tc>
                <w:tcPr>
                  <w:tcW w:w="1276" w:type="dxa"/>
                </w:tcPr>
                <w:p w14:paraId="6948E68E" w14:textId="77777777" w:rsidR="00FC1139" w:rsidRPr="00627D6C" w:rsidRDefault="00FC1139" w:rsidP="00A22E64">
                  <w:pPr>
                    <w:spacing w:line="276" w:lineRule="auto"/>
                    <w:rPr>
                      <w:rFonts w:ascii="Arial" w:hAnsi="Arial" w:cs="Arial"/>
                      <w:b/>
                    </w:rPr>
                  </w:pPr>
                  <w:r w:rsidRPr="00627D6C">
                    <w:rPr>
                      <w:rFonts w:ascii="Arial" w:hAnsi="Arial" w:cs="Arial"/>
                      <w:b/>
                    </w:rPr>
                    <w:t>Domain 4</w:t>
                  </w:r>
                </w:p>
              </w:tc>
              <w:tc>
                <w:tcPr>
                  <w:tcW w:w="5528" w:type="dxa"/>
                </w:tcPr>
                <w:p w14:paraId="2CC1BC8A" w14:textId="77777777" w:rsidR="00FC1139" w:rsidRPr="00627D6C" w:rsidRDefault="00FC1139" w:rsidP="00A22E64">
                  <w:pPr>
                    <w:spacing w:line="276" w:lineRule="auto"/>
                    <w:rPr>
                      <w:rFonts w:ascii="Arial" w:hAnsi="Arial" w:cs="Arial"/>
                      <w:b/>
                    </w:rPr>
                  </w:pPr>
                  <w:r w:rsidRPr="00627D6C">
                    <w:rPr>
                      <w:rFonts w:ascii="Arial" w:hAnsi="Arial" w:cs="Arial"/>
                      <w:b/>
                    </w:rPr>
                    <w:t>Ensuring people have a positive experience of care</w:t>
                  </w:r>
                </w:p>
              </w:tc>
              <w:tc>
                <w:tcPr>
                  <w:tcW w:w="641" w:type="dxa"/>
                </w:tcPr>
                <w:p w14:paraId="1F6AC3A4" w14:textId="77777777" w:rsidR="00FC1139" w:rsidRPr="00627D6C" w:rsidRDefault="00A65483" w:rsidP="00A22E64">
                  <w:pPr>
                    <w:spacing w:line="276" w:lineRule="auto"/>
                    <w:rPr>
                      <w:rFonts w:ascii="Arial" w:hAnsi="Arial" w:cs="Arial"/>
                      <w:b/>
                    </w:rPr>
                  </w:pPr>
                  <w:r w:rsidRPr="00627D6C">
                    <w:rPr>
                      <w:rFonts w:ascii="Arial" w:hAnsi="Arial" w:cs="Arial"/>
                      <w:b/>
                    </w:rPr>
                    <w:t>X</w:t>
                  </w:r>
                </w:p>
              </w:tc>
            </w:tr>
            <w:tr w:rsidR="00FC1139" w:rsidRPr="00627D6C" w14:paraId="0C1BD4BD" w14:textId="77777777" w:rsidTr="00A22E64">
              <w:tc>
                <w:tcPr>
                  <w:tcW w:w="1276" w:type="dxa"/>
                </w:tcPr>
                <w:p w14:paraId="7B04A436" w14:textId="77777777" w:rsidR="00FC1139" w:rsidRPr="00627D6C" w:rsidRDefault="00FC1139" w:rsidP="00A22E64">
                  <w:pPr>
                    <w:spacing w:line="276" w:lineRule="auto"/>
                    <w:rPr>
                      <w:rFonts w:ascii="Arial" w:hAnsi="Arial" w:cs="Arial"/>
                      <w:b/>
                    </w:rPr>
                  </w:pPr>
                  <w:r w:rsidRPr="00627D6C">
                    <w:rPr>
                      <w:rFonts w:ascii="Arial" w:hAnsi="Arial" w:cs="Arial"/>
                      <w:b/>
                    </w:rPr>
                    <w:lastRenderedPageBreak/>
                    <w:t>Domain 5</w:t>
                  </w:r>
                </w:p>
              </w:tc>
              <w:tc>
                <w:tcPr>
                  <w:tcW w:w="5528" w:type="dxa"/>
                </w:tcPr>
                <w:p w14:paraId="7C1C9B42" w14:textId="77777777" w:rsidR="00FC1139" w:rsidRPr="00627D6C" w:rsidRDefault="00FC1139" w:rsidP="00A22E64">
                  <w:pPr>
                    <w:spacing w:line="276" w:lineRule="auto"/>
                    <w:rPr>
                      <w:rFonts w:ascii="Arial" w:hAnsi="Arial" w:cs="Arial"/>
                      <w:b/>
                    </w:rPr>
                  </w:pPr>
                  <w:r w:rsidRPr="00627D6C">
                    <w:rPr>
                      <w:rFonts w:ascii="Arial" w:hAnsi="Arial" w:cs="Arial"/>
                      <w:b/>
                    </w:rPr>
                    <w:t>Treating and caring for people in safe environment and protecting them from avoidable harm</w:t>
                  </w:r>
                </w:p>
              </w:tc>
              <w:tc>
                <w:tcPr>
                  <w:tcW w:w="641" w:type="dxa"/>
                </w:tcPr>
                <w:p w14:paraId="707D25B0" w14:textId="77777777" w:rsidR="00FC1139" w:rsidRPr="00627D6C" w:rsidRDefault="00A65483" w:rsidP="00A22E64">
                  <w:pPr>
                    <w:spacing w:line="276" w:lineRule="auto"/>
                    <w:rPr>
                      <w:rFonts w:ascii="Arial" w:hAnsi="Arial" w:cs="Arial"/>
                      <w:b/>
                    </w:rPr>
                  </w:pPr>
                  <w:r w:rsidRPr="00627D6C">
                    <w:rPr>
                      <w:rFonts w:ascii="Arial" w:hAnsi="Arial" w:cs="Arial"/>
                      <w:b/>
                    </w:rPr>
                    <w:t>X</w:t>
                  </w:r>
                </w:p>
              </w:tc>
            </w:tr>
          </w:tbl>
          <w:p w14:paraId="334BCD56" w14:textId="77777777" w:rsidR="00FC1139" w:rsidRPr="00627D6C" w:rsidRDefault="00FC1139" w:rsidP="00A22E64">
            <w:pPr>
              <w:spacing w:after="0" w:line="276" w:lineRule="auto"/>
              <w:rPr>
                <w:rFonts w:ascii="Arial" w:hAnsi="Arial" w:cs="Arial"/>
                <w:b/>
              </w:rPr>
            </w:pPr>
          </w:p>
        </w:tc>
      </w:tr>
      <w:tr w:rsidR="00FC1139" w:rsidRPr="00B5552C" w14:paraId="66ED3EC0" w14:textId="77777777" w:rsidTr="00892D46">
        <w:tc>
          <w:tcPr>
            <w:tcW w:w="8908" w:type="dxa"/>
            <w:shd w:val="clear" w:color="auto" w:fill="auto"/>
          </w:tcPr>
          <w:p w14:paraId="72A2B456" w14:textId="2D26F9E0" w:rsidR="00FC1139" w:rsidRPr="00627D6C" w:rsidRDefault="00FC1139" w:rsidP="00A22E64">
            <w:pPr>
              <w:spacing w:after="0" w:line="276" w:lineRule="auto"/>
              <w:rPr>
                <w:rFonts w:ascii="Arial" w:hAnsi="Arial" w:cs="Arial"/>
                <w:b/>
              </w:rPr>
            </w:pPr>
            <w:r w:rsidRPr="00627D6C">
              <w:rPr>
                <w:rFonts w:ascii="Arial" w:hAnsi="Arial" w:cs="Arial"/>
                <w:b/>
              </w:rPr>
              <w:lastRenderedPageBreak/>
              <w:t>3.</w:t>
            </w:r>
            <w:r w:rsidRPr="00627D6C">
              <w:rPr>
                <w:rFonts w:ascii="Arial" w:hAnsi="Arial" w:cs="Arial"/>
                <w:b/>
              </w:rPr>
              <w:tab/>
            </w:r>
            <w:r w:rsidR="004A205D">
              <w:rPr>
                <w:rFonts w:ascii="Arial" w:hAnsi="Arial" w:cs="Arial"/>
                <w:b/>
              </w:rPr>
              <w:t xml:space="preserve">Service </w:t>
            </w:r>
            <w:r w:rsidRPr="00627D6C">
              <w:rPr>
                <w:rFonts w:ascii="Arial" w:hAnsi="Arial" w:cs="Arial"/>
                <w:b/>
              </w:rPr>
              <w:t>Scope</w:t>
            </w:r>
          </w:p>
        </w:tc>
      </w:tr>
      <w:tr w:rsidR="00FC1139" w:rsidRPr="00512021" w14:paraId="5953FE11" w14:textId="77777777" w:rsidTr="00892D46">
        <w:tc>
          <w:tcPr>
            <w:tcW w:w="8908" w:type="dxa"/>
            <w:shd w:val="clear" w:color="auto" w:fill="auto"/>
          </w:tcPr>
          <w:p w14:paraId="368D412A" w14:textId="059518E6" w:rsidR="00FC1139" w:rsidRPr="00627D6C" w:rsidRDefault="00FC1139" w:rsidP="00A22E64">
            <w:pPr>
              <w:spacing w:after="0"/>
              <w:rPr>
                <w:rFonts w:ascii="Arial" w:hAnsi="Arial" w:cs="Arial"/>
              </w:rPr>
            </w:pPr>
          </w:p>
          <w:p w14:paraId="6B5115AF" w14:textId="77777777" w:rsidR="004A205D" w:rsidRDefault="00FC1139" w:rsidP="004A205D">
            <w:pPr>
              <w:rPr>
                <w:rFonts w:ascii="Arial" w:hAnsi="Arial" w:cs="Arial"/>
              </w:rPr>
            </w:pPr>
            <w:r w:rsidRPr="00627D6C">
              <w:rPr>
                <w:rFonts w:ascii="Arial" w:hAnsi="Arial" w:cs="Arial"/>
                <w:b/>
              </w:rPr>
              <w:t>3.1</w:t>
            </w:r>
            <w:r w:rsidRPr="00627D6C">
              <w:rPr>
                <w:rFonts w:ascii="Arial" w:hAnsi="Arial" w:cs="Arial"/>
                <w:b/>
              </w:rPr>
              <w:tab/>
              <w:t>Aims and objectives of service</w:t>
            </w:r>
            <w:r w:rsidR="004A205D" w:rsidRPr="00627D6C">
              <w:rPr>
                <w:rFonts w:ascii="Arial" w:hAnsi="Arial" w:cs="Arial"/>
              </w:rPr>
              <w:t xml:space="preserve"> </w:t>
            </w:r>
          </w:p>
          <w:p w14:paraId="14201D3B" w14:textId="7EDF9C9A" w:rsidR="00270F62" w:rsidRPr="00627D6C" w:rsidRDefault="00270F62" w:rsidP="00270F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Provide an education based approach to mental health recovery and management of long term conditions through delivery of a recovery college in Waltham Forest running a curriculum over three terms per year, offering a minimum of 20 courses each term for 600 students </w:t>
            </w:r>
            <w:r w:rsidR="00376329">
              <w:rPr>
                <w:rFonts w:ascii="Arial" w:hAnsi="Arial" w:cs="Arial"/>
                <w:color w:val="000000"/>
              </w:rPr>
              <w:t>for the pilot period.</w:t>
            </w:r>
          </w:p>
          <w:p w14:paraId="2F0E1E53" w14:textId="77777777" w:rsidR="00270F62" w:rsidRPr="00627D6C" w:rsidRDefault="00270F62" w:rsidP="00270F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The</w:t>
            </w:r>
            <w:r w:rsidRPr="00627D6C">
              <w:rPr>
                <w:rFonts w:ascii="Arial" w:hAnsi="Arial" w:cs="Arial"/>
                <w:b/>
                <w:bCs/>
                <w:color w:val="000000"/>
                <w:position w:val="2"/>
              </w:rPr>
              <w:t xml:space="preserve"> Service </w:t>
            </w:r>
            <w:r w:rsidRPr="00627D6C">
              <w:rPr>
                <w:rFonts w:ascii="Arial" w:hAnsi="Arial" w:cs="Arial"/>
                <w:b/>
                <w:bCs/>
                <w:color w:val="000000"/>
              </w:rPr>
              <w:t>Approach Requirements</w:t>
            </w:r>
          </w:p>
          <w:p w14:paraId="4BAE3157"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A local partnership approach to deliver a planned programme of education and training covering a range of mental health and physical health related topics which provides education as a route to recovery, increased resilience and self-management.</w:t>
            </w:r>
          </w:p>
          <w:p w14:paraId="74A7B29D"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The proposed model for co-morbidity in relation long term physical health conditions and mental health problems is an innovative approach to utilising the recovery college model.</w:t>
            </w:r>
          </w:p>
          <w:p w14:paraId="607C3355"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Courses are co-produced and co-delivered by people with lived experience of mental health issues alongside those who work within relevant roles and professions.</w:t>
            </w:r>
          </w:p>
          <w:p w14:paraId="17CA3F4A"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Course will range in length from short half day sessions to longer 8 week programmes with class sizes no larger than 12 students.</w:t>
            </w:r>
          </w:p>
          <w:p w14:paraId="44EAB394"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A new prospectus will be published each term outlining the courses available and how to join.</w:t>
            </w:r>
          </w:p>
          <w:p w14:paraId="7AF8095B" w14:textId="77777777" w:rsidR="00270F62" w:rsidRPr="00627D6C" w:rsidRDefault="00270F62" w:rsidP="00270F62">
            <w:pPr>
              <w:widowControl w:val="0"/>
              <w:numPr>
                <w:ilvl w:val="0"/>
                <w:numId w:val="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The local Recovery College approach should be encapsulated by a co- produced brand which is actively promoted in the Borough as part of the service.</w:t>
            </w:r>
          </w:p>
          <w:p w14:paraId="781E5F57" w14:textId="77777777" w:rsidR="004A205D" w:rsidRDefault="004A205D" w:rsidP="004A205D">
            <w:pPr>
              <w:rPr>
                <w:rFonts w:ascii="Arial" w:hAnsi="Arial" w:cs="Arial"/>
              </w:rPr>
            </w:pPr>
          </w:p>
          <w:p w14:paraId="30D3AD78" w14:textId="20B9C6EC" w:rsidR="004A205D" w:rsidRPr="00627D6C" w:rsidRDefault="004A205D" w:rsidP="004A205D">
            <w:pPr>
              <w:rPr>
                <w:rFonts w:ascii="Arial" w:hAnsi="Arial" w:cs="Arial"/>
              </w:rPr>
            </w:pPr>
            <w:r w:rsidRPr="00627D6C">
              <w:rPr>
                <w:rFonts w:ascii="Arial" w:hAnsi="Arial" w:cs="Arial"/>
              </w:rPr>
              <w:t>The overall aim of the service is to facilitate change for individuals through practical problem solving and support planning (short and longer term). This will enable access to positive social, educational/personal development and work experiences in line with personal goals.</w:t>
            </w:r>
          </w:p>
          <w:p w14:paraId="694DF908" w14:textId="69424ABC" w:rsidR="005E42F2" w:rsidRPr="00270F62" w:rsidRDefault="004A205D" w:rsidP="00270F62">
            <w:pPr>
              <w:spacing w:after="0"/>
              <w:rPr>
                <w:rFonts w:ascii="Arial" w:hAnsi="Arial" w:cs="Arial"/>
                <w:b/>
              </w:rPr>
            </w:pPr>
            <w:r w:rsidRPr="00627D6C">
              <w:rPr>
                <w:rFonts w:ascii="Arial" w:hAnsi="Arial" w:cs="Arial"/>
              </w:rPr>
              <w:t xml:space="preserve">The service is required to deliver a comprehensive range of recovery service provision for people of working age. </w:t>
            </w:r>
            <w:r w:rsidR="005E42F2" w:rsidRPr="00627D6C">
              <w:t>This will effectively provide a seamless Borough-wide system of holistic support with the following elements Service delivery model below:</w:t>
            </w:r>
          </w:p>
          <w:p w14:paraId="756B3A15" w14:textId="1133922D" w:rsidR="005E42F2" w:rsidRPr="00627D6C" w:rsidRDefault="00376329" w:rsidP="00A65483">
            <w:pPr>
              <w:rPr>
                <w:rFonts w:ascii="Arial" w:hAnsi="Arial" w:cs="Arial"/>
                <w:b/>
              </w:rPr>
            </w:pPr>
            <w:r>
              <w:rPr>
                <w:noProof/>
                <w:lang w:eastAsia="en-GB"/>
              </w:rPr>
              <w:lastRenderedPageBreak/>
              <mc:AlternateContent>
                <mc:Choice Requires="wps">
                  <w:drawing>
                    <wp:anchor distT="0" distB="0" distL="114300" distR="114300" simplePos="0" relativeHeight="251659264" behindDoc="0" locked="0" layoutInCell="1" allowOverlap="1" wp14:anchorId="027B7A07" wp14:editId="36049226">
                      <wp:simplePos x="0" y="0"/>
                      <wp:positionH relativeFrom="column">
                        <wp:posOffset>183515</wp:posOffset>
                      </wp:positionH>
                      <wp:positionV relativeFrom="paragraph">
                        <wp:posOffset>2229485</wp:posOffset>
                      </wp:positionV>
                      <wp:extent cx="781050" cy="361950"/>
                      <wp:effectExtent l="0" t="0" r="0" b="0"/>
                      <wp:wrapNone/>
                      <wp:docPr id="2" name="Rectangle 2"/>
                      <wp:cNvGraphicFramePr/>
                      <a:graphic xmlns:a="http://schemas.openxmlformats.org/drawingml/2006/main">
                        <a:graphicData uri="http://schemas.microsoft.com/office/word/2010/wordprocessingShape">
                          <wps:wsp>
                            <wps:cNvSpPr/>
                            <wps:spPr>
                              <a:xfrm>
                                <a:off x="0" y="0"/>
                                <a:ext cx="781050" cy="36195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31CCB704" id="Rectangle 2" o:spid="_x0000_s1026" style="position:absolute;margin-left:14.45pt;margin-top:175.55pt;width:61.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" fillcolor="#00b050" stroked="f" strokeweight="1pt"/>
                  </w:pict>
                </mc:Fallback>
              </mc:AlternateContent>
            </w:r>
            <w:r w:rsidR="004E7214">
              <w:rPr>
                <w:noProof/>
                <w:lang w:eastAsia="en-GB"/>
              </w:rPr>
              <w:drawing>
                <wp:inline distT="0" distB="0" distL="0" distR="0" wp14:anchorId="1A0C10B8" wp14:editId="50ADE3C4">
                  <wp:extent cx="6109970" cy="37433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100" t="36962" r="28540" b="27938"/>
                          <a:stretch/>
                        </pic:blipFill>
                        <pic:spPr bwMode="auto">
                          <a:xfrm>
                            <a:off x="0" y="0"/>
                            <a:ext cx="6129236" cy="3755128"/>
                          </a:xfrm>
                          <a:prstGeom prst="rect">
                            <a:avLst/>
                          </a:prstGeom>
                          <a:ln>
                            <a:noFill/>
                          </a:ln>
                          <a:extLst>
                            <a:ext uri="{53640926-AAD7-44D8-BBD7-CCE9431645EC}">
                              <a14:shadowObscured xmlns:a14="http://schemas.microsoft.com/office/drawing/2010/main"/>
                            </a:ext>
                          </a:extLst>
                        </pic:spPr>
                      </pic:pic>
                    </a:graphicData>
                  </a:graphic>
                </wp:inline>
              </w:drawing>
            </w:r>
          </w:p>
          <w:p w14:paraId="781A2F68" w14:textId="77777777" w:rsidR="00270F62" w:rsidRPr="004A205D" w:rsidRDefault="00270F62" w:rsidP="00270F62">
            <w:pPr>
              <w:rPr>
                <w:rFonts w:ascii="Arial" w:hAnsi="Arial" w:cs="Arial"/>
                <w:b/>
              </w:rPr>
            </w:pPr>
            <w:r w:rsidRPr="004A205D">
              <w:rPr>
                <w:rFonts w:ascii="Arial" w:hAnsi="Arial" w:cs="Arial"/>
                <w:b/>
              </w:rPr>
              <w:t>Key Functions of the Waltham Forest Recovery College will be to:</w:t>
            </w:r>
          </w:p>
          <w:p w14:paraId="1F99AE88" w14:textId="77777777" w:rsidR="00270F62" w:rsidRPr="00627D6C" w:rsidRDefault="00270F62" w:rsidP="00270F62">
            <w:pPr>
              <w:pStyle w:val="ListParagraph"/>
              <w:numPr>
                <w:ilvl w:val="0"/>
                <w:numId w:val="4"/>
              </w:numPr>
              <w:rPr>
                <w:rFonts w:ascii="Arial" w:hAnsi="Arial" w:cs="Arial"/>
              </w:rPr>
            </w:pPr>
            <w:r w:rsidRPr="00627D6C">
              <w:rPr>
                <w:rFonts w:ascii="Arial" w:hAnsi="Arial" w:cs="Arial"/>
              </w:rPr>
              <w:t>Provide access to recovery oriented time limited support, specialist advice and opportunities for social contact and community participation</w:t>
            </w:r>
          </w:p>
          <w:p w14:paraId="65C953B9" w14:textId="77777777" w:rsidR="00270F62" w:rsidRPr="00627D6C" w:rsidRDefault="00270F62" w:rsidP="00270F62">
            <w:pPr>
              <w:pStyle w:val="ListParagraph"/>
              <w:numPr>
                <w:ilvl w:val="0"/>
                <w:numId w:val="4"/>
              </w:numPr>
              <w:rPr>
                <w:rFonts w:ascii="Arial" w:hAnsi="Arial" w:cs="Arial"/>
              </w:rPr>
            </w:pPr>
            <w:r w:rsidRPr="00627D6C">
              <w:rPr>
                <w:rFonts w:ascii="Arial" w:hAnsi="Arial" w:cs="Arial"/>
              </w:rPr>
              <w:t>Support people to retain existing social roles, relationships and maintain wellbeing and psychical health through participation in healthy lifestyle, social, leisure, educational and work activities.</w:t>
            </w:r>
          </w:p>
          <w:p w14:paraId="779DC283" w14:textId="77777777" w:rsidR="00270F62" w:rsidRPr="00627D6C" w:rsidRDefault="00270F62" w:rsidP="00270F62">
            <w:pPr>
              <w:pStyle w:val="ListParagraph"/>
              <w:numPr>
                <w:ilvl w:val="0"/>
                <w:numId w:val="4"/>
              </w:numPr>
              <w:rPr>
                <w:rFonts w:ascii="Arial" w:hAnsi="Arial" w:cs="Arial"/>
              </w:rPr>
            </w:pPr>
            <w:r w:rsidRPr="00627D6C">
              <w:rPr>
                <w:rFonts w:ascii="Arial" w:hAnsi="Arial" w:cs="Arial"/>
              </w:rPr>
              <w:t>Support people to access new roles, relationships and mainstream health lifestyle, social, leisure, education and work opportunities as part of personal recovery plan.</w:t>
            </w:r>
          </w:p>
          <w:p w14:paraId="7A3C016A" w14:textId="77777777" w:rsidR="00270F62" w:rsidRPr="00627D6C" w:rsidRDefault="00270F62" w:rsidP="00270F62">
            <w:pPr>
              <w:pStyle w:val="ListParagraph"/>
              <w:numPr>
                <w:ilvl w:val="0"/>
                <w:numId w:val="4"/>
              </w:numPr>
              <w:rPr>
                <w:rFonts w:ascii="Arial" w:hAnsi="Arial" w:cs="Arial"/>
              </w:rPr>
            </w:pPr>
            <w:r w:rsidRPr="00627D6C">
              <w:rPr>
                <w:rFonts w:ascii="Arial" w:hAnsi="Arial" w:cs="Arial"/>
              </w:rPr>
              <w:t>Provide support and opportunities for service user involvement, peer support and facilitation of support groups/networks including educational approaches to recovery.</w:t>
            </w:r>
          </w:p>
          <w:p w14:paraId="0D7739F3" w14:textId="77777777" w:rsidR="00270F62" w:rsidRDefault="00270F62" w:rsidP="00270F62">
            <w:pPr>
              <w:rPr>
                <w:rFonts w:ascii="Arial" w:hAnsi="Arial" w:cs="Arial"/>
                <w:b/>
              </w:rPr>
            </w:pPr>
          </w:p>
          <w:p w14:paraId="1AB729A8" w14:textId="77777777" w:rsidR="004E7214" w:rsidRDefault="004E7214" w:rsidP="00270F62">
            <w:pPr>
              <w:rPr>
                <w:rFonts w:ascii="Arial" w:hAnsi="Arial" w:cs="Arial"/>
                <w:b/>
              </w:rPr>
            </w:pPr>
          </w:p>
          <w:p w14:paraId="6B0F3A03" w14:textId="77777777" w:rsidR="00270F62" w:rsidRPr="004A205D" w:rsidRDefault="00270F62" w:rsidP="00270F62">
            <w:pPr>
              <w:rPr>
                <w:rFonts w:ascii="Arial" w:hAnsi="Arial" w:cs="Arial"/>
                <w:b/>
              </w:rPr>
            </w:pPr>
            <w:r w:rsidRPr="004A205D">
              <w:rPr>
                <w:rFonts w:ascii="Arial" w:hAnsi="Arial" w:cs="Arial"/>
                <w:b/>
              </w:rPr>
              <w:t>Key Features of the Waltham Forest Recovery College</w:t>
            </w:r>
          </w:p>
          <w:p w14:paraId="423184B1" w14:textId="77777777" w:rsidR="00270F62" w:rsidRDefault="00270F62" w:rsidP="00270F62">
            <w:pPr>
              <w:pStyle w:val="ListParagraph"/>
              <w:numPr>
                <w:ilvl w:val="0"/>
                <w:numId w:val="5"/>
              </w:numPr>
              <w:rPr>
                <w:rFonts w:ascii="Arial" w:hAnsi="Arial" w:cs="Arial"/>
              </w:rPr>
            </w:pPr>
            <w:r w:rsidRPr="00627D6C">
              <w:rPr>
                <w:rFonts w:ascii="Arial" w:hAnsi="Arial" w:cs="Arial"/>
              </w:rPr>
              <w:lastRenderedPageBreak/>
              <w:t>Deliver a planned co-produced and co-delivered learning programme covering a range of mental health and physical health related topics which provides education as a route to recovery, increased resilience and self-management.</w:t>
            </w:r>
          </w:p>
          <w:p w14:paraId="00BC6108" w14:textId="77777777" w:rsidR="00270F62" w:rsidRPr="00627D6C" w:rsidRDefault="00270F62" w:rsidP="00270F62">
            <w:pPr>
              <w:pStyle w:val="ListParagraph"/>
              <w:rPr>
                <w:rFonts w:ascii="Arial" w:hAnsi="Arial" w:cs="Arial"/>
              </w:rPr>
            </w:pPr>
          </w:p>
          <w:p w14:paraId="55E32481" w14:textId="77777777" w:rsidR="00270F62" w:rsidRPr="00627D6C" w:rsidRDefault="00270F62" w:rsidP="00270F62">
            <w:pPr>
              <w:pStyle w:val="ListParagraph"/>
              <w:numPr>
                <w:ilvl w:val="0"/>
                <w:numId w:val="5"/>
              </w:numPr>
              <w:rPr>
                <w:rFonts w:ascii="Arial" w:hAnsi="Arial" w:cs="Arial"/>
              </w:rPr>
            </w:pPr>
            <w:r w:rsidRPr="00627D6C">
              <w:rPr>
                <w:rFonts w:ascii="Arial" w:hAnsi="Arial" w:cs="Arial"/>
              </w:rPr>
              <w:t>Collaboration and co-production between people with personal and professional experience of mental health challenges; educational approach operating on college principles; strengths based and person-centred; inclusive and for people with mental health and physical health challenges, their relatives and carers and staff, mental health recovery oriented and progressive, helping people reach their own goals.</w:t>
            </w:r>
          </w:p>
          <w:p w14:paraId="05FC5657" w14:textId="77777777" w:rsidR="00270F62" w:rsidRPr="00627D6C" w:rsidRDefault="00270F62" w:rsidP="00270F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3C88EEA5" w14:textId="77777777" w:rsidR="00270F62" w:rsidRPr="00627D6C" w:rsidRDefault="00270F62" w:rsidP="00270F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Target Group</w:t>
            </w:r>
          </w:p>
          <w:p w14:paraId="6C37FBC4"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The courses and workshops will be delivered by experts by profession and experts by experience some on a sessional basis.</w:t>
            </w:r>
          </w:p>
          <w:p w14:paraId="3AC28783"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Additional resources will include the resource library and resource centre where people can get further information and undertake their own research.</w:t>
            </w:r>
          </w:p>
          <w:p w14:paraId="53D5896D"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Peer Support Workers will offer personal tutorial support, information, advice and guidance. They will help students select the courses and develop individual learning plans.</w:t>
            </w:r>
          </w:p>
          <w:p w14:paraId="4205F676" w14:textId="77777777" w:rsidR="00270F62"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The provision offered by the Recovery College will range from short courses and workshops to help service users manage their own recovery, to much longer training programmes.</w:t>
            </w:r>
          </w:p>
          <w:p w14:paraId="6387B32F" w14:textId="5C5AF00B" w:rsidR="00376329" w:rsidRPr="00627D6C" w:rsidRDefault="00376329"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 xml:space="preserve">The service will also be open to Carers, family members to gain knowledge and expertise to support recovery. </w:t>
            </w:r>
          </w:p>
          <w:p w14:paraId="79CCDADD"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Some of the programmes will be intended as an introduction to peer support training of all types.</w:t>
            </w:r>
          </w:p>
          <w:p w14:paraId="42F553DC"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Progression is a central principle of the Recovery College and the expectation will be that many students will choose to pursue formal qualifications, employment and volunteering using mainstream community opportunities to support social inclusion.</w:t>
            </w:r>
          </w:p>
          <w:p w14:paraId="589EF743" w14:textId="77777777" w:rsidR="00270F62" w:rsidRPr="00627D6C" w:rsidRDefault="00270F62" w:rsidP="00270F62">
            <w:pPr>
              <w:widowControl w:val="0"/>
              <w:numPr>
                <w:ilvl w:val="0"/>
                <w:numId w:val="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The Recovery College will work with their partners to identify opportunities to develop accredited local courses to support career pathways for peers in education, social care or health.</w:t>
            </w:r>
          </w:p>
          <w:p w14:paraId="071EC669" w14:textId="77777777" w:rsidR="00270F62" w:rsidRDefault="00270F62"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rPr>
            </w:pPr>
          </w:p>
          <w:p w14:paraId="5747759D" w14:textId="4693FCFA"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color w:val="000000"/>
              </w:rPr>
              <w:t>The Provider requirements are as follows</w:t>
            </w:r>
            <w:r w:rsidRPr="00627D6C">
              <w:rPr>
                <w:rFonts w:ascii="Arial" w:hAnsi="Arial" w:cs="Arial"/>
                <w:color w:val="000000"/>
              </w:rPr>
              <w:t>:</w:t>
            </w:r>
          </w:p>
          <w:p w14:paraId="6B77EF49"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A specialists in mental health provision with credibility and track record of championing mental health issues generally and commitment to a recovery ethos in mental health which inspires confidence in service users, local mental health professionals and other community stakeholders to lead on mental health support in the local community sector.</w:t>
            </w:r>
          </w:p>
          <w:p w14:paraId="771B5B68"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7323A8E5"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lastRenderedPageBreak/>
              <w:t>Extensive experience of delivering commissioned services in the community for people with mental health problems.</w:t>
            </w:r>
          </w:p>
          <w:p w14:paraId="65AF45E7"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3A135041"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Demonstrable track record of providing culturally appropriate support across service provision in diverse communities with an in depth understanding of the Waltham Forest BME communities and cultural sensitivities in relation to mental health.</w:t>
            </w:r>
          </w:p>
          <w:p w14:paraId="1D89E91C"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11FA9938"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Track record of successful delivery of an educational based approach to mental health recovery which includes people from BME backgrounds with culturally specific requirements relevant to Waltham Forest communities.</w:t>
            </w:r>
          </w:p>
          <w:p w14:paraId="53568EC9"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55D4B762"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Proven ability to develop partnerships between statutory and third sector community organisations. This may include/or formal contractual/sub-contractual arrangements and non-contractual joint working.</w:t>
            </w:r>
          </w:p>
          <w:p w14:paraId="5C8C13B9"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Expert knowledge and proven ability in practice of how the health and social care economy works in relation to care and treatment of people with mental health problems.</w:t>
            </w:r>
          </w:p>
          <w:p w14:paraId="40AFD40B"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04DD9A58" w14:textId="77777777" w:rsidR="00A65483" w:rsidRDefault="00A65483" w:rsidP="00A65483">
            <w:pPr>
              <w:pStyle w:val="ListParagraph"/>
              <w:widowControl w:val="0"/>
              <w:numPr>
                <w:ilvl w:val="0"/>
                <w:numId w:val="18"/>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Proven leadership in relationship to educational recovery based approaches at a local level within a Borough/community setting.</w:t>
            </w:r>
          </w:p>
          <w:p w14:paraId="382F5655" w14:textId="77777777" w:rsidR="00270F62" w:rsidRPr="00627D6C" w:rsidRDefault="00270F62" w:rsidP="00270F62">
            <w:pPr>
              <w:pStyle w:val="ListParagraph"/>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4476D84B" w14:textId="77777777" w:rsidR="00A65483" w:rsidRDefault="00A65483" w:rsidP="00A65483">
            <w:pPr>
              <w:widowControl w:val="0"/>
              <w:numPr>
                <w:ilvl w:val="0"/>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A local Recovery College ‘base’ or centre to act as a focal point and provide working space for the team and partners. Although the requirement for running courses does not involve one single physical college, the Recovery College needs a ‘home’ and/or at minimum an administrative base and meeting space in a central location within the Borough.</w:t>
            </w:r>
          </w:p>
          <w:p w14:paraId="1C0C28FA" w14:textId="77777777" w:rsidR="00270F62" w:rsidRPr="00627D6C" w:rsidRDefault="00270F62" w:rsidP="00270F6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color w:val="000000"/>
              </w:rPr>
            </w:pPr>
          </w:p>
          <w:p w14:paraId="1E54832D" w14:textId="77777777" w:rsidR="00A65483" w:rsidRPr="00627D6C" w:rsidRDefault="00A65483" w:rsidP="00A65483">
            <w:pPr>
              <w:widowControl w:val="0"/>
              <w:numPr>
                <w:ilvl w:val="0"/>
                <w:numId w:val="7"/>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Strong local networks in Waltham Forest (or a clear commitment/plan based on relative experience and scale demonstrating proven ability to establish a local administrative base and build strong local networks) to enable a strong local presence, infrastructure and visibility with adequate working space(s) available in the Borough.</w:t>
            </w:r>
          </w:p>
          <w:p w14:paraId="460DC5E6" w14:textId="77777777" w:rsidR="00270F62" w:rsidRDefault="00270F62" w:rsidP="00A6548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BC3105F" w14:textId="038C85B1" w:rsidR="00627D6C" w:rsidRDefault="00A65483" w:rsidP="00627D6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Single Access Point</w:t>
            </w:r>
            <w:r w:rsidRPr="00627D6C">
              <w:rPr>
                <w:rFonts w:ascii="Arial" w:hAnsi="Arial" w:cs="Arial"/>
                <w:color w:val="000000"/>
              </w:rPr>
              <w:t xml:space="preserve">: A clear single access point will be established from the Recovery </w:t>
            </w:r>
            <w:r w:rsidR="00ED67C1" w:rsidRPr="00627D6C">
              <w:rPr>
                <w:rFonts w:ascii="Arial" w:hAnsi="Arial" w:cs="Arial"/>
                <w:color w:val="000000"/>
              </w:rPr>
              <w:t xml:space="preserve">College </w:t>
            </w:r>
          </w:p>
          <w:p w14:paraId="0B40BEAB" w14:textId="77777777" w:rsidR="00627D6C" w:rsidRPr="00627D6C" w:rsidRDefault="00627D6C" w:rsidP="00627D6C">
            <w:pPr>
              <w:pStyle w:val="ListParagraph"/>
              <w:rPr>
                <w:rFonts w:ascii="Arial" w:hAnsi="Arial" w:cs="Arial"/>
                <w:color w:val="000000"/>
              </w:rPr>
            </w:pPr>
          </w:p>
          <w:p w14:paraId="40F17C77" w14:textId="77777777" w:rsidR="00627D6C" w:rsidRPr="00627D6C" w:rsidRDefault="00627D6C" w:rsidP="00627D6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85966CA" w14:textId="61E66E4C" w:rsidR="00A65483" w:rsidRDefault="00A65483" w:rsidP="00A6548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Student/Client Information System</w:t>
            </w:r>
            <w:r w:rsidRPr="00627D6C">
              <w:rPr>
                <w:rFonts w:ascii="Arial" w:hAnsi="Arial" w:cs="Arial"/>
                <w:color w:val="000000"/>
              </w:rPr>
              <w:t xml:space="preserve">: The </w:t>
            </w:r>
            <w:r w:rsidR="00ED67C1" w:rsidRPr="00627D6C">
              <w:rPr>
                <w:rFonts w:ascii="Arial" w:hAnsi="Arial" w:cs="Arial"/>
                <w:color w:val="000000"/>
              </w:rPr>
              <w:t>Provider</w:t>
            </w:r>
            <w:r w:rsidRPr="00627D6C">
              <w:rPr>
                <w:rFonts w:ascii="Arial" w:hAnsi="Arial" w:cs="Arial"/>
                <w:color w:val="000000"/>
              </w:rPr>
              <w:t xml:space="preserve"> </w:t>
            </w:r>
            <w:r w:rsidR="00270F62">
              <w:rPr>
                <w:rFonts w:ascii="Arial" w:hAnsi="Arial" w:cs="Arial"/>
                <w:color w:val="000000"/>
              </w:rPr>
              <w:t>shall</w:t>
            </w:r>
            <w:r w:rsidRPr="00627D6C">
              <w:rPr>
                <w:rFonts w:ascii="Arial" w:hAnsi="Arial" w:cs="Arial"/>
                <w:color w:val="000000"/>
              </w:rPr>
              <w:t xml:space="preserve"> implement a system which enables information about courses, students, outcomes, satisfaction surveys, etc. The system will ensure the clinical safety of service users, enable the monitoring of outcomes and enable information to be collated to inform commissioning requirements including key performance indicators.</w:t>
            </w:r>
          </w:p>
          <w:p w14:paraId="0EDF9189" w14:textId="77777777" w:rsidR="00627D6C" w:rsidRPr="00627D6C" w:rsidRDefault="00627D6C" w:rsidP="00627D6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8C935FD" w14:textId="00E7027C" w:rsidR="00A65483" w:rsidRDefault="00A65483" w:rsidP="00A6548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Branding</w:t>
            </w:r>
            <w:r w:rsidRPr="00627D6C">
              <w:rPr>
                <w:rFonts w:ascii="Arial" w:hAnsi="Arial" w:cs="Arial"/>
                <w:color w:val="000000"/>
              </w:rPr>
              <w:t>: Develop a clear and consistent (non-stigmatising) ‘Recovery College’ brand which signals a positive change and enhanced service offer for people in the Borough.</w:t>
            </w:r>
          </w:p>
          <w:p w14:paraId="39570239" w14:textId="77777777" w:rsidR="00627D6C" w:rsidRPr="00627D6C" w:rsidRDefault="00627D6C" w:rsidP="00627D6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A29063F" w14:textId="1EAA1040" w:rsidR="00A65483" w:rsidRDefault="00A65483" w:rsidP="00A6548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 xml:space="preserve">Student Pathways: </w:t>
            </w:r>
            <w:r w:rsidRPr="00627D6C">
              <w:rPr>
                <w:rFonts w:ascii="Arial" w:hAnsi="Arial" w:cs="Arial"/>
                <w:color w:val="000000"/>
              </w:rPr>
              <w:t xml:space="preserve">Clear pathways and protocols should be developed with the Recovery </w:t>
            </w:r>
            <w:r w:rsidR="00B115E1" w:rsidRPr="00627D6C">
              <w:rPr>
                <w:rFonts w:ascii="Arial" w:hAnsi="Arial" w:cs="Arial"/>
                <w:color w:val="000000"/>
              </w:rPr>
              <w:t>College</w:t>
            </w:r>
            <w:r w:rsidRPr="00627D6C">
              <w:rPr>
                <w:rFonts w:ascii="Arial" w:hAnsi="Arial" w:cs="Arial"/>
                <w:color w:val="000000"/>
              </w:rPr>
              <w:t>.</w:t>
            </w:r>
          </w:p>
          <w:p w14:paraId="7D3E34B9" w14:textId="77777777" w:rsidR="00627D6C" w:rsidRPr="00627D6C" w:rsidRDefault="00627D6C" w:rsidP="00AB359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2E188D6" w14:textId="2673A8D8" w:rsidR="00A65483" w:rsidRDefault="00A65483" w:rsidP="00A6548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 xml:space="preserve">Involvement, Co-Production and Peer Support Facilitation: </w:t>
            </w:r>
            <w:r w:rsidRPr="00627D6C">
              <w:rPr>
                <w:rFonts w:ascii="Arial" w:hAnsi="Arial" w:cs="Arial"/>
                <w:color w:val="000000"/>
              </w:rPr>
              <w:t>This should be embedded through all elements of the Recovery College and specific aspects should be within scope for all staff roles to some degree.</w:t>
            </w:r>
          </w:p>
          <w:p w14:paraId="3E212F86" w14:textId="77777777" w:rsidR="00627D6C" w:rsidRPr="00627D6C" w:rsidRDefault="00627D6C" w:rsidP="00627D6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614B4D6F" w14:textId="77777777" w:rsidR="00A65483" w:rsidRDefault="00A65483" w:rsidP="00A65483">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b/>
                <w:bCs/>
                <w:color w:val="000000"/>
              </w:rPr>
              <w:t xml:space="preserve">Cultural Diversity: </w:t>
            </w:r>
            <w:r w:rsidRPr="00627D6C">
              <w:rPr>
                <w:rFonts w:ascii="Arial" w:hAnsi="Arial" w:cs="Arial"/>
                <w:color w:val="000000"/>
              </w:rPr>
              <w:t>The Recovery College should be fully reflective of the diversity of Waltham Forest local communities. Culturally specific support for mental health recovery should be embedded throughout all aspects of the Recovery College in the context of beliefs, gender, faith, language, skills, talents and personal aspirations.</w:t>
            </w:r>
          </w:p>
          <w:p w14:paraId="629A7C9B" w14:textId="77777777" w:rsidR="00270F62" w:rsidRPr="00270F62" w:rsidRDefault="00270F62" w:rsidP="00270F62">
            <w:pPr>
              <w:pStyle w:val="ListParagraph"/>
              <w:rPr>
                <w:rFonts w:ascii="Arial" w:hAnsi="Arial" w:cs="Arial"/>
                <w:color w:val="000000"/>
              </w:rPr>
            </w:pPr>
          </w:p>
          <w:p w14:paraId="1BB32B85" w14:textId="77777777" w:rsidR="00270F62" w:rsidRPr="00270F62" w:rsidRDefault="00270F62" w:rsidP="00270F62">
            <w:pPr>
              <w:rPr>
                <w:rFonts w:ascii="Arial" w:hAnsi="Arial" w:cs="Arial"/>
                <w:b/>
              </w:rPr>
            </w:pPr>
            <w:r w:rsidRPr="00270F62">
              <w:rPr>
                <w:rFonts w:ascii="Arial" w:hAnsi="Arial" w:cs="Arial"/>
                <w:b/>
              </w:rPr>
              <w:t>The Recovery College delivery model including locations, staffing structures, data collection and reporting requirements, HPOs and outcomes will be subject to further review during mobilisation at the 6 month and 12 month review</w:t>
            </w:r>
          </w:p>
          <w:p w14:paraId="04E163B3"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39C77B59" w14:textId="77777777" w:rsidR="0055388D" w:rsidRDefault="0055388D"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55BA82D2" w14:textId="425E614C"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De</w:t>
            </w:r>
            <w:r w:rsidR="00270F62">
              <w:rPr>
                <w:rFonts w:ascii="Arial" w:hAnsi="Arial" w:cs="Arial"/>
                <w:b/>
                <w:bCs/>
                <w:color w:val="000000"/>
              </w:rPr>
              <w:t xml:space="preserve">velopment and </w:t>
            </w:r>
            <w:r w:rsidR="004D3D63">
              <w:rPr>
                <w:rFonts w:ascii="Arial" w:hAnsi="Arial" w:cs="Arial"/>
                <w:b/>
                <w:bCs/>
                <w:color w:val="000000"/>
              </w:rPr>
              <w:t xml:space="preserve">Service </w:t>
            </w:r>
            <w:r w:rsidR="00270F62">
              <w:rPr>
                <w:rFonts w:ascii="Arial" w:hAnsi="Arial" w:cs="Arial"/>
                <w:b/>
                <w:bCs/>
                <w:color w:val="000000"/>
              </w:rPr>
              <w:t>De</w:t>
            </w:r>
            <w:r w:rsidRPr="00627D6C">
              <w:rPr>
                <w:rFonts w:ascii="Arial" w:hAnsi="Arial" w:cs="Arial"/>
                <w:b/>
                <w:bCs/>
                <w:color w:val="000000"/>
              </w:rPr>
              <w:t xml:space="preserve">livery </w:t>
            </w:r>
          </w:p>
          <w:p w14:paraId="11AFB266" w14:textId="4FEA2CF2"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Development of the service will be overseen by </w:t>
            </w:r>
            <w:r w:rsidR="004D3D63">
              <w:rPr>
                <w:rFonts w:ascii="Arial" w:hAnsi="Arial" w:cs="Arial"/>
                <w:color w:val="000000"/>
              </w:rPr>
              <w:t xml:space="preserve">Mental health commissioning </w:t>
            </w:r>
            <w:r w:rsidRPr="00627D6C">
              <w:rPr>
                <w:rFonts w:ascii="Arial" w:hAnsi="Arial" w:cs="Arial"/>
                <w:color w:val="000000"/>
              </w:rPr>
              <w:t>group with quarterly monitoring reports to the Commissioner and/or Contract Manager.</w:t>
            </w:r>
          </w:p>
          <w:p w14:paraId="054F6738" w14:textId="4C38CEDA"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The Recovery College will use a range of community venues across the Borough for delivery of courses to ensure equitable access in localities. This is intended to reduce barriers due to local neighbourhood, transport and mobility issues.</w:t>
            </w:r>
          </w:p>
          <w:p w14:paraId="52376FC9"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A co-production approach to the design and delivery of the curriculum will bring together service users, clinicians and other professionals to ensure courses are tailored to local requirements with a diverse mix of expertise contributing to the service.</w:t>
            </w:r>
          </w:p>
          <w:p w14:paraId="7E0CC785"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Outcomes</w:t>
            </w:r>
          </w:p>
          <w:p w14:paraId="4B4F242A" w14:textId="77777777" w:rsidR="009B4D66" w:rsidRPr="00627D6C" w:rsidRDefault="009B4D66" w:rsidP="009B4D66">
            <w:pPr>
              <w:widowControl w:val="0"/>
              <w:numPr>
                <w:ilvl w:val="0"/>
                <w:numId w:val="1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rPr>
                <w:rFonts w:ascii="Arial" w:hAnsi="Arial" w:cs="Arial"/>
                <w:color w:val="000000"/>
              </w:rPr>
            </w:pPr>
            <w:r w:rsidRPr="00627D6C">
              <w:rPr>
                <w:rFonts w:ascii="Arial" w:hAnsi="Arial" w:cs="Arial"/>
                <w:color w:val="000000"/>
              </w:rPr>
              <w:t xml:space="preserve">Engage with existing statutory and community resources and voluntary sector providers to </w:t>
            </w:r>
            <w:r w:rsidRPr="00627D6C">
              <w:rPr>
                <w:rFonts w:ascii="Arial" w:hAnsi="Arial" w:cs="Arial"/>
                <w:color w:val="000000"/>
              </w:rPr>
              <w:lastRenderedPageBreak/>
              <w:t>identify their potential contribution</w:t>
            </w:r>
          </w:p>
          <w:p w14:paraId="362B39FF" w14:textId="77777777" w:rsidR="009B4D66" w:rsidRPr="00627D6C" w:rsidRDefault="009B4D66" w:rsidP="009B4D6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Engage service users and clinicians as experts</w:t>
            </w:r>
          </w:p>
          <w:p w14:paraId="335CC434" w14:textId="77777777" w:rsidR="009B4D66" w:rsidRPr="00627D6C" w:rsidRDefault="009B4D66" w:rsidP="009B4D6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Create networks to support progression of the Recovery College</w:t>
            </w:r>
          </w:p>
          <w:p w14:paraId="0CCFA386" w14:textId="77777777" w:rsidR="009B4D66" w:rsidRPr="00627D6C" w:rsidRDefault="009B4D66" w:rsidP="009B4D6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Recruit Recovery College staff at the central hub</w:t>
            </w:r>
          </w:p>
          <w:p w14:paraId="4E175007" w14:textId="77777777" w:rsidR="009B4D66" w:rsidRPr="00627D6C" w:rsidRDefault="009B4D66" w:rsidP="009B4D6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83"/>
              <w:rPr>
                <w:rFonts w:ascii="Arial" w:hAnsi="Arial" w:cs="Arial"/>
                <w:color w:val="000000"/>
              </w:rPr>
            </w:pPr>
            <w:r w:rsidRPr="00627D6C">
              <w:rPr>
                <w:rFonts w:ascii="Arial" w:hAnsi="Arial" w:cs="Arial"/>
                <w:color w:val="000000"/>
              </w:rPr>
              <w:t>Recruiting Recovery College service user volunteers and providing a training structure</w:t>
            </w:r>
          </w:p>
          <w:p w14:paraId="6F65ED8A" w14:textId="77777777" w:rsidR="009B4D66" w:rsidRPr="00627D6C" w:rsidRDefault="009B4D66" w:rsidP="009B4D66">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Recruitment of experts by profession</w:t>
            </w:r>
          </w:p>
          <w:p w14:paraId="3456AE89"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7C728AB8"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Impact on mental health</w:t>
            </w:r>
          </w:p>
          <w:p w14:paraId="5140A396" w14:textId="77777777" w:rsidR="009B4D66" w:rsidRPr="00627D6C" w:rsidRDefault="009B4D66" w:rsidP="009B4D6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 xml:space="preserve">Increased use of scheduled care and decreased use of episodic care </w:t>
            </w:r>
          </w:p>
          <w:p w14:paraId="37D09D51" w14:textId="77777777" w:rsidR="009B4D66" w:rsidRPr="00627D6C" w:rsidRDefault="009B4D66" w:rsidP="009B4D6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rPr>
                <w:rFonts w:ascii="Arial" w:hAnsi="Arial" w:cs="Arial"/>
                <w:color w:val="000000"/>
              </w:rPr>
            </w:pPr>
            <w:r w:rsidRPr="00627D6C">
              <w:rPr>
                <w:rFonts w:ascii="Arial" w:hAnsi="Arial" w:cs="Arial"/>
                <w:color w:val="000000"/>
              </w:rPr>
              <w:t>Decrease or better managed symptoms of mental ill health (anxiety, depression, psychosis)</w:t>
            </w:r>
          </w:p>
          <w:p w14:paraId="592FEE83" w14:textId="77777777" w:rsidR="009B4D66" w:rsidRPr="00627D6C" w:rsidRDefault="009B4D66" w:rsidP="009B4D6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Improved mental health well-being</w:t>
            </w:r>
          </w:p>
          <w:p w14:paraId="1EDDF960" w14:textId="77777777" w:rsidR="009B4D66" w:rsidRPr="00627D6C" w:rsidRDefault="009B4D66" w:rsidP="009B4D6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 xml:space="preserve">Increased self-esteem and confidence </w:t>
            </w:r>
          </w:p>
          <w:p w14:paraId="44B48CED" w14:textId="77777777" w:rsidR="009B4D66" w:rsidRPr="00627D6C" w:rsidRDefault="009B4D66" w:rsidP="009B4D6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sense of empowerment</w:t>
            </w:r>
          </w:p>
          <w:p w14:paraId="5D8F2AA6"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color w:val="000000"/>
              </w:rPr>
            </w:pPr>
          </w:p>
          <w:p w14:paraId="5864183E"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Impact on social relationships</w:t>
            </w:r>
          </w:p>
          <w:p w14:paraId="1302D89E"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feeling of support through positive relationships</w:t>
            </w:r>
          </w:p>
          <w:p w14:paraId="6F3CF3EC"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Reduced social isolation</w:t>
            </w:r>
          </w:p>
          <w:p w14:paraId="10668C5D"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range of social networks</w:t>
            </w:r>
          </w:p>
          <w:p w14:paraId="4923875A"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Decreased stigma evidenced by participation in the local community</w:t>
            </w:r>
          </w:p>
          <w:p w14:paraId="730C710B"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color w:val="000000"/>
              </w:rPr>
            </w:pPr>
          </w:p>
          <w:p w14:paraId="3F599BAC" w14:textId="61FC55DA" w:rsidR="009B4D66" w:rsidRPr="00627D6C" w:rsidRDefault="00E04143"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Impact on V</w:t>
            </w:r>
            <w:r w:rsidR="009B4D66" w:rsidRPr="00627D6C">
              <w:rPr>
                <w:rFonts w:ascii="Arial" w:hAnsi="Arial" w:cs="Arial"/>
                <w:b/>
                <w:bCs/>
                <w:color w:val="000000"/>
              </w:rPr>
              <w:t>olunteering</w:t>
            </w:r>
          </w:p>
          <w:p w14:paraId="6BB5E5E1"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peer mentor and leader roles available</w:t>
            </w:r>
          </w:p>
          <w:p w14:paraId="3C40E51F" w14:textId="74692899"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rPr>
                <w:rFonts w:ascii="Arial" w:hAnsi="Arial" w:cs="Arial"/>
                <w:color w:val="000000"/>
              </w:rPr>
            </w:pPr>
            <w:r w:rsidRPr="00627D6C">
              <w:rPr>
                <w:rFonts w:ascii="Arial" w:hAnsi="Arial" w:cs="Arial"/>
                <w:color w:val="000000"/>
              </w:rPr>
              <w:t>Increased uptake of community volunteering opportunities and peer support roles by Recovery College students</w:t>
            </w:r>
          </w:p>
          <w:p w14:paraId="20A29DD2"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ascii="Arial" w:hAnsi="Arial" w:cs="Arial"/>
                <w:color w:val="000000"/>
              </w:rPr>
            </w:pPr>
          </w:p>
          <w:p w14:paraId="198D46AD" w14:textId="77777777"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Impact on Learning and Skills</w:t>
            </w:r>
          </w:p>
          <w:p w14:paraId="5BDD15F7"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rPr>
                <w:rFonts w:ascii="Arial" w:hAnsi="Arial" w:cs="Arial"/>
                <w:b/>
                <w:bCs/>
                <w:color w:val="000000"/>
              </w:rPr>
            </w:pPr>
            <w:r w:rsidRPr="00627D6C">
              <w:rPr>
                <w:rFonts w:ascii="Arial" w:hAnsi="Arial" w:cs="Arial"/>
                <w:color w:val="000000"/>
              </w:rPr>
              <w:t xml:space="preserve">Increased uptake of mainstream adult learning opportunities </w:t>
            </w:r>
            <w:r w:rsidRPr="00627D6C">
              <w:rPr>
                <w:rFonts w:ascii="Arial" w:hAnsi="Arial" w:cs="Arial"/>
                <w:b/>
                <w:bCs/>
                <w:color w:val="000000"/>
              </w:rPr>
              <w:t>Impact on employability employment outcomes</w:t>
            </w:r>
          </w:p>
          <w:p w14:paraId="4BA08AA2"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awareness of local employment support initiatives</w:t>
            </w:r>
          </w:p>
          <w:p w14:paraId="68F343E3"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uptake of employment support opportunities</w:t>
            </w:r>
          </w:p>
          <w:p w14:paraId="57804FE7"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Gain transferable skills to take to potential employers</w:t>
            </w:r>
          </w:p>
          <w:p w14:paraId="70863518" w14:textId="77777777" w:rsidR="009B4D66" w:rsidRPr="00627D6C" w:rsidRDefault="009B4D66" w:rsidP="009B4D66">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proportion of people with mental health problems in paid</w:t>
            </w:r>
          </w:p>
          <w:p w14:paraId="02356305" w14:textId="77777777" w:rsidR="00B115E1" w:rsidRPr="00627D6C" w:rsidRDefault="00B115E1"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14:paraId="5F706E1B" w14:textId="7DDAA50D" w:rsidR="009B4D66" w:rsidRPr="00627D6C" w:rsidRDefault="00E04143"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627D6C">
              <w:rPr>
                <w:rFonts w:ascii="Arial" w:hAnsi="Arial" w:cs="Arial"/>
                <w:b/>
                <w:bCs/>
                <w:color w:val="000000"/>
              </w:rPr>
              <w:t>Impact on A</w:t>
            </w:r>
            <w:r w:rsidR="009B4D66" w:rsidRPr="00627D6C">
              <w:rPr>
                <w:rFonts w:ascii="Arial" w:hAnsi="Arial" w:cs="Arial"/>
                <w:b/>
                <w:bCs/>
                <w:color w:val="000000"/>
              </w:rPr>
              <w:t>gency (self-esteem, autonomy, feeling valued etc)</w:t>
            </w:r>
          </w:p>
          <w:p w14:paraId="773CDD5E" w14:textId="77777777" w:rsidR="009B4D66" w:rsidRPr="00627D6C" w:rsidRDefault="009B4D66" w:rsidP="009B4D66">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 xml:space="preserve">Increased ability to cope with everyday domestic situations and skills acquired to develop </w:t>
            </w:r>
            <w:r w:rsidRPr="00627D6C">
              <w:rPr>
                <w:rFonts w:ascii="Arial" w:hAnsi="Arial" w:cs="Arial"/>
                <w:color w:val="000000"/>
              </w:rPr>
              <w:lastRenderedPageBreak/>
              <w:t>strategies and build resilience</w:t>
            </w:r>
          </w:p>
          <w:p w14:paraId="75055E00" w14:textId="452278B4" w:rsidR="009B4D66" w:rsidRPr="00627D6C" w:rsidRDefault="009B4D66" w:rsidP="009B4D66">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 xml:space="preserve">Increased knowledge of local health care systems and navigation of these </w:t>
            </w:r>
          </w:p>
          <w:p w14:paraId="69F413C5" w14:textId="77777777" w:rsidR="009B4D66" w:rsidRPr="00627D6C" w:rsidRDefault="009B4D66" w:rsidP="009B4D66">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 in positive communication with professionals and peers</w:t>
            </w:r>
          </w:p>
          <w:p w14:paraId="716FC3A2" w14:textId="77777777" w:rsidR="00B115E1" w:rsidRPr="00627D6C" w:rsidRDefault="00B115E1"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p>
          <w:p w14:paraId="4143C695" w14:textId="2B5EDDCD" w:rsidR="009B4D66" w:rsidRPr="00627D6C" w:rsidRDefault="009B4D66" w:rsidP="009B4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sidRPr="00627D6C">
              <w:rPr>
                <w:rFonts w:ascii="Arial" w:hAnsi="Arial" w:cs="Arial"/>
                <w:b/>
                <w:bCs/>
                <w:color w:val="000000"/>
              </w:rPr>
              <w:t>Impact on statutory and voluntary services</w:t>
            </w:r>
          </w:p>
          <w:p w14:paraId="60260F87"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Changing the nature of day-to-day interactions and the quality of experience</w:t>
            </w:r>
          </w:p>
          <w:p w14:paraId="2F2EA03C"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delivery of comprehensive, co-produced education and training programmes</w:t>
            </w:r>
          </w:p>
          <w:p w14:paraId="2AC5F0BE"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uptake of personalisation budgets and choice</w:t>
            </w:r>
          </w:p>
          <w:p w14:paraId="06B185CA"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Transformation of the workforce by developing a range of volunteer and</w:t>
            </w:r>
          </w:p>
          <w:p w14:paraId="636644E9"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paid peer roles</w:t>
            </w:r>
          </w:p>
          <w:p w14:paraId="656E9721" w14:textId="77777777" w:rsidR="009B4D66" w:rsidRPr="00627D6C" w:rsidRDefault="009B4D66" w:rsidP="009B4D66">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Increased opportunities for building a life beyond illness</w:t>
            </w:r>
          </w:p>
          <w:p w14:paraId="5EA8A9D3" w14:textId="77777777" w:rsidR="00FC1139" w:rsidRPr="00627D6C" w:rsidRDefault="00FC1139" w:rsidP="00A22E64">
            <w:pPr>
              <w:spacing w:after="0"/>
              <w:rPr>
                <w:rFonts w:ascii="Arial" w:hAnsi="Arial" w:cs="Arial"/>
              </w:rPr>
            </w:pPr>
          </w:p>
          <w:p w14:paraId="182833B2" w14:textId="77777777" w:rsidR="00FC1139" w:rsidRPr="00627D6C" w:rsidRDefault="00FC1139" w:rsidP="00A22E64">
            <w:pPr>
              <w:spacing w:after="0"/>
              <w:rPr>
                <w:rFonts w:ascii="Arial" w:hAnsi="Arial" w:cs="Arial"/>
              </w:rPr>
            </w:pPr>
          </w:p>
        </w:tc>
      </w:tr>
      <w:tr w:rsidR="00FC1139" w:rsidRPr="00B5552C" w14:paraId="62612EAE" w14:textId="77777777" w:rsidTr="00892D46">
        <w:tc>
          <w:tcPr>
            <w:tcW w:w="8908" w:type="dxa"/>
            <w:shd w:val="clear" w:color="auto" w:fill="auto"/>
          </w:tcPr>
          <w:p w14:paraId="0646BA2E" w14:textId="77777777" w:rsidR="00FC1139" w:rsidRPr="00627D6C" w:rsidRDefault="00FC1139" w:rsidP="00A22E64">
            <w:pPr>
              <w:spacing w:after="0" w:line="276" w:lineRule="auto"/>
              <w:rPr>
                <w:rFonts w:ascii="Arial" w:hAnsi="Arial" w:cs="Arial"/>
                <w:b/>
              </w:rPr>
            </w:pPr>
            <w:r w:rsidRPr="00627D6C">
              <w:rPr>
                <w:rFonts w:ascii="Arial" w:hAnsi="Arial" w:cs="Arial"/>
                <w:b/>
              </w:rPr>
              <w:lastRenderedPageBreak/>
              <w:t>4.</w:t>
            </w:r>
            <w:r w:rsidRPr="00627D6C">
              <w:rPr>
                <w:rFonts w:ascii="Arial" w:hAnsi="Arial" w:cs="Arial"/>
                <w:b/>
              </w:rPr>
              <w:tab/>
              <w:t>Applicable Service Standards</w:t>
            </w:r>
          </w:p>
        </w:tc>
      </w:tr>
      <w:tr w:rsidR="00FC1139" w:rsidRPr="00512021" w14:paraId="3140B370" w14:textId="77777777" w:rsidTr="00892D46">
        <w:tc>
          <w:tcPr>
            <w:tcW w:w="8908" w:type="dxa"/>
            <w:shd w:val="clear" w:color="auto" w:fill="auto"/>
          </w:tcPr>
          <w:p w14:paraId="4548BD5A" w14:textId="77777777" w:rsidR="00FC1139" w:rsidRPr="00627D6C" w:rsidRDefault="00FC1139" w:rsidP="00A22E64">
            <w:pPr>
              <w:spacing w:after="0"/>
              <w:rPr>
                <w:rFonts w:ascii="Arial" w:hAnsi="Arial" w:cs="Arial"/>
              </w:rPr>
            </w:pPr>
          </w:p>
          <w:p w14:paraId="1294EE01" w14:textId="7F8A2525" w:rsidR="00FC1139" w:rsidRPr="00627D6C" w:rsidRDefault="00FC1139" w:rsidP="00A22E64">
            <w:pPr>
              <w:spacing w:after="0"/>
              <w:rPr>
                <w:rFonts w:ascii="Arial" w:hAnsi="Arial" w:cs="Arial"/>
                <w:b/>
              </w:rPr>
            </w:pPr>
            <w:r w:rsidRPr="00627D6C">
              <w:rPr>
                <w:rFonts w:ascii="Arial" w:hAnsi="Arial" w:cs="Arial"/>
                <w:b/>
              </w:rPr>
              <w:t>4.1</w:t>
            </w:r>
            <w:r w:rsidRPr="00627D6C">
              <w:rPr>
                <w:rFonts w:ascii="Arial" w:hAnsi="Arial" w:cs="Arial"/>
                <w:b/>
              </w:rPr>
              <w:tab/>
              <w:t>Applicable national standards (e</w:t>
            </w:r>
            <w:r w:rsidR="00AB3599">
              <w:rPr>
                <w:rFonts w:ascii="Arial" w:hAnsi="Arial" w:cs="Arial"/>
                <w:b/>
              </w:rPr>
              <w:t>.</w:t>
            </w:r>
            <w:r w:rsidRPr="00627D6C">
              <w:rPr>
                <w:rFonts w:ascii="Arial" w:hAnsi="Arial" w:cs="Arial"/>
                <w:b/>
              </w:rPr>
              <w:t>g</w:t>
            </w:r>
            <w:r w:rsidR="00AB3599">
              <w:rPr>
                <w:rFonts w:ascii="Arial" w:hAnsi="Arial" w:cs="Arial"/>
                <w:b/>
              </w:rPr>
              <w:t>.</w:t>
            </w:r>
            <w:r w:rsidRPr="00627D6C">
              <w:rPr>
                <w:rFonts w:ascii="Arial" w:hAnsi="Arial" w:cs="Arial"/>
                <w:b/>
              </w:rPr>
              <w:t xml:space="preserve"> NICE)</w:t>
            </w:r>
          </w:p>
          <w:p w14:paraId="767B5AB3" w14:textId="77777777" w:rsidR="003655A2" w:rsidRPr="00627D6C" w:rsidRDefault="003655A2" w:rsidP="003655A2">
            <w:pPr>
              <w:autoSpaceDE w:val="0"/>
              <w:autoSpaceDN w:val="0"/>
              <w:adjustRightInd w:val="0"/>
              <w:spacing w:after="0"/>
              <w:jc w:val="both"/>
              <w:rPr>
                <w:rFonts w:ascii="Arial" w:hAnsi="Arial" w:cs="Arial"/>
                <w:lang w:eastAsia="en-GB"/>
              </w:rPr>
            </w:pPr>
            <w:r w:rsidRPr="00627D6C">
              <w:rPr>
                <w:rFonts w:ascii="Arial" w:hAnsi="Arial" w:cs="Arial"/>
                <w:lang w:eastAsia="en-GB"/>
              </w:rPr>
              <w:t>Staff should be trained to recognise harmful drinking and alcohol dependence. Appropriate protocols and care pathways should be put in place for the safe management of these individuals. Care should be taken to protect other service users from inappropriate exposure to challenging or unpleasant behaviours (NICE CG115).</w:t>
            </w:r>
          </w:p>
          <w:p w14:paraId="75538A06" w14:textId="77777777" w:rsidR="003655A2" w:rsidRPr="00627D6C" w:rsidRDefault="003655A2" w:rsidP="003655A2">
            <w:pPr>
              <w:autoSpaceDE w:val="0"/>
              <w:autoSpaceDN w:val="0"/>
              <w:adjustRightInd w:val="0"/>
              <w:spacing w:after="0"/>
              <w:jc w:val="both"/>
              <w:rPr>
                <w:rFonts w:ascii="Arial" w:hAnsi="Arial" w:cs="Arial"/>
                <w:lang w:eastAsia="en-GB"/>
              </w:rPr>
            </w:pPr>
          </w:p>
          <w:p w14:paraId="20E2F1E8" w14:textId="77777777" w:rsidR="003655A2" w:rsidRPr="00627D6C" w:rsidRDefault="003655A2" w:rsidP="003655A2">
            <w:pPr>
              <w:autoSpaceDE w:val="0"/>
              <w:autoSpaceDN w:val="0"/>
              <w:adjustRightInd w:val="0"/>
              <w:spacing w:after="0"/>
              <w:jc w:val="both"/>
              <w:rPr>
                <w:rFonts w:ascii="Arial" w:hAnsi="Arial" w:cs="Arial"/>
                <w:lang w:eastAsia="en-GB"/>
              </w:rPr>
            </w:pPr>
            <w:r w:rsidRPr="00627D6C">
              <w:rPr>
                <w:rFonts w:ascii="Arial" w:hAnsi="Arial" w:cs="Arial"/>
                <w:lang w:eastAsia="en-GB"/>
              </w:rPr>
              <w:t>Staff should be trained and the service should have systems in place to recognise and respond appropriately to individuals with psychosis and coexisting Substance misuse as per NICE guideline (CG 120).</w:t>
            </w:r>
          </w:p>
          <w:p w14:paraId="3D671026" w14:textId="77777777" w:rsidR="003655A2" w:rsidRPr="00627D6C" w:rsidRDefault="003655A2" w:rsidP="003655A2">
            <w:pPr>
              <w:autoSpaceDE w:val="0"/>
              <w:autoSpaceDN w:val="0"/>
              <w:adjustRightInd w:val="0"/>
              <w:spacing w:after="0"/>
              <w:jc w:val="both"/>
              <w:rPr>
                <w:rFonts w:ascii="Arial" w:hAnsi="Arial" w:cs="Arial"/>
                <w:lang w:eastAsia="en-GB"/>
              </w:rPr>
            </w:pPr>
          </w:p>
          <w:p w14:paraId="35E3447E" w14:textId="77777777" w:rsidR="003655A2" w:rsidRPr="00627D6C" w:rsidRDefault="003655A2" w:rsidP="003655A2">
            <w:pPr>
              <w:autoSpaceDE w:val="0"/>
              <w:autoSpaceDN w:val="0"/>
              <w:adjustRightInd w:val="0"/>
              <w:spacing w:after="0"/>
              <w:jc w:val="both"/>
              <w:rPr>
                <w:rFonts w:ascii="Arial" w:hAnsi="Arial" w:cs="Arial"/>
                <w:lang w:eastAsia="en-GB"/>
              </w:rPr>
            </w:pPr>
            <w:r w:rsidRPr="00627D6C">
              <w:rPr>
                <w:rFonts w:ascii="Arial" w:hAnsi="Arial" w:cs="Arial"/>
                <w:lang w:eastAsia="en-GB"/>
              </w:rPr>
              <w:t>Staff should be supported on an on-going basis and appropriately trained to understand and refer individuals with a borderline personality disorder. (NICE CG 77).</w:t>
            </w:r>
          </w:p>
          <w:p w14:paraId="6AC76293" w14:textId="77777777" w:rsidR="00FC1139" w:rsidRPr="00627D6C" w:rsidRDefault="00FC1139" w:rsidP="00A22E64">
            <w:pPr>
              <w:spacing w:after="0"/>
              <w:rPr>
                <w:rFonts w:ascii="Arial" w:hAnsi="Arial" w:cs="Arial"/>
              </w:rPr>
            </w:pPr>
          </w:p>
          <w:p w14:paraId="7E1D8235" w14:textId="77777777" w:rsidR="00FC1139" w:rsidRPr="00627D6C" w:rsidRDefault="00FC1139" w:rsidP="00A22E64">
            <w:pPr>
              <w:spacing w:after="0"/>
              <w:rPr>
                <w:rFonts w:ascii="Arial" w:hAnsi="Arial" w:cs="Arial"/>
              </w:rPr>
            </w:pPr>
          </w:p>
          <w:p w14:paraId="4D191F2B" w14:textId="4EEDA0B9" w:rsidR="00FC1139" w:rsidRPr="00627D6C" w:rsidRDefault="00FC1139" w:rsidP="00A22E64">
            <w:pPr>
              <w:spacing w:after="0"/>
              <w:ind w:left="743" w:hanging="743"/>
              <w:rPr>
                <w:rFonts w:ascii="Arial" w:hAnsi="Arial" w:cs="Arial"/>
                <w:b/>
              </w:rPr>
            </w:pPr>
            <w:r w:rsidRPr="00627D6C">
              <w:rPr>
                <w:rFonts w:ascii="Arial" w:hAnsi="Arial" w:cs="Arial"/>
                <w:b/>
              </w:rPr>
              <w:t>4.2</w:t>
            </w:r>
            <w:r w:rsidRPr="00627D6C">
              <w:rPr>
                <w:rFonts w:ascii="Arial" w:hAnsi="Arial" w:cs="Arial"/>
                <w:b/>
              </w:rPr>
              <w:tab/>
              <w:t>Applicable standards set out in Guidance and/or issued by a competent body (e</w:t>
            </w:r>
            <w:r w:rsidR="004E7214">
              <w:rPr>
                <w:rFonts w:ascii="Arial" w:hAnsi="Arial" w:cs="Arial"/>
                <w:b/>
              </w:rPr>
              <w:t>.</w:t>
            </w:r>
            <w:r w:rsidRPr="00627D6C">
              <w:rPr>
                <w:rFonts w:ascii="Arial" w:hAnsi="Arial" w:cs="Arial"/>
                <w:b/>
              </w:rPr>
              <w:t>g</w:t>
            </w:r>
            <w:r w:rsidR="004E7214">
              <w:rPr>
                <w:rFonts w:ascii="Arial" w:hAnsi="Arial" w:cs="Arial"/>
                <w:b/>
              </w:rPr>
              <w:t>.</w:t>
            </w:r>
            <w:r w:rsidRPr="00627D6C">
              <w:rPr>
                <w:rFonts w:ascii="Arial" w:hAnsi="Arial" w:cs="Arial"/>
                <w:b/>
              </w:rPr>
              <w:t xml:space="preserve"> Royal Colleges)</w:t>
            </w:r>
          </w:p>
          <w:p w14:paraId="57CD8E76" w14:textId="77777777" w:rsidR="003655A2" w:rsidRPr="00627D6C" w:rsidRDefault="003655A2" w:rsidP="00A22E64">
            <w:pPr>
              <w:spacing w:after="0"/>
              <w:ind w:left="743" w:hanging="743"/>
              <w:rPr>
                <w:rFonts w:ascii="Arial" w:hAnsi="Arial" w:cs="Arial"/>
                <w:b/>
              </w:rPr>
            </w:pPr>
          </w:p>
          <w:p w14:paraId="03DF168B" w14:textId="77777777" w:rsidR="00FC1139" w:rsidRPr="00627D6C" w:rsidRDefault="003655A2" w:rsidP="003655A2">
            <w:pPr>
              <w:spacing w:after="0"/>
              <w:rPr>
                <w:rFonts w:ascii="Arial" w:hAnsi="Arial" w:cs="Arial"/>
              </w:rPr>
            </w:pPr>
            <w:r w:rsidRPr="00627D6C">
              <w:rPr>
                <w:rFonts w:ascii="Arial" w:hAnsi="Arial" w:cs="Arial"/>
              </w:rPr>
              <w:t>Provider to ensure that all staff are up to date with all clinical guidelines and national standards and will be expected to evidence through regular review and audit.</w:t>
            </w:r>
          </w:p>
          <w:p w14:paraId="20708586" w14:textId="77777777" w:rsidR="003655A2" w:rsidRPr="00627D6C" w:rsidRDefault="003655A2" w:rsidP="003655A2">
            <w:pPr>
              <w:spacing w:after="0"/>
              <w:rPr>
                <w:rFonts w:ascii="Arial" w:hAnsi="Arial" w:cs="Arial"/>
              </w:rPr>
            </w:pPr>
          </w:p>
          <w:p w14:paraId="17BF33E8" w14:textId="77777777" w:rsidR="00FC1139" w:rsidRPr="00627D6C" w:rsidRDefault="00FC1139" w:rsidP="00A22E64">
            <w:pPr>
              <w:spacing w:after="0"/>
              <w:rPr>
                <w:rFonts w:ascii="Arial" w:hAnsi="Arial" w:cs="Arial"/>
                <w:b/>
              </w:rPr>
            </w:pPr>
            <w:r w:rsidRPr="00627D6C">
              <w:rPr>
                <w:rFonts w:ascii="Arial" w:hAnsi="Arial" w:cs="Arial"/>
                <w:b/>
              </w:rPr>
              <w:t>4.3</w:t>
            </w:r>
            <w:r w:rsidRPr="00627D6C">
              <w:rPr>
                <w:rFonts w:ascii="Arial" w:hAnsi="Arial" w:cs="Arial"/>
                <w:b/>
              </w:rPr>
              <w:tab/>
              <w:t>Applicable local standards</w:t>
            </w:r>
          </w:p>
          <w:p w14:paraId="1D371709" w14:textId="77777777" w:rsidR="00FC1139" w:rsidRPr="00627D6C" w:rsidRDefault="00FC1139" w:rsidP="00A22E64">
            <w:pPr>
              <w:spacing w:after="0"/>
              <w:rPr>
                <w:rFonts w:ascii="Arial" w:hAnsi="Arial" w:cs="Arial"/>
              </w:rPr>
            </w:pPr>
          </w:p>
          <w:p w14:paraId="657B803F" w14:textId="1F139117" w:rsidR="003655A2" w:rsidRPr="00627D6C" w:rsidRDefault="003655A2" w:rsidP="003655A2">
            <w:pPr>
              <w:spacing w:after="0"/>
              <w:jc w:val="both"/>
              <w:rPr>
                <w:rFonts w:ascii="Arial" w:hAnsi="Arial" w:cs="Arial"/>
              </w:rPr>
            </w:pPr>
            <w:r w:rsidRPr="00627D6C">
              <w:rPr>
                <w:rFonts w:ascii="Arial" w:hAnsi="Arial" w:cs="Arial"/>
              </w:rPr>
              <w:t xml:space="preserve">The Service will operate </w:t>
            </w:r>
            <w:r w:rsidR="004E7214">
              <w:rPr>
                <w:rFonts w:ascii="Arial" w:hAnsi="Arial" w:cs="Arial"/>
              </w:rPr>
              <w:t>with suitable</w:t>
            </w:r>
            <w:r w:rsidRPr="00627D6C">
              <w:rPr>
                <w:rFonts w:ascii="Arial" w:hAnsi="Arial" w:cs="Arial"/>
              </w:rPr>
              <w:t xml:space="preserve"> policies and procedures</w:t>
            </w:r>
            <w:r w:rsidR="004E7214">
              <w:rPr>
                <w:rFonts w:ascii="Arial" w:hAnsi="Arial" w:cs="Arial"/>
              </w:rPr>
              <w:t xml:space="preserve"> in place</w:t>
            </w:r>
            <w:r w:rsidRPr="00627D6C">
              <w:rPr>
                <w:rFonts w:ascii="Arial" w:hAnsi="Arial" w:cs="Arial"/>
              </w:rPr>
              <w:t>.</w:t>
            </w:r>
          </w:p>
          <w:p w14:paraId="4DF3D1C5" w14:textId="77777777" w:rsidR="003655A2" w:rsidRPr="00627D6C" w:rsidRDefault="003655A2" w:rsidP="003655A2">
            <w:pPr>
              <w:spacing w:after="0"/>
              <w:jc w:val="both"/>
              <w:rPr>
                <w:rFonts w:ascii="Arial" w:hAnsi="Arial" w:cs="Arial"/>
              </w:rPr>
            </w:pPr>
          </w:p>
          <w:p w14:paraId="1DC34717" w14:textId="77777777" w:rsidR="003655A2" w:rsidRPr="00627D6C" w:rsidRDefault="003655A2" w:rsidP="003655A2">
            <w:pPr>
              <w:spacing w:after="0"/>
              <w:jc w:val="both"/>
              <w:rPr>
                <w:rFonts w:ascii="Arial" w:hAnsi="Arial" w:cs="Arial"/>
              </w:rPr>
            </w:pPr>
            <w:r w:rsidRPr="00627D6C">
              <w:rPr>
                <w:rFonts w:ascii="Arial" w:hAnsi="Arial" w:cs="Arial"/>
              </w:rPr>
              <w:t>Serious incidents will be logged and investigated where appropriate.</w:t>
            </w:r>
          </w:p>
          <w:p w14:paraId="678AECA2" w14:textId="77777777" w:rsidR="003655A2" w:rsidRPr="00627D6C" w:rsidRDefault="003655A2" w:rsidP="003655A2">
            <w:pPr>
              <w:spacing w:after="0"/>
              <w:jc w:val="both"/>
              <w:rPr>
                <w:rFonts w:ascii="Arial" w:hAnsi="Arial" w:cs="Arial"/>
              </w:rPr>
            </w:pPr>
          </w:p>
          <w:p w14:paraId="57A4F44B" w14:textId="77777777" w:rsidR="003655A2" w:rsidRPr="00627D6C" w:rsidRDefault="003655A2" w:rsidP="003655A2">
            <w:pPr>
              <w:spacing w:after="0"/>
              <w:jc w:val="both"/>
              <w:rPr>
                <w:rFonts w:ascii="Arial" w:hAnsi="Arial" w:cs="Arial"/>
              </w:rPr>
            </w:pPr>
            <w:r w:rsidRPr="00627D6C">
              <w:rPr>
                <w:rFonts w:ascii="Arial" w:hAnsi="Arial" w:cs="Arial"/>
              </w:rPr>
              <w:t>The service will ensure that it maintains the highest degree of customer service at all times, treating service users and carers with respect, dignity and compassion.</w:t>
            </w:r>
          </w:p>
          <w:p w14:paraId="6E3CBB3C" w14:textId="77777777" w:rsidR="003655A2" w:rsidRPr="00627D6C" w:rsidRDefault="003655A2" w:rsidP="003655A2">
            <w:pPr>
              <w:spacing w:after="0"/>
              <w:jc w:val="both"/>
              <w:rPr>
                <w:rFonts w:ascii="Arial" w:hAnsi="Arial" w:cs="Arial"/>
              </w:rPr>
            </w:pPr>
          </w:p>
          <w:p w14:paraId="2AE7CC68" w14:textId="77777777" w:rsidR="003655A2" w:rsidRPr="00627D6C" w:rsidRDefault="003655A2" w:rsidP="003655A2">
            <w:pPr>
              <w:spacing w:after="0"/>
              <w:jc w:val="both"/>
              <w:rPr>
                <w:rFonts w:ascii="Arial" w:hAnsi="Arial" w:cs="Arial"/>
              </w:rPr>
            </w:pPr>
            <w:r w:rsidRPr="00627D6C">
              <w:rPr>
                <w:rFonts w:ascii="Arial" w:hAnsi="Arial" w:cs="Arial"/>
              </w:rPr>
              <w:t>The service will ensure that there are robust systems in place to measure the service users’ experience of the service.</w:t>
            </w:r>
          </w:p>
          <w:p w14:paraId="199982EE" w14:textId="77777777" w:rsidR="00FC1139" w:rsidRPr="00627D6C" w:rsidRDefault="00FC1139" w:rsidP="00A22E64">
            <w:pPr>
              <w:spacing w:after="0"/>
              <w:rPr>
                <w:rFonts w:ascii="Arial" w:hAnsi="Arial" w:cs="Arial"/>
              </w:rPr>
            </w:pPr>
          </w:p>
        </w:tc>
      </w:tr>
      <w:tr w:rsidR="00FC1139" w:rsidRPr="00B5552C" w14:paraId="54B9D62F" w14:textId="77777777" w:rsidTr="00892D46">
        <w:tc>
          <w:tcPr>
            <w:tcW w:w="8908" w:type="dxa"/>
            <w:shd w:val="clear" w:color="auto" w:fill="auto"/>
          </w:tcPr>
          <w:p w14:paraId="1A309466" w14:textId="77777777" w:rsidR="00FC1139" w:rsidRPr="00627D6C" w:rsidRDefault="00FC1139" w:rsidP="00164256">
            <w:pPr>
              <w:spacing w:after="0" w:line="276" w:lineRule="auto"/>
              <w:rPr>
                <w:rFonts w:ascii="Arial" w:hAnsi="Arial" w:cs="Arial"/>
                <w:b/>
              </w:rPr>
            </w:pPr>
            <w:r w:rsidRPr="00627D6C">
              <w:rPr>
                <w:rFonts w:ascii="Arial" w:hAnsi="Arial" w:cs="Arial"/>
                <w:b/>
              </w:rPr>
              <w:lastRenderedPageBreak/>
              <w:t>5.</w:t>
            </w:r>
            <w:r w:rsidRPr="00627D6C">
              <w:rPr>
                <w:rFonts w:ascii="Arial" w:hAnsi="Arial" w:cs="Arial"/>
                <w:b/>
              </w:rPr>
              <w:tab/>
              <w:t xml:space="preserve">Applicable quality requirements </w:t>
            </w:r>
          </w:p>
        </w:tc>
      </w:tr>
      <w:tr w:rsidR="00FC1139" w:rsidRPr="00512021" w14:paraId="561DF0F9" w14:textId="77777777" w:rsidTr="00892D46">
        <w:tc>
          <w:tcPr>
            <w:tcW w:w="8908" w:type="dxa"/>
            <w:shd w:val="clear" w:color="auto" w:fill="auto"/>
          </w:tcPr>
          <w:p w14:paraId="785AADB3" w14:textId="77777777" w:rsidR="00FC1139" w:rsidRPr="00627D6C" w:rsidRDefault="00FC1139" w:rsidP="00A22E64">
            <w:pPr>
              <w:spacing w:after="0"/>
              <w:rPr>
                <w:rFonts w:ascii="Arial" w:hAnsi="Arial" w:cs="Arial"/>
              </w:rPr>
            </w:pPr>
          </w:p>
          <w:p w14:paraId="49C6AA0E"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must employ throughout the contract period a sufficient number of suitably trained staff with appropriate skills to work with a diverse range of clients and their carers.</w:t>
            </w:r>
          </w:p>
          <w:p w14:paraId="6576C901"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All staff and volunteers should have completed training on Safeguarding Vulnerable Adults, Lone Working, Equal Opportunities, Health &amp; Safety, Customer Care and Understanding Dementia as a minimum before they commence their duties. The </w:t>
            </w:r>
            <w:r w:rsidR="00A22E64" w:rsidRPr="00627D6C">
              <w:rPr>
                <w:rFonts w:ascii="Arial" w:hAnsi="Arial" w:cs="Arial"/>
                <w:color w:val="000000"/>
              </w:rPr>
              <w:t>Provider</w:t>
            </w:r>
            <w:r w:rsidRPr="00627D6C">
              <w:rPr>
                <w:rFonts w:ascii="Arial" w:hAnsi="Arial" w:cs="Arial"/>
                <w:color w:val="000000"/>
              </w:rPr>
              <w:t xml:space="preserve"> is expected to consider employing a workforce to reflect the community.</w:t>
            </w:r>
          </w:p>
          <w:p w14:paraId="190A171D"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It will work closely with other providers and translation services to ensure maximum accessibility of its service to all sector of the community. The </w:t>
            </w:r>
            <w:r w:rsidR="00A22E64" w:rsidRPr="00627D6C">
              <w:rPr>
                <w:rFonts w:ascii="Arial" w:hAnsi="Arial" w:cs="Arial"/>
                <w:color w:val="000000"/>
              </w:rPr>
              <w:t>Provider</w:t>
            </w:r>
            <w:r w:rsidRPr="00627D6C">
              <w:rPr>
                <w:rFonts w:ascii="Arial" w:hAnsi="Arial" w:cs="Arial"/>
                <w:color w:val="000000"/>
              </w:rPr>
              <w:t xml:space="preserve"> must maintain, implement, review and adapt for the purpose of the provision of this service a clear and professional policy to train staff to carry out their tasks in the provision of the service, with training assessed on the basis of roles undertaken by post holders.</w:t>
            </w:r>
          </w:p>
          <w:p w14:paraId="33256EA8"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Staff employed by the </w:t>
            </w:r>
            <w:r w:rsidR="00A22E64" w:rsidRPr="00627D6C">
              <w:rPr>
                <w:rFonts w:ascii="Arial" w:hAnsi="Arial" w:cs="Arial"/>
                <w:color w:val="000000"/>
              </w:rPr>
              <w:t>Provider</w:t>
            </w:r>
            <w:r w:rsidRPr="00627D6C">
              <w:rPr>
                <w:rFonts w:ascii="Arial" w:hAnsi="Arial" w:cs="Arial"/>
                <w:color w:val="000000"/>
              </w:rPr>
              <w:t xml:space="preserve"> in connection with the provision of the service may be working with vulnerable people. Therefore, the </w:t>
            </w:r>
            <w:r w:rsidR="00A22E64" w:rsidRPr="00627D6C">
              <w:rPr>
                <w:rFonts w:ascii="Arial" w:hAnsi="Arial" w:cs="Arial"/>
                <w:color w:val="000000"/>
              </w:rPr>
              <w:t>Provider</w:t>
            </w:r>
            <w:r w:rsidRPr="00627D6C">
              <w:rPr>
                <w:rFonts w:ascii="Arial" w:hAnsi="Arial" w:cs="Arial"/>
                <w:color w:val="000000"/>
              </w:rPr>
              <w:t xml:space="preserve"> must ensure, throughout the contract period that all staff have been subject to Extended Disclosure and Barring Service checks and have </w:t>
            </w:r>
            <w:r w:rsidR="00DC26E1" w:rsidRPr="00627D6C">
              <w:rPr>
                <w:rFonts w:ascii="Arial" w:hAnsi="Arial" w:cs="Arial"/>
                <w:color w:val="000000"/>
              </w:rPr>
              <w:t>regular supervision</w:t>
            </w:r>
            <w:r w:rsidRPr="00627D6C">
              <w:rPr>
                <w:rFonts w:ascii="Arial" w:hAnsi="Arial" w:cs="Arial"/>
                <w:color w:val="000000"/>
              </w:rPr>
              <w:t xml:space="preserve"> and annual performance review. </w:t>
            </w:r>
          </w:p>
          <w:p w14:paraId="3E12E292"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must have in place adequate disciplinary procedures to protect adults against any form of improper conduct by </w:t>
            </w:r>
            <w:r w:rsidR="00DC26E1" w:rsidRPr="00627D6C">
              <w:rPr>
                <w:rFonts w:ascii="Arial" w:hAnsi="Arial" w:cs="Arial"/>
                <w:color w:val="000000"/>
              </w:rPr>
              <w:t>staff. Such</w:t>
            </w:r>
            <w:r w:rsidRPr="00627D6C">
              <w:rPr>
                <w:rFonts w:ascii="Arial" w:hAnsi="Arial" w:cs="Arial"/>
                <w:color w:val="000000"/>
              </w:rPr>
              <w:t xml:space="preserve"> conduct may include (without limitation) verbal abuse, emotional abuse, physical abuse and theft of personal possessions, including cash. The </w:t>
            </w:r>
            <w:r w:rsidR="00A22E64" w:rsidRPr="00627D6C">
              <w:rPr>
                <w:rFonts w:ascii="Arial" w:hAnsi="Arial" w:cs="Arial"/>
                <w:color w:val="000000"/>
              </w:rPr>
              <w:t>Provider</w:t>
            </w:r>
            <w:r w:rsidRPr="00627D6C">
              <w:rPr>
                <w:rFonts w:ascii="Arial" w:hAnsi="Arial" w:cs="Arial"/>
                <w:color w:val="000000"/>
              </w:rPr>
              <w:t xml:space="preserve"> must immediately report any such incident to Council’s First Response Team who will consider the necessity of taking action under 2the Pan London protecting adults at risk multi-agency policy and </w:t>
            </w:r>
            <w:r w:rsidR="00DC26E1" w:rsidRPr="00627D6C">
              <w:rPr>
                <w:rFonts w:ascii="Arial" w:hAnsi="Arial" w:cs="Arial"/>
                <w:color w:val="000000"/>
              </w:rPr>
              <w:t>procedure,</w:t>
            </w:r>
            <w:r w:rsidRPr="00627D6C">
              <w:rPr>
                <w:rFonts w:ascii="Arial" w:hAnsi="Arial" w:cs="Arial"/>
                <w:color w:val="000000"/>
              </w:rPr>
              <w:t xml:space="preserve"> and/or any other action as deemed necessary.</w:t>
            </w:r>
          </w:p>
          <w:p w14:paraId="758AD613" w14:textId="77777777" w:rsidR="00164256" w:rsidRPr="00AB3599"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rPr>
            </w:pPr>
            <w:r w:rsidRPr="00AB3599">
              <w:rPr>
                <w:rFonts w:ascii="Arial" w:hAnsi="Arial" w:cs="Arial"/>
                <w:b/>
                <w:color w:val="000000"/>
              </w:rPr>
              <w:t xml:space="preserve">The </w:t>
            </w:r>
            <w:r w:rsidR="00A22E64" w:rsidRPr="00AB3599">
              <w:rPr>
                <w:rFonts w:ascii="Arial" w:hAnsi="Arial" w:cs="Arial"/>
                <w:b/>
                <w:color w:val="000000"/>
              </w:rPr>
              <w:t>Provider</w:t>
            </w:r>
            <w:r w:rsidRPr="00AB3599">
              <w:rPr>
                <w:rFonts w:ascii="Arial" w:hAnsi="Arial" w:cs="Arial"/>
                <w:b/>
                <w:color w:val="000000"/>
              </w:rPr>
              <w:t xml:space="preserve"> will:</w:t>
            </w:r>
          </w:p>
          <w:p w14:paraId="6A438B57"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(a) </w:t>
            </w:r>
            <w:r w:rsidRPr="00627D6C">
              <w:rPr>
                <w:rFonts w:ascii="Arial" w:hAnsi="Arial" w:cs="Arial"/>
                <w:color w:val="000000"/>
              </w:rPr>
              <w:tab/>
              <w:t xml:space="preserve">Involve local volunteers as a complement to the staff in the operation and running of activities </w:t>
            </w:r>
            <w:r w:rsidRPr="00627D6C">
              <w:rPr>
                <w:rFonts w:ascii="Arial" w:hAnsi="Arial" w:cs="Arial"/>
                <w:color w:val="000000"/>
              </w:rPr>
              <w:lastRenderedPageBreak/>
              <w:t>for service users, and as a means of preventing service users being isolated from their local communities;</w:t>
            </w:r>
          </w:p>
          <w:p w14:paraId="3C456CEF"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(b) </w:t>
            </w:r>
            <w:r w:rsidRPr="00627D6C">
              <w:rPr>
                <w:rFonts w:ascii="Arial" w:hAnsi="Arial" w:cs="Arial"/>
                <w:color w:val="000000"/>
              </w:rPr>
              <w:tab/>
              <w:t>Take up references and Disclosure and Barring Service (DBS) checks on all volunteers and provide them with appropriate training and continuous support, and;</w:t>
            </w:r>
          </w:p>
          <w:p w14:paraId="4E70EEFB"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(c) </w:t>
            </w:r>
            <w:r w:rsidRPr="00627D6C">
              <w:rPr>
                <w:rFonts w:ascii="Arial" w:hAnsi="Arial" w:cs="Arial"/>
                <w:color w:val="000000"/>
              </w:rPr>
              <w:tab/>
              <w:t>Ensure that any volunteers who start placements without an Enhanced DBS check receive on-going supervision of an Enhanced DBS checked member of staff and do not have unsupervised contact with older and vulnerable adults.</w:t>
            </w:r>
          </w:p>
          <w:p w14:paraId="5D8CEB13"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AB3599">
              <w:rPr>
                <w:rFonts w:ascii="Arial" w:hAnsi="Arial" w:cs="Arial"/>
                <w:b/>
                <w:color w:val="000000"/>
              </w:rPr>
              <w:t>The Service Provider agrees</w:t>
            </w:r>
            <w:r w:rsidRPr="00627D6C">
              <w:rPr>
                <w:rFonts w:ascii="Arial" w:hAnsi="Arial" w:cs="Arial"/>
                <w:color w:val="000000"/>
              </w:rPr>
              <w:t>:</w:t>
            </w:r>
          </w:p>
          <w:p w14:paraId="02231438"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maintain high standards of governance</w:t>
            </w:r>
          </w:p>
          <w:p w14:paraId="16CB536E"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have an effective constitution</w:t>
            </w:r>
          </w:p>
          <w:p w14:paraId="114C6773"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meet reporting and accountability obligations to commissioners and Service Users</w:t>
            </w:r>
          </w:p>
          <w:p w14:paraId="3B297202"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maintain high standards of financial management including observing the accounting frameworks of the Charity Commission and/or Companies House</w:t>
            </w:r>
          </w:p>
          <w:p w14:paraId="4007784A"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submit an annual audited account and annual report to the commissioners</w:t>
            </w:r>
          </w:p>
          <w:p w14:paraId="799E863F"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achieve a recognised quality assurance system appropriate to the size of the</w:t>
            </w:r>
          </w:p>
          <w:p w14:paraId="51911725" w14:textId="77777777" w:rsidR="00164256"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organisation and the services being delivered</w:t>
            </w:r>
          </w:p>
          <w:p w14:paraId="2DC1E115" w14:textId="77777777" w:rsidR="00DD4A94" w:rsidRPr="00627D6C" w:rsidRDefault="00164256" w:rsidP="00164256">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627D6C">
              <w:rPr>
                <w:rFonts w:ascii="Arial" w:hAnsi="Arial" w:cs="Arial"/>
                <w:color w:val="000000"/>
              </w:rPr>
              <w:t>To have and implement a list of policies and procedures that are relevant and appropriate to your organisation as set out in the ‘Policies &amp; Procedures’ section below. Organisations are required to submit a list of their policies and procedures to the commissioners for record. Please ensure the document listed will be available for inspection by the commissioners when requested.</w:t>
            </w:r>
          </w:p>
          <w:p w14:paraId="00BDF866" w14:textId="01E4C012" w:rsidR="00164256" w:rsidRPr="00627D6C" w:rsidRDefault="00164256" w:rsidP="00DD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color w:val="000000"/>
              </w:rPr>
            </w:pPr>
            <w:r w:rsidRPr="00627D6C">
              <w:rPr>
                <w:rFonts w:ascii="Arial" w:hAnsi="Arial" w:cs="Arial"/>
                <w:color w:val="FFFFFF"/>
              </w:rPr>
              <w:t>. Policies &amp; Procedures</w:t>
            </w:r>
          </w:p>
          <w:p w14:paraId="12EF0373" w14:textId="7AFCD598" w:rsidR="00164256" w:rsidRPr="00627D6C" w:rsidRDefault="00164256" w:rsidP="00C50E9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Equal Opportunities:</w:t>
            </w:r>
            <w:r w:rsidRPr="00627D6C">
              <w:rPr>
                <w:rFonts w:ascii="Arial" w:hAnsi="Arial" w:cs="Arial"/>
                <w:color w:val="000000"/>
              </w:rPr>
              <w:t xml:space="preserve"> The development of this service is</w:t>
            </w:r>
            <w:r w:rsidR="00C50E9F" w:rsidRPr="00627D6C">
              <w:rPr>
                <w:rFonts w:ascii="Arial" w:hAnsi="Arial" w:cs="Arial"/>
                <w:color w:val="000000"/>
              </w:rPr>
              <w:t xml:space="preserve"> to meet the needs of a diverse </w:t>
            </w:r>
            <w:r w:rsidRPr="00627D6C">
              <w:rPr>
                <w:rFonts w:ascii="Arial" w:hAnsi="Arial" w:cs="Arial"/>
                <w:color w:val="000000"/>
              </w:rPr>
              <w:t xml:space="preserve">range of carers who support people </w:t>
            </w:r>
            <w:r w:rsidR="00627D6C" w:rsidRPr="00627D6C">
              <w:rPr>
                <w:rFonts w:ascii="Arial" w:hAnsi="Arial" w:cs="Arial"/>
                <w:color w:val="000000"/>
              </w:rPr>
              <w:t xml:space="preserve">living </w:t>
            </w:r>
            <w:r w:rsidRPr="00627D6C">
              <w:rPr>
                <w:rFonts w:ascii="Arial" w:hAnsi="Arial" w:cs="Arial"/>
                <w:color w:val="000000"/>
              </w:rPr>
              <w:t xml:space="preserve">in Waltham Forest. The </w:t>
            </w:r>
            <w:r w:rsidR="00A22E64" w:rsidRPr="00627D6C">
              <w:rPr>
                <w:rFonts w:ascii="Arial" w:hAnsi="Arial" w:cs="Arial"/>
                <w:color w:val="000000"/>
              </w:rPr>
              <w:t>Provider</w:t>
            </w:r>
            <w:r w:rsidRPr="00627D6C">
              <w:rPr>
                <w:rFonts w:ascii="Arial" w:hAnsi="Arial" w:cs="Arial"/>
                <w:color w:val="000000"/>
              </w:rPr>
              <w:t xml:space="preserve"> will be required to ensure equalities practice are intrinsic in the delivery of the service and ensure staff and  volunteers are fully informed about their roles and responsibilities under the Equalities Act 2010. The </w:t>
            </w:r>
            <w:r w:rsidR="00A22E64" w:rsidRPr="00627D6C">
              <w:rPr>
                <w:rFonts w:ascii="Arial" w:hAnsi="Arial" w:cs="Arial"/>
                <w:color w:val="000000"/>
              </w:rPr>
              <w:t>Provider</w:t>
            </w:r>
            <w:r w:rsidRPr="00627D6C">
              <w:rPr>
                <w:rFonts w:ascii="Arial" w:hAnsi="Arial" w:cs="Arial"/>
                <w:color w:val="000000"/>
              </w:rPr>
              <w:t xml:space="preserve"> will be required to gather equalities monitoring data against the nine protected characteristics as required by legislation and report this on a quarterly basis to the Council.</w:t>
            </w:r>
          </w:p>
          <w:p w14:paraId="76641490" w14:textId="03D75492" w:rsidR="00164256" w:rsidRPr="00627D6C" w:rsidRDefault="00DD4A94"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Employment:</w:t>
            </w:r>
            <w:r w:rsidRPr="00627D6C">
              <w:rPr>
                <w:rFonts w:ascii="Arial" w:hAnsi="Arial" w:cs="Arial"/>
                <w:color w:val="000000"/>
              </w:rPr>
              <w:t xml:space="preserve"> </w:t>
            </w:r>
            <w:r w:rsidR="00164256" w:rsidRPr="00627D6C">
              <w:rPr>
                <w:rFonts w:ascii="Arial" w:hAnsi="Arial" w:cs="Arial"/>
                <w:color w:val="000000"/>
              </w:rPr>
              <w:t xml:space="preserve">The </w:t>
            </w:r>
            <w:r w:rsidR="00A22E64" w:rsidRPr="00627D6C">
              <w:rPr>
                <w:rFonts w:ascii="Arial" w:hAnsi="Arial" w:cs="Arial"/>
                <w:color w:val="000000"/>
              </w:rPr>
              <w:t>Provider</w:t>
            </w:r>
            <w:r w:rsidR="00164256" w:rsidRPr="00627D6C">
              <w:rPr>
                <w:rFonts w:ascii="Arial" w:hAnsi="Arial" w:cs="Arial"/>
                <w:color w:val="000000"/>
              </w:rPr>
              <w:t xml:space="preserve"> will support local employment by:</w:t>
            </w:r>
          </w:p>
          <w:p w14:paraId="5ABCB049" w14:textId="356D1F1D" w:rsidR="00164256" w:rsidRPr="00627D6C" w:rsidRDefault="00164256" w:rsidP="00DD4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(a) </w:t>
            </w:r>
            <w:r w:rsidRPr="00627D6C">
              <w:rPr>
                <w:rFonts w:ascii="Arial" w:hAnsi="Arial" w:cs="Arial"/>
                <w:color w:val="000000"/>
              </w:rPr>
              <w:tab/>
              <w:t xml:space="preserve">Recruiting staff, wherever appropriate, from the Waltham </w:t>
            </w:r>
            <w:r w:rsidR="00DD4A94" w:rsidRPr="00627D6C">
              <w:rPr>
                <w:rFonts w:ascii="Arial" w:hAnsi="Arial" w:cs="Arial"/>
                <w:color w:val="000000"/>
              </w:rPr>
              <w:t>Forest community and advertise vacancies within the borough</w:t>
            </w:r>
          </w:p>
          <w:p w14:paraId="364F7B38" w14:textId="77777777" w:rsidR="00DD4A94"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(b) </w:t>
            </w:r>
            <w:r w:rsidRPr="00627D6C">
              <w:rPr>
                <w:rFonts w:ascii="Arial" w:hAnsi="Arial" w:cs="Arial"/>
                <w:color w:val="000000"/>
              </w:rPr>
              <w:tab/>
              <w:t xml:space="preserve">ensuring that equal opportunities underpin the aforesaid activities </w:t>
            </w:r>
          </w:p>
          <w:p w14:paraId="13C3C7B3" w14:textId="48E16399"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Arial" w:hAnsi="Arial" w:cs="Arial"/>
                <w:color w:val="000000"/>
              </w:rPr>
            </w:pPr>
            <w:r w:rsidRPr="00627D6C">
              <w:rPr>
                <w:rFonts w:ascii="Arial" w:hAnsi="Arial" w:cs="Arial"/>
                <w:color w:val="000000"/>
              </w:rPr>
              <w:t xml:space="preserve">(c) </w:t>
            </w:r>
            <w:r w:rsidR="00DD4A94" w:rsidRPr="00627D6C">
              <w:rPr>
                <w:rFonts w:ascii="Arial" w:hAnsi="Arial" w:cs="Arial"/>
                <w:color w:val="000000"/>
              </w:rPr>
              <w:t xml:space="preserve">     </w:t>
            </w:r>
            <w:r w:rsidRPr="00627D6C">
              <w:rPr>
                <w:rFonts w:ascii="Arial" w:hAnsi="Arial" w:cs="Arial"/>
                <w:color w:val="000000"/>
              </w:rPr>
              <w:t>paying a London Living Wage</w:t>
            </w:r>
          </w:p>
          <w:p w14:paraId="58D0D613" w14:textId="028C992E"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lastRenderedPageBreak/>
              <w:t>Safeguarding adults at risk of abuse:</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will comply with the </w:t>
            </w:r>
            <w:r w:rsidR="00DA0623">
              <w:rPr>
                <w:rFonts w:ascii="Arial" w:hAnsi="Arial" w:cs="Arial"/>
                <w:color w:val="000000"/>
              </w:rPr>
              <w:t xml:space="preserve">Safeguarding of </w:t>
            </w:r>
            <w:r w:rsidRPr="00627D6C">
              <w:rPr>
                <w:rFonts w:ascii="Arial" w:hAnsi="Arial" w:cs="Arial"/>
                <w:color w:val="000000"/>
              </w:rPr>
              <w:t xml:space="preserve">adults at risk multi-agency policy and procedure. The </w:t>
            </w:r>
            <w:r w:rsidR="00A22E64" w:rsidRPr="00627D6C">
              <w:rPr>
                <w:rFonts w:ascii="Arial" w:hAnsi="Arial" w:cs="Arial"/>
                <w:color w:val="000000"/>
              </w:rPr>
              <w:t>Provider</w:t>
            </w:r>
            <w:r w:rsidRPr="00627D6C">
              <w:rPr>
                <w:rFonts w:ascii="Arial" w:hAnsi="Arial" w:cs="Arial"/>
                <w:color w:val="000000"/>
              </w:rPr>
              <w:t xml:space="preserve">’s Disciplinary and Grievance procedure shall take this into account and ensure there is no conflict. The </w:t>
            </w:r>
            <w:r w:rsidR="00A22E64" w:rsidRPr="00627D6C">
              <w:rPr>
                <w:rFonts w:ascii="Arial" w:hAnsi="Arial" w:cs="Arial"/>
                <w:color w:val="000000"/>
              </w:rPr>
              <w:t>Provider</w:t>
            </w:r>
            <w:r w:rsidRPr="00627D6C">
              <w:rPr>
                <w:rFonts w:ascii="Arial" w:hAnsi="Arial" w:cs="Arial"/>
                <w:color w:val="000000"/>
              </w:rPr>
              <w:t xml:space="preserve"> will ensure the service is able to recognise and respond promptly to indications of abuse and neglect amongst carers and the person they are caring for and report these appropriately.</w:t>
            </w:r>
          </w:p>
          <w:p w14:paraId="5EB16BA5" w14:textId="77777777"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Data Protection:</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ensure all software is compliant with the Data Protection Act 1998 and that all information held by it is secured and used as required by the Data Protection Act 1998.</w:t>
            </w:r>
          </w:p>
          <w:p w14:paraId="577B837D" w14:textId="02EDCFCB"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Customer Care:</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will ensure that the C</w:t>
            </w:r>
            <w:r w:rsidR="00DA0623">
              <w:rPr>
                <w:rFonts w:ascii="Arial" w:hAnsi="Arial" w:cs="Arial"/>
                <w:color w:val="000000"/>
              </w:rPr>
              <w:t>CG’s</w:t>
            </w:r>
            <w:r w:rsidRPr="00627D6C">
              <w:rPr>
                <w:rFonts w:ascii="Arial" w:hAnsi="Arial" w:cs="Arial"/>
                <w:color w:val="000000"/>
              </w:rPr>
              <w:t xml:space="preserve"> expectations regarding the highest standards of customer care are achieved at all times. These expectations require the </w:t>
            </w:r>
            <w:r w:rsidR="00A22E64" w:rsidRPr="00627D6C">
              <w:rPr>
                <w:rFonts w:ascii="Arial" w:hAnsi="Arial" w:cs="Arial"/>
                <w:color w:val="000000"/>
              </w:rPr>
              <w:t>Provider</w:t>
            </w:r>
            <w:r w:rsidRPr="00627D6C">
              <w:rPr>
                <w:rFonts w:ascii="Arial" w:hAnsi="Arial" w:cs="Arial"/>
                <w:color w:val="000000"/>
              </w:rPr>
              <w:t xml:space="preserve"> to ensure that service users are treated in a non-discriminatory manner, with courtesy and dignity, and that their right of choice is respected.</w:t>
            </w:r>
          </w:p>
          <w:p w14:paraId="3870377D" w14:textId="156D7B2C"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Ombudsman, Freedom of Information request and Members Enquiries:</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ensure that all information and assistance is given to enable the </w:t>
            </w:r>
            <w:r w:rsidR="00DA0623">
              <w:rPr>
                <w:rFonts w:ascii="Arial" w:hAnsi="Arial" w:cs="Arial"/>
                <w:color w:val="000000"/>
              </w:rPr>
              <w:t>CCG</w:t>
            </w:r>
            <w:r w:rsidRPr="00627D6C">
              <w:rPr>
                <w:rFonts w:ascii="Arial" w:hAnsi="Arial" w:cs="Arial"/>
                <w:color w:val="000000"/>
              </w:rPr>
              <w:t xml:space="preserve"> to respond to within legally required timeframe for response to queries by the Ombudsman, Members Enquiries and Freedom of Information requests.</w:t>
            </w:r>
          </w:p>
          <w:p w14:paraId="440D9186" w14:textId="77777777"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Confidentiality:</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treat all information and records on service users as strictly confidential at all times. The </w:t>
            </w:r>
            <w:r w:rsidR="00A22E64" w:rsidRPr="00627D6C">
              <w:rPr>
                <w:rFonts w:ascii="Arial" w:hAnsi="Arial" w:cs="Arial"/>
                <w:color w:val="000000"/>
              </w:rPr>
              <w:t>Provider</w:t>
            </w:r>
            <w:r w:rsidRPr="00627D6C">
              <w:rPr>
                <w:rFonts w:ascii="Arial" w:hAnsi="Arial" w:cs="Arial"/>
                <w:color w:val="000000"/>
              </w:rPr>
              <w:t xml:space="preserve"> shall ensure that access to personal information or records maintained is restricted to those who have a genuine professional </w:t>
            </w:r>
            <w:r w:rsidRPr="00627D6C">
              <w:rPr>
                <w:rFonts w:ascii="Arial" w:hAnsi="Arial" w:cs="Arial"/>
                <w:i/>
                <w:iCs/>
                <w:color w:val="000000"/>
              </w:rPr>
              <w:t xml:space="preserve">"need to know" </w:t>
            </w:r>
            <w:r w:rsidRPr="00627D6C">
              <w:rPr>
                <w:rFonts w:ascii="Arial" w:hAnsi="Arial" w:cs="Arial"/>
                <w:color w:val="000000"/>
              </w:rPr>
              <w:t>(e.g. to ensure safety) or a statutory right of access.</w:t>
            </w:r>
          </w:p>
          <w:p w14:paraId="579496B9" w14:textId="241B101E"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u w:val="single"/>
              </w:rPr>
              <w:t>Complaints:</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ensure that complaints from service users are dealt with in a courteous and timely manner and that all reasonable attempts are made to resolve complaints locally. The </w:t>
            </w:r>
            <w:r w:rsidR="00A22E64" w:rsidRPr="00627D6C">
              <w:rPr>
                <w:rFonts w:ascii="Arial" w:hAnsi="Arial" w:cs="Arial"/>
                <w:color w:val="000000"/>
              </w:rPr>
              <w:t>Provider</w:t>
            </w:r>
            <w:r w:rsidRPr="00627D6C">
              <w:rPr>
                <w:rFonts w:ascii="Arial" w:hAnsi="Arial" w:cs="Arial"/>
                <w:color w:val="000000"/>
              </w:rPr>
              <w:t xml:space="preserve"> shall adhere to their complaints procedures when dealing with complaints. </w:t>
            </w:r>
          </w:p>
          <w:p w14:paraId="7A671743" w14:textId="0E613BEE"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shall ensure that service users are routinely provided with information regarding its complaints procedure and also the C</w:t>
            </w:r>
            <w:r w:rsidR="00DA0623">
              <w:rPr>
                <w:rFonts w:ascii="Arial" w:hAnsi="Arial" w:cs="Arial"/>
                <w:color w:val="000000"/>
              </w:rPr>
              <w:t>CG</w:t>
            </w:r>
            <w:r w:rsidRPr="00627D6C">
              <w:rPr>
                <w:rFonts w:ascii="Arial" w:hAnsi="Arial" w:cs="Arial"/>
                <w:color w:val="000000"/>
              </w:rPr>
              <w:t xml:space="preserve">’s complaints procedure. The </w:t>
            </w:r>
            <w:r w:rsidR="00A22E64" w:rsidRPr="00627D6C">
              <w:rPr>
                <w:rFonts w:ascii="Arial" w:hAnsi="Arial" w:cs="Arial"/>
                <w:color w:val="000000"/>
              </w:rPr>
              <w:t>Provider</w:t>
            </w:r>
            <w:r w:rsidRPr="00627D6C">
              <w:rPr>
                <w:rFonts w:ascii="Arial" w:hAnsi="Arial" w:cs="Arial"/>
                <w:color w:val="000000"/>
              </w:rPr>
              <w:t xml:space="preserve"> shall advise the complainant of their right to complain through the C</w:t>
            </w:r>
            <w:r w:rsidR="00DA0623">
              <w:rPr>
                <w:rFonts w:ascii="Arial" w:hAnsi="Arial" w:cs="Arial"/>
                <w:color w:val="000000"/>
              </w:rPr>
              <w:t>CG’</w:t>
            </w:r>
            <w:r w:rsidRPr="00627D6C">
              <w:rPr>
                <w:rFonts w:ascii="Arial" w:hAnsi="Arial" w:cs="Arial"/>
                <w:color w:val="000000"/>
              </w:rPr>
              <w:t>s complaints procedure, should they remain dissatisfied with the response, and provide the complainant with information about how to access that procedure.</w:t>
            </w:r>
          </w:p>
          <w:p w14:paraId="5FF4604C" w14:textId="4344D4E1" w:rsidR="00C50E9F"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shall provide the </w:t>
            </w:r>
            <w:r w:rsidR="00DA0623">
              <w:rPr>
                <w:rFonts w:ascii="Arial" w:hAnsi="Arial" w:cs="Arial"/>
                <w:color w:val="000000"/>
              </w:rPr>
              <w:t>CCG</w:t>
            </w:r>
            <w:r w:rsidRPr="00627D6C">
              <w:rPr>
                <w:rFonts w:ascii="Arial" w:hAnsi="Arial" w:cs="Arial"/>
                <w:color w:val="000000"/>
              </w:rPr>
              <w:t xml:space="preserve"> with an annual report regarding the number and types of complaints received by equalities profile of complainant and the action taken in response to the complaints.</w:t>
            </w:r>
          </w:p>
          <w:p w14:paraId="3D1F204C" w14:textId="77777777" w:rsidR="00164256" w:rsidRPr="00627D6C" w:rsidRDefault="00164256" w:rsidP="00C50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shall take steps to reduce and eliminate failures in service delivery at all times and to </w:t>
            </w:r>
            <w:r w:rsidRPr="00627D6C">
              <w:rPr>
                <w:rFonts w:ascii="Arial" w:hAnsi="Arial" w:cs="Arial"/>
                <w:color w:val="000000"/>
              </w:rPr>
              <w:lastRenderedPageBreak/>
              <w:t xml:space="preserve">take remedial action regarding gaps in service delivery identified by </w:t>
            </w:r>
          </w:p>
          <w:p w14:paraId="62414B03" w14:textId="0E1F2FAF" w:rsidR="00164256" w:rsidRPr="00627D6C" w:rsidRDefault="00164256" w:rsidP="00627D6C">
            <w:pPr>
              <w:widowControl w:val="0"/>
              <w:tabs>
                <w:tab w:val="left" w:pos="6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will provide copies of all reports made in respect of investigated complaints about its services to the </w:t>
            </w:r>
            <w:r w:rsidR="00AB3599">
              <w:rPr>
                <w:rFonts w:ascii="Arial" w:hAnsi="Arial" w:cs="Arial"/>
                <w:color w:val="000000"/>
              </w:rPr>
              <w:t>CCG</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provide, on request, copies of reports made in respect of investigated complaints ab</w:t>
            </w:r>
            <w:r w:rsidR="00627D6C">
              <w:rPr>
                <w:rFonts w:ascii="Arial" w:hAnsi="Arial" w:cs="Arial"/>
                <w:color w:val="000000"/>
              </w:rPr>
              <w:t>out its services to the C</w:t>
            </w:r>
            <w:r w:rsidR="00AB3599">
              <w:rPr>
                <w:rFonts w:ascii="Arial" w:hAnsi="Arial" w:cs="Arial"/>
                <w:color w:val="000000"/>
              </w:rPr>
              <w:t>CG</w:t>
            </w:r>
            <w:r w:rsidR="00627D6C">
              <w:rPr>
                <w:rFonts w:ascii="Arial" w:hAnsi="Arial" w:cs="Arial"/>
                <w:color w:val="FFFFFF"/>
              </w:rPr>
              <w:t>. Rev</w:t>
            </w:r>
          </w:p>
          <w:p w14:paraId="7DE78E9F" w14:textId="5819CDCC"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will be directly accountable for its operations and performance against the specification and contract to NHS Waltham Forest CCG. It will undertake regular monitoring and review of its service including an annual service user survey and will prepare regular reports for monitoring and review meetings. The </w:t>
            </w:r>
            <w:r w:rsidR="00A22E64" w:rsidRPr="00627D6C">
              <w:rPr>
                <w:rFonts w:ascii="Arial" w:hAnsi="Arial" w:cs="Arial"/>
                <w:color w:val="000000"/>
              </w:rPr>
              <w:t>Provider</w:t>
            </w:r>
            <w:r w:rsidRPr="00627D6C">
              <w:rPr>
                <w:rFonts w:ascii="Arial" w:hAnsi="Arial" w:cs="Arial"/>
                <w:color w:val="000000"/>
              </w:rPr>
              <w:t xml:space="preserve"> will ensure necessary administrative and record keeping systems are maintained to enable effective monitoring, review, planning and evaluation to take place.</w:t>
            </w:r>
          </w:p>
          <w:p w14:paraId="3757767A"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shall ensure that the information systems, records and documentation necessary to effectively monitor the performance of this Contract are accurately maintained at all times and that such systems are regularly validated and audited.</w:t>
            </w:r>
          </w:p>
          <w:p w14:paraId="316904F5"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will provide quarterly and annual monitoring reports in an agreed format to the designated Contracts Manager. This report will be submitted within two weeks of the end of each quarter and in accordance with a reporting timetable to be agreed alongside an implementation plan for the first 6 months after contract start date.</w:t>
            </w:r>
          </w:p>
          <w:p w14:paraId="24EFEE4B"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In addition, an announced or unannounced visit to the project may be made. Following the visit, the designated Contracts Manager will write to the service provider detailing any areas of concern arising out of the visit and any further action required by the </w:t>
            </w:r>
            <w:r w:rsidR="00A22E64" w:rsidRPr="00627D6C">
              <w:rPr>
                <w:rFonts w:ascii="Arial" w:hAnsi="Arial" w:cs="Arial"/>
                <w:color w:val="000000"/>
              </w:rPr>
              <w:t>Provider</w:t>
            </w:r>
            <w:r w:rsidRPr="00627D6C">
              <w:rPr>
                <w:rFonts w:ascii="Arial" w:hAnsi="Arial" w:cs="Arial"/>
                <w:color w:val="000000"/>
              </w:rPr>
              <w:t xml:space="preserve">. The </w:t>
            </w:r>
            <w:r w:rsidR="00A22E64" w:rsidRPr="00627D6C">
              <w:rPr>
                <w:rFonts w:ascii="Arial" w:hAnsi="Arial" w:cs="Arial"/>
                <w:color w:val="000000"/>
              </w:rPr>
              <w:t>Provider</w:t>
            </w:r>
            <w:r w:rsidRPr="00627D6C">
              <w:rPr>
                <w:rFonts w:ascii="Arial" w:hAnsi="Arial" w:cs="Arial"/>
                <w:color w:val="000000"/>
              </w:rPr>
              <w:t xml:space="preserve"> shall ensure that all relevant data is retained for the duration of the Contract.</w:t>
            </w:r>
          </w:p>
          <w:p w14:paraId="23956B12"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w:t>
            </w:r>
            <w:r w:rsidR="00A22E64" w:rsidRPr="00627D6C">
              <w:rPr>
                <w:rFonts w:ascii="Arial" w:hAnsi="Arial" w:cs="Arial"/>
                <w:color w:val="000000"/>
              </w:rPr>
              <w:t>Provider</w:t>
            </w:r>
            <w:r w:rsidRPr="00627D6C">
              <w:rPr>
                <w:rFonts w:ascii="Arial" w:hAnsi="Arial" w:cs="Arial"/>
                <w:color w:val="000000"/>
              </w:rPr>
              <w:t xml:space="preserve"> will also be expected to provide an annual monitoring report in an agreed format to the Contracts Manager. The Contracts Manager will set deadline and the equalities data that will need to be provided for this report.</w:t>
            </w:r>
          </w:p>
          <w:p w14:paraId="36395161" w14:textId="77777777" w:rsidR="00164256" w:rsidRPr="00627D6C" w:rsidRDefault="00164256" w:rsidP="001642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A full service review will be carried out at the 12 months stage which may result in contract variations and revised requirements in response to findings from the review. An annual service user satisfaction survey and report will be required to complement the review.</w:t>
            </w:r>
          </w:p>
          <w:p w14:paraId="4FF3C6C9" w14:textId="77777777" w:rsidR="00FC1139" w:rsidRPr="00627D6C" w:rsidRDefault="00FC1139" w:rsidP="00164256">
            <w:pPr>
              <w:spacing w:after="0"/>
              <w:rPr>
                <w:rFonts w:ascii="Arial" w:hAnsi="Arial" w:cs="Arial"/>
              </w:rPr>
            </w:pPr>
          </w:p>
        </w:tc>
      </w:tr>
      <w:tr w:rsidR="00FC1139" w:rsidRPr="00B5552C" w14:paraId="380512D9" w14:textId="77777777" w:rsidTr="00892D46">
        <w:tc>
          <w:tcPr>
            <w:tcW w:w="8908" w:type="dxa"/>
            <w:shd w:val="clear" w:color="auto" w:fill="auto"/>
          </w:tcPr>
          <w:p w14:paraId="55B26622" w14:textId="77777777" w:rsidR="00FC1139" w:rsidRPr="00627D6C" w:rsidRDefault="00FC1139" w:rsidP="00A22E64">
            <w:pPr>
              <w:spacing w:after="0" w:line="276" w:lineRule="auto"/>
              <w:rPr>
                <w:rFonts w:ascii="Arial" w:hAnsi="Arial" w:cs="Arial"/>
                <w:b/>
              </w:rPr>
            </w:pPr>
            <w:r w:rsidRPr="00627D6C">
              <w:rPr>
                <w:rFonts w:ascii="Arial" w:hAnsi="Arial" w:cs="Arial"/>
                <w:b/>
              </w:rPr>
              <w:lastRenderedPageBreak/>
              <w:t>6.</w:t>
            </w:r>
            <w:r w:rsidRPr="00627D6C">
              <w:rPr>
                <w:rFonts w:ascii="Arial" w:hAnsi="Arial" w:cs="Arial"/>
                <w:b/>
              </w:rPr>
              <w:tab/>
              <w:t>Location of Provider Premises</w:t>
            </w:r>
          </w:p>
        </w:tc>
      </w:tr>
      <w:tr w:rsidR="00FC1139" w:rsidRPr="00512021" w14:paraId="54539995" w14:textId="77777777" w:rsidTr="00892D46">
        <w:tc>
          <w:tcPr>
            <w:tcW w:w="9526" w:type="dxa"/>
            <w:shd w:val="clear" w:color="auto" w:fill="auto"/>
          </w:tcPr>
          <w:p w14:paraId="35B0E945" w14:textId="77777777" w:rsidR="00FC1139" w:rsidRPr="00627D6C" w:rsidRDefault="00FC1139" w:rsidP="00A22E64">
            <w:pPr>
              <w:spacing w:after="0"/>
              <w:rPr>
                <w:rFonts w:ascii="Arial" w:hAnsi="Arial" w:cs="Arial"/>
              </w:rPr>
            </w:pPr>
          </w:p>
          <w:p w14:paraId="5EF1DF1F" w14:textId="77777777" w:rsidR="00FC1139" w:rsidRPr="00627D6C" w:rsidRDefault="00FC1139" w:rsidP="00A22E64">
            <w:pPr>
              <w:spacing w:after="0"/>
              <w:rPr>
                <w:rFonts w:ascii="Arial" w:hAnsi="Arial" w:cs="Arial"/>
                <w:b/>
              </w:rPr>
            </w:pPr>
            <w:r w:rsidRPr="00627D6C">
              <w:rPr>
                <w:rFonts w:ascii="Arial" w:hAnsi="Arial" w:cs="Arial"/>
                <w:b/>
              </w:rPr>
              <w:t>The Provider’s Premises are located at:</w:t>
            </w:r>
          </w:p>
          <w:p w14:paraId="0009870D"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Recovery College will operate initially from multiple community venues in Waltham Forest with a view to developing a ‘hub and spoke’ model enabled by a ‘hub’ comprising of an administrative base, meeting/learning space and a small resource library and study area. This is dependent on </w:t>
            </w:r>
            <w:r w:rsidRPr="00627D6C">
              <w:rPr>
                <w:rFonts w:ascii="Arial" w:hAnsi="Arial" w:cs="Arial"/>
                <w:color w:val="000000"/>
              </w:rPr>
              <w:lastRenderedPageBreak/>
              <w:t>availability and costs.</w:t>
            </w:r>
          </w:p>
          <w:p w14:paraId="088EA896"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A central administrative hub accessible and visible in the community is important for the future success of the college with to establish the Recovery College brand and allow the following:</w:t>
            </w:r>
          </w:p>
          <w:p w14:paraId="63E63212"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A base for staff to work effectively</w:t>
            </w:r>
          </w:p>
          <w:p w14:paraId="111BD126"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Enable people to drop in for browsing, general engagement with staff, picking up prospectuses and other printed information.</w:t>
            </w:r>
          </w:p>
          <w:p w14:paraId="733362B0"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Having a working space for co-production and working with students in a neutral inviting and inspiring space, to support the use of individual learning plans with onsite resources and information to support students.</w:t>
            </w:r>
          </w:p>
          <w:p w14:paraId="4ED3E589" w14:textId="0B47366A"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The service will deliver courses via ‘spokes’ offered in numerous satellite locations across Waltham Forest. These could be located within current buildings curr</w:t>
            </w:r>
            <w:r w:rsidR="00627D6C">
              <w:rPr>
                <w:rFonts w:ascii="Arial" w:hAnsi="Arial" w:cs="Arial"/>
                <w:color w:val="000000"/>
              </w:rPr>
              <w:t xml:space="preserve">ently used by voluntary sector </w:t>
            </w:r>
            <w:r w:rsidRPr="00627D6C">
              <w:rPr>
                <w:rFonts w:ascii="Arial" w:hAnsi="Arial" w:cs="Arial"/>
                <w:color w:val="000000"/>
              </w:rPr>
              <w:t>and local educational organisations.</w:t>
            </w:r>
          </w:p>
          <w:p w14:paraId="1A341B2F" w14:textId="6339C9A4"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The locations should be places which actively support the Recovery College ethos and provide appropriate facilities in keeping with the aspirations and ambition encapsulated within the Waltham Forest Recovery College brand.</w:t>
            </w:r>
          </w:p>
          <w:p w14:paraId="5C038E5F" w14:textId="77777777" w:rsidR="00A65483" w:rsidRPr="00627D6C" w:rsidRDefault="00A65483" w:rsidP="00A65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627D6C">
              <w:rPr>
                <w:rFonts w:ascii="Arial" w:hAnsi="Arial" w:cs="Arial"/>
                <w:color w:val="000000"/>
              </w:rPr>
              <w:t xml:space="preserve">The opening times of the </w:t>
            </w:r>
            <w:r w:rsidR="00A22E64" w:rsidRPr="00627D6C">
              <w:rPr>
                <w:rFonts w:ascii="Arial" w:hAnsi="Arial" w:cs="Arial"/>
                <w:color w:val="000000"/>
              </w:rPr>
              <w:t>services</w:t>
            </w:r>
            <w:r w:rsidRPr="00627D6C">
              <w:rPr>
                <w:rFonts w:ascii="Arial" w:hAnsi="Arial" w:cs="Arial"/>
                <w:color w:val="000000"/>
              </w:rPr>
              <w:t xml:space="preserve"> will be determined during the project initiation/mobilisation phase in conjunction with stakeholders. It is expected that some courses may be offered in the evenings.</w:t>
            </w:r>
          </w:p>
          <w:p w14:paraId="0F79CA7A" w14:textId="77777777" w:rsidR="00FC1139" w:rsidRPr="00627D6C" w:rsidRDefault="00FC1139" w:rsidP="00A22E64">
            <w:pPr>
              <w:spacing w:after="0"/>
              <w:rPr>
                <w:rFonts w:ascii="Arial" w:hAnsi="Arial" w:cs="Arial"/>
              </w:rPr>
            </w:pPr>
          </w:p>
          <w:p w14:paraId="4E595661" w14:textId="77777777" w:rsidR="00FC1139" w:rsidRPr="00627D6C" w:rsidRDefault="00FC1139" w:rsidP="00A22E64">
            <w:pPr>
              <w:spacing w:after="0"/>
              <w:rPr>
                <w:rFonts w:ascii="Arial" w:hAnsi="Arial" w:cs="Arial"/>
              </w:rPr>
            </w:pPr>
          </w:p>
        </w:tc>
      </w:tr>
      <w:tr w:rsidR="00FC1139" w:rsidRPr="00B5552C" w14:paraId="47D46C83" w14:textId="77777777" w:rsidTr="00892D46">
        <w:tc>
          <w:tcPr>
            <w:tcW w:w="8908" w:type="dxa"/>
            <w:shd w:val="clear" w:color="auto" w:fill="auto"/>
          </w:tcPr>
          <w:p w14:paraId="2637DADF" w14:textId="77777777" w:rsidR="00FC1139" w:rsidRPr="00627D6C" w:rsidRDefault="00FC1139" w:rsidP="00A22E64">
            <w:pPr>
              <w:spacing w:after="0" w:line="276" w:lineRule="auto"/>
              <w:rPr>
                <w:rFonts w:ascii="Arial" w:hAnsi="Arial" w:cs="Arial"/>
                <w:b/>
              </w:rPr>
            </w:pPr>
            <w:r w:rsidRPr="00627D6C">
              <w:rPr>
                <w:rFonts w:ascii="Arial" w:hAnsi="Arial" w:cs="Arial"/>
                <w:b/>
              </w:rPr>
              <w:lastRenderedPageBreak/>
              <w:t>7.</w:t>
            </w:r>
            <w:r w:rsidRPr="00627D6C">
              <w:rPr>
                <w:rFonts w:ascii="Arial" w:hAnsi="Arial" w:cs="Arial"/>
                <w:b/>
              </w:rPr>
              <w:tab/>
            </w:r>
            <w:r w:rsidR="00A22E64" w:rsidRPr="00627D6C">
              <w:rPr>
                <w:rFonts w:ascii="Arial" w:hAnsi="Arial" w:cs="Arial"/>
                <w:b/>
              </w:rPr>
              <w:t>KPI’s and Information Requirements</w:t>
            </w:r>
          </w:p>
        </w:tc>
      </w:tr>
      <w:tr w:rsidR="00FC1139" w:rsidRPr="00512021" w14:paraId="35E134E2" w14:textId="77777777" w:rsidTr="00892D46">
        <w:tc>
          <w:tcPr>
            <w:tcW w:w="8908" w:type="dxa"/>
            <w:shd w:val="clear" w:color="auto" w:fill="auto"/>
          </w:tcPr>
          <w:p w14:paraId="3B53ACB7" w14:textId="77777777" w:rsidR="00FC1139" w:rsidRPr="00627D6C" w:rsidRDefault="00705C62" w:rsidP="00A22E64">
            <w:pPr>
              <w:spacing w:after="0"/>
              <w:rPr>
                <w:rFonts w:ascii="Arial" w:hAnsi="Arial" w:cs="Arial"/>
                <w:b/>
              </w:rPr>
            </w:pPr>
            <w:r w:rsidRPr="00627D6C">
              <w:rPr>
                <w:rFonts w:ascii="Arial" w:hAnsi="Arial" w:cs="Arial"/>
                <w:b/>
              </w:rPr>
              <w:t>Recovery College</w:t>
            </w:r>
          </w:p>
          <w:p w14:paraId="1426B311" w14:textId="77777777" w:rsidR="00892D46" w:rsidRPr="00627D6C" w:rsidRDefault="00892D46" w:rsidP="00705C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29C9D3C4" w14:textId="77777777" w:rsidR="008E30E7" w:rsidRPr="00627D6C" w:rsidRDefault="008E30E7" w:rsidP="008E30E7">
            <w:pPr>
              <w:rPr>
                <w:rFonts w:ascii="Arial" w:hAnsi="Arial" w:cs="Arial"/>
              </w:rPr>
            </w:pPr>
          </w:p>
          <w:tbl>
            <w:tblPr>
              <w:tblW w:w="0" w:type="auto"/>
              <w:tblInd w:w="360" w:type="dxa"/>
              <w:tblBorders>
                <w:top w:val="single" w:sz="8" w:space="0" w:color="4E81BD"/>
                <w:left w:val="single" w:sz="8" w:space="0" w:color="4E81BD"/>
                <w:bottom w:val="single" w:sz="8" w:space="0" w:color="4E81BD"/>
                <w:right w:val="single" w:sz="8" w:space="0" w:color="4E81BD"/>
                <w:insideH w:val="single" w:sz="8" w:space="0" w:color="4E81BD"/>
                <w:insideV w:val="single" w:sz="8" w:space="0" w:color="4E81BD"/>
              </w:tblBorders>
              <w:tblCellMar>
                <w:left w:w="0" w:type="dxa"/>
                <w:right w:w="0" w:type="dxa"/>
              </w:tblCellMar>
              <w:tblLook w:val="01E0" w:firstRow="1" w:lastRow="1" w:firstColumn="1" w:lastColumn="1" w:noHBand="0" w:noVBand="0"/>
            </w:tblPr>
            <w:tblGrid>
              <w:gridCol w:w="9270"/>
            </w:tblGrid>
            <w:tr w:rsidR="008E30E7" w:rsidRPr="00627D6C" w14:paraId="6F495D6A" w14:textId="77777777" w:rsidTr="00BF7A6D">
              <w:trPr>
                <w:trHeight w:val="268"/>
              </w:trPr>
              <w:tc>
                <w:tcPr>
                  <w:tcW w:w="9270" w:type="dxa"/>
                  <w:tcBorders>
                    <w:top w:val="nil"/>
                    <w:left w:val="nil"/>
                    <w:bottom w:val="nil"/>
                    <w:right w:val="nil"/>
                  </w:tcBorders>
                  <w:shd w:val="clear" w:color="auto" w:fill="4E81BD"/>
                </w:tcPr>
                <w:p w14:paraId="7B2255FA" w14:textId="77777777" w:rsidR="008E30E7" w:rsidRPr="00627D6C" w:rsidRDefault="008E30E7" w:rsidP="008E30E7">
                  <w:pPr>
                    <w:pStyle w:val="TableParagraph"/>
                    <w:spacing w:before="14"/>
                    <w:ind w:left="117"/>
                    <w:rPr>
                      <w:b/>
                    </w:rPr>
                  </w:pPr>
                  <w:r w:rsidRPr="00627D6C">
                    <w:rPr>
                      <w:b/>
                      <w:color w:val="FFFFFF"/>
                    </w:rPr>
                    <w:t>Baseline Recording and Reporting Requirements</w:t>
                  </w:r>
                </w:p>
              </w:tc>
            </w:tr>
            <w:tr w:rsidR="008E30E7" w:rsidRPr="00627D6C" w14:paraId="6D8A7BB3" w14:textId="77777777" w:rsidTr="00BF7A6D">
              <w:trPr>
                <w:trHeight w:val="2229"/>
              </w:trPr>
              <w:tc>
                <w:tcPr>
                  <w:tcW w:w="9270" w:type="dxa"/>
                  <w:tcBorders>
                    <w:top w:val="nil"/>
                  </w:tcBorders>
                </w:tcPr>
                <w:p w14:paraId="6C91A69D" w14:textId="77777777" w:rsidR="008E30E7" w:rsidRPr="00627D6C" w:rsidRDefault="008E30E7" w:rsidP="008E30E7">
                  <w:pPr>
                    <w:pStyle w:val="TableParagraph"/>
                    <w:spacing w:before="11"/>
                  </w:pPr>
                </w:p>
                <w:p w14:paraId="2AB1BFA9" w14:textId="77777777" w:rsidR="008E30E7" w:rsidRPr="00627D6C" w:rsidRDefault="008E30E7" w:rsidP="008E30E7">
                  <w:pPr>
                    <w:pStyle w:val="TableParagraph"/>
                    <w:numPr>
                      <w:ilvl w:val="0"/>
                      <w:numId w:val="21"/>
                    </w:numPr>
                    <w:tabs>
                      <w:tab w:val="left" w:pos="827"/>
                      <w:tab w:val="left" w:pos="828"/>
                    </w:tabs>
                  </w:pPr>
                  <w:r w:rsidRPr="00627D6C">
                    <w:t>Enrolled</w:t>
                  </w:r>
                  <w:r w:rsidRPr="00627D6C">
                    <w:rPr>
                      <w:spacing w:val="-3"/>
                    </w:rPr>
                    <w:t xml:space="preserve"> </w:t>
                  </w:r>
                  <w:r w:rsidRPr="00627D6C">
                    <w:t>students</w:t>
                  </w:r>
                </w:p>
                <w:p w14:paraId="00127C28" w14:textId="20F26D63" w:rsidR="008E30E7" w:rsidRPr="00627D6C" w:rsidRDefault="008E30E7" w:rsidP="008E30E7">
                  <w:pPr>
                    <w:pStyle w:val="TableParagraph"/>
                    <w:numPr>
                      <w:ilvl w:val="0"/>
                      <w:numId w:val="21"/>
                    </w:numPr>
                    <w:tabs>
                      <w:tab w:val="left" w:pos="827"/>
                      <w:tab w:val="left" w:pos="828"/>
                    </w:tabs>
                    <w:spacing w:before="1"/>
                  </w:pPr>
                  <w:r w:rsidRPr="00627D6C">
                    <w:t>Total Number of</w:t>
                  </w:r>
                  <w:r w:rsidRPr="00627D6C">
                    <w:rPr>
                      <w:spacing w:val="-3"/>
                    </w:rPr>
                    <w:t xml:space="preserve"> </w:t>
                  </w:r>
                  <w:r w:rsidRPr="00627D6C">
                    <w:t>students</w:t>
                  </w:r>
                  <w:r w:rsidR="00BF7A6D">
                    <w:t xml:space="preserve"> breakdown by MH Service User, Family/Carers, Staff and other</w:t>
                  </w:r>
                </w:p>
                <w:p w14:paraId="6031C220" w14:textId="77777777" w:rsidR="008E30E7" w:rsidRPr="00627D6C" w:rsidRDefault="008E30E7" w:rsidP="008E30E7">
                  <w:pPr>
                    <w:pStyle w:val="TableParagraph"/>
                    <w:numPr>
                      <w:ilvl w:val="0"/>
                      <w:numId w:val="21"/>
                    </w:numPr>
                    <w:tabs>
                      <w:tab w:val="left" w:pos="827"/>
                      <w:tab w:val="left" w:pos="828"/>
                    </w:tabs>
                    <w:spacing w:before="3"/>
                  </w:pPr>
                  <w:r w:rsidRPr="00627D6C">
                    <w:t>Gender</w:t>
                  </w:r>
                </w:p>
                <w:p w14:paraId="6FF13D49" w14:textId="3615B987" w:rsidR="008E30E7" w:rsidRPr="00627D6C" w:rsidRDefault="00BF7A6D" w:rsidP="008E30E7">
                  <w:pPr>
                    <w:pStyle w:val="TableParagraph"/>
                    <w:numPr>
                      <w:ilvl w:val="0"/>
                      <w:numId w:val="21"/>
                    </w:numPr>
                    <w:tabs>
                      <w:tab w:val="left" w:pos="827"/>
                      <w:tab w:val="left" w:pos="828"/>
                    </w:tabs>
                    <w:spacing w:before="3"/>
                  </w:pPr>
                  <w:r>
                    <w:t>A</w:t>
                  </w:r>
                  <w:r w:rsidR="008E30E7" w:rsidRPr="00627D6C">
                    <w:t>ge</w:t>
                  </w:r>
                  <w:r w:rsidR="008E30E7" w:rsidRPr="00627D6C">
                    <w:rPr>
                      <w:spacing w:val="-1"/>
                    </w:rPr>
                    <w:t xml:space="preserve"> </w:t>
                  </w:r>
                  <w:r w:rsidR="008E30E7" w:rsidRPr="00627D6C">
                    <w:t>range</w:t>
                  </w:r>
                  <w:r>
                    <w:t xml:space="preserve"> (&lt;25, 26 – 64, &gt;65)</w:t>
                  </w:r>
                </w:p>
                <w:p w14:paraId="14C90412" w14:textId="77777777" w:rsidR="008E30E7" w:rsidRPr="00627D6C" w:rsidRDefault="008E30E7" w:rsidP="008E30E7">
                  <w:pPr>
                    <w:pStyle w:val="TableParagraph"/>
                    <w:numPr>
                      <w:ilvl w:val="0"/>
                      <w:numId w:val="21"/>
                    </w:numPr>
                    <w:tabs>
                      <w:tab w:val="left" w:pos="827"/>
                      <w:tab w:val="left" w:pos="828"/>
                    </w:tabs>
                    <w:spacing w:before="1"/>
                  </w:pPr>
                  <w:r w:rsidRPr="00627D6C">
                    <w:t>Ethnicity</w:t>
                  </w:r>
                </w:p>
                <w:p w14:paraId="7EADE567" w14:textId="1C704C2F" w:rsidR="008E30E7" w:rsidRPr="00627D6C" w:rsidRDefault="008E30E7" w:rsidP="008E30E7">
                  <w:pPr>
                    <w:pStyle w:val="TableParagraph"/>
                    <w:numPr>
                      <w:ilvl w:val="0"/>
                      <w:numId w:val="21"/>
                    </w:numPr>
                    <w:tabs>
                      <w:tab w:val="left" w:pos="827"/>
                      <w:tab w:val="left" w:pos="828"/>
                    </w:tabs>
                    <w:spacing w:before="3"/>
                  </w:pPr>
                  <w:r w:rsidRPr="00627D6C">
                    <w:t>Diagnosis</w:t>
                  </w:r>
                  <w:r w:rsidR="00BF7A6D">
                    <w:t xml:space="preserve"> (If appropriate)</w:t>
                  </w:r>
                </w:p>
                <w:p w14:paraId="70468977" w14:textId="0B70C241" w:rsidR="008E30E7" w:rsidRPr="00627D6C" w:rsidRDefault="008E30E7" w:rsidP="008E30E7">
                  <w:pPr>
                    <w:pStyle w:val="TableParagraph"/>
                    <w:numPr>
                      <w:ilvl w:val="0"/>
                      <w:numId w:val="21"/>
                    </w:numPr>
                    <w:tabs>
                      <w:tab w:val="left" w:pos="827"/>
                      <w:tab w:val="left" w:pos="828"/>
                    </w:tabs>
                    <w:spacing w:before="1"/>
                    <w:ind w:right="237"/>
                  </w:pPr>
                  <w:r w:rsidRPr="00627D6C">
                    <w:t>Mental Health Care Cluster (n= % of students had been allocated to clusters 1-</w:t>
                  </w:r>
                  <w:r w:rsidR="00BF7A6D">
                    <w:t>8</w:t>
                  </w:r>
                  <w:r w:rsidRPr="00627D6C">
                    <w:t>, % , % to clusters 10- 17 and % to clusters</w:t>
                  </w:r>
                  <w:r w:rsidRPr="00627D6C">
                    <w:rPr>
                      <w:spacing w:val="-2"/>
                    </w:rPr>
                    <w:t xml:space="preserve"> </w:t>
                  </w:r>
                  <w:r w:rsidRPr="00627D6C">
                    <w:t>18-21</w:t>
                  </w:r>
                </w:p>
                <w:p w14:paraId="5D148D8B" w14:textId="1B27760D" w:rsidR="008E30E7" w:rsidRPr="00627D6C" w:rsidRDefault="008E30E7" w:rsidP="008E30E7">
                  <w:pPr>
                    <w:pStyle w:val="TableParagraph"/>
                    <w:numPr>
                      <w:ilvl w:val="0"/>
                      <w:numId w:val="21"/>
                    </w:numPr>
                    <w:tabs>
                      <w:tab w:val="left" w:pos="827"/>
                      <w:tab w:val="left" w:pos="828"/>
                    </w:tabs>
                    <w:spacing w:before="4"/>
                  </w:pPr>
                  <w:r w:rsidRPr="00627D6C">
                    <w:t>Contact with mental health services (Mean years)</w:t>
                  </w:r>
                </w:p>
                <w:p w14:paraId="2AB0C9F0" w14:textId="77777777" w:rsidR="008E30E7" w:rsidRDefault="008E30E7" w:rsidP="008E30E7">
                  <w:pPr>
                    <w:pStyle w:val="TableParagraph"/>
                    <w:numPr>
                      <w:ilvl w:val="0"/>
                      <w:numId w:val="21"/>
                    </w:numPr>
                    <w:tabs>
                      <w:tab w:val="left" w:pos="827"/>
                      <w:tab w:val="left" w:pos="828"/>
                    </w:tabs>
                    <w:spacing w:before="1"/>
                  </w:pPr>
                  <w:r w:rsidRPr="00627D6C">
                    <w:t>Number of former or current service users involved as peer leaders / peer educators / experts by</w:t>
                  </w:r>
                  <w:r w:rsidRPr="00627D6C">
                    <w:rPr>
                      <w:spacing w:val="-27"/>
                    </w:rPr>
                    <w:t xml:space="preserve"> </w:t>
                  </w:r>
                  <w:r w:rsidRPr="00627D6C">
                    <w:t>experience?</w:t>
                  </w:r>
                </w:p>
                <w:p w14:paraId="7886FC50" w14:textId="4F01B45C" w:rsidR="00BF7A6D" w:rsidRPr="00627D6C" w:rsidRDefault="00BF7A6D" w:rsidP="008E30E7">
                  <w:pPr>
                    <w:pStyle w:val="TableParagraph"/>
                    <w:numPr>
                      <w:ilvl w:val="0"/>
                      <w:numId w:val="21"/>
                    </w:numPr>
                    <w:tabs>
                      <w:tab w:val="left" w:pos="827"/>
                      <w:tab w:val="left" w:pos="828"/>
                    </w:tabs>
                    <w:spacing w:before="1"/>
                  </w:pPr>
                  <w:r>
                    <w:t>Number of student who enrolled for courses actually attended courses. Of those % who completed 70% more of the course.</w:t>
                  </w:r>
                </w:p>
              </w:tc>
            </w:tr>
            <w:tr w:rsidR="008E30E7" w:rsidRPr="00627D6C" w14:paraId="5A75F4A3" w14:textId="77777777" w:rsidTr="00BF7A6D">
              <w:trPr>
                <w:trHeight w:val="229"/>
              </w:trPr>
              <w:tc>
                <w:tcPr>
                  <w:tcW w:w="9270" w:type="dxa"/>
                </w:tcPr>
                <w:p w14:paraId="46F5B036" w14:textId="77777777" w:rsidR="008E30E7" w:rsidRPr="00627D6C" w:rsidRDefault="008E30E7" w:rsidP="008E30E7">
                  <w:pPr>
                    <w:pStyle w:val="TableParagraph"/>
                    <w:spacing w:line="210" w:lineRule="exact"/>
                    <w:ind w:left="107"/>
                    <w:rPr>
                      <w:b/>
                    </w:rPr>
                  </w:pPr>
                  <w:r w:rsidRPr="00627D6C">
                    <w:rPr>
                      <w:b/>
                    </w:rPr>
                    <w:t>PREMs</w:t>
                  </w:r>
                </w:p>
              </w:tc>
            </w:tr>
            <w:tr w:rsidR="008E30E7" w:rsidRPr="00627D6C" w14:paraId="298AD6C0" w14:textId="77777777" w:rsidTr="00BF7A6D">
              <w:trPr>
                <w:trHeight w:val="184"/>
              </w:trPr>
              <w:tc>
                <w:tcPr>
                  <w:tcW w:w="9270" w:type="dxa"/>
                </w:tcPr>
                <w:tbl>
                  <w:tblPr>
                    <w:tblW w:w="0" w:type="auto"/>
                    <w:tblBorders>
                      <w:top w:val="single" w:sz="8" w:space="0" w:color="4E81BD"/>
                      <w:left w:val="single" w:sz="8" w:space="0" w:color="4E81BD"/>
                      <w:bottom w:val="single" w:sz="8" w:space="0" w:color="4E81BD"/>
                      <w:right w:val="single" w:sz="8" w:space="0" w:color="4E81BD"/>
                      <w:insideH w:val="single" w:sz="8" w:space="0" w:color="4E81BD"/>
                      <w:insideV w:val="single" w:sz="8" w:space="0" w:color="4E81BD"/>
                    </w:tblBorders>
                    <w:tblCellMar>
                      <w:left w:w="0" w:type="dxa"/>
                      <w:right w:w="0" w:type="dxa"/>
                    </w:tblCellMar>
                    <w:tblLook w:val="01E0" w:firstRow="1" w:lastRow="1" w:firstColumn="1" w:lastColumn="1" w:noHBand="0" w:noVBand="0"/>
                  </w:tblPr>
                  <w:tblGrid>
                    <w:gridCol w:w="9230"/>
                  </w:tblGrid>
                  <w:tr w:rsidR="008E30E7" w:rsidRPr="00627D6C" w14:paraId="18346F31" w14:textId="77777777" w:rsidTr="008E30E7">
                    <w:trPr>
                      <w:trHeight w:val="551"/>
                    </w:trPr>
                    <w:tc>
                      <w:tcPr>
                        <w:tcW w:w="9281" w:type="dxa"/>
                      </w:tcPr>
                      <w:p w14:paraId="75D219CB" w14:textId="77777777" w:rsidR="008E30E7" w:rsidRPr="00627D6C" w:rsidRDefault="008E30E7" w:rsidP="008E30E7">
                        <w:pPr>
                          <w:pStyle w:val="TableParagraph"/>
                          <w:ind w:left="107" w:right="4634"/>
                        </w:pPr>
                        <w:r w:rsidRPr="00627D6C">
                          <w:t>Quarterly student experience rating the college positively (n= %) Service user satisfaction surveys</w:t>
                        </w:r>
                      </w:p>
                    </w:tc>
                  </w:tr>
                  <w:tr w:rsidR="008E30E7" w:rsidRPr="00627D6C" w14:paraId="7763EA51" w14:textId="77777777" w:rsidTr="008E30E7">
                    <w:trPr>
                      <w:trHeight w:val="229"/>
                    </w:trPr>
                    <w:tc>
                      <w:tcPr>
                        <w:tcW w:w="9281" w:type="dxa"/>
                      </w:tcPr>
                      <w:p w14:paraId="2E9A7AC0" w14:textId="77777777" w:rsidR="008E30E7" w:rsidRPr="00627D6C" w:rsidRDefault="008E30E7" w:rsidP="008E30E7">
                        <w:pPr>
                          <w:pStyle w:val="TableParagraph"/>
                          <w:spacing w:line="210" w:lineRule="exact"/>
                          <w:ind w:left="107"/>
                          <w:rPr>
                            <w:b/>
                          </w:rPr>
                        </w:pPr>
                        <w:r w:rsidRPr="00627D6C">
                          <w:rPr>
                            <w:b/>
                          </w:rPr>
                          <w:t>PROMs</w:t>
                        </w:r>
                      </w:p>
                    </w:tc>
                  </w:tr>
                  <w:tr w:rsidR="008E30E7" w:rsidRPr="00627D6C" w14:paraId="37E12637" w14:textId="77777777" w:rsidTr="00376329">
                    <w:trPr>
                      <w:trHeight w:val="4365"/>
                    </w:trPr>
                    <w:tc>
                      <w:tcPr>
                        <w:tcW w:w="9281" w:type="dxa"/>
                      </w:tcPr>
                      <w:p w14:paraId="4F212C12" w14:textId="77777777" w:rsidR="008E30E7" w:rsidRPr="00627D6C" w:rsidRDefault="008E30E7" w:rsidP="008E30E7">
                        <w:pPr>
                          <w:pStyle w:val="TableParagraph"/>
                          <w:spacing w:before="8"/>
                        </w:pPr>
                      </w:p>
                      <w:p w14:paraId="46A4981D" w14:textId="77777777" w:rsidR="008E30E7" w:rsidRPr="00627D6C" w:rsidRDefault="008E30E7" w:rsidP="008E30E7">
                        <w:pPr>
                          <w:pStyle w:val="TableParagraph"/>
                          <w:ind w:left="107"/>
                        </w:pPr>
                        <w:r w:rsidRPr="00627D6C">
                          <w:t>The proportion of students either strongly agreed or agreed that:</w:t>
                        </w:r>
                      </w:p>
                      <w:p w14:paraId="336C67C1" w14:textId="77777777" w:rsidR="008E30E7" w:rsidRPr="00627D6C" w:rsidRDefault="008E30E7" w:rsidP="008E30E7">
                        <w:pPr>
                          <w:pStyle w:val="TableParagraph"/>
                          <w:numPr>
                            <w:ilvl w:val="0"/>
                            <w:numId w:val="23"/>
                          </w:numPr>
                          <w:tabs>
                            <w:tab w:val="left" w:pos="1368"/>
                          </w:tabs>
                          <w:spacing w:before="1" w:line="183" w:lineRule="exact"/>
                        </w:pPr>
                        <w:r w:rsidRPr="00627D6C">
                          <w:t>They felt more hopeful for the future as a result of the course (n=</w:t>
                        </w:r>
                        <w:r w:rsidRPr="00627D6C">
                          <w:rPr>
                            <w:spacing w:val="-17"/>
                          </w:rPr>
                          <w:t xml:space="preserve"> </w:t>
                        </w:r>
                        <w:r w:rsidRPr="00627D6C">
                          <w:t>%)</w:t>
                        </w:r>
                      </w:p>
                      <w:p w14:paraId="60D51B12" w14:textId="77777777" w:rsidR="008E30E7" w:rsidRPr="00627D6C" w:rsidRDefault="008E30E7" w:rsidP="008E30E7">
                        <w:pPr>
                          <w:pStyle w:val="TableParagraph"/>
                          <w:numPr>
                            <w:ilvl w:val="0"/>
                            <w:numId w:val="23"/>
                          </w:numPr>
                          <w:tabs>
                            <w:tab w:val="left" w:pos="1368"/>
                          </w:tabs>
                          <w:spacing w:line="183" w:lineRule="exact"/>
                        </w:pPr>
                        <w:r w:rsidRPr="00627D6C">
                          <w:t>They were able to do the things they wanted to do in life as a result of the course (n=</w:t>
                        </w:r>
                        <w:r w:rsidRPr="00627D6C">
                          <w:rPr>
                            <w:spacing w:val="-18"/>
                          </w:rPr>
                          <w:t xml:space="preserve"> </w:t>
                        </w:r>
                        <w:r w:rsidRPr="00627D6C">
                          <w:t>%)</w:t>
                        </w:r>
                      </w:p>
                      <w:p w14:paraId="6A7C7813" w14:textId="77777777" w:rsidR="008E30E7" w:rsidRPr="00627D6C" w:rsidRDefault="008E30E7" w:rsidP="008E30E7">
                        <w:pPr>
                          <w:pStyle w:val="TableParagraph"/>
                          <w:numPr>
                            <w:ilvl w:val="0"/>
                            <w:numId w:val="23"/>
                          </w:numPr>
                          <w:tabs>
                            <w:tab w:val="left" w:pos="1368"/>
                          </w:tabs>
                          <w:spacing w:before="1"/>
                        </w:pPr>
                        <w:r w:rsidRPr="00627D6C">
                          <w:t>They achieved what they set out to do (n=</w:t>
                        </w:r>
                        <w:r w:rsidRPr="00627D6C">
                          <w:rPr>
                            <w:spacing w:val="-1"/>
                          </w:rPr>
                          <w:t xml:space="preserve"> </w:t>
                        </w:r>
                        <w:r w:rsidRPr="00627D6C">
                          <w:t>%)</w:t>
                        </w:r>
                      </w:p>
                      <w:p w14:paraId="44175861" w14:textId="77777777" w:rsidR="008E30E7" w:rsidRPr="00627D6C" w:rsidRDefault="008E30E7" w:rsidP="008E30E7">
                        <w:pPr>
                          <w:pStyle w:val="TableParagraph"/>
                          <w:numPr>
                            <w:ilvl w:val="0"/>
                            <w:numId w:val="23"/>
                          </w:numPr>
                          <w:tabs>
                            <w:tab w:val="left" w:pos="1368"/>
                          </w:tabs>
                          <w:spacing w:line="183" w:lineRule="exact"/>
                        </w:pPr>
                        <w:r w:rsidRPr="00627D6C">
                          <w:t>They are aware of what they want to do after the course</w:t>
                        </w:r>
                        <w:r w:rsidRPr="00627D6C">
                          <w:rPr>
                            <w:spacing w:val="-5"/>
                          </w:rPr>
                          <w:t xml:space="preserve"> </w:t>
                        </w:r>
                        <w:r w:rsidRPr="00627D6C">
                          <w:t>ends</w:t>
                        </w:r>
                      </w:p>
                      <w:p w14:paraId="4EA65528" w14:textId="77777777" w:rsidR="008E30E7" w:rsidRPr="00627D6C" w:rsidRDefault="008E30E7" w:rsidP="008E30E7">
                        <w:pPr>
                          <w:pStyle w:val="TableParagraph"/>
                          <w:numPr>
                            <w:ilvl w:val="0"/>
                            <w:numId w:val="23"/>
                          </w:numPr>
                          <w:tabs>
                            <w:tab w:val="left" w:pos="1368"/>
                          </w:tabs>
                          <w:spacing w:line="183" w:lineRule="exact"/>
                        </w:pPr>
                        <w:r w:rsidRPr="00627D6C">
                          <w:t>They are being helped to decide what to do</w:t>
                        </w:r>
                        <w:r w:rsidRPr="00627D6C">
                          <w:rPr>
                            <w:spacing w:val="-5"/>
                          </w:rPr>
                          <w:t xml:space="preserve"> </w:t>
                        </w:r>
                        <w:r w:rsidRPr="00627D6C">
                          <w:t>next</w:t>
                        </w:r>
                      </w:p>
                      <w:p w14:paraId="5E1DCA27" w14:textId="77777777" w:rsidR="008E30E7" w:rsidRPr="00627D6C" w:rsidRDefault="008E30E7" w:rsidP="008E30E7">
                        <w:pPr>
                          <w:pStyle w:val="TableParagraph"/>
                          <w:spacing w:before="10" w:line="360" w:lineRule="atLeast"/>
                          <w:ind w:left="107" w:right="2931"/>
                        </w:pPr>
                        <w:r w:rsidRPr="00627D6C">
                          <w:t>Feedback from the Service User Reference Group as well as individual patient feedback Significance of variance in student experience between boroughs</w:t>
                        </w:r>
                      </w:p>
                    </w:tc>
                  </w:tr>
                  <w:tr w:rsidR="008E30E7" w:rsidRPr="00627D6C" w14:paraId="05A73FE1" w14:textId="77777777" w:rsidTr="008E30E7">
                    <w:trPr>
                      <w:trHeight w:val="229"/>
                    </w:trPr>
                    <w:tc>
                      <w:tcPr>
                        <w:tcW w:w="9281" w:type="dxa"/>
                      </w:tcPr>
                      <w:p w14:paraId="5383E2F9" w14:textId="4375228D" w:rsidR="008E30E7" w:rsidRPr="00627D6C" w:rsidRDefault="008E30E7" w:rsidP="008E30E7">
                        <w:pPr>
                          <w:pStyle w:val="TableParagraph"/>
                          <w:spacing w:line="210" w:lineRule="exact"/>
                          <w:ind w:left="107"/>
                          <w:rPr>
                            <w:b/>
                          </w:rPr>
                        </w:pPr>
                        <w:r w:rsidRPr="00627D6C">
                          <w:rPr>
                            <w:b/>
                          </w:rPr>
                          <w:t>Stage 1: KPIs</w:t>
                        </w:r>
                        <w:r w:rsidR="007A4C9F">
                          <w:rPr>
                            <w:b/>
                          </w:rPr>
                          <w:t xml:space="preserve"> and Information requirements </w:t>
                        </w:r>
                        <w:r w:rsidRPr="00627D6C">
                          <w:rPr>
                            <w:b/>
                          </w:rPr>
                          <w:t>:</w:t>
                        </w:r>
                      </w:p>
                    </w:tc>
                  </w:tr>
                  <w:tr w:rsidR="008E30E7" w:rsidRPr="00627D6C" w14:paraId="56AEF25F" w14:textId="77777777" w:rsidTr="008E30E7">
                    <w:trPr>
                      <w:trHeight w:val="2495"/>
                    </w:trPr>
                    <w:tc>
                      <w:tcPr>
                        <w:tcW w:w="9281" w:type="dxa"/>
                      </w:tcPr>
                      <w:p w14:paraId="7C4A50E8" w14:textId="58AB24C1" w:rsidR="008E30E7" w:rsidRPr="00627D6C" w:rsidRDefault="008E30E7" w:rsidP="008E30E7">
                        <w:pPr>
                          <w:pStyle w:val="TableParagraph"/>
                          <w:spacing w:before="10"/>
                        </w:pPr>
                      </w:p>
                      <w:p w14:paraId="4A0EE0FF" w14:textId="77777777" w:rsidR="008E30E7" w:rsidRPr="00503933" w:rsidRDefault="008E30E7" w:rsidP="00B84E71">
                        <w:pPr>
                          <w:pStyle w:val="TableParagraph"/>
                          <w:numPr>
                            <w:ilvl w:val="0"/>
                            <w:numId w:val="29"/>
                          </w:numPr>
                          <w:tabs>
                            <w:tab w:val="left" w:pos="827"/>
                            <w:tab w:val="left" w:pos="828"/>
                          </w:tabs>
                        </w:pPr>
                        <w:r w:rsidRPr="00503933">
                          <w:t>100% of all students in the Recovery College will have an Individual Learning Support Plan agreed on</w:t>
                        </w:r>
                        <w:r w:rsidRPr="00503933">
                          <w:rPr>
                            <w:spacing w:val="-23"/>
                          </w:rPr>
                          <w:t xml:space="preserve"> </w:t>
                        </w:r>
                        <w:r w:rsidRPr="00503933">
                          <w:t>enrolment</w:t>
                        </w:r>
                      </w:p>
                      <w:p w14:paraId="37DA7546" w14:textId="77777777" w:rsidR="008E30E7" w:rsidRPr="00503933" w:rsidRDefault="008E30E7" w:rsidP="00B84E71">
                        <w:pPr>
                          <w:pStyle w:val="TableParagraph"/>
                          <w:numPr>
                            <w:ilvl w:val="0"/>
                            <w:numId w:val="29"/>
                          </w:numPr>
                          <w:tabs>
                            <w:tab w:val="left" w:pos="827"/>
                            <w:tab w:val="left" w:pos="828"/>
                          </w:tabs>
                          <w:spacing w:before="4"/>
                        </w:pPr>
                        <w:r w:rsidRPr="00503933">
                          <w:t>95% of all students completing an Individual Learning Support Plan will have at least one strength</w:t>
                        </w:r>
                        <w:r w:rsidRPr="00503933">
                          <w:rPr>
                            <w:spacing w:val="-20"/>
                          </w:rPr>
                          <w:t xml:space="preserve"> </w:t>
                        </w:r>
                        <w:r w:rsidRPr="00503933">
                          <w:t>identified</w:t>
                        </w:r>
                      </w:p>
                      <w:p w14:paraId="43E5A8A5" w14:textId="7F3952B8" w:rsidR="00BF7A6D" w:rsidRPr="00503933" w:rsidRDefault="008E30E7" w:rsidP="00B84E71">
                        <w:pPr>
                          <w:pStyle w:val="TableParagraph"/>
                          <w:numPr>
                            <w:ilvl w:val="0"/>
                            <w:numId w:val="29"/>
                          </w:numPr>
                          <w:tabs>
                            <w:tab w:val="left" w:pos="827"/>
                            <w:tab w:val="left" w:pos="828"/>
                          </w:tabs>
                          <w:spacing w:before="3"/>
                          <w:ind w:right="368"/>
                          <w:rPr>
                            <w:color w:val="FF0000"/>
                          </w:rPr>
                        </w:pPr>
                        <w:r w:rsidRPr="00503933">
                          <w:t>100% of all students completing the term they have enrolled in will have reviewed their Individual Learning Support Plan</w:t>
                        </w:r>
                        <w:r w:rsidR="00BF7A6D" w:rsidRPr="00503933">
                          <w:t xml:space="preserve">  </w:t>
                        </w:r>
                      </w:p>
                      <w:p w14:paraId="54F2CAF6" w14:textId="77777777" w:rsidR="008E30E7" w:rsidRPr="00627D6C" w:rsidRDefault="008E30E7" w:rsidP="00B84E71">
                        <w:pPr>
                          <w:pStyle w:val="TableParagraph"/>
                          <w:numPr>
                            <w:ilvl w:val="0"/>
                            <w:numId w:val="29"/>
                          </w:numPr>
                          <w:tabs>
                            <w:tab w:val="left" w:pos="827"/>
                            <w:tab w:val="left" w:pos="828"/>
                          </w:tabs>
                          <w:spacing w:before="4"/>
                        </w:pPr>
                        <w:r w:rsidRPr="00627D6C">
                          <w:t>51% students will complete an end of course evaluation by the end of the</w:t>
                        </w:r>
                        <w:r w:rsidRPr="00627D6C">
                          <w:rPr>
                            <w:spacing w:val="-13"/>
                          </w:rPr>
                          <w:t xml:space="preserve"> </w:t>
                        </w:r>
                        <w:r w:rsidRPr="00627D6C">
                          <w:t>pilot</w:t>
                        </w:r>
                      </w:p>
                      <w:p w14:paraId="01610FEB" w14:textId="77777777" w:rsidR="008E30E7" w:rsidRDefault="008E30E7" w:rsidP="00B84E71">
                        <w:pPr>
                          <w:pStyle w:val="TableParagraph"/>
                          <w:numPr>
                            <w:ilvl w:val="0"/>
                            <w:numId w:val="29"/>
                          </w:numPr>
                          <w:tabs>
                            <w:tab w:val="left" w:pos="827"/>
                            <w:tab w:val="left" w:pos="828"/>
                          </w:tabs>
                        </w:pPr>
                        <w:r w:rsidRPr="00627D6C">
                          <w:t>50-70% course completion</w:t>
                        </w:r>
                        <w:r w:rsidRPr="00627D6C">
                          <w:rPr>
                            <w:spacing w:val="-1"/>
                          </w:rPr>
                          <w:t xml:space="preserve"> </w:t>
                        </w:r>
                        <w:r w:rsidRPr="00627D6C">
                          <w:t>rates</w:t>
                        </w:r>
                      </w:p>
                      <w:p w14:paraId="627C53FD" w14:textId="1E2E3F84" w:rsidR="008E30E7" w:rsidRPr="00627D6C" w:rsidRDefault="008E30E7" w:rsidP="00503933">
                        <w:pPr>
                          <w:pStyle w:val="TableParagraph"/>
                          <w:tabs>
                            <w:tab w:val="left" w:pos="873"/>
                            <w:tab w:val="left" w:pos="874"/>
                          </w:tabs>
                          <w:spacing w:before="4"/>
                          <w:ind w:right="395"/>
                        </w:pPr>
                      </w:p>
                    </w:tc>
                  </w:tr>
                </w:tbl>
                <w:p w14:paraId="7A36F611" w14:textId="77777777" w:rsidR="008E30E7" w:rsidRPr="00627D6C" w:rsidRDefault="008E30E7" w:rsidP="008E30E7">
                  <w:pPr>
                    <w:pStyle w:val="TableParagraph"/>
                  </w:pPr>
                </w:p>
              </w:tc>
            </w:tr>
          </w:tbl>
          <w:p w14:paraId="13196216" w14:textId="77777777" w:rsidR="008E30E7" w:rsidRPr="00627D6C" w:rsidRDefault="008E30E7" w:rsidP="00705C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447C973F" w14:textId="77777777" w:rsidR="00FC1139" w:rsidRPr="00627D6C" w:rsidRDefault="00FC1139" w:rsidP="00A22E64">
            <w:pPr>
              <w:spacing w:after="0"/>
              <w:rPr>
                <w:rFonts w:ascii="Arial" w:hAnsi="Arial" w:cs="Arial"/>
              </w:rPr>
            </w:pPr>
          </w:p>
          <w:p w14:paraId="08BF81BF" w14:textId="77777777" w:rsidR="00FC1139" w:rsidRPr="00627D6C" w:rsidRDefault="00FC1139" w:rsidP="00A22E64">
            <w:pPr>
              <w:spacing w:after="0"/>
              <w:rPr>
                <w:rFonts w:ascii="Arial" w:hAnsi="Arial" w:cs="Arial"/>
              </w:rPr>
            </w:pPr>
          </w:p>
        </w:tc>
      </w:tr>
      <w:tr w:rsidR="00DC26E1" w:rsidRPr="00512021" w14:paraId="474A0111" w14:textId="77777777" w:rsidTr="00892D46">
        <w:tc>
          <w:tcPr>
            <w:tcW w:w="8908" w:type="dxa"/>
            <w:shd w:val="clear" w:color="auto" w:fill="auto"/>
          </w:tcPr>
          <w:p w14:paraId="1BB69A4B" w14:textId="77777777" w:rsidR="00DC26E1" w:rsidRPr="00627D6C" w:rsidRDefault="00DC26E1" w:rsidP="00DC26E1">
            <w:pPr>
              <w:spacing w:after="0"/>
              <w:rPr>
                <w:rFonts w:ascii="Arial" w:hAnsi="Arial" w:cs="Arial"/>
                <w:b/>
              </w:rPr>
            </w:pPr>
            <w:r w:rsidRPr="00627D6C">
              <w:rPr>
                <w:rFonts w:ascii="Arial" w:hAnsi="Arial" w:cs="Arial"/>
                <w:b/>
              </w:rPr>
              <w:lastRenderedPageBreak/>
              <w:t>8.</w:t>
            </w:r>
            <w:r w:rsidRPr="00627D6C">
              <w:rPr>
                <w:rFonts w:ascii="Arial" w:hAnsi="Arial" w:cs="Arial"/>
                <w:b/>
              </w:rPr>
              <w:tab/>
              <w:t>Finance</w:t>
            </w:r>
          </w:p>
        </w:tc>
      </w:tr>
      <w:tr w:rsidR="00DC26E1" w:rsidRPr="00512021" w14:paraId="35F5137C" w14:textId="77777777" w:rsidTr="00892D46">
        <w:tc>
          <w:tcPr>
            <w:tcW w:w="8908" w:type="dxa"/>
            <w:shd w:val="clear" w:color="auto" w:fill="auto"/>
          </w:tcPr>
          <w:p w14:paraId="71F173B2" w14:textId="77777777" w:rsidR="00B115E1" w:rsidRPr="00627D6C" w:rsidRDefault="00B115E1" w:rsidP="00C3531D">
            <w:pPr>
              <w:spacing w:after="0"/>
              <w:rPr>
                <w:rFonts w:ascii="Arial" w:hAnsi="Arial" w:cs="Arial"/>
                <w:b/>
              </w:rPr>
            </w:pPr>
          </w:p>
          <w:p w14:paraId="7ABFD072" w14:textId="1B5DE0D5" w:rsidR="00DC26E1" w:rsidRPr="00627D6C" w:rsidRDefault="003655A2" w:rsidP="00C3531D">
            <w:pPr>
              <w:spacing w:after="0"/>
              <w:rPr>
                <w:rFonts w:ascii="Arial" w:hAnsi="Arial" w:cs="Arial"/>
                <w:b/>
              </w:rPr>
            </w:pPr>
            <w:r w:rsidRPr="00627D6C">
              <w:rPr>
                <w:rFonts w:ascii="Arial" w:hAnsi="Arial" w:cs="Arial"/>
                <w:b/>
              </w:rPr>
              <w:t>£1</w:t>
            </w:r>
            <w:r w:rsidR="00C3531D" w:rsidRPr="00627D6C">
              <w:rPr>
                <w:rFonts w:ascii="Arial" w:hAnsi="Arial" w:cs="Arial"/>
                <w:b/>
              </w:rPr>
              <w:t>5</w:t>
            </w:r>
            <w:r w:rsidR="00DC26E1" w:rsidRPr="00627D6C">
              <w:rPr>
                <w:rFonts w:ascii="Arial" w:hAnsi="Arial" w:cs="Arial"/>
                <w:b/>
              </w:rPr>
              <w:t xml:space="preserve">0,000 </w:t>
            </w:r>
            <w:r w:rsidR="00AB3599">
              <w:rPr>
                <w:rFonts w:ascii="Arial" w:hAnsi="Arial" w:cs="Arial"/>
                <w:b/>
              </w:rPr>
              <w:t>for 18 month pilot</w:t>
            </w:r>
          </w:p>
          <w:p w14:paraId="15A6AAD9" w14:textId="5D750751" w:rsidR="00C3531D" w:rsidRPr="00627D6C" w:rsidRDefault="00C3531D" w:rsidP="00C3531D">
            <w:pPr>
              <w:spacing w:after="0"/>
              <w:rPr>
                <w:rFonts w:ascii="Arial" w:hAnsi="Arial" w:cs="Arial"/>
                <w:b/>
              </w:rPr>
            </w:pPr>
          </w:p>
        </w:tc>
      </w:tr>
      <w:tr w:rsidR="00DC26E1" w:rsidRPr="00512021" w14:paraId="1855632B" w14:textId="77777777" w:rsidTr="00892D46">
        <w:tc>
          <w:tcPr>
            <w:tcW w:w="8908" w:type="dxa"/>
            <w:shd w:val="clear" w:color="auto" w:fill="auto"/>
          </w:tcPr>
          <w:p w14:paraId="15F94EEC" w14:textId="77777777" w:rsidR="00DC26E1" w:rsidRPr="00627D6C" w:rsidRDefault="00DC26E1" w:rsidP="00DC26E1">
            <w:pPr>
              <w:spacing w:after="0"/>
              <w:rPr>
                <w:rFonts w:ascii="Arial" w:hAnsi="Arial" w:cs="Arial"/>
                <w:b/>
              </w:rPr>
            </w:pPr>
            <w:r w:rsidRPr="00627D6C">
              <w:rPr>
                <w:rFonts w:ascii="Arial" w:hAnsi="Arial" w:cs="Arial"/>
                <w:b/>
              </w:rPr>
              <w:t>7.</w:t>
            </w:r>
            <w:r w:rsidRPr="00627D6C">
              <w:rPr>
                <w:rFonts w:ascii="Arial" w:hAnsi="Arial" w:cs="Arial"/>
                <w:b/>
              </w:rPr>
              <w:tab/>
              <w:t>Evaluation</w:t>
            </w:r>
          </w:p>
        </w:tc>
      </w:tr>
      <w:tr w:rsidR="00DC26E1" w:rsidRPr="00512021" w14:paraId="4A851E2D" w14:textId="77777777" w:rsidTr="00892D46">
        <w:tc>
          <w:tcPr>
            <w:tcW w:w="8908" w:type="dxa"/>
            <w:shd w:val="clear" w:color="auto" w:fill="auto"/>
          </w:tcPr>
          <w:p w14:paraId="1ECA1B46" w14:textId="77476E33" w:rsidR="00DC26E1" w:rsidRPr="00627D6C" w:rsidRDefault="003655A2" w:rsidP="00B84E71">
            <w:pPr>
              <w:spacing w:after="0"/>
              <w:rPr>
                <w:rFonts w:ascii="Arial" w:hAnsi="Arial" w:cs="Arial"/>
                <w:b/>
              </w:rPr>
            </w:pPr>
            <w:r w:rsidRPr="00627D6C">
              <w:rPr>
                <w:rFonts w:ascii="Arial" w:hAnsi="Arial" w:cs="Arial"/>
                <w:b/>
              </w:rPr>
              <w:t xml:space="preserve">The service will participate in a full service </w:t>
            </w:r>
            <w:r w:rsidR="009315F2" w:rsidRPr="00627D6C">
              <w:rPr>
                <w:rFonts w:ascii="Arial" w:hAnsi="Arial" w:cs="Arial"/>
                <w:b/>
              </w:rPr>
              <w:t>evaluation,</w:t>
            </w:r>
            <w:r w:rsidR="0027544B">
              <w:rPr>
                <w:rFonts w:ascii="Arial" w:hAnsi="Arial" w:cs="Arial"/>
                <w:b/>
              </w:rPr>
              <w:t xml:space="preserve"> starting in month 10 of the contract and a report produced by month </w:t>
            </w:r>
            <w:r w:rsidR="00B84E71">
              <w:rPr>
                <w:rFonts w:ascii="Arial" w:hAnsi="Arial" w:cs="Arial"/>
                <w:b/>
              </w:rPr>
              <w:t>12.</w:t>
            </w:r>
          </w:p>
        </w:tc>
      </w:tr>
    </w:tbl>
    <w:p w14:paraId="6FE384B4" w14:textId="77777777" w:rsidR="00FC1139" w:rsidRDefault="00FC1139">
      <w:pPr>
        <w:rPr>
          <w:rFonts w:ascii="Arial" w:hAnsi="Arial" w:cs="Arial"/>
          <w:sz w:val="24"/>
          <w:szCs w:val="24"/>
        </w:rPr>
      </w:pPr>
    </w:p>
    <w:p w14:paraId="0666DDDD" w14:textId="77777777" w:rsidR="00787C7A" w:rsidRPr="00526D8A" w:rsidRDefault="00787C7A" w:rsidP="00787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FFFF"/>
          <w:sz w:val="24"/>
          <w:szCs w:val="24"/>
        </w:rPr>
      </w:pPr>
      <w:r w:rsidRPr="00526D8A">
        <w:rPr>
          <w:rFonts w:ascii="Arial" w:hAnsi="Arial" w:cs="Arial"/>
          <w:b/>
          <w:bCs/>
          <w:color w:val="FFFFFF"/>
          <w:sz w:val="24"/>
          <w:szCs w:val="24"/>
        </w:rPr>
        <w:t>High Level System Outcomes</w:t>
      </w:r>
    </w:p>
    <w:p w14:paraId="335A0D20" w14:textId="77777777" w:rsidR="00787C7A" w:rsidRPr="00526D8A" w:rsidRDefault="00787C7A" w:rsidP="00787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FFFF"/>
          <w:sz w:val="24"/>
          <w:szCs w:val="24"/>
        </w:rPr>
      </w:pPr>
      <w:r w:rsidRPr="00526D8A">
        <w:rPr>
          <w:rFonts w:ascii="Arial" w:hAnsi="Arial" w:cs="Arial"/>
          <w:color w:val="FFFFFF"/>
          <w:sz w:val="24"/>
          <w:szCs w:val="24"/>
        </w:rPr>
        <w:t>4. Service Principles</w:t>
      </w:r>
    </w:p>
    <w:p w14:paraId="20B6540D" w14:textId="77777777" w:rsidR="00787C7A" w:rsidRPr="00526D8A" w:rsidRDefault="00787C7A" w:rsidP="00787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FFFF"/>
          <w:sz w:val="24"/>
          <w:szCs w:val="24"/>
        </w:rPr>
      </w:pPr>
      <w:r w:rsidRPr="00526D8A">
        <w:rPr>
          <w:rFonts w:ascii="Arial" w:hAnsi="Arial" w:cs="Arial"/>
          <w:color w:val="FFFFFF"/>
          <w:sz w:val="24"/>
          <w:szCs w:val="24"/>
        </w:rPr>
        <w:t>.f &amp; Volunteers</w:t>
      </w:r>
    </w:p>
    <w:p w14:paraId="0DC33EE2" w14:textId="77777777" w:rsidR="00787C7A" w:rsidRPr="00526D8A" w:rsidRDefault="00787C7A" w:rsidP="00787C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sectPr w:rsidR="00787C7A" w:rsidRPr="00526D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3BA0E" w14:textId="77777777" w:rsidR="00270F62" w:rsidRDefault="00270F62" w:rsidP="007230F6">
      <w:pPr>
        <w:spacing w:after="0" w:line="240" w:lineRule="auto"/>
      </w:pPr>
      <w:r>
        <w:separator/>
      </w:r>
    </w:p>
  </w:endnote>
  <w:endnote w:type="continuationSeparator" w:id="0">
    <w:p w14:paraId="57A28B77" w14:textId="77777777" w:rsidR="00270F62" w:rsidRDefault="00270F62" w:rsidP="0072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3089D" w14:textId="77777777" w:rsidR="00270F62" w:rsidRDefault="00270F62" w:rsidP="007230F6">
      <w:pPr>
        <w:spacing w:after="0" w:line="240" w:lineRule="auto"/>
      </w:pPr>
      <w:r>
        <w:separator/>
      </w:r>
    </w:p>
  </w:footnote>
  <w:footnote w:type="continuationSeparator" w:id="0">
    <w:p w14:paraId="4696BFD4" w14:textId="77777777" w:rsidR="00270F62" w:rsidRDefault="00270F62" w:rsidP="00723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1FB6"/>
    <w:multiLevelType w:val="hybridMultilevel"/>
    <w:tmpl w:val="4FD2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64DE"/>
    <w:multiLevelType w:val="hybridMultilevel"/>
    <w:tmpl w:val="ED5A4D14"/>
    <w:lvl w:ilvl="0" w:tplc="6AE2EB16">
      <w:numFmt w:val="bullet"/>
      <w:lvlText w:val="•"/>
      <w:lvlJc w:val="left"/>
      <w:pPr>
        <w:ind w:left="827" w:hanging="360"/>
      </w:pPr>
      <w:rPr>
        <w:rFonts w:ascii="Arial" w:eastAsia="Arial" w:hAnsi="Arial" w:cs="Arial" w:hint="default"/>
        <w:w w:val="142"/>
        <w:sz w:val="16"/>
        <w:szCs w:val="16"/>
      </w:rPr>
    </w:lvl>
    <w:lvl w:ilvl="1" w:tplc="5F2EE7A2">
      <w:numFmt w:val="bullet"/>
      <w:lvlText w:val="•"/>
      <w:lvlJc w:val="left"/>
      <w:pPr>
        <w:ind w:left="1668" w:hanging="360"/>
      </w:pPr>
      <w:rPr>
        <w:rFonts w:hint="default"/>
      </w:rPr>
    </w:lvl>
    <w:lvl w:ilvl="2" w:tplc="D098E01A">
      <w:numFmt w:val="bullet"/>
      <w:lvlText w:val="•"/>
      <w:lvlJc w:val="left"/>
      <w:pPr>
        <w:ind w:left="2516" w:hanging="360"/>
      </w:pPr>
      <w:rPr>
        <w:rFonts w:hint="default"/>
      </w:rPr>
    </w:lvl>
    <w:lvl w:ilvl="3" w:tplc="D354E60C">
      <w:numFmt w:val="bullet"/>
      <w:lvlText w:val="•"/>
      <w:lvlJc w:val="left"/>
      <w:pPr>
        <w:ind w:left="3364" w:hanging="360"/>
      </w:pPr>
      <w:rPr>
        <w:rFonts w:hint="default"/>
      </w:rPr>
    </w:lvl>
    <w:lvl w:ilvl="4" w:tplc="20C0D296">
      <w:numFmt w:val="bullet"/>
      <w:lvlText w:val="•"/>
      <w:lvlJc w:val="left"/>
      <w:pPr>
        <w:ind w:left="4212" w:hanging="360"/>
      </w:pPr>
      <w:rPr>
        <w:rFonts w:hint="default"/>
      </w:rPr>
    </w:lvl>
    <w:lvl w:ilvl="5" w:tplc="754EB664">
      <w:numFmt w:val="bullet"/>
      <w:lvlText w:val="•"/>
      <w:lvlJc w:val="left"/>
      <w:pPr>
        <w:ind w:left="5061" w:hanging="360"/>
      </w:pPr>
      <w:rPr>
        <w:rFonts w:hint="default"/>
      </w:rPr>
    </w:lvl>
    <w:lvl w:ilvl="6" w:tplc="8A38EEA0">
      <w:numFmt w:val="bullet"/>
      <w:lvlText w:val="•"/>
      <w:lvlJc w:val="left"/>
      <w:pPr>
        <w:ind w:left="5909" w:hanging="360"/>
      </w:pPr>
      <w:rPr>
        <w:rFonts w:hint="default"/>
      </w:rPr>
    </w:lvl>
    <w:lvl w:ilvl="7" w:tplc="001C9064">
      <w:numFmt w:val="bullet"/>
      <w:lvlText w:val="•"/>
      <w:lvlJc w:val="left"/>
      <w:pPr>
        <w:ind w:left="6757" w:hanging="360"/>
      </w:pPr>
      <w:rPr>
        <w:rFonts w:hint="default"/>
      </w:rPr>
    </w:lvl>
    <w:lvl w:ilvl="8" w:tplc="BCB85384">
      <w:numFmt w:val="bullet"/>
      <w:lvlText w:val="•"/>
      <w:lvlJc w:val="left"/>
      <w:pPr>
        <w:ind w:left="7605" w:hanging="360"/>
      </w:pPr>
      <w:rPr>
        <w:rFonts w:hint="default"/>
      </w:rPr>
    </w:lvl>
  </w:abstractNum>
  <w:abstractNum w:abstractNumId="2" w15:restartNumberingAfterBreak="0">
    <w:nsid w:val="19DC3157"/>
    <w:multiLevelType w:val="hybridMultilevel"/>
    <w:tmpl w:val="3E2C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D266A"/>
    <w:multiLevelType w:val="hybridMultilevel"/>
    <w:tmpl w:val="C00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70925"/>
    <w:multiLevelType w:val="hybridMultilevel"/>
    <w:tmpl w:val="21C2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B27CE"/>
    <w:multiLevelType w:val="hybridMultilevel"/>
    <w:tmpl w:val="AC04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A5203"/>
    <w:multiLevelType w:val="hybridMultilevel"/>
    <w:tmpl w:val="05E6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664E7"/>
    <w:multiLevelType w:val="hybridMultilevel"/>
    <w:tmpl w:val="9A704C52"/>
    <w:lvl w:ilvl="0" w:tplc="CC849EB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D7D95"/>
    <w:multiLevelType w:val="hybridMultilevel"/>
    <w:tmpl w:val="16DE85B0"/>
    <w:lvl w:ilvl="0" w:tplc="403E0270">
      <w:start w:val="1"/>
      <w:numFmt w:val="lowerLetter"/>
      <w:lvlText w:val="%1)"/>
      <w:lvlJc w:val="left"/>
      <w:pPr>
        <w:ind w:left="825" w:hanging="360"/>
        <w:jc w:val="left"/>
      </w:pPr>
      <w:rPr>
        <w:rFonts w:ascii="Arial" w:eastAsia="Arial" w:hAnsi="Arial" w:cs="Arial" w:hint="default"/>
        <w:spacing w:val="-1"/>
        <w:w w:val="99"/>
        <w:sz w:val="20"/>
        <w:szCs w:val="20"/>
      </w:rPr>
    </w:lvl>
    <w:lvl w:ilvl="1" w:tplc="F970F05E">
      <w:numFmt w:val="bullet"/>
      <w:lvlText w:val="•"/>
      <w:lvlJc w:val="left"/>
      <w:pPr>
        <w:ind w:left="1740" w:hanging="360"/>
      </w:pPr>
      <w:rPr>
        <w:rFonts w:hint="default"/>
      </w:rPr>
    </w:lvl>
    <w:lvl w:ilvl="2" w:tplc="CEA63F82">
      <w:numFmt w:val="bullet"/>
      <w:lvlText w:val="•"/>
      <w:lvlJc w:val="left"/>
      <w:pPr>
        <w:ind w:left="2660" w:hanging="360"/>
      </w:pPr>
      <w:rPr>
        <w:rFonts w:hint="default"/>
      </w:rPr>
    </w:lvl>
    <w:lvl w:ilvl="3" w:tplc="DAFC9412">
      <w:numFmt w:val="bullet"/>
      <w:lvlText w:val="•"/>
      <w:lvlJc w:val="left"/>
      <w:pPr>
        <w:ind w:left="3580" w:hanging="360"/>
      </w:pPr>
      <w:rPr>
        <w:rFonts w:hint="default"/>
      </w:rPr>
    </w:lvl>
    <w:lvl w:ilvl="4" w:tplc="E530F3A4">
      <w:numFmt w:val="bullet"/>
      <w:lvlText w:val="•"/>
      <w:lvlJc w:val="left"/>
      <w:pPr>
        <w:ind w:left="4500" w:hanging="360"/>
      </w:pPr>
      <w:rPr>
        <w:rFonts w:hint="default"/>
      </w:rPr>
    </w:lvl>
    <w:lvl w:ilvl="5" w:tplc="9B7A2FFA">
      <w:numFmt w:val="bullet"/>
      <w:lvlText w:val="•"/>
      <w:lvlJc w:val="left"/>
      <w:pPr>
        <w:ind w:left="5420" w:hanging="360"/>
      </w:pPr>
      <w:rPr>
        <w:rFonts w:hint="default"/>
      </w:rPr>
    </w:lvl>
    <w:lvl w:ilvl="6" w:tplc="0226D6FE">
      <w:numFmt w:val="bullet"/>
      <w:lvlText w:val="•"/>
      <w:lvlJc w:val="left"/>
      <w:pPr>
        <w:ind w:left="6340" w:hanging="360"/>
      </w:pPr>
      <w:rPr>
        <w:rFonts w:hint="default"/>
      </w:rPr>
    </w:lvl>
    <w:lvl w:ilvl="7" w:tplc="8D06AD8C">
      <w:numFmt w:val="bullet"/>
      <w:lvlText w:val="•"/>
      <w:lvlJc w:val="left"/>
      <w:pPr>
        <w:ind w:left="7260" w:hanging="360"/>
      </w:pPr>
      <w:rPr>
        <w:rFonts w:hint="default"/>
      </w:rPr>
    </w:lvl>
    <w:lvl w:ilvl="8" w:tplc="898E7830">
      <w:numFmt w:val="bullet"/>
      <w:lvlText w:val="•"/>
      <w:lvlJc w:val="left"/>
      <w:pPr>
        <w:ind w:left="8180" w:hanging="360"/>
      </w:pPr>
      <w:rPr>
        <w:rFonts w:hint="default"/>
      </w:rPr>
    </w:lvl>
  </w:abstractNum>
  <w:abstractNum w:abstractNumId="9" w15:restartNumberingAfterBreak="0">
    <w:nsid w:val="2D236125"/>
    <w:multiLevelType w:val="hybridMultilevel"/>
    <w:tmpl w:val="3B9E6F04"/>
    <w:lvl w:ilvl="0" w:tplc="CC849EB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1414F"/>
    <w:multiLevelType w:val="hybridMultilevel"/>
    <w:tmpl w:val="2014065E"/>
    <w:lvl w:ilvl="0" w:tplc="CC849EB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501E0"/>
    <w:multiLevelType w:val="hybridMultilevel"/>
    <w:tmpl w:val="9D020602"/>
    <w:lvl w:ilvl="0" w:tplc="08090001">
      <w:start w:val="1"/>
      <w:numFmt w:val="bullet"/>
      <w:lvlText w:val=""/>
      <w:lvlJc w:val="left"/>
      <w:pPr>
        <w:ind w:left="827" w:hanging="360"/>
      </w:pPr>
      <w:rPr>
        <w:rFonts w:ascii="Symbol" w:hAnsi="Symbol" w:hint="default"/>
        <w:w w:val="142"/>
        <w:sz w:val="16"/>
        <w:szCs w:val="16"/>
      </w:rPr>
    </w:lvl>
    <w:lvl w:ilvl="1" w:tplc="73E8E6D6">
      <w:numFmt w:val="bullet"/>
      <w:lvlText w:val="•"/>
      <w:lvlJc w:val="left"/>
      <w:pPr>
        <w:ind w:left="1668" w:hanging="360"/>
      </w:pPr>
      <w:rPr>
        <w:rFonts w:hint="default"/>
      </w:rPr>
    </w:lvl>
    <w:lvl w:ilvl="2" w:tplc="33D6F180">
      <w:numFmt w:val="bullet"/>
      <w:lvlText w:val="•"/>
      <w:lvlJc w:val="left"/>
      <w:pPr>
        <w:ind w:left="2516" w:hanging="360"/>
      </w:pPr>
      <w:rPr>
        <w:rFonts w:hint="default"/>
      </w:rPr>
    </w:lvl>
    <w:lvl w:ilvl="3" w:tplc="821E2FF4">
      <w:numFmt w:val="bullet"/>
      <w:lvlText w:val="•"/>
      <w:lvlJc w:val="left"/>
      <w:pPr>
        <w:ind w:left="3364" w:hanging="360"/>
      </w:pPr>
      <w:rPr>
        <w:rFonts w:hint="default"/>
      </w:rPr>
    </w:lvl>
    <w:lvl w:ilvl="4" w:tplc="F1F86B38">
      <w:numFmt w:val="bullet"/>
      <w:lvlText w:val="•"/>
      <w:lvlJc w:val="left"/>
      <w:pPr>
        <w:ind w:left="4212" w:hanging="360"/>
      </w:pPr>
      <w:rPr>
        <w:rFonts w:hint="default"/>
      </w:rPr>
    </w:lvl>
    <w:lvl w:ilvl="5" w:tplc="A6D0EDF6">
      <w:numFmt w:val="bullet"/>
      <w:lvlText w:val="•"/>
      <w:lvlJc w:val="left"/>
      <w:pPr>
        <w:ind w:left="5061" w:hanging="360"/>
      </w:pPr>
      <w:rPr>
        <w:rFonts w:hint="default"/>
      </w:rPr>
    </w:lvl>
    <w:lvl w:ilvl="6" w:tplc="815C2896">
      <w:numFmt w:val="bullet"/>
      <w:lvlText w:val="•"/>
      <w:lvlJc w:val="left"/>
      <w:pPr>
        <w:ind w:left="5909" w:hanging="360"/>
      </w:pPr>
      <w:rPr>
        <w:rFonts w:hint="default"/>
      </w:rPr>
    </w:lvl>
    <w:lvl w:ilvl="7" w:tplc="71205F54">
      <w:numFmt w:val="bullet"/>
      <w:lvlText w:val="•"/>
      <w:lvlJc w:val="left"/>
      <w:pPr>
        <w:ind w:left="6757" w:hanging="360"/>
      </w:pPr>
      <w:rPr>
        <w:rFonts w:hint="default"/>
      </w:rPr>
    </w:lvl>
    <w:lvl w:ilvl="8" w:tplc="A5BA6CDC">
      <w:numFmt w:val="bullet"/>
      <w:lvlText w:val="•"/>
      <w:lvlJc w:val="left"/>
      <w:pPr>
        <w:ind w:left="7605" w:hanging="360"/>
      </w:pPr>
      <w:rPr>
        <w:rFonts w:hint="default"/>
      </w:rPr>
    </w:lvl>
  </w:abstractNum>
  <w:abstractNum w:abstractNumId="13" w15:restartNumberingAfterBreak="0">
    <w:nsid w:val="4214394C"/>
    <w:multiLevelType w:val="hybridMultilevel"/>
    <w:tmpl w:val="3CA4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66FF"/>
    <w:multiLevelType w:val="hybridMultilevel"/>
    <w:tmpl w:val="2A127A48"/>
    <w:lvl w:ilvl="0" w:tplc="08090001">
      <w:start w:val="1"/>
      <w:numFmt w:val="bullet"/>
      <w:lvlText w:val=""/>
      <w:lvlJc w:val="left"/>
      <w:pPr>
        <w:ind w:left="825" w:hanging="360"/>
        <w:jc w:val="left"/>
      </w:pPr>
      <w:rPr>
        <w:rFonts w:ascii="Symbol" w:hAnsi="Symbol" w:hint="default"/>
        <w:spacing w:val="-1"/>
        <w:w w:val="99"/>
        <w:sz w:val="20"/>
        <w:szCs w:val="20"/>
      </w:rPr>
    </w:lvl>
    <w:lvl w:ilvl="1" w:tplc="F970F05E">
      <w:numFmt w:val="bullet"/>
      <w:lvlText w:val="•"/>
      <w:lvlJc w:val="left"/>
      <w:pPr>
        <w:ind w:left="1740" w:hanging="360"/>
      </w:pPr>
      <w:rPr>
        <w:rFonts w:hint="default"/>
      </w:rPr>
    </w:lvl>
    <w:lvl w:ilvl="2" w:tplc="CEA63F82">
      <w:numFmt w:val="bullet"/>
      <w:lvlText w:val="•"/>
      <w:lvlJc w:val="left"/>
      <w:pPr>
        <w:ind w:left="2660" w:hanging="360"/>
      </w:pPr>
      <w:rPr>
        <w:rFonts w:hint="default"/>
      </w:rPr>
    </w:lvl>
    <w:lvl w:ilvl="3" w:tplc="DAFC9412">
      <w:numFmt w:val="bullet"/>
      <w:lvlText w:val="•"/>
      <w:lvlJc w:val="left"/>
      <w:pPr>
        <w:ind w:left="3580" w:hanging="360"/>
      </w:pPr>
      <w:rPr>
        <w:rFonts w:hint="default"/>
      </w:rPr>
    </w:lvl>
    <w:lvl w:ilvl="4" w:tplc="E530F3A4">
      <w:numFmt w:val="bullet"/>
      <w:lvlText w:val="•"/>
      <w:lvlJc w:val="left"/>
      <w:pPr>
        <w:ind w:left="4500" w:hanging="360"/>
      </w:pPr>
      <w:rPr>
        <w:rFonts w:hint="default"/>
      </w:rPr>
    </w:lvl>
    <w:lvl w:ilvl="5" w:tplc="9B7A2FFA">
      <w:numFmt w:val="bullet"/>
      <w:lvlText w:val="•"/>
      <w:lvlJc w:val="left"/>
      <w:pPr>
        <w:ind w:left="5420" w:hanging="360"/>
      </w:pPr>
      <w:rPr>
        <w:rFonts w:hint="default"/>
      </w:rPr>
    </w:lvl>
    <w:lvl w:ilvl="6" w:tplc="0226D6FE">
      <w:numFmt w:val="bullet"/>
      <w:lvlText w:val="•"/>
      <w:lvlJc w:val="left"/>
      <w:pPr>
        <w:ind w:left="6340" w:hanging="360"/>
      </w:pPr>
      <w:rPr>
        <w:rFonts w:hint="default"/>
      </w:rPr>
    </w:lvl>
    <w:lvl w:ilvl="7" w:tplc="8D06AD8C">
      <w:numFmt w:val="bullet"/>
      <w:lvlText w:val="•"/>
      <w:lvlJc w:val="left"/>
      <w:pPr>
        <w:ind w:left="7260" w:hanging="360"/>
      </w:pPr>
      <w:rPr>
        <w:rFonts w:hint="default"/>
      </w:rPr>
    </w:lvl>
    <w:lvl w:ilvl="8" w:tplc="898E7830">
      <w:numFmt w:val="bullet"/>
      <w:lvlText w:val="•"/>
      <w:lvlJc w:val="left"/>
      <w:pPr>
        <w:ind w:left="8180" w:hanging="360"/>
      </w:pPr>
      <w:rPr>
        <w:rFonts w:hint="default"/>
      </w:rPr>
    </w:lvl>
  </w:abstractNum>
  <w:abstractNum w:abstractNumId="15" w15:restartNumberingAfterBreak="0">
    <w:nsid w:val="4B6E7A6B"/>
    <w:multiLevelType w:val="hybridMultilevel"/>
    <w:tmpl w:val="F5DCB62A"/>
    <w:lvl w:ilvl="0" w:tplc="CC849EB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F0AA1"/>
    <w:multiLevelType w:val="hybridMultilevel"/>
    <w:tmpl w:val="E926D998"/>
    <w:lvl w:ilvl="0" w:tplc="4AA2881E">
      <w:start w:val="1"/>
      <w:numFmt w:val="decimal"/>
      <w:lvlText w:val="%1."/>
      <w:lvlJc w:val="left"/>
      <w:pPr>
        <w:ind w:left="1367" w:hanging="180"/>
        <w:jc w:val="left"/>
      </w:pPr>
      <w:rPr>
        <w:rFonts w:ascii="Arial" w:eastAsia="Arial" w:hAnsi="Arial" w:cs="Arial" w:hint="default"/>
        <w:spacing w:val="-1"/>
        <w:w w:val="100"/>
        <w:sz w:val="16"/>
        <w:szCs w:val="16"/>
      </w:rPr>
    </w:lvl>
    <w:lvl w:ilvl="1" w:tplc="5EEAAF22">
      <w:numFmt w:val="bullet"/>
      <w:lvlText w:val="•"/>
      <w:lvlJc w:val="left"/>
      <w:pPr>
        <w:ind w:left="2154" w:hanging="180"/>
      </w:pPr>
      <w:rPr>
        <w:rFonts w:hint="default"/>
      </w:rPr>
    </w:lvl>
    <w:lvl w:ilvl="2" w:tplc="56D49F9A">
      <w:numFmt w:val="bullet"/>
      <w:lvlText w:val="•"/>
      <w:lvlJc w:val="left"/>
      <w:pPr>
        <w:ind w:left="2948" w:hanging="180"/>
      </w:pPr>
      <w:rPr>
        <w:rFonts w:hint="default"/>
      </w:rPr>
    </w:lvl>
    <w:lvl w:ilvl="3" w:tplc="72FA7400">
      <w:numFmt w:val="bullet"/>
      <w:lvlText w:val="•"/>
      <w:lvlJc w:val="left"/>
      <w:pPr>
        <w:ind w:left="3742" w:hanging="180"/>
      </w:pPr>
      <w:rPr>
        <w:rFonts w:hint="default"/>
      </w:rPr>
    </w:lvl>
    <w:lvl w:ilvl="4" w:tplc="86D41090">
      <w:numFmt w:val="bullet"/>
      <w:lvlText w:val="•"/>
      <w:lvlJc w:val="left"/>
      <w:pPr>
        <w:ind w:left="4536" w:hanging="180"/>
      </w:pPr>
      <w:rPr>
        <w:rFonts w:hint="default"/>
      </w:rPr>
    </w:lvl>
    <w:lvl w:ilvl="5" w:tplc="DAAA42CA">
      <w:numFmt w:val="bullet"/>
      <w:lvlText w:val="•"/>
      <w:lvlJc w:val="left"/>
      <w:pPr>
        <w:ind w:left="5331" w:hanging="180"/>
      </w:pPr>
      <w:rPr>
        <w:rFonts w:hint="default"/>
      </w:rPr>
    </w:lvl>
    <w:lvl w:ilvl="6" w:tplc="99AE349E">
      <w:numFmt w:val="bullet"/>
      <w:lvlText w:val="•"/>
      <w:lvlJc w:val="left"/>
      <w:pPr>
        <w:ind w:left="6125" w:hanging="180"/>
      </w:pPr>
      <w:rPr>
        <w:rFonts w:hint="default"/>
      </w:rPr>
    </w:lvl>
    <w:lvl w:ilvl="7" w:tplc="E5082082">
      <w:numFmt w:val="bullet"/>
      <w:lvlText w:val="•"/>
      <w:lvlJc w:val="left"/>
      <w:pPr>
        <w:ind w:left="6919" w:hanging="180"/>
      </w:pPr>
      <w:rPr>
        <w:rFonts w:hint="default"/>
      </w:rPr>
    </w:lvl>
    <w:lvl w:ilvl="8" w:tplc="6A4097A4">
      <w:numFmt w:val="bullet"/>
      <w:lvlText w:val="•"/>
      <w:lvlJc w:val="left"/>
      <w:pPr>
        <w:ind w:left="7713" w:hanging="180"/>
      </w:pPr>
      <w:rPr>
        <w:rFonts w:hint="default"/>
      </w:rPr>
    </w:lvl>
  </w:abstractNum>
  <w:abstractNum w:abstractNumId="17" w15:restartNumberingAfterBreak="0">
    <w:nsid w:val="578F56C7"/>
    <w:multiLevelType w:val="hybridMultilevel"/>
    <w:tmpl w:val="B53E7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B79B9"/>
    <w:multiLevelType w:val="hybridMultilevel"/>
    <w:tmpl w:val="F1D4FADA"/>
    <w:lvl w:ilvl="0" w:tplc="CC849EB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B179D"/>
    <w:multiLevelType w:val="hybridMultilevel"/>
    <w:tmpl w:val="45B6DD04"/>
    <w:lvl w:ilvl="0" w:tplc="98965EDA">
      <w:numFmt w:val="bullet"/>
      <w:lvlText w:val=""/>
      <w:lvlJc w:val="left"/>
      <w:pPr>
        <w:ind w:left="825" w:hanging="360"/>
      </w:pPr>
      <w:rPr>
        <w:rFonts w:ascii="Symbol" w:eastAsia="Symbol" w:hAnsi="Symbol" w:cs="Symbol" w:hint="default"/>
        <w:w w:val="99"/>
        <w:sz w:val="20"/>
        <w:szCs w:val="20"/>
      </w:rPr>
    </w:lvl>
    <w:lvl w:ilvl="1" w:tplc="34AE7640">
      <w:numFmt w:val="bullet"/>
      <w:lvlText w:val="•"/>
      <w:lvlJc w:val="left"/>
      <w:pPr>
        <w:ind w:left="1740" w:hanging="360"/>
      </w:pPr>
      <w:rPr>
        <w:rFonts w:hint="default"/>
      </w:rPr>
    </w:lvl>
    <w:lvl w:ilvl="2" w:tplc="FB268442">
      <w:numFmt w:val="bullet"/>
      <w:lvlText w:val="•"/>
      <w:lvlJc w:val="left"/>
      <w:pPr>
        <w:ind w:left="2660" w:hanging="360"/>
      </w:pPr>
      <w:rPr>
        <w:rFonts w:hint="default"/>
      </w:rPr>
    </w:lvl>
    <w:lvl w:ilvl="3" w:tplc="57DCEB4E">
      <w:numFmt w:val="bullet"/>
      <w:lvlText w:val="•"/>
      <w:lvlJc w:val="left"/>
      <w:pPr>
        <w:ind w:left="3580" w:hanging="360"/>
      </w:pPr>
      <w:rPr>
        <w:rFonts w:hint="default"/>
      </w:rPr>
    </w:lvl>
    <w:lvl w:ilvl="4" w:tplc="A88A3FEE">
      <w:numFmt w:val="bullet"/>
      <w:lvlText w:val="•"/>
      <w:lvlJc w:val="left"/>
      <w:pPr>
        <w:ind w:left="4500" w:hanging="360"/>
      </w:pPr>
      <w:rPr>
        <w:rFonts w:hint="default"/>
      </w:rPr>
    </w:lvl>
    <w:lvl w:ilvl="5" w:tplc="0EBA454E">
      <w:numFmt w:val="bullet"/>
      <w:lvlText w:val="•"/>
      <w:lvlJc w:val="left"/>
      <w:pPr>
        <w:ind w:left="5420" w:hanging="360"/>
      </w:pPr>
      <w:rPr>
        <w:rFonts w:hint="default"/>
      </w:rPr>
    </w:lvl>
    <w:lvl w:ilvl="6" w:tplc="396EAB28">
      <w:numFmt w:val="bullet"/>
      <w:lvlText w:val="•"/>
      <w:lvlJc w:val="left"/>
      <w:pPr>
        <w:ind w:left="6340" w:hanging="360"/>
      </w:pPr>
      <w:rPr>
        <w:rFonts w:hint="default"/>
      </w:rPr>
    </w:lvl>
    <w:lvl w:ilvl="7" w:tplc="9E521854">
      <w:numFmt w:val="bullet"/>
      <w:lvlText w:val="•"/>
      <w:lvlJc w:val="left"/>
      <w:pPr>
        <w:ind w:left="7260" w:hanging="360"/>
      </w:pPr>
      <w:rPr>
        <w:rFonts w:hint="default"/>
      </w:rPr>
    </w:lvl>
    <w:lvl w:ilvl="8" w:tplc="D814F6FA">
      <w:numFmt w:val="bullet"/>
      <w:lvlText w:val="•"/>
      <w:lvlJc w:val="left"/>
      <w:pPr>
        <w:ind w:left="8180" w:hanging="360"/>
      </w:pPr>
      <w:rPr>
        <w:rFonts w:hint="default"/>
      </w:rPr>
    </w:lvl>
  </w:abstractNum>
  <w:abstractNum w:abstractNumId="20" w15:restartNumberingAfterBreak="0">
    <w:nsid w:val="5E967B0A"/>
    <w:multiLevelType w:val="multilevel"/>
    <w:tmpl w:val="B90448C2"/>
    <w:lvl w:ilvl="0">
      <w:start w:val="1"/>
      <w:numFmt w:val="decimal"/>
      <w:lvlText w:val="%1."/>
      <w:lvlJc w:val="left"/>
      <w:pPr>
        <w:ind w:left="902" w:hanging="360"/>
        <w:jc w:val="left"/>
      </w:pPr>
      <w:rPr>
        <w:rFonts w:hint="default"/>
        <w:spacing w:val="-1"/>
        <w:w w:val="100"/>
        <w:highlight w:val="darkCyan"/>
      </w:rPr>
    </w:lvl>
    <w:lvl w:ilvl="1">
      <w:start w:val="1"/>
      <w:numFmt w:val="decimal"/>
      <w:lvlText w:val="%1.%2"/>
      <w:lvlJc w:val="left"/>
      <w:pPr>
        <w:ind w:left="1044" w:hanging="576"/>
        <w:jc w:val="left"/>
      </w:pPr>
      <w:rPr>
        <w:rFonts w:ascii="Arial" w:eastAsia="Arial" w:hAnsi="Arial" w:cs="Arial" w:hint="default"/>
        <w:spacing w:val="-1"/>
        <w:w w:val="99"/>
        <w:sz w:val="20"/>
        <w:szCs w:val="20"/>
      </w:rPr>
    </w:lvl>
    <w:lvl w:ilvl="2">
      <w:numFmt w:val="bullet"/>
      <w:lvlText w:val=""/>
      <w:lvlJc w:val="left"/>
      <w:pPr>
        <w:ind w:left="1600" w:hanging="567"/>
      </w:pPr>
      <w:rPr>
        <w:rFonts w:ascii="Symbol" w:eastAsia="Symbol" w:hAnsi="Symbol" w:cs="Symbol" w:hint="default"/>
        <w:w w:val="99"/>
        <w:sz w:val="20"/>
        <w:szCs w:val="20"/>
      </w:rPr>
    </w:lvl>
    <w:lvl w:ilvl="3">
      <w:numFmt w:val="bullet"/>
      <w:lvlText w:val="•"/>
      <w:lvlJc w:val="left"/>
      <w:pPr>
        <w:ind w:left="1600" w:hanging="567"/>
      </w:pPr>
      <w:rPr>
        <w:rFonts w:hint="default"/>
      </w:rPr>
    </w:lvl>
    <w:lvl w:ilvl="4">
      <w:numFmt w:val="bullet"/>
      <w:lvlText w:val="•"/>
      <w:lvlJc w:val="left"/>
      <w:pPr>
        <w:ind w:left="2802" w:hanging="567"/>
      </w:pPr>
      <w:rPr>
        <w:rFonts w:hint="default"/>
      </w:rPr>
    </w:lvl>
    <w:lvl w:ilvl="5">
      <w:numFmt w:val="bullet"/>
      <w:lvlText w:val="•"/>
      <w:lvlJc w:val="left"/>
      <w:pPr>
        <w:ind w:left="4005" w:hanging="567"/>
      </w:pPr>
      <w:rPr>
        <w:rFonts w:hint="default"/>
      </w:rPr>
    </w:lvl>
    <w:lvl w:ilvl="6">
      <w:numFmt w:val="bullet"/>
      <w:lvlText w:val="•"/>
      <w:lvlJc w:val="left"/>
      <w:pPr>
        <w:ind w:left="5208" w:hanging="567"/>
      </w:pPr>
      <w:rPr>
        <w:rFonts w:hint="default"/>
      </w:rPr>
    </w:lvl>
    <w:lvl w:ilvl="7">
      <w:numFmt w:val="bullet"/>
      <w:lvlText w:val="•"/>
      <w:lvlJc w:val="left"/>
      <w:pPr>
        <w:ind w:left="6411" w:hanging="567"/>
      </w:pPr>
      <w:rPr>
        <w:rFonts w:hint="default"/>
      </w:rPr>
    </w:lvl>
    <w:lvl w:ilvl="8">
      <w:numFmt w:val="bullet"/>
      <w:lvlText w:val="•"/>
      <w:lvlJc w:val="left"/>
      <w:pPr>
        <w:ind w:left="7614" w:hanging="567"/>
      </w:pPr>
      <w:rPr>
        <w:rFonts w:hint="default"/>
      </w:rPr>
    </w:lvl>
  </w:abstractNum>
  <w:abstractNum w:abstractNumId="21" w15:restartNumberingAfterBreak="0">
    <w:nsid w:val="64EE470F"/>
    <w:multiLevelType w:val="hybridMultilevel"/>
    <w:tmpl w:val="98C0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94A5B"/>
    <w:multiLevelType w:val="hybridMultilevel"/>
    <w:tmpl w:val="9694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F6EC2"/>
    <w:multiLevelType w:val="hybridMultilevel"/>
    <w:tmpl w:val="A070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82043"/>
    <w:multiLevelType w:val="hybridMultilevel"/>
    <w:tmpl w:val="A620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453E5"/>
    <w:multiLevelType w:val="hybridMultilevel"/>
    <w:tmpl w:val="5A82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2E7D59"/>
    <w:multiLevelType w:val="hybridMultilevel"/>
    <w:tmpl w:val="D56E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3308F"/>
    <w:multiLevelType w:val="hybridMultilevel"/>
    <w:tmpl w:val="3E06EADE"/>
    <w:lvl w:ilvl="0" w:tplc="E1F8A28C">
      <w:numFmt w:val="bullet"/>
      <w:lvlText w:val="•"/>
      <w:lvlJc w:val="left"/>
      <w:pPr>
        <w:ind w:left="827" w:hanging="360"/>
      </w:pPr>
      <w:rPr>
        <w:rFonts w:ascii="Arial" w:eastAsia="Arial" w:hAnsi="Arial" w:cs="Arial" w:hint="default"/>
        <w:w w:val="142"/>
        <w:sz w:val="16"/>
        <w:szCs w:val="16"/>
      </w:rPr>
    </w:lvl>
    <w:lvl w:ilvl="1" w:tplc="73E8E6D6">
      <w:numFmt w:val="bullet"/>
      <w:lvlText w:val="•"/>
      <w:lvlJc w:val="left"/>
      <w:pPr>
        <w:ind w:left="1668" w:hanging="360"/>
      </w:pPr>
      <w:rPr>
        <w:rFonts w:hint="default"/>
      </w:rPr>
    </w:lvl>
    <w:lvl w:ilvl="2" w:tplc="33D6F180">
      <w:numFmt w:val="bullet"/>
      <w:lvlText w:val="•"/>
      <w:lvlJc w:val="left"/>
      <w:pPr>
        <w:ind w:left="2516" w:hanging="360"/>
      </w:pPr>
      <w:rPr>
        <w:rFonts w:hint="default"/>
      </w:rPr>
    </w:lvl>
    <w:lvl w:ilvl="3" w:tplc="821E2FF4">
      <w:numFmt w:val="bullet"/>
      <w:lvlText w:val="•"/>
      <w:lvlJc w:val="left"/>
      <w:pPr>
        <w:ind w:left="3364" w:hanging="360"/>
      </w:pPr>
      <w:rPr>
        <w:rFonts w:hint="default"/>
      </w:rPr>
    </w:lvl>
    <w:lvl w:ilvl="4" w:tplc="F1F86B38">
      <w:numFmt w:val="bullet"/>
      <w:lvlText w:val="•"/>
      <w:lvlJc w:val="left"/>
      <w:pPr>
        <w:ind w:left="4212" w:hanging="360"/>
      </w:pPr>
      <w:rPr>
        <w:rFonts w:hint="default"/>
      </w:rPr>
    </w:lvl>
    <w:lvl w:ilvl="5" w:tplc="A6D0EDF6">
      <w:numFmt w:val="bullet"/>
      <w:lvlText w:val="•"/>
      <w:lvlJc w:val="left"/>
      <w:pPr>
        <w:ind w:left="5061" w:hanging="360"/>
      </w:pPr>
      <w:rPr>
        <w:rFonts w:hint="default"/>
      </w:rPr>
    </w:lvl>
    <w:lvl w:ilvl="6" w:tplc="815C2896">
      <w:numFmt w:val="bullet"/>
      <w:lvlText w:val="•"/>
      <w:lvlJc w:val="left"/>
      <w:pPr>
        <w:ind w:left="5909" w:hanging="360"/>
      </w:pPr>
      <w:rPr>
        <w:rFonts w:hint="default"/>
      </w:rPr>
    </w:lvl>
    <w:lvl w:ilvl="7" w:tplc="71205F54">
      <w:numFmt w:val="bullet"/>
      <w:lvlText w:val="•"/>
      <w:lvlJc w:val="left"/>
      <w:pPr>
        <w:ind w:left="6757" w:hanging="360"/>
      </w:pPr>
      <w:rPr>
        <w:rFonts w:hint="default"/>
      </w:rPr>
    </w:lvl>
    <w:lvl w:ilvl="8" w:tplc="A5BA6CDC">
      <w:numFmt w:val="bullet"/>
      <w:lvlText w:val="•"/>
      <w:lvlJc w:val="left"/>
      <w:pPr>
        <w:ind w:left="7605" w:hanging="360"/>
      </w:pPr>
      <w:rPr>
        <w:rFonts w:hint="default"/>
      </w:rPr>
    </w:lvl>
  </w:abstractNum>
  <w:num w:numId="1">
    <w:abstractNumId w:val="2"/>
  </w:num>
  <w:num w:numId="2">
    <w:abstractNumId w:val="3"/>
  </w:num>
  <w:num w:numId="3">
    <w:abstractNumId w:val="6"/>
  </w:num>
  <w:num w:numId="4">
    <w:abstractNumId w:val="4"/>
  </w:num>
  <w:num w:numId="5">
    <w:abstractNumId w:val="22"/>
  </w:num>
  <w:num w:numId="6">
    <w:abstractNumId w:val="25"/>
  </w:num>
  <w:num w:numId="7">
    <w:abstractNumId w:val="13"/>
  </w:num>
  <w:num w:numId="8">
    <w:abstractNumId w:val="21"/>
  </w:num>
  <w:num w:numId="9">
    <w:abstractNumId w:val="0"/>
  </w:num>
  <w:num w:numId="10">
    <w:abstractNumId w:val="23"/>
  </w:num>
  <w:num w:numId="11">
    <w:abstractNumId w:val="5"/>
  </w:num>
  <w:num w:numId="12">
    <w:abstractNumId w:val="15"/>
  </w:num>
  <w:num w:numId="13">
    <w:abstractNumId w:val="11"/>
  </w:num>
  <w:num w:numId="14">
    <w:abstractNumId w:val="18"/>
  </w:num>
  <w:num w:numId="15">
    <w:abstractNumId w:val="9"/>
  </w:num>
  <w:num w:numId="16">
    <w:abstractNumId w:val="7"/>
  </w:num>
  <w:num w:numId="17">
    <w:abstractNumId w:val="27"/>
  </w:num>
  <w:num w:numId="18">
    <w:abstractNumId w:val="24"/>
  </w:num>
  <w:num w:numId="19">
    <w:abstractNumId w:val="10"/>
  </w:num>
  <w:num w:numId="20">
    <w:abstractNumId w:val="26"/>
  </w:num>
  <w:num w:numId="21">
    <w:abstractNumId w:val="1"/>
  </w:num>
  <w:num w:numId="22">
    <w:abstractNumId w:val="28"/>
  </w:num>
  <w:num w:numId="23">
    <w:abstractNumId w:val="16"/>
  </w:num>
  <w:num w:numId="24">
    <w:abstractNumId w:val="20"/>
  </w:num>
  <w:num w:numId="25">
    <w:abstractNumId w:val="17"/>
  </w:num>
  <w:num w:numId="26">
    <w:abstractNumId w:val="8"/>
  </w:num>
  <w:num w:numId="27">
    <w:abstractNumId w:val="14"/>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47"/>
    <w:rsid w:val="000550CB"/>
    <w:rsid w:val="00067E18"/>
    <w:rsid w:val="00095634"/>
    <w:rsid w:val="000B487F"/>
    <w:rsid w:val="000E500F"/>
    <w:rsid w:val="000E66DB"/>
    <w:rsid w:val="000F3241"/>
    <w:rsid w:val="00122A5D"/>
    <w:rsid w:val="00164256"/>
    <w:rsid w:val="001D6AA2"/>
    <w:rsid w:val="002408C6"/>
    <w:rsid w:val="00270F62"/>
    <w:rsid w:val="0027544B"/>
    <w:rsid w:val="00276E34"/>
    <w:rsid w:val="002A3BFA"/>
    <w:rsid w:val="002A7DC3"/>
    <w:rsid w:val="002B02CD"/>
    <w:rsid w:val="003024B9"/>
    <w:rsid w:val="00346EBD"/>
    <w:rsid w:val="003655A2"/>
    <w:rsid w:val="00371724"/>
    <w:rsid w:val="00376329"/>
    <w:rsid w:val="00396295"/>
    <w:rsid w:val="003A0CA0"/>
    <w:rsid w:val="003B362C"/>
    <w:rsid w:val="003B432B"/>
    <w:rsid w:val="003C0901"/>
    <w:rsid w:val="0042519A"/>
    <w:rsid w:val="00437964"/>
    <w:rsid w:val="00461BB7"/>
    <w:rsid w:val="004A205D"/>
    <w:rsid w:val="004C51F3"/>
    <w:rsid w:val="004D3D63"/>
    <w:rsid w:val="004D7133"/>
    <w:rsid w:val="004E49EE"/>
    <w:rsid w:val="004E7214"/>
    <w:rsid w:val="004F3888"/>
    <w:rsid w:val="00503933"/>
    <w:rsid w:val="00526D8A"/>
    <w:rsid w:val="005535A1"/>
    <w:rsid w:val="0055388D"/>
    <w:rsid w:val="005A7A0B"/>
    <w:rsid w:val="005E42F2"/>
    <w:rsid w:val="00627D6C"/>
    <w:rsid w:val="00676A09"/>
    <w:rsid w:val="0068329F"/>
    <w:rsid w:val="00701913"/>
    <w:rsid w:val="00705C62"/>
    <w:rsid w:val="007230F6"/>
    <w:rsid w:val="007255B1"/>
    <w:rsid w:val="007412FD"/>
    <w:rsid w:val="007534A6"/>
    <w:rsid w:val="007703CF"/>
    <w:rsid w:val="00787C7A"/>
    <w:rsid w:val="007A4C9F"/>
    <w:rsid w:val="0083075D"/>
    <w:rsid w:val="00852833"/>
    <w:rsid w:val="0086053E"/>
    <w:rsid w:val="00862679"/>
    <w:rsid w:val="008660B2"/>
    <w:rsid w:val="00873561"/>
    <w:rsid w:val="00882782"/>
    <w:rsid w:val="00892D46"/>
    <w:rsid w:val="008E30E7"/>
    <w:rsid w:val="00901687"/>
    <w:rsid w:val="009049A3"/>
    <w:rsid w:val="009315F2"/>
    <w:rsid w:val="009458FE"/>
    <w:rsid w:val="00987D0D"/>
    <w:rsid w:val="009B4D66"/>
    <w:rsid w:val="009D4134"/>
    <w:rsid w:val="009F17FD"/>
    <w:rsid w:val="00A22E64"/>
    <w:rsid w:val="00A4336E"/>
    <w:rsid w:val="00A45EF4"/>
    <w:rsid w:val="00A65483"/>
    <w:rsid w:val="00A67A41"/>
    <w:rsid w:val="00AA1647"/>
    <w:rsid w:val="00AB3599"/>
    <w:rsid w:val="00AD7990"/>
    <w:rsid w:val="00B115E1"/>
    <w:rsid w:val="00B21A52"/>
    <w:rsid w:val="00B3361A"/>
    <w:rsid w:val="00B4700E"/>
    <w:rsid w:val="00B84E71"/>
    <w:rsid w:val="00BB3E73"/>
    <w:rsid w:val="00BB503D"/>
    <w:rsid w:val="00BF7A6D"/>
    <w:rsid w:val="00C3531D"/>
    <w:rsid w:val="00C50E9F"/>
    <w:rsid w:val="00D33C83"/>
    <w:rsid w:val="00D474CF"/>
    <w:rsid w:val="00D56DA6"/>
    <w:rsid w:val="00D8207C"/>
    <w:rsid w:val="00DA0623"/>
    <w:rsid w:val="00DC26E1"/>
    <w:rsid w:val="00DD4A94"/>
    <w:rsid w:val="00DE37C9"/>
    <w:rsid w:val="00E04143"/>
    <w:rsid w:val="00E113C0"/>
    <w:rsid w:val="00E55428"/>
    <w:rsid w:val="00E61BCE"/>
    <w:rsid w:val="00E62DC7"/>
    <w:rsid w:val="00E80C7A"/>
    <w:rsid w:val="00ED67C1"/>
    <w:rsid w:val="00FC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6E5DC"/>
  <w15:chartTrackingRefBased/>
  <w15:docId w15:val="{630D6E00-108C-45BA-8A1B-82F144F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09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09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655A2"/>
    <w:pPr>
      <w:keepNext/>
      <w:spacing w:before="240" w:after="60" w:line="240" w:lineRule="auto"/>
      <w:outlineLvl w:val="2"/>
    </w:pPr>
    <w:rPr>
      <w:rFonts w:ascii="Cambria" w:eastAsia="Times New Roman" w:hAnsi="Cambria" w:cs="Times New Roman"/>
      <w:b/>
      <w:bCs/>
      <w:sz w:val="26"/>
      <w:szCs w:val="26"/>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B432B"/>
    <w:pPr>
      <w:ind w:left="720"/>
      <w:contextualSpacing/>
    </w:pPr>
  </w:style>
  <w:style w:type="table" w:styleId="TableGrid">
    <w:name w:val="Table Grid"/>
    <w:basedOn w:val="TableNormal"/>
    <w:uiPriority w:val="59"/>
    <w:rsid w:val="0009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888"/>
    <w:rPr>
      <w:sz w:val="16"/>
      <w:szCs w:val="16"/>
    </w:rPr>
  </w:style>
  <w:style w:type="paragraph" w:styleId="CommentText">
    <w:name w:val="annotation text"/>
    <w:basedOn w:val="Normal"/>
    <w:link w:val="CommentTextChar"/>
    <w:uiPriority w:val="99"/>
    <w:semiHidden/>
    <w:unhideWhenUsed/>
    <w:rsid w:val="004F3888"/>
    <w:pPr>
      <w:spacing w:line="240" w:lineRule="auto"/>
    </w:pPr>
    <w:rPr>
      <w:sz w:val="20"/>
      <w:szCs w:val="20"/>
    </w:rPr>
  </w:style>
  <w:style w:type="character" w:customStyle="1" w:styleId="CommentTextChar">
    <w:name w:val="Comment Text Char"/>
    <w:basedOn w:val="DefaultParagraphFont"/>
    <w:link w:val="CommentText"/>
    <w:uiPriority w:val="99"/>
    <w:semiHidden/>
    <w:rsid w:val="004F3888"/>
    <w:rPr>
      <w:sz w:val="20"/>
      <w:szCs w:val="20"/>
    </w:rPr>
  </w:style>
  <w:style w:type="paragraph" w:styleId="CommentSubject">
    <w:name w:val="annotation subject"/>
    <w:basedOn w:val="CommentText"/>
    <w:next w:val="CommentText"/>
    <w:link w:val="CommentSubjectChar"/>
    <w:uiPriority w:val="99"/>
    <w:semiHidden/>
    <w:unhideWhenUsed/>
    <w:rsid w:val="004F3888"/>
    <w:rPr>
      <w:b/>
      <w:bCs/>
    </w:rPr>
  </w:style>
  <w:style w:type="character" w:customStyle="1" w:styleId="CommentSubjectChar">
    <w:name w:val="Comment Subject Char"/>
    <w:basedOn w:val="CommentTextChar"/>
    <w:link w:val="CommentSubject"/>
    <w:uiPriority w:val="99"/>
    <w:semiHidden/>
    <w:rsid w:val="004F3888"/>
    <w:rPr>
      <w:b/>
      <w:bCs/>
      <w:sz w:val="20"/>
      <w:szCs w:val="20"/>
    </w:rPr>
  </w:style>
  <w:style w:type="paragraph" w:styleId="BalloonText">
    <w:name w:val="Balloon Text"/>
    <w:basedOn w:val="Normal"/>
    <w:link w:val="BalloonTextChar"/>
    <w:uiPriority w:val="99"/>
    <w:semiHidden/>
    <w:unhideWhenUsed/>
    <w:rsid w:val="004F3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888"/>
    <w:rPr>
      <w:rFonts w:ascii="Segoe UI" w:hAnsi="Segoe UI" w:cs="Segoe UI"/>
      <w:sz w:val="18"/>
      <w:szCs w:val="18"/>
    </w:rPr>
  </w:style>
  <w:style w:type="character" w:customStyle="1" w:styleId="Heading3Char">
    <w:name w:val="Heading 3 Char"/>
    <w:basedOn w:val="DefaultParagraphFont"/>
    <w:link w:val="Heading3"/>
    <w:rsid w:val="003655A2"/>
    <w:rPr>
      <w:rFonts w:ascii="Cambria" w:eastAsia="Times New Roman" w:hAnsi="Cambria" w:cs="Times New Roman"/>
      <w:b/>
      <w:bCs/>
      <w:sz w:val="26"/>
      <w:szCs w:val="26"/>
      <w:lang w:val="x-none" w:eastAsia="ja-JP"/>
    </w:rPr>
  </w:style>
  <w:style w:type="table" w:customStyle="1" w:styleId="TableGrid0">
    <w:name w:val="TableGrid"/>
    <w:rsid w:val="00892D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8E30E7"/>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3024B9"/>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3024B9"/>
    <w:rPr>
      <w:rFonts w:ascii="Arial" w:eastAsia="Arial" w:hAnsi="Arial" w:cs="Arial"/>
      <w:sz w:val="20"/>
      <w:szCs w:val="20"/>
      <w:lang w:val="en-US"/>
    </w:rPr>
  </w:style>
  <w:style w:type="paragraph" w:styleId="Header">
    <w:name w:val="header"/>
    <w:basedOn w:val="Normal"/>
    <w:link w:val="HeaderChar"/>
    <w:uiPriority w:val="99"/>
    <w:unhideWhenUsed/>
    <w:rsid w:val="00723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F6"/>
  </w:style>
  <w:style w:type="paragraph" w:styleId="Footer">
    <w:name w:val="footer"/>
    <w:basedOn w:val="Normal"/>
    <w:link w:val="FooterChar"/>
    <w:uiPriority w:val="99"/>
    <w:unhideWhenUsed/>
    <w:rsid w:val="00723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F6"/>
  </w:style>
  <w:style w:type="character" w:customStyle="1" w:styleId="Heading1Char">
    <w:name w:val="Heading 1 Char"/>
    <w:basedOn w:val="DefaultParagraphFont"/>
    <w:link w:val="Heading1"/>
    <w:uiPriority w:val="9"/>
    <w:rsid w:val="003C09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C0901"/>
    <w:rPr>
      <w:rFonts w:asciiTheme="majorHAnsi" w:eastAsiaTheme="majorEastAsia" w:hAnsiTheme="majorHAnsi" w:cstheme="majorBidi"/>
      <w:color w:val="2E74B5" w:themeColor="accent1" w:themeShade="BF"/>
      <w:sz w:val="26"/>
      <w:szCs w:val="26"/>
    </w:rPr>
  </w:style>
  <w:style w:type="table" w:customStyle="1" w:styleId="GridTable4-Accent11">
    <w:name w:val="Grid Table 4 - Accent 11"/>
    <w:basedOn w:val="TableNormal"/>
    <w:uiPriority w:val="49"/>
    <w:rsid w:val="003C090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1">
    <w:name w:val="List Table 3 - Accent 11"/>
    <w:basedOn w:val="TableNormal"/>
    <w:uiPriority w:val="48"/>
    <w:rsid w:val="003C090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9D7D-2B67-4209-9A31-EB28A932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5139</Words>
  <Characters>29296</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34367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Deborah - Mental Health Interim Project Manager</dc:creator>
  <cp:keywords/>
  <dc:description/>
  <cp:lastModifiedBy>Okonkwo, Olisaemeka - Procurement Manager</cp:lastModifiedBy>
  <cp:revision>2</cp:revision>
  <cp:lastPrinted>2018-04-30T08:04:00Z</cp:lastPrinted>
  <dcterms:created xsi:type="dcterms:W3CDTF">2018-05-21T14:36:00Z</dcterms:created>
  <dcterms:modified xsi:type="dcterms:W3CDTF">2018-05-21T14:36:00Z</dcterms:modified>
</cp:coreProperties>
</file>