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AA20" w14:textId="77777777" w:rsidR="000158E7" w:rsidRDefault="000158E7" w:rsidP="000158E7">
      <w:pPr>
        <w:rPr>
          <w:b/>
          <w:bCs/>
        </w:rPr>
      </w:pPr>
    </w:p>
    <w:p w14:paraId="4793B4C2" w14:textId="616D4A3B" w:rsidR="000158E7" w:rsidRPr="00852103" w:rsidRDefault="000158E7" w:rsidP="000158E7">
      <w:pPr>
        <w:rPr>
          <w:b/>
          <w:bCs/>
        </w:rPr>
      </w:pPr>
      <w:r w:rsidRPr="00852103">
        <w:rPr>
          <w:b/>
          <w:bCs/>
        </w:rPr>
        <w:t>Further Project Information</w:t>
      </w:r>
    </w:p>
    <w:p w14:paraId="088A4613" w14:textId="77777777" w:rsidR="000158E7" w:rsidRDefault="000158E7" w:rsidP="000158E7"/>
    <w:p w14:paraId="3BAEEEC4" w14:textId="77777777" w:rsidR="000158E7" w:rsidRDefault="000158E7" w:rsidP="000158E7">
      <w:pPr>
        <w:rPr>
          <w:b/>
          <w:bCs/>
        </w:rPr>
      </w:pPr>
      <w:r w:rsidRPr="00852103">
        <w:rPr>
          <w:b/>
          <w:bCs/>
        </w:rPr>
        <w:t>Process Evaluation</w:t>
      </w:r>
    </w:p>
    <w:p w14:paraId="410AA0F5" w14:textId="77777777" w:rsidR="000158E7" w:rsidRDefault="000158E7" w:rsidP="000158E7">
      <w:pPr>
        <w:rPr>
          <w:b/>
          <w:bCs/>
        </w:rPr>
      </w:pPr>
    </w:p>
    <w:p w14:paraId="4FCDA2FB" w14:textId="77777777" w:rsidR="000158E7" w:rsidRDefault="000158E7" w:rsidP="000158E7">
      <w:pPr>
        <w:rPr>
          <w:rFonts w:ascii="GDSTransportWebsite" w:hAnsi="GDSTransportWebsite" w:cs="GDSTransportWebsite"/>
          <w:color w:val="000000" w:themeColor="text1"/>
          <w:lang w:eastAsia="en-GB"/>
        </w:rPr>
      </w:pPr>
      <w:r w:rsidRPr="7CF3B7B4">
        <w:rPr>
          <w:rFonts w:ascii="GDSTransportWebsite" w:hAnsi="GDSTransportWebsite" w:cs="GDSTransportWebsite"/>
          <w:color w:val="000000" w:themeColor="text1"/>
          <w:lang w:eastAsia="en-GB"/>
        </w:rPr>
        <w:t xml:space="preserve">We would expect the successful supplier to conduct a multi-method approach to answering these research questions. </w:t>
      </w:r>
      <w:r>
        <w:rPr>
          <w:rFonts w:ascii="GDSTransportWebsite" w:hAnsi="GDSTransportWebsite" w:cs="GDSTransportWebsite"/>
          <w:color w:val="000000" w:themeColor="text1"/>
          <w:lang w:eastAsia="en-GB"/>
        </w:rPr>
        <w:t xml:space="preserve">This could include: </w:t>
      </w:r>
    </w:p>
    <w:p w14:paraId="1EF25811" w14:textId="77777777" w:rsidR="000158E7" w:rsidRDefault="000158E7" w:rsidP="000158E7">
      <w:pPr>
        <w:rPr>
          <w:rFonts w:ascii="GDSTransportWebsite" w:hAnsi="GDSTransportWebsite" w:cs="GDSTransportWebsite"/>
          <w:color w:val="000000" w:themeColor="text1"/>
          <w:lang w:eastAsia="en-GB"/>
        </w:rPr>
      </w:pPr>
    </w:p>
    <w:p w14:paraId="522958B2" w14:textId="77777777" w:rsidR="000158E7" w:rsidRPr="002B5ED9" w:rsidRDefault="000158E7" w:rsidP="000158E7">
      <w:pPr>
        <w:pStyle w:val="ListParagraph"/>
        <w:numPr>
          <w:ilvl w:val="0"/>
          <w:numId w:val="8"/>
        </w:numPr>
        <w:rPr>
          <w:rFonts w:ascii="GDSTransportWebsite" w:hAnsi="GDSTransportWebsite" w:cs="GDSTransportWebsite"/>
          <w:color w:val="000000"/>
          <w:lang w:eastAsia="en-GB"/>
        </w:rPr>
      </w:pPr>
      <w:r>
        <w:rPr>
          <w:rFonts w:ascii="GDSTransportWebsite" w:hAnsi="GDSTransportWebsite" w:cs="GDSTransportWebsite"/>
          <w:color w:val="000000" w:themeColor="text1"/>
          <w:lang w:eastAsia="en-GB"/>
        </w:rPr>
        <w:t>Surveys of providers and learners</w:t>
      </w:r>
    </w:p>
    <w:p w14:paraId="173C7A4F" w14:textId="77777777" w:rsidR="000158E7" w:rsidRPr="002B5ED9" w:rsidRDefault="000158E7" w:rsidP="000158E7">
      <w:pPr>
        <w:pStyle w:val="ListParagraph"/>
        <w:numPr>
          <w:ilvl w:val="0"/>
          <w:numId w:val="8"/>
        </w:numPr>
        <w:rPr>
          <w:rFonts w:ascii="GDSTransportWebsite" w:hAnsi="GDSTransportWebsite" w:cs="GDSTransportWebsite"/>
          <w:color w:val="000000"/>
          <w:lang w:eastAsia="en-GB"/>
        </w:rPr>
      </w:pPr>
      <w:r>
        <w:rPr>
          <w:rFonts w:ascii="GDSTransportWebsite" w:hAnsi="GDSTransportWebsite" w:cs="GDSTransportWebsite"/>
          <w:color w:val="000000" w:themeColor="text1"/>
          <w:lang w:eastAsia="en-GB"/>
        </w:rPr>
        <w:t>In-depth qualitative interviews</w:t>
      </w:r>
    </w:p>
    <w:p w14:paraId="062CF3C8" w14:textId="77777777" w:rsidR="000158E7" w:rsidRPr="002B5ED9" w:rsidRDefault="000158E7" w:rsidP="000158E7">
      <w:pPr>
        <w:pStyle w:val="ListParagraph"/>
        <w:numPr>
          <w:ilvl w:val="0"/>
          <w:numId w:val="8"/>
        </w:numPr>
        <w:rPr>
          <w:rFonts w:ascii="GDSTransportWebsite" w:hAnsi="GDSTransportWebsite" w:cs="GDSTransportWebsite"/>
          <w:color w:val="000000"/>
          <w:lang w:eastAsia="en-GB"/>
        </w:rPr>
      </w:pPr>
      <w:r>
        <w:rPr>
          <w:rFonts w:ascii="GDSTransportWebsite" w:hAnsi="GDSTransportWebsite" w:cs="GDSTransportWebsite"/>
          <w:color w:val="000000" w:themeColor="text1"/>
          <w:lang w:eastAsia="en-GB"/>
        </w:rPr>
        <w:t>Focus groups</w:t>
      </w:r>
    </w:p>
    <w:p w14:paraId="0590F349" w14:textId="77777777" w:rsidR="000158E7" w:rsidRPr="002B5ED9" w:rsidRDefault="000158E7" w:rsidP="000158E7">
      <w:pPr>
        <w:pStyle w:val="ListParagraph"/>
        <w:numPr>
          <w:ilvl w:val="0"/>
          <w:numId w:val="8"/>
        </w:numPr>
        <w:rPr>
          <w:rFonts w:ascii="GDSTransportWebsite" w:hAnsi="GDSTransportWebsite" w:cs="GDSTransportWebsite"/>
          <w:color w:val="000000"/>
          <w:lang w:eastAsia="en-GB"/>
        </w:rPr>
      </w:pPr>
      <w:r>
        <w:rPr>
          <w:rFonts w:ascii="GDSTransportWebsite" w:hAnsi="GDSTransportWebsite" w:cs="GDSTransportWebsite"/>
          <w:color w:val="000000" w:themeColor="text1"/>
          <w:lang w:eastAsia="en-GB"/>
        </w:rPr>
        <w:t xml:space="preserve">Data analysis of management information </w:t>
      </w:r>
    </w:p>
    <w:p w14:paraId="24D1F0C4" w14:textId="77777777" w:rsidR="000158E7" w:rsidRDefault="000158E7" w:rsidP="000158E7">
      <w:pPr>
        <w:rPr>
          <w:rFonts w:ascii="GDSTransportWebsite" w:hAnsi="GDSTransportWebsite" w:cs="GDSTransportWebsite"/>
          <w:color w:val="000000" w:themeColor="text1"/>
          <w:lang w:eastAsia="en-GB"/>
        </w:rPr>
      </w:pPr>
    </w:p>
    <w:p w14:paraId="250E605A" w14:textId="77777777" w:rsidR="000158E7" w:rsidRPr="002B5ED9" w:rsidRDefault="000158E7" w:rsidP="000158E7">
      <w:pPr>
        <w:rPr>
          <w:rFonts w:ascii="GDSTransportWebsite" w:hAnsi="GDSTransportWebsite" w:cs="GDSTransportWebsite"/>
          <w:color w:val="000000"/>
          <w:lang w:eastAsia="en-GB"/>
        </w:rPr>
      </w:pPr>
      <w:r>
        <w:rPr>
          <w:rFonts w:ascii="GDSTransportWebsite" w:hAnsi="GDSTransportWebsite" w:cs="GDSTransportWebsite"/>
          <w:color w:val="000000" w:themeColor="text1"/>
          <w:lang w:eastAsia="en-GB"/>
        </w:rPr>
        <w:t xml:space="preserve">We also welcome innovative methodological ideas from suppliers. </w:t>
      </w:r>
    </w:p>
    <w:p w14:paraId="33932BAC" w14:textId="77777777" w:rsidR="000158E7" w:rsidRDefault="000158E7" w:rsidP="000158E7">
      <w:pPr>
        <w:rPr>
          <w:b/>
          <w:bCs/>
        </w:rPr>
      </w:pPr>
    </w:p>
    <w:p w14:paraId="2FFF2A32" w14:textId="77777777" w:rsidR="000158E7" w:rsidRDefault="000158E7" w:rsidP="000158E7">
      <w:pPr>
        <w:rPr>
          <w:b/>
          <w:bCs/>
        </w:rPr>
      </w:pPr>
      <w:r>
        <w:rPr>
          <w:b/>
          <w:bCs/>
        </w:rPr>
        <w:t>Impact Evaluation</w:t>
      </w:r>
    </w:p>
    <w:p w14:paraId="6B02894B" w14:textId="77777777" w:rsidR="000158E7" w:rsidRDefault="000158E7" w:rsidP="000158E7">
      <w:pPr>
        <w:rPr>
          <w:b/>
          <w:bCs/>
        </w:rPr>
      </w:pPr>
    </w:p>
    <w:p w14:paraId="5B59E6E0" w14:textId="77777777" w:rsidR="000158E7" w:rsidRDefault="000158E7" w:rsidP="000158E7">
      <w:pPr>
        <w:tabs>
          <w:tab w:val="left" w:pos="1035"/>
        </w:tabs>
        <w:rPr>
          <w:rFonts w:ascii="GDSTransportWebsite" w:hAnsi="GDSTransportWebsite" w:cs="GDSTransportWebsite"/>
          <w:color w:val="000000"/>
          <w:lang w:eastAsia="en-GB"/>
        </w:rPr>
      </w:pPr>
      <w:r w:rsidRPr="7CF3B7B4">
        <w:rPr>
          <w:rFonts w:ascii="GDSTransportWebsite" w:hAnsi="GDSTransportWebsite" w:cs="GDSTransportWebsite"/>
          <w:color w:val="000000" w:themeColor="text1"/>
          <w:lang w:eastAsia="en-GB"/>
        </w:rPr>
        <w:t xml:space="preserve">The </w:t>
      </w:r>
      <w:r>
        <w:rPr>
          <w:rFonts w:ascii="GDSTransportWebsite" w:hAnsi="GDSTransportWebsite" w:cs="GDSTransportWebsite"/>
          <w:color w:val="000000" w:themeColor="text1"/>
          <w:lang w:eastAsia="en-GB"/>
        </w:rPr>
        <w:t>near</w:t>
      </w:r>
      <w:r w:rsidRPr="7CF3B7B4">
        <w:rPr>
          <w:rFonts w:ascii="GDSTransportWebsite" w:hAnsi="GDSTransportWebsite" w:cs="GDSTransportWebsite"/>
          <w:color w:val="000000" w:themeColor="text1"/>
          <w:lang w:eastAsia="en-GB"/>
        </w:rPr>
        <w:t xml:space="preserve"> universality of the 16-19 Tuition Fund makes designing an impact evaluation challenging as there is no </w:t>
      </w:r>
      <w:r>
        <w:rPr>
          <w:rFonts w:ascii="GDSTransportWebsite" w:hAnsi="GDSTransportWebsite" w:cs="GDSTransportWebsite"/>
          <w:color w:val="000000" w:themeColor="text1"/>
          <w:lang w:eastAsia="en-GB"/>
        </w:rPr>
        <w:t>significant</w:t>
      </w:r>
      <w:r w:rsidRPr="7CF3B7B4">
        <w:rPr>
          <w:rFonts w:ascii="GDSTransportWebsite" w:hAnsi="GDSTransportWebsite" w:cs="GDSTransportWebsite"/>
          <w:color w:val="000000" w:themeColor="text1"/>
          <w:lang w:eastAsia="en-GB"/>
        </w:rPr>
        <w:t xml:space="preserve"> control or comparison group. Another challenge is that schools and colleges can decide how to use the money, for example through what tutors they will use and what learners they will put forward for tutoring.</w:t>
      </w:r>
      <w:r>
        <w:rPr>
          <w:rFonts w:ascii="GDSTransportWebsite" w:hAnsi="GDSTransportWebsite" w:cs="GDSTransportWebsite"/>
          <w:color w:val="000000" w:themeColor="text1"/>
          <w:lang w:eastAsia="en-GB"/>
        </w:rPr>
        <w:t xml:space="preserve"> Given the many subjects the 16-19 Tuition Fund can be used for (as well as the opportunity to use the fund for enrichment activities) we believe samples will be too small to explore all subjects and uses of the fund. We therefore propose that the impact evaluation focuses on outcomes in English and Maths.</w:t>
      </w:r>
    </w:p>
    <w:p w14:paraId="22FAF71E" w14:textId="77777777" w:rsidR="000158E7" w:rsidRDefault="000158E7" w:rsidP="000158E7">
      <w:pPr>
        <w:tabs>
          <w:tab w:val="left" w:pos="1035"/>
        </w:tabs>
        <w:rPr>
          <w:rFonts w:ascii="GDSTransportWebsite" w:hAnsi="GDSTransportWebsite" w:cs="GDSTransportWebsite"/>
          <w:color w:val="000000"/>
          <w:szCs w:val="24"/>
          <w:lang w:eastAsia="en-GB"/>
        </w:rPr>
      </w:pPr>
    </w:p>
    <w:p w14:paraId="10E70847" w14:textId="77777777" w:rsidR="000158E7" w:rsidRDefault="000158E7" w:rsidP="000158E7">
      <w:pPr>
        <w:tabs>
          <w:tab w:val="left" w:pos="1035"/>
        </w:tabs>
        <w:rPr>
          <w:rFonts w:ascii="GDSTransportWebsite" w:hAnsi="GDSTransportWebsite" w:cs="GDSTransportWebsite"/>
          <w:color w:val="000000"/>
          <w:szCs w:val="24"/>
          <w:lang w:eastAsia="en-GB"/>
        </w:rPr>
      </w:pPr>
      <w:r w:rsidRPr="00AE047E">
        <w:rPr>
          <w:rFonts w:ascii="GDSTransportWebsite" w:hAnsi="GDSTransportWebsite" w:cs="GDSTransportWebsite"/>
          <w:color w:val="000000"/>
          <w:szCs w:val="24"/>
          <w:lang w:eastAsia="en-GB"/>
        </w:rPr>
        <w:t xml:space="preserve">We have begun exploring some impact evaluation options and </w:t>
      </w:r>
      <w:r>
        <w:rPr>
          <w:rFonts w:ascii="GDSTransportWebsite" w:hAnsi="GDSTransportWebsite" w:cs="GDSTransportWebsite"/>
          <w:color w:val="000000"/>
          <w:szCs w:val="24"/>
          <w:lang w:eastAsia="en-GB"/>
        </w:rPr>
        <w:t xml:space="preserve">will be inviting </w:t>
      </w:r>
      <w:r w:rsidRPr="00AE047E">
        <w:rPr>
          <w:rFonts w:ascii="GDSTransportWebsite" w:hAnsi="GDSTransportWebsite" w:cs="GDSTransportWebsite"/>
          <w:color w:val="000000"/>
          <w:szCs w:val="24"/>
          <w:lang w:eastAsia="en-GB"/>
        </w:rPr>
        <w:t xml:space="preserve">bidders to </w:t>
      </w:r>
      <w:r>
        <w:rPr>
          <w:rFonts w:ascii="GDSTransportWebsite" w:hAnsi="GDSTransportWebsite" w:cs="GDSTransportWebsite"/>
          <w:color w:val="000000"/>
          <w:szCs w:val="24"/>
          <w:lang w:eastAsia="en-GB"/>
        </w:rPr>
        <w:t xml:space="preserve">consider these and </w:t>
      </w:r>
      <w:r w:rsidRPr="00AE047E">
        <w:rPr>
          <w:rFonts w:ascii="GDSTransportWebsite" w:hAnsi="GDSTransportWebsite" w:cs="GDSTransportWebsite"/>
          <w:color w:val="000000"/>
          <w:szCs w:val="24"/>
          <w:lang w:eastAsia="en-GB"/>
        </w:rPr>
        <w:t xml:space="preserve">propose their own approaches for quasi-experimental or non-experimental methods. </w:t>
      </w:r>
      <w:r>
        <w:rPr>
          <w:rFonts w:ascii="GDSTransportWebsite" w:hAnsi="GDSTransportWebsite" w:cs="GDSTransportWebsite"/>
          <w:color w:val="000000"/>
          <w:szCs w:val="24"/>
          <w:lang w:eastAsia="en-GB"/>
        </w:rPr>
        <w:t xml:space="preserve">As part of this, bidders will be asked to </w:t>
      </w:r>
      <w:r w:rsidRPr="00AE047E">
        <w:rPr>
          <w:rFonts w:ascii="GDSTransportWebsite" w:hAnsi="GDSTransportWebsite" w:cs="GDSTransportWebsite"/>
          <w:color w:val="000000"/>
          <w:szCs w:val="24"/>
          <w:lang w:eastAsia="en-GB"/>
        </w:rPr>
        <w:t>build a feasibility testing phase into the research to test the viability of an impact evaluation alongside the process evaluation element</w:t>
      </w:r>
      <w:r>
        <w:rPr>
          <w:rFonts w:ascii="GDSTransportWebsite" w:hAnsi="GDSTransportWebsite" w:cs="GDSTransportWebsite"/>
          <w:color w:val="000000"/>
          <w:szCs w:val="24"/>
          <w:lang w:eastAsia="en-GB"/>
        </w:rPr>
        <w:t>.</w:t>
      </w:r>
      <w:r w:rsidRPr="00AE047E">
        <w:rPr>
          <w:rFonts w:ascii="GDSTransportWebsite" w:hAnsi="GDSTransportWebsite" w:cs="GDSTransportWebsite"/>
          <w:color w:val="000000"/>
          <w:szCs w:val="24"/>
          <w:lang w:eastAsia="en-GB"/>
        </w:rPr>
        <w:t xml:space="preserve"> We would be interested in approaches that triangulate findings by combining multiple methods, which may help to overcome the weakness caused by the absence of a robust counterfactual. Our initial ideas for potential impact methods are:</w:t>
      </w:r>
    </w:p>
    <w:p w14:paraId="0A353F1F" w14:textId="77777777" w:rsidR="000158E7" w:rsidRDefault="000158E7" w:rsidP="000158E7">
      <w:pPr>
        <w:tabs>
          <w:tab w:val="left" w:pos="1035"/>
        </w:tabs>
        <w:rPr>
          <w:rFonts w:ascii="GDSTransportWebsite" w:hAnsi="GDSTransportWebsite" w:cs="GDSTransportWebsite"/>
          <w:color w:val="000000"/>
          <w:szCs w:val="24"/>
          <w:lang w:eastAsia="en-GB"/>
        </w:rPr>
      </w:pPr>
    </w:p>
    <w:p w14:paraId="37C34BFF" w14:textId="77777777" w:rsidR="000158E7" w:rsidRPr="00A442E8" w:rsidRDefault="000158E7" w:rsidP="000158E7">
      <w:pPr>
        <w:pStyle w:val="ListParagraph"/>
        <w:widowControl/>
        <w:numPr>
          <w:ilvl w:val="2"/>
          <w:numId w:val="9"/>
        </w:numPr>
        <w:overflowPunct/>
        <w:autoSpaceDE/>
        <w:autoSpaceDN/>
        <w:adjustRightInd/>
        <w:spacing w:line="276" w:lineRule="auto"/>
        <w:textAlignment w:val="auto"/>
        <w:rPr>
          <w:rFonts w:ascii="GDSTransportWebsite" w:hAnsi="GDSTransportWebsite" w:cs="GDSTransportWebsite"/>
          <w:color w:val="000000"/>
          <w:szCs w:val="24"/>
          <w:lang w:eastAsia="en-GB"/>
        </w:rPr>
      </w:pPr>
      <w:r w:rsidRPr="00A442E8">
        <w:rPr>
          <w:rFonts w:ascii="GDSTransportWebsite" w:hAnsi="GDSTransportWebsite" w:cs="GDSTransportWebsite"/>
          <w:color w:val="000000"/>
          <w:szCs w:val="24"/>
          <w:lang w:eastAsia="en-GB"/>
        </w:rPr>
        <w:t xml:space="preserve">Recruitment of an intervention group of providers who opted into the fund alongside a comparison group from those providers who did not opt in. The comparison group would need to be a balanced sample that was broadly in line with the intervention group in terms of characteristics. </w:t>
      </w:r>
    </w:p>
    <w:p w14:paraId="5A475744" w14:textId="77777777" w:rsidR="000158E7" w:rsidRPr="00A442E8" w:rsidRDefault="000158E7" w:rsidP="000158E7">
      <w:pPr>
        <w:pStyle w:val="ListParagraph"/>
        <w:widowControl/>
        <w:numPr>
          <w:ilvl w:val="2"/>
          <w:numId w:val="9"/>
        </w:numPr>
        <w:overflowPunct/>
        <w:autoSpaceDE/>
        <w:autoSpaceDN/>
        <w:adjustRightInd/>
        <w:spacing w:line="276" w:lineRule="auto"/>
        <w:textAlignment w:val="auto"/>
        <w:rPr>
          <w:rFonts w:ascii="GDSTransportWebsite" w:hAnsi="GDSTransportWebsite" w:cs="GDSTransportWebsite"/>
          <w:color w:val="000000"/>
          <w:szCs w:val="24"/>
          <w:lang w:eastAsia="en-GB"/>
        </w:rPr>
      </w:pPr>
      <w:r w:rsidRPr="00A442E8">
        <w:rPr>
          <w:rFonts w:ascii="GDSTransportWebsite" w:hAnsi="GDSTransportWebsite" w:cs="GDSTransportWebsite"/>
          <w:color w:val="000000"/>
          <w:szCs w:val="24"/>
          <w:lang w:eastAsia="en-GB"/>
        </w:rPr>
        <w:t xml:space="preserve">Constructing a counterfactual from those eligible learners in England who have not been chosen to receive tutoring. Note that this would introduce significant learner selection bias into the evaluation, through unobserved factors such as their motivation or engagement with learning that are likely to influence provider decisions about which learners are offered tutoring.  </w:t>
      </w:r>
    </w:p>
    <w:p w14:paraId="7DEBBF8A" w14:textId="77777777" w:rsidR="000158E7" w:rsidRPr="00A442E8" w:rsidRDefault="000158E7" w:rsidP="000158E7">
      <w:pPr>
        <w:pStyle w:val="ListParagraph"/>
        <w:widowControl/>
        <w:numPr>
          <w:ilvl w:val="2"/>
          <w:numId w:val="9"/>
        </w:numPr>
        <w:overflowPunct/>
        <w:autoSpaceDE/>
        <w:autoSpaceDN/>
        <w:adjustRightInd/>
        <w:spacing w:line="276" w:lineRule="auto"/>
        <w:textAlignment w:val="auto"/>
        <w:rPr>
          <w:rFonts w:ascii="GDSTransportWebsite" w:hAnsi="GDSTransportWebsite" w:cs="GDSTransportWebsite"/>
          <w:color w:val="000000"/>
          <w:szCs w:val="24"/>
          <w:lang w:eastAsia="en-GB"/>
        </w:rPr>
      </w:pPr>
      <w:r w:rsidRPr="00A442E8">
        <w:rPr>
          <w:rFonts w:ascii="GDSTransportWebsite" w:hAnsi="GDSTransportWebsite" w:cs="GDSTransportWebsite"/>
          <w:color w:val="000000"/>
          <w:szCs w:val="24"/>
          <w:lang w:eastAsia="en-GB"/>
        </w:rPr>
        <w:lastRenderedPageBreak/>
        <w:t xml:space="preserve">Constructing a counterfactual through modelling using past attainment data for similar groups of learners to predict likely attainment outcomes in the absence of the intervention.   </w:t>
      </w:r>
    </w:p>
    <w:p w14:paraId="58200A4A" w14:textId="6BB3E123" w:rsidR="000158E7" w:rsidRPr="00A442E8" w:rsidRDefault="000158E7" w:rsidP="000158E7">
      <w:pPr>
        <w:pStyle w:val="ListParagraph"/>
        <w:widowControl/>
        <w:numPr>
          <w:ilvl w:val="2"/>
          <w:numId w:val="9"/>
        </w:numPr>
        <w:overflowPunct/>
        <w:autoSpaceDE/>
        <w:autoSpaceDN/>
        <w:adjustRightInd/>
        <w:textAlignment w:val="auto"/>
        <w:rPr>
          <w:rFonts w:ascii="GDSTransportWebsite" w:hAnsi="GDSTransportWebsite" w:cs="GDSTransportWebsite"/>
          <w:color w:val="000000"/>
          <w:szCs w:val="24"/>
          <w:lang w:eastAsia="en-GB"/>
        </w:rPr>
      </w:pPr>
      <w:r w:rsidRPr="00A442E8">
        <w:rPr>
          <w:rFonts w:ascii="GDSTransportWebsite" w:hAnsi="GDSTransportWebsite" w:cs="GDSTransportWebsite"/>
          <w:color w:val="000000"/>
          <w:szCs w:val="24"/>
          <w:lang w:eastAsia="en-GB"/>
        </w:rPr>
        <w:t xml:space="preserve">Using dosage of tutoring to explore impact, for example comparing </w:t>
      </w:r>
      <w:r w:rsidR="009E09AD">
        <w:rPr>
          <w:rFonts w:ascii="GDSTransportWebsite" w:hAnsi="GDSTransportWebsite" w:cs="GDSTransportWebsite"/>
          <w:color w:val="000000"/>
          <w:szCs w:val="24"/>
          <w:lang w:eastAsia="en-GB"/>
        </w:rPr>
        <w:t>academic</w:t>
      </w:r>
      <w:r w:rsidRPr="00A442E8">
        <w:rPr>
          <w:rFonts w:ascii="GDSTransportWebsite" w:hAnsi="GDSTransportWebsite" w:cs="GDSTransportWebsite"/>
          <w:color w:val="000000"/>
          <w:szCs w:val="24"/>
          <w:lang w:eastAsia="en-GB"/>
        </w:rPr>
        <w:t xml:space="preserve"> outcomes for </w:t>
      </w:r>
      <w:r w:rsidR="00ED0313">
        <w:rPr>
          <w:rFonts w:ascii="GDSTransportWebsite" w:hAnsi="GDSTransportWebsite" w:cs="GDSTransportWebsite"/>
          <w:color w:val="000000"/>
          <w:szCs w:val="24"/>
          <w:lang w:eastAsia="en-GB"/>
        </w:rPr>
        <w:t>student</w:t>
      </w:r>
      <w:r w:rsidRPr="00A442E8">
        <w:rPr>
          <w:rFonts w:ascii="GDSTransportWebsite" w:hAnsi="GDSTransportWebsite" w:cs="GDSTransportWebsite"/>
          <w:color w:val="000000"/>
          <w:szCs w:val="24"/>
          <w:lang w:eastAsia="en-GB"/>
        </w:rPr>
        <w:t xml:space="preserve">s receiving 5 hours of tutoring vs 12 hours. Note that this data would have to be collected separately from </w:t>
      </w:r>
      <w:r w:rsidR="00D046EA">
        <w:rPr>
          <w:rFonts w:ascii="GDSTransportWebsite" w:hAnsi="GDSTransportWebsite" w:cs="GDSTransportWebsite"/>
          <w:color w:val="000000"/>
          <w:szCs w:val="24"/>
          <w:lang w:eastAsia="en-GB"/>
        </w:rPr>
        <w:t>provider</w:t>
      </w:r>
      <w:r w:rsidRPr="00A442E8">
        <w:rPr>
          <w:rFonts w:ascii="GDSTransportWebsite" w:hAnsi="GDSTransportWebsite" w:cs="GDSTransportWebsite"/>
          <w:color w:val="000000"/>
          <w:szCs w:val="24"/>
          <w:lang w:eastAsia="en-GB"/>
        </w:rPr>
        <w:t xml:space="preserve">s as this information won’t be available in the pupil census </w:t>
      </w:r>
      <w:r>
        <w:rPr>
          <w:rFonts w:ascii="GDSTransportWebsite" w:hAnsi="GDSTransportWebsite" w:cs="GDSTransportWebsite"/>
          <w:color w:val="000000"/>
          <w:szCs w:val="24"/>
          <w:lang w:eastAsia="en-GB"/>
        </w:rPr>
        <w:t>or individualised learner record</w:t>
      </w:r>
      <w:r w:rsidRPr="00A442E8">
        <w:rPr>
          <w:rFonts w:ascii="GDSTransportWebsite" w:hAnsi="GDSTransportWebsite" w:cs="GDSTransportWebsite"/>
          <w:color w:val="000000"/>
          <w:szCs w:val="24"/>
          <w:lang w:eastAsia="en-GB"/>
        </w:rPr>
        <w:t xml:space="preserve"> in academic year 2021/22.</w:t>
      </w:r>
    </w:p>
    <w:p w14:paraId="576647CA" w14:textId="77777777" w:rsidR="00AF1C07" w:rsidRPr="00AF1C07" w:rsidRDefault="00AF1C07" w:rsidP="00AF1C07">
      <w:pPr>
        <w:pStyle w:val="DeptBullets"/>
        <w:numPr>
          <w:ilvl w:val="0"/>
          <w:numId w:val="0"/>
        </w:numPr>
      </w:pPr>
    </w:p>
    <w:sectPr w:rsidR="00AF1C07" w:rsidRPr="00AF1C07" w:rsidSect="000158E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C478" w14:textId="77777777" w:rsidR="00541FE6" w:rsidRDefault="00541FE6">
      <w:r>
        <w:separator/>
      </w:r>
    </w:p>
  </w:endnote>
  <w:endnote w:type="continuationSeparator" w:id="0">
    <w:p w14:paraId="7B89588C" w14:textId="77777777" w:rsidR="00541FE6" w:rsidRDefault="0054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DSTransportWebsi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FDD9" w14:textId="77777777" w:rsidR="00541FE6" w:rsidRDefault="00541FE6">
      <w:r>
        <w:separator/>
      </w:r>
    </w:p>
  </w:footnote>
  <w:footnote w:type="continuationSeparator" w:id="0">
    <w:p w14:paraId="58E438BC" w14:textId="77777777" w:rsidR="00541FE6" w:rsidRDefault="0054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AA0D" w14:textId="77777777" w:rsidR="000158E7" w:rsidRPr="000158E7" w:rsidRDefault="000158E7">
    <w:pPr>
      <w:pStyle w:val="Header"/>
      <w:rPr>
        <w:b/>
        <w:bCs/>
      </w:rPr>
    </w:pPr>
    <w:r w:rsidRPr="000158E7">
      <w:rPr>
        <w:b/>
        <w:bCs/>
      </w:rPr>
      <w:t xml:space="preserve">Further Project Information </w:t>
    </w:r>
  </w:p>
  <w:p w14:paraId="2D09862D" w14:textId="77777777" w:rsidR="000158E7" w:rsidRDefault="000158E7">
    <w:pPr>
      <w:pStyle w:val="Header"/>
      <w:rPr>
        <w:b/>
        <w:bCs/>
      </w:rPr>
    </w:pPr>
    <w:r w:rsidRPr="000158E7">
      <w:rPr>
        <w:b/>
        <w:bCs/>
      </w:rPr>
      <w:t>16-19 Tuition Fund</w:t>
    </w:r>
    <w:r>
      <w:rPr>
        <w:b/>
        <w:bCs/>
      </w:rPr>
      <w:t xml:space="preserve"> -</w:t>
    </w:r>
    <w:r w:rsidRPr="000158E7">
      <w:rPr>
        <w:b/>
        <w:bCs/>
      </w:rPr>
      <w:t xml:space="preserve"> Process and Impact Evaluation, </w:t>
    </w:r>
  </w:p>
  <w:p w14:paraId="73794B6C" w14:textId="71B7A388" w:rsidR="000158E7" w:rsidRPr="000158E7" w:rsidRDefault="000158E7">
    <w:pPr>
      <w:pStyle w:val="Header"/>
      <w:rPr>
        <w:b/>
        <w:bCs/>
      </w:rPr>
    </w:pPr>
    <w:r w:rsidRPr="000158E7">
      <w:rPr>
        <w:b/>
        <w:bCs/>
      </w:rPr>
      <w:t xml:space="preserve">ref. DFERPPU 21-22/025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4B85A4C"/>
    <w:multiLevelType w:val="hybridMultilevel"/>
    <w:tmpl w:val="DD9E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574C7D"/>
    <w:multiLevelType w:val="multilevel"/>
    <w:tmpl w:val="8BF8510E"/>
    <w:lvl w:ilvl="0">
      <w:start w:val="1"/>
      <w:numFmt w:val="decimal"/>
      <w:lvlText w:val="%1."/>
      <w:lvlJc w:val="left"/>
      <w:pPr>
        <w:ind w:left="360" w:hanging="360"/>
      </w:pPr>
      <w:rPr>
        <w:b/>
        <w:bCs/>
        <w:sz w:val="36"/>
        <w:szCs w:val="36"/>
      </w:rPr>
    </w:lvl>
    <w:lvl w:ilvl="1">
      <w:start w:val="1"/>
      <w:numFmt w:val="decimal"/>
      <w:lvlText w:val="%1.%2."/>
      <w:lvlJc w:val="left"/>
      <w:pPr>
        <w:ind w:left="432" w:hanging="432"/>
      </w:pPr>
      <w:rPr>
        <w:b w:val="0"/>
        <w:sz w:val="24"/>
        <w:szCs w:val="24"/>
      </w:rPr>
    </w:lvl>
    <w:lvl w:ilvl="2">
      <w:start w:val="1"/>
      <w:numFmt w:val="decimal"/>
      <w:lvlText w:val="%3."/>
      <w:lvlJc w:val="left"/>
      <w:pPr>
        <w:ind w:left="504" w:hanging="504"/>
      </w:pPr>
      <w:rPr>
        <w:rFonts w:hint="default"/>
        <w:b w:val="0"/>
        <w:bCs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7"/>
    <w:rsid w:val="00011F78"/>
    <w:rsid w:val="000158E7"/>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1FE6"/>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0D"/>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09AD"/>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046EA"/>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ED0313"/>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CAA01"/>
  <w15:chartTrackingRefBased/>
  <w15:docId w15:val="{87769624-9031-4823-A5DB-2131DE9F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E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rsid w:val="007463C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link w:val="ListParagraph"/>
    <w:uiPriority w:val="34"/>
    <w:locked/>
    <w:rsid w:val="000158E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MAIDMENT, Christopher</dc:creator>
  <cp:keywords/>
  <dc:description/>
  <cp:lastModifiedBy>MAIDMENT, Christopher</cp:lastModifiedBy>
  <cp:revision>4</cp:revision>
  <dcterms:created xsi:type="dcterms:W3CDTF">2021-08-25T13:57:00Z</dcterms:created>
  <dcterms:modified xsi:type="dcterms:W3CDTF">2021-08-25T14:35:00Z</dcterms:modified>
</cp:coreProperties>
</file>