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46656096"/>
        <w:docPartObj>
          <w:docPartGallery w:val="Cover Pages"/>
          <w:docPartUnique/>
        </w:docPartObj>
      </w:sdtPr>
      <w:sdtEndPr/>
      <w:sdtContent>
        <w:p w:rsidR="00BF2737" w:rsidRDefault="00F37376" w:rsidP="009352B3">
          <w:pPr>
            <w:ind w:left="284" w:right="401"/>
            <w:jc w:val="right"/>
          </w:pPr>
          <w:r>
            <w:rPr>
              <w:noProof/>
              <w:lang w:eastAsia="en-GB"/>
            </w:rPr>
            <mc:AlternateContent>
              <mc:Choice Requires="wps">
                <w:drawing>
                  <wp:anchor distT="0" distB="0" distL="114300" distR="114300" simplePos="0" relativeHeight="251663360" behindDoc="0" locked="0" layoutInCell="1" allowOverlap="1" wp14:anchorId="7688D64A" wp14:editId="7A91D349">
                    <wp:simplePos x="0" y="0"/>
                    <wp:positionH relativeFrom="column">
                      <wp:posOffset>-519303</wp:posOffset>
                    </wp:positionH>
                    <wp:positionV relativeFrom="paragraph">
                      <wp:posOffset>8662035</wp:posOffset>
                    </wp:positionV>
                    <wp:extent cx="5358384" cy="950976"/>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8384" cy="950976"/>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295096" w:rsidRPr="00C34775" w:rsidRDefault="00295096" w:rsidP="00C34775">
                                <w:pPr>
                                  <w:pStyle w:val="NoSpacing"/>
                                  <w:spacing w:line="360" w:lineRule="auto"/>
                                  <w:rPr>
                                    <w:b/>
                                  </w:rPr>
                                </w:pPr>
                                <w:r w:rsidRPr="00C34775">
                                  <w:rPr>
                                    <w:b/>
                                    <w:lang w:val="en-GB"/>
                                  </w:rPr>
                                  <w:t xml:space="preserve">NHS </w:t>
                                </w:r>
                                <w:r>
                                  <w:rPr>
                                    <w:b/>
                                    <w:lang w:val="en-GB"/>
                                  </w:rPr>
                                  <w:t xml:space="preserve">West London </w:t>
                                </w:r>
                                <w:r w:rsidRPr="00C34775">
                                  <w:rPr>
                                    <w:b/>
                                    <w:lang w:val="en-GB"/>
                                  </w:rPr>
                                  <w:t>Clinical Commissioning Group</w:t>
                                </w:r>
                              </w:p>
                            </w:txbxContent>
                          </wps:txbx>
                          <wps:bodyPr rot="0" vert="horz" wrap="square" lIns="183600" tIns="72000" rIns="182880" bIns="72000" anchor="b"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left:0;text-align:left;margin-left:-40.9pt;margin-top:682.05pt;width:421.9pt;height:7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" filled="f" stroked="f" strokecolor="white" strokeweight="1pt">
                    <v:fill opacity="52428f"/>
                    <v:shadow color="#d8d8d8" offset="3pt,3pt"/>
                    <v:textbox inset="5.1mm,2mm,14.4pt,2mm">
                      <w:txbxContent>
                        <w:p w:rsidR="00295096" w:rsidRPr="00C34775" w:rsidRDefault="00295096" w:rsidP="00C34775">
                          <w:pPr>
                            <w:pStyle w:val="NoSpacing"/>
                            <w:spacing w:line="360" w:lineRule="auto"/>
                            <w:rPr>
                              <w:b/>
                            </w:rPr>
                          </w:pPr>
                          <w:r w:rsidRPr="00C34775">
                            <w:rPr>
                              <w:b/>
                              <w:lang w:val="en-GB"/>
                            </w:rPr>
                            <w:t xml:space="preserve">NHS </w:t>
                          </w:r>
                          <w:r>
                            <w:rPr>
                              <w:b/>
                              <w:lang w:val="en-GB"/>
                            </w:rPr>
                            <w:t xml:space="preserve">West London </w:t>
                          </w:r>
                          <w:r w:rsidRPr="00C34775">
                            <w:rPr>
                              <w:b/>
                              <w:lang w:val="en-GB"/>
                            </w:rPr>
                            <w:t>Clinical Commissioning Group</w:t>
                          </w:r>
                        </w:p>
                      </w:txbxContent>
                    </v:textbox>
                  </v:rect>
                </w:pict>
              </mc:Fallback>
            </mc:AlternateContent>
          </w:r>
        </w:p>
        <w:p w:rsidR="004D6C10" w:rsidRDefault="009352B3" w:rsidP="009352B3">
          <w:pPr>
            <w:ind w:left="284" w:right="401"/>
          </w:pPr>
          <w:r>
            <w:rPr>
              <w:noProof/>
              <w:lang w:eastAsia="en-GB"/>
            </w:rPr>
            <w:drawing>
              <wp:anchor distT="0" distB="0" distL="114300" distR="114300" simplePos="0" relativeHeight="251664384" behindDoc="0" locked="0" layoutInCell="1" allowOverlap="1" wp14:anchorId="476381D8" wp14:editId="777F43BE">
                <wp:simplePos x="0" y="0"/>
                <wp:positionH relativeFrom="column">
                  <wp:align>right</wp:align>
                </wp:positionH>
                <wp:positionV relativeFrom="paragraph">
                  <wp:align>top</wp:align>
                </wp:positionV>
                <wp:extent cx="1785620" cy="565150"/>
                <wp:effectExtent l="0" t="0" r="5080" b="6350"/>
                <wp:wrapSquare wrapText="bothSides"/>
                <wp:docPr id="3" name="Picture 3" descr="Description: West London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West London CCG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5826" cy="5688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4BFD">
            <w:rPr>
              <w:rFonts w:asciiTheme="majorHAnsi" w:hAnsiTheme="majorHAnsi"/>
              <w:noProof/>
              <w:color w:val="17365D" w:themeColor="text2" w:themeShade="BF"/>
              <w:szCs w:val="24"/>
              <w:lang w:eastAsia="en-GB"/>
            </w:rPr>
            <w:drawing>
              <wp:inline distT="0" distB="0" distL="0" distR="0" wp14:anchorId="0CD6D361" wp14:editId="3E32AEF7">
                <wp:extent cx="1533525" cy="72748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3525" cy="727485"/>
                        </a:xfrm>
                        <a:prstGeom prst="rect">
                          <a:avLst/>
                        </a:prstGeom>
                        <a:noFill/>
                        <a:ln>
                          <a:noFill/>
                        </a:ln>
                        <a:effectLst/>
                        <a:extLst/>
                      </pic:spPr>
                    </pic:pic>
                  </a:graphicData>
                </a:graphic>
              </wp:inline>
            </w:drawing>
          </w:r>
          <w:r w:rsidR="00264187">
            <w:br w:type="textWrapping" w:clear="all"/>
          </w:r>
        </w:p>
        <w:p w:rsidR="004B78E0" w:rsidRDefault="004B78E0" w:rsidP="009352B3">
          <w:pPr>
            <w:ind w:left="284" w:right="401"/>
          </w:pPr>
        </w:p>
        <w:p w:rsidR="00BF2737" w:rsidRDefault="004419C9" w:rsidP="009352B3">
          <w:pPr>
            <w:ind w:left="284" w:right="401"/>
          </w:pPr>
          <w:r>
            <w:rPr>
              <w:noProof/>
              <w:lang w:eastAsia="en-GB"/>
            </w:rPr>
            <mc:AlternateContent>
              <mc:Choice Requires="wps">
                <w:drawing>
                  <wp:anchor distT="0" distB="0" distL="114300" distR="114300" simplePos="0" relativeHeight="251661312" behindDoc="0" locked="0" layoutInCell="0" allowOverlap="1" wp14:anchorId="71C359EC" wp14:editId="6E5DA8E5">
                    <wp:simplePos x="0" y="0"/>
                    <wp:positionH relativeFrom="page">
                      <wp:posOffset>-11430</wp:posOffset>
                    </wp:positionH>
                    <wp:positionV relativeFrom="page">
                      <wp:posOffset>2969185</wp:posOffset>
                    </wp:positionV>
                    <wp:extent cx="7557247" cy="1060450"/>
                    <wp:effectExtent l="0" t="0" r="24765" b="2540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247" cy="1060450"/>
                            </a:xfrm>
                            <a:prstGeom prst="rect">
                              <a:avLst/>
                            </a:prstGeom>
                            <a:solidFill>
                              <a:schemeClr val="accent1"/>
                            </a:solidFill>
                            <a:ln w="12700">
                              <a:solidFill>
                                <a:schemeClr val="bg1"/>
                              </a:solidFill>
                              <a:miter lim="800000"/>
                              <a:headEnd/>
                              <a:tailEnd/>
                            </a:ln>
                            <a:extLst/>
                          </wps:spPr>
                          <wps:txbx>
                            <w:txbxContent>
                              <w:p w:rsidR="00295096" w:rsidRPr="007743C6" w:rsidRDefault="00D10B8F" w:rsidP="004D6C10">
                                <w:pPr>
                                  <w:pStyle w:val="NoSpacing"/>
                                  <w:jc w:val="center"/>
                                  <w:rPr>
                                    <w:rFonts w:asciiTheme="majorHAnsi" w:eastAsiaTheme="majorEastAsia" w:hAnsiTheme="majorHAnsi" w:cstheme="majorBidi"/>
                                    <w:color w:val="FFFFFF" w:themeColor="background1"/>
                                    <w:sz w:val="56"/>
                                    <w:szCs w:val="56"/>
                                  </w:rPr>
                                </w:pPr>
                                <w:r w:rsidRPr="00D10B8F">
                                  <w:rPr>
                                    <w:rFonts w:asciiTheme="majorHAnsi" w:eastAsiaTheme="majorEastAsia" w:hAnsiTheme="majorHAnsi" w:cstheme="majorBidi"/>
                                    <w:i/>
                                    <w:color w:val="FFFFFF" w:themeColor="background1"/>
                                    <w:sz w:val="56"/>
                                    <w:szCs w:val="56"/>
                                    <w:lang w:val="en-GB"/>
                                  </w:rPr>
                                  <w:t>Organisational Development – Rapid Learning for My Care My Way Programme</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left:0;text-align:left;margin-left:-.9pt;margin-top:233.8pt;width:595.05pt;height: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" o:allowincell="f" fillcolor="#4f81bd [3204]" strokecolor="white [3212]" strokeweight="1pt">
                    <v:textbox inset="14.4pt,,14.4pt">
                      <w:txbxContent>
                        <w:p w:rsidR="00295096" w:rsidRPr="007743C6" w:rsidRDefault="00D10B8F" w:rsidP="004D6C10">
                          <w:pPr>
                            <w:pStyle w:val="NoSpacing"/>
                            <w:jc w:val="center"/>
                            <w:rPr>
                              <w:rFonts w:asciiTheme="majorHAnsi" w:eastAsiaTheme="majorEastAsia" w:hAnsiTheme="majorHAnsi" w:cstheme="majorBidi"/>
                              <w:color w:val="FFFFFF" w:themeColor="background1"/>
                              <w:sz w:val="56"/>
                              <w:szCs w:val="56"/>
                            </w:rPr>
                          </w:pPr>
                          <w:r w:rsidRPr="00D10B8F">
                            <w:rPr>
                              <w:rFonts w:asciiTheme="majorHAnsi" w:eastAsiaTheme="majorEastAsia" w:hAnsiTheme="majorHAnsi" w:cstheme="majorBidi"/>
                              <w:i/>
                              <w:color w:val="FFFFFF" w:themeColor="background1"/>
                              <w:sz w:val="56"/>
                              <w:szCs w:val="56"/>
                              <w:lang w:val="en-GB"/>
                            </w:rPr>
                            <w:t>Organisational Development – Rapid Learning for My Care My Way Programme</w:t>
                          </w:r>
                        </w:p>
                      </w:txbxContent>
                    </v:textbox>
                    <w10:wrap anchorx="page" anchory="page"/>
                  </v:rect>
                </w:pict>
              </mc:Fallback>
            </mc:AlternateContent>
          </w:r>
        </w:p>
        <w:p w:rsidR="00BF2737" w:rsidRDefault="00BF2737" w:rsidP="009352B3">
          <w:pPr>
            <w:ind w:left="284" w:right="401"/>
          </w:pPr>
        </w:p>
        <w:p w:rsidR="00BF2737" w:rsidRDefault="00BF2737" w:rsidP="009352B3">
          <w:pPr>
            <w:ind w:left="284" w:right="401"/>
          </w:pPr>
        </w:p>
        <w:p w:rsidR="00BF2737" w:rsidRDefault="00BF2737" w:rsidP="009352B3">
          <w:pPr>
            <w:ind w:left="284" w:right="401"/>
          </w:pPr>
        </w:p>
        <w:p w:rsidR="00BF2737" w:rsidRDefault="00BF2737" w:rsidP="009352B3">
          <w:pPr>
            <w:ind w:left="284" w:right="401"/>
          </w:pPr>
        </w:p>
        <w:p w:rsidR="009352B3" w:rsidRDefault="009352B3" w:rsidP="009352B3">
          <w:pPr>
            <w:spacing w:after="0"/>
            <w:ind w:left="284" w:right="401"/>
            <w:jc w:val="center"/>
            <w:rPr>
              <w:rFonts w:ascii="Calibri" w:hAnsi="Calibri" w:cs="Calibri"/>
              <w:b/>
              <w:sz w:val="48"/>
              <w:szCs w:val="48"/>
            </w:rPr>
          </w:pPr>
        </w:p>
        <w:p w:rsidR="009352B3" w:rsidRDefault="009352B3" w:rsidP="009352B3">
          <w:pPr>
            <w:spacing w:after="0"/>
            <w:ind w:left="284" w:right="401"/>
            <w:jc w:val="center"/>
            <w:rPr>
              <w:rFonts w:ascii="Calibri" w:hAnsi="Calibri" w:cs="Calibri"/>
              <w:b/>
              <w:sz w:val="48"/>
              <w:szCs w:val="48"/>
            </w:rPr>
          </w:pPr>
          <w:bookmarkStart w:id="0" w:name="_GoBack"/>
          <w:bookmarkEnd w:id="0"/>
        </w:p>
        <w:p w:rsidR="004D6C10" w:rsidRPr="004D6C10" w:rsidRDefault="004D6C10" w:rsidP="009352B3">
          <w:pPr>
            <w:spacing w:after="0"/>
            <w:ind w:left="284" w:right="401"/>
            <w:jc w:val="center"/>
            <w:rPr>
              <w:rFonts w:ascii="Calibri" w:hAnsi="Calibri" w:cs="Calibri"/>
              <w:b/>
              <w:sz w:val="48"/>
              <w:szCs w:val="48"/>
            </w:rPr>
          </w:pPr>
          <w:r w:rsidRPr="004D6C10">
            <w:rPr>
              <w:rFonts w:ascii="Calibri" w:hAnsi="Calibri" w:cs="Calibri"/>
              <w:b/>
              <w:sz w:val="48"/>
              <w:szCs w:val="48"/>
            </w:rPr>
            <w:t>Memorandum of Information (MOI)</w:t>
          </w:r>
        </w:p>
        <w:p w:rsidR="004D6C10" w:rsidRPr="00A61784" w:rsidRDefault="00D10B8F" w:rsidP="009352B3">
          <w:pPr>
            <w:spacing w:after="0"/>
            <w:ind w:left="284" w:right="401"/>
            <w:jc w:val="center"/>
            <w:rPr>
              <w:rFonts w:ascii="Calibri" w:hAnsi="Calibri" w:cs="Calibri"/>
              <w:b/>
              <w:sz w:val="48"/>
              <w:szCs w:val="48"/>
            </w:rPr>
          </w:pPr>
          <w:r>
            <w:rPr>
              <w:rFonts w:ascii="Calibri" w:hAnsi="Calibri" w:cs="Calibri"/>
              <w:b/>
              <w:sz w:val="48"/>
              <w:szCs w:val="48"/>
            </w:rPr>
            <w:t>08</w:t>
          </w:r>
          <w:r w:rsidR="009352B3">
            <w:rPr>
              <w:rFonts w:ascii="Calibri" w:hAnsi="Calibri" w:cs="Calibri"/>
              <w:b/>
              <w:sz w:val="48"/>
              <w:szCs w:val="48"/>
            </w:rPr>
            <w:t xml:space="preserve"> March </w:t>
          </w:r>
          <w:r w:rsidR="00CC39D5" w:rsidRPr="00A61784">
            <w:rPr>
              <w:rFonts w:ascii="Calibri" w:hAnsi="Calibri" w:cs="Calibri"/>
              <w:b/>
              <w:sz w:val="48"/>
              <w:szCs w:val="48"/>
            </w:rPr>
            <w:t>201</w:t>
          </w:r>
          <w:r w:rsidR="009352B3">
            <w:rPr>
              <w:rFonts w:ascii="Calibri" w:hAnsi="Calibri" w:cs="Calibri"/>
              <w:b/>
              <w:sz w:val="48"/>
              <w:szCs w:val="48"/>
            </w:rPr>
            <w:t>7</w:t>
          </w:r>
        </w:p>
        <w:p w:rsidR="00CC39D5" w:rsidRDefault="00CC39D5" w:rsidP="009352B3">
          <w:pPr>
            <w:spacing w:after="0"/>
            <w:ind w:left="284" w:right="401"/>
            <w:jc w:val="center"/>
            <w:rPr>
              <w:rFonts w:ascii="Calibri" w:hAnsi="Calibri" w:cs="Calibri"/>
              <w:sz w:val="48"/>
              <w:szCs w:val="48"/>
            </w:rPr>
          </w:pPr>
        </w:p>
        <w:p w:rsidR="00CC39D5" w:rsidRDefault="00CC39D5" w:rsidP="009352B3">
          <w:pPr>
            <w:spacing w:after="0"/>
            <w:ind w:left="284" w:right="401"/>
            <w:jc w:val="center"/>
            <w:rPr>
              <w:rFonts w:ascii="Calibri" w:hAnsi="Calibri" w:cs="Calibri"/>
              <w:sz w:val="48"/>
              <w:szCs w:val="48"/>
            </w:rPr>
          </w:pPr>
        </w:p>
        <w:p w:rsidR="00CC39D5" w:rsidRPr="004D6C10" w:rsidRDefault="00CC39D5" w:rsidP="009352B3">
          <w:pPr>
            <w:spacing w:after="0"/>
            <w:ind w:left="284" w:right="401"/>
            <w:jc w:val="center"/>
            <w:rPr>
              <w:rFonts w:ascii="Calibri" w:hAnsi="Calibri" w:cs="Calibri"/>
              <w:sz w:val="48"/>
              <w:szCs w:val="48"/>
            </w:rPr>
          </w:pPr>
        </w:p>
        <w:p w:rsidR="004D6C10" w:rsidRPr="004D6C10" w:rsidRDefault="004D6C10" w:rsidP="009352B3">
          <w:pPr>
            <w:spacing w:after="0"/>
            <w:ind w:left="284" w:right="401"/>
            <w:jc w:val="center"/>
            <w:rPr>
              <w:rFonts w:ascii="Calibri" w:hAnsi="Calibri" w:cs="Calibri"/>
              <w:b/>
              <w:sz w:val="48"/>
              <w:szCs w:val="48"/>
            </w:rPr>
          </w:pPr>
          <w:r w:rsidRPr="004D6C10">
            <w:rPr>
              <w:rFonts w:ascii="Calibri" w:hAnsi="Calibri" w:cs="Calibri"/>
              <w:b/>
              <w:sz w:val="48"/>
              <w:szCs w:val="48"/>
            </w:rPr>
            <w:t xml:space="preserve">NHS West London </w:t>
          </w:r>
        </w:p>
        <w:p w:rsidR="004D6C10" w:rsidRPr="004D6C10" w:rsidRDefault="004D6C10" w:rsidP="009352B3">
          <w:pPr>
            <w:spacing w:after="0"/>
            <w:ind w:left="284" w:right="401"/>
            <w:jc w:val="center"/>
            <w:rPr>
              <w:rFonts w:ascii="Calibri" w:hAnsi="Calibri" w:cs="Calibri"/>
              <w:b/>
              <w:sz w:val="48"/>
              <w:szCs w:val="48"/>
            </w:rPr>
          </w:pPr>
          <w:r w:rsidRPr="004D6C10">
            <w:rPr>
              <w:rFonts w:ascii="Calibri" w:hAnsi="Calibri" w:cs="Calibri"/>
              <w:b/>
              <w:sz w:val="48"/>
              <w:szCs w:val="48"/>
            </w:rPr>
            <w:t>Clinical Commissioning Group (WL CCG)</w:t>
          </w:r>
        </w:p>
        <w:p w:rsidR="00BF2737" w:rsidRPr="004D6C10" w:rsidRDefault="00BF2737" w:rsidP="009352B3">
          <w:pPr>
            <w:tabs>
              <w:tab w:val="left" w:pos="8931"/>
            </w:tabs>
            <w:ind w:left="284" w:right="401"/>
            <w:rPr>
              <w:sz w:val="48"/>
              <w:szCs w:val="48"/>
            </w:rPr>
          </w:pPr>
        </w:p>
        <w:p w:rsidR="00197647" w:rsidRDefault="00197647" w:rsidP="009352B3">
          <w:pPr>
            <w:ind w:left="284" w:right="401"/>
          </w:pPr>
          <w:r>
            <w:br w:type="page"/>
          </w:r>
        </w:p>
      </w:sdtContent>
    </w:sdt>
    <w:p w:rsidR="00AC3882" w:rsidRPr="005F155F" w:rsidRDefault="00AC3882" w:rsidP="009352B3">
      <w:pPr>
        <w:ind w:left="284" w:right="401"/>
        <w:rPr>
          <w:rFonts w:ascii="Calibri" w:eastAsiaTheme="majorEastAsia" w:hAnsi="Calibri" w:cs="Calibri"/>
          <w:b/>
          <w:bCs/>
          <w:sz w:val="28"/>
          <w:szCs w:val="28"/>
          <w:lang w:val="en-US" w:eastAsia="ja-JP"/>
        </w:rPr>
      </w:pPr>
    </w:p>
    <w:sdt>
      <w:sdtPr>
        <w:rPr>
          <w:rFonts w:ascii="Calibri" w:eastAsiaTheme="minorHAnsi" w:hAnsi="Calibri" w:cs="Calibri"/>
          <w:b w:val="0"/>
          <w:bCs w:val="0"/>
          <w:sz w:val="24"/>
          <w:szCs w:val="22"/>
          <w:lang w:val="en-GB" w:eastAsia="en-US"/>
        </w:rPr>
        <w:id w:val="687646955"/>
        <w:docPartObj>
          <w:docPartGallery w:val="Table of Contents"/>
          <w:docPartUnique/>
        </w:docPartObj>
      </w:sdtPr>
      <w:sdtEndPr>
        <w:rPr>
          <w:rFonts w:asciiTheme="minorHAnsi" w:hAnsiTheme="minorHAnsi" w:cstheme="minorBidi"/>
          <w:noProof/>
        </w:rPr>
      </w:sdtEndPr>
      <w:sdtContent>
        <w:p w:rsidR="00F06D55" w:rsidRPr="005F155F" w:rsidRDefault="00F06D55" w:rsidP="009352B3">
          <w:pPr>
            <w:pStyle w:val="TOCHeading"/>
            <w:ind w:left="284" w:right="401"/>
            <w:rPr>
              <w:rFonts w:ascii="Calibri" w:hAnsi="Calibri" w:cs="Calibri"/>
            </w:rPr>
          </w:pPr>
          <w:r w:rsidRPr="005F155F">
            <w:rPr>
              <w:rFonts w:ascii="Calibri" w:hAnsi="Calibri" w:cs="Calibri"/>
            </w:rPr>
            <w:t>Contents</w:t>
          </w:r>
        </w:p>
        <w:p w:rsidR="005F155F" w:rsidRPr="005F155F" w:rsidRDefault="002D1139">
          <w:pPr>
            <w:pStyle w:val="TOC1"/>
            <w:tabs>
              <w:tab w:val="left" w:pos="440"/>
              <w:tab w:val="right" w:leader="dot" w:pos="9742"/>
            </w:tabs>
            <w:rPr>
              <w:rFonts w:ascii="Calibri" w:hAnsi="Calibri" w:cs="Calibri"/>
              <w:noProof/>
              <w:sz w:val="22"/>
              <w:lang w:val="en-GB" w:eastAsia="en-GB"/>
            </w:rPr>
          </w:pPr>
          <w:r w:rsidRPr="005F155F">
            <w:rPr>
              <w:rFonts w:ascii="Calibri" w:hAnsi="Calibri" w:cs="Calibri"/>
            </w:rPr>
            <w:fldChar w:fldCharType="begin"/>
          </w:r>
          <w:r w:rsidRPr="005F155F">
            <w:rPr>
              <w:rFonts w:ascii="Calibri" w:hAnsi="Calibri" w:cs="Calibri"/>
            </w:rPr>
            <w:instrText xml:space="preserve"> TOC \h \z \t "Heading 1,1,Appendix,1" </w:instrText>
          </w:r>
          <w:r w:rsidRPr="005F155F">
            <w:rPr>
              <w:rFonts w:ascii="Calibri" w:hAnsi="Calibri" w:cs="Calibri"/>
            </w:rPr>
            <w:fldChar w:fldCharType="separate"/>
          </w:r>
          <w:hyperlink w:anchor="_Toc476301239" w:history="1">
            <w:r w:rsidR="005F155F" w:rsidRPr="005F155F">
              <w:rPr>
                <w:rStyle w:val="Hyperlink"/>
                <w:rFonts w:ascii="Calibri" w:hAnsi="Calibri" w:cs="Calibri"/>
                <w:noProof/>
              </w:rPr>
              <w:t>1.</w:t>
            </w:r>
            <w:r w:rsidR="005F155F" w:rsidRPr="005F155F">
              <w:rPr>
                <w:rFonts w:ascii="Calibri" w:hAnsi="Calibri" w:cs="Calibri"/>
                <w:noProof/>
                <w:sz w:val="22"/>
                <w:lang w:val="en-GB" w:eastAsia="en-GB"/>
              </w:rPr>
              <w:tab/>
            </w:r>
            <w:r w:rsidR="005F155F" w:rsidRPr="005F155F">
              <w:rPr>
                <w:rStyle w:val="Hyperlink"/>
                <w:rFonts w:ascii="Calibri" w:hAnsi="Calibri" w:cs="Calibri"/>
                <w:noProof/>
              </w:rPr>
              <w:t>Introduction and Overview</w:t>
            </w:r>
            <w:r w:rsidR="005F155F" w:rsidRPr="005F155F">
              <w:rPr>
                <w:rFonts w:ascii="Calibri" w:hAnsi="Calibri" w:cs="Calibri"/>
                <w:noProof/>
                <w:webHidden/>
              </w:rPr>
              <w:tab/>
            </w:r>
            <w:r w:rsidR="005F155F" w:rsidRPr="005F155F">
              <w:rPr>
                <w:rFonts w:ascii="Calibri" w:hAnsi="Calibri" w:cs="Calibri"/>
                <w:noProof/>
                <w:webHidden/>
              </w:rPr>
              <w:fldChar w:fldCharType="begin"/>
            </w:r>
            <w:r w:rsidR="005F155F" w:rsidRPr="005F155F">
              <w:rPr>
                <w:rFonts w:ascii="Calibri" w:hAnsi="Calibri" w:cs="Calibri"/>
                <w:noProof/>
                <w:webHidden/>
              </w:rPr>
              <w:instrText xml:space="preserve"> PAGEREF _Toc476301239 \h </w:instrText>
            </w:r>
            <w:r w:rsidR="005F155F" w:rsidRPr="005F155F">
              <w:rPr>
                <w:rFonts w:ascii="Calibri" w:hAnsi="Calibri" w:cs="Calibri"/>
                <w:noProof/>
                <w:webHidden/>
              </w:rPr>
            </w:r>
            <w:r w:rsidR="005F155F" w:rsidRPr="005F155F">
              <w:rPr>
                <w:rFonts w:ascii="Calibri" w:hAnsi="Calibri" w:cs="Calibri"/>
                <w:noProof/>
                <w:webHidden/>
              </w:rPr>
              <w:fldChar w:fldCharType="separate"/>
            </w:r>
            <w:r w:rsidR="005F155F" w:rsidRPr="005F155F">
              <w:rPr>
                <w:rFonts w:ascii="Calibri" w:hAnsi="Calibri" w:cs="Calibri"/>
                <w:noProof/>
                <w:webHidden/>
              </w:rPr>
              <w:t>1</w:t>
            </w:r>
            <w:r w:rsidR="005F155F" w:rsidRPr="005F155F">
              <w:rPr>
                <w:rFonts w:ascii="Calibri" w:hAnsi="Calibri" w:cs="Calibri"/>
                <w:noProof/>
                <w:webHidden/>
              </w:rPr>
              <w:fldChar w:fldCharType="end"/>
            </w:r>
          </w:hyperlink>
        </w:p>
        <w:p w:rsidR="005F155F" w:rsidRPr="005F155F" w:rsidRDefault="009C05CD">
          <w:pPr>
            <w:pStyle w:val="TOC1"/>
            <w:tabs>
              <w:tab w:val="left" w:pos="660"/>
              <w:tab w:val="right" w:leader="dot" w:pos="9742"/>
            </w:tabs>
            <w:rPr>
              <w:rFonts w:ascii="Calibri" w:hAnsi="Calibri" w:cs="Calibri"/>
              <w:noProof/>
              <w:sz w:val="22"/>
              <w:lang w:val="en-GB" w:eastAsia="en-GB"/>
            </w:rPr>
          </w:pPr>
          <w:hyperlink w:anchor="_Toc476301240" w:history="1">
            <w:r w:rsidR="005F155F" w:rsidRPr="005F155F">
              <w:rPr>
                <w:rStyle w:val="Hyperlink"/>
                <w:rFonts w:ascii="Calibri" w:hAnsi="Calibri" w:cs="Calibri"/>
                <w:noProof/>
              </w:rPr>
              <w:t>1.1</w:t>
            </w:r>
            <w:r w:rsidR="005F155F" w:rsidRPr="005F155F">
              <w:rPr>
                <w:rFonts w:ascii="Calibri" w:hAnsi="Calibri" w:cs="Calibri"/>
                <w:noProof/>
                <w:sz w:val="22"/>
                <w:lang w:val="en-GB" w:eastAsia="en-GB"/>
              </w:rPr>
              <w:tab/>
            </w:r>
            <w:r w:rsidR="005F155F" w:rsidRPr="005F155F">
              <w:rPr>
                <w:rStyle w:val="Hyperlink"/>
                <w:rFonts w:ascii="Calibri" w:hAnsi="Calibri" w:cs="Calibri"/>
                <w:noProof/>
              </w:rPr>
              <w:t>Purpose of this document</w:t>
            </w:r>
            <w:r w:rsidR="005F155F" w:rsidRPr="005F155F">
              <w:rPr>
                <w:rFonts w:ascii="Calibri" w:hAnsi="Calibri" w:cs="Calibri"/>
                <w:noProof/>
                <w:webHidden/>
              </w:rPr>
              <w:tab/>
            </w:r>
            <w:r w:rsidR="005F155F" w:rsidRPr="005F155F">
              <w:rPr>
                <w:rFonts w:ascii="Calibri" w:hAnsi="Calibri" w:cs="Calibri"/>
                <w:noProof/>
                <w:webHidden/>
              </w:rPr>
              <w:fldChar w:fldCharType="begin"/>
            </w:r>
            <w:r w:rsidR="005F155F" w:rsidRPr="005F155F">
              <w:rPr>
                <w:rFonts w:ascii="Calibri" w:hAnsi="Calibri" w:cs="Calibri"/>
                <w:noProof/>
                <w:webHidden/>
              </w:rPr>
              <w:instrText xml:space="preserve"> PAGEREF _Toc476301240 \h </w:instrText>
            </w:r>
            <w:r w:rsidR="005F155F" w:rsidRPr="005F155F">
              <w:rPr>
                <w:rFonts w:ascii="Calibri" w:hAnsi="Calibri" w:cs="Calibri"/>
                <w:noProof/>
                <w:webHidden/>
              </w:rPr>
            </w:r>
            <w:r w:rsidR="005F155F" w:rsidRPr="005F155F">
              <w:rPr>
                <w:rFonts w:ascii="Calibri" w:hAnsi="Calibri" w:cs="Calibri"/>
                <w:noProof/>
                <w:webHidden/>
              </w:rPr>
              <w:fldChar w:fldCharType="separate"/>
            </w:r>
            <w:r w:rsidR="005F155F" w:rsidRPr="005F155F">
              <w:rPr>
                <w:rFonts w:ascii="Calibri" w:hAnsi="Calibri" w:cs="Calibri"/>
                <w:noProof/>
                <w:webHidden/>
              </w:rPr>
              <w:t>1</w:t>
            </w:r>
            <w:r w:rsidR="005F155F" w:rsidRPr="005F155F">
              <w:rPr>
                <w:rFonts w:ascii="Calibri" w:hAnsi="Calibri" w:cs="Calibri"/>
                <w:noProof/>
                <w:webHidden/>
              </w:rPr>
              <w:fldChar w:fldCharType="end"/>
            </w:r>
          </w:hyperlink>
        </w:p>
        <w:p w:rsidR="005F155F" w:rsidRPr="005F155F" w:rsidRDefault="009C05CD">
          <w:pPr>
            <w:pStyle w:val="TOC1"/>
            <w:tabs>
              <w:tab w:val="left" w:pos="660"/>
              <w:tab w:val="right" w:leader="dot" w:pos="9742"/>
            </w:tabs>
            <w:rPr>
              <w:rFonts w:ascii="Calibri" w:hAnsi="Calibri" w:cs="Calibri"/>
              <w:noProof/>
              <w:sz w:val="22"/>
              <w:lang w:val="en-GB" w:eastAsia="en-GB"/>
            </w:rPr>
          </w:pPr>
          <w:hyperlink w:anchor="_Toc476301241" w:history="1">
            <w:r w:rsidR="005F155F" w:rsidRPr="005F155F">
              <w:rPr>
                <w:rStyle w:val="Hyperlink"/>
                <w:rFonts w:ascii="Calibri" w:hAnsi="Calibri" w:cs="Calibri"/>
                <w:noProof/>
              </w:rPr>
              <w:t>1.2</w:t>
            </w:r>
            <w:r w:rsidR="005F155F" w:rsidRPr="005F155F">
              <w:rPr>
                <w:rFonts w:ascii="Calibri" w:hAnsi="Calibri" w:cs="Calibri"/>
                <w:noProof/>
                <w:sz w:val="22"/>
                <w:lang w:val="en-GB" w:eastAsia="en-GB"/>
              </w:rPr>
              <w:tab/>
            </w:r>
            <w:r w:rsidR="005F155F" w:rsidRPr="005F155F">
              <w:rPr>
                <w:rStyle w:val="Hyperlink"/>
                <w:rFonts w:ascii="Calibri" w:hAnsi="Calibri" w:cs="Calibri"/>
                <w:noProof/>
              </w:rPr>
              <w:t>Introduction</w:t>
            </w:r>
            <w:r w:rsidR="005F155F" w:rsidRPr="005F155F">
              <w:rPr>
                <w:rFonts w:ascii="Calibri" w:hAnsi="Calibri" w:cs="Calibri"/>
                <w:noProof/>
                <w:webHidden/>
              </w:rPr>
              <w:tab/>
            </w:r>
            <w:r w:rsidR="005F155F" w:rsidRPr="005F155F">
              <w:rPr>
                <w:rFonts w:ascii="Calibri" w:hAnsi="Calibri" w:cs="Calibri"/>
                <w:noProof/>
                <w:webHidden/>
              </w:rPr>
              <w:fldChar w:fldCharType="begin"/>
            </w:r>
            <w:r w:rsidR="005F155F" w:rsidRPr="005F155F">
              <w:rPr>
                <w:rFonts w:ascii="Calibri" w:hAnsi="Calibri" w:cs="Calibri"/>
                <w:noProof/>
                <w:webHidden/>
              </w:rPr>
              <w:instrText xml:space="preserve"> PAGEREF _Toc476301241 \h </w:instrText>
            </w:r>
            <w:r w:rsidR="005F155F" w:rsidRPr="005F155F">
              <w:rPr>
                <w:rFonts w:ascii="Calibri" w:hAnsi="Calibri" w:cs="Calibri"/>
                <w:noProof/>
                <w:webHidden/>
              </w:rPr>
            </w:r>
            <w:r w:rsidR="005F155F" w:rsidRPr="005F155F">
              <w:rPr>
                <w:rFonts w:ascii="Calibri" w:hAnsi="Calibri" w:cs="Calibri"/>
                <w:noProof/>
                <w:webHidden/>
              </w:rPr>
              <w:fldChar w:fldCharType="separate"/>
            </w:r>
            <w:r w:rsidR="005F155F" w:rsidRPr="005F155F">
              <w:rPr>
                <w:rFonts w:ascii="Calibri" w:hAnsi="Calibri" w:cs="Calibri"/>
                <w:noProof/>
                <w:webHidden/>
              </w:rPr>
              <w:t>1</w:t>
            </w:r>
            <w:r w:rsidR="005F155F" w:rsidRPr="005F155F">
              <w:rPr>
                <w:rFonts w:ascii="Calibri" w:hAnsi="Calibri" w:cs="Calibri"/>
                <w:noProof/>
                <w:webHidden/>
              </w:rPr>
              <w:fldChar w:fldCharType="end"/>
            </w:r>
          </w:hyperlink>
        </w:p>
        <w:p w:rsidR="005F155F" w:rsidRPr="005F155F" w:rsidRDefault="009C05CD">
          <w:pPr>
            <w:pStyle w:val="TOC1"/>
            <w:tabs>
              <w:tab w:val="left" w:pos="440"/>
              <w:tab w:val="right" w:leader="dot" w:pos="9742"/>
            </w:tabs>
            <w:rPr>
              <w:rFonts w:ascii="Calibri" w:hAnsi="Calibri" w:cs="Calibri"/>
              <w:noProof/>
              <w:sz w:val="22"/>
              <w:lang w:val="en-GB" w:eastAsia="en-GB"/>
            </w:rPr>
          </w:pPr>
          <w:hyperlink w:anchor="_Toc476301242" w:history="1">
            <w:r w:rsidR="005F155F" w:rsidRPr="005F155F">
              <w:rPr>
                <w:rStyle w:val="Hyperlink"/>
                <w:rFonts w:ascii="Calibri" w:hAnsi="Calibri" w:cs="Calibri"/>
                <w:noProof/>
              </w:rPr>
              <w:t>2.</w:t>
            </w:r>
            <w:r w:rsidR="005F155F" w:rsidRPr="005F155F">
              <w:rPr>
                <w:rFonts w:ascii="Calibri" w:hAnsi="Calibri" w:cs="Calibri"/>
                <w:noProof/>
                <w:sz w:val="22"/>
                <w:lang w:val="en-GB" w:eastAsia="en-GB"/>
              </w:rPr>
              <w:tab/>
            </w:r>
            <w:r w:rsidR="005F155F" w:rsidRPr="005F155F">
              <w:rPr>
                <w:rStyle w:val="Hyperlink"/>
                <w:rFonts w:ascii="Calibri" w:hAnsi="Calibri" w:cs="Calibri"/>
                <w:noProof/>
              </w:rPr>
              <w:t>Strategic and Local Context</w:t>
            </w:r>
            <w:r w:rsidR="005F155F" w:rsidRPr="005F155F">
              <w:rPr>
                <w:rFonts w:ascii="Calibri" w:hAnsi="Calibri" w:cs="Calibri"/>
                <w:noProof/>
                <w:webHidden/>
              </w:rPr>
              <w:tab/>
            </w:r>
            <w:r w:rsidR="005F155F" w:rsidRPr="005F155F">
              <w:rPr>
                <w:rFonts w:ascii="Calibri" w:hAnsi="Calibri" w:cs="Calibri"/>
                <w:noProof/>
                <w:webHidden/>
              </w:rPr>
              <w:fldChar w:fldCharType="begin"/>
            </w:r>
            <w:r w:rsidR="005F155F" w:rsidRPr="005F155F">
              <w:rPr>
                <w:rFonts w:ascii="Calibri" w:hAnsi="Calibri" w:cs="Calibri"/>
                <w:noProof/>
                <w:webHidden/>
              </w:rPr>
              <w:instrText xml:space="preserve"> PAGEREF _Toc476301242 \h </w:instrText>
            </w:r>
            <w:r w:rsidR="005F155F" w:rsidRPr="005F155F">
              <w:rPr>
                <w:rFonts w:ascii="Calibri" w:hAnsi="Calibri" w:cs="Calibri"/>
                <w:noProof/>
                <w:webHidden/>
              </w:rPr>
            </w:r>
            <w:r w:rsidR="005F155F" w:rsidRPr="005F155F">
              <w:rPr>
                <w:rFonts w:ascii="Calibri" w:hAnsi="Calibri" w:cs="Calibri"/>
                <w:noProof/>
                <w:webHidden/>
              </w:rPr>
              <w:fldChar w:fldCharType="separate"/>
            </w:r>
            <w:r w:rsidR="005F155F" w:rsidRPr="005F155F">
              <w:rPr>
                <w:rFonts w:ascii="Calibri" w:hAnsi="Calibri" w:cs="Calibri"/>
                <w:noProof/>
                <w:webHidden/>
              </w:rPr>
              <w:t>1</w:t>
            </w:r>
            <w:r w:rsidR="005F155F" w:rsidRPr="005F155F">
              <w:rPr>
                <w:rFonts w:ascii="Calibri" w:hAnsi="Calibri" w:cs="Calibri"/>
                <w:noProof/>
                <w:webHidden/>
              </w:rPr>
              <w:fldChar w:fldCharType="end"/>
            </w:r>
          </w:hyperlink>
        </w:p>
        <w:p w:rsidR="005F155F" w:rsidRPr="005F155F" w:rsidRDefault="009C05CD">
          <w:pPr>
            <w:pStyle w:val="TOC1"/>
            <w:tabs>
              <w:tab w:val="right" w:leader="dot" w:pos="9742"/>
            </w:tabs>
            <w:rPr>
              <w:rFonts w:ascii="Calibri" w:hAnsi="Calibri" w:cs="Calibri"/>
              <w:noProof/>
              <w:sz w:val="22"/>
              <w:lang w:val="en-GB" w:eastAsia="en-GB"/>
            </w:rPr>
          </w:pPr>
          <w:hyperlink w:anchor="_Toc476301243" w:history="1">
            <w:r w:rsidR="005F155F" w:rsidRPr="005F155F">
              <w:rPr>
                <w:rStyle w:val="Hyperlink"/>
                <w:rFonts w:ascii="Calibri" w:hAnsi="Calibri" w:cs="Calibri"/>
                <w:noProof/>
              </w:rPr>
              <w:t>3.    OD Approach</w:t>
            </w:r>
            <w:r w:rsidR="005F155F" w:rsidRPr="005F155F">
              <w:rPr>
                <w:rFonts w:ascii="Calibri" w:hAnsi="Calibri" w:cs="Calibri"/>
                <w:noProof/>
                <w:webHidden/>
              </w:rPr>
              <w:tab/>
            </w:r>
            <w:r w:rsidR="005F155F" w:rsidRPr="005F155F">
              <w:rPr>
                <w:rFonts w:ascii="Calibri" w:hAnsi="Calibri" w:cs="Calibri"/>
                <w:noProof/>
                <w:webHidden/>
              </w:rPr>
              <w:fldChar w:fldCharType="begin"/>
            </w:r>
            <w:r w:rsidR="005F155F" w:rsidRPr="005F155F">
              <w:rPr>
                <w:rFonts w:ascii="Calibri" w:hAnsi="Calibri" w:cs="Calibri"/>
                <w:noProof/>
                <w:webHidden/>
              </w:rPr>
              <w:instrText xml:space="preserve"> PAGEREF _Toc476301243 \h </w:instrText>
            </w:r>
            <w:r w:rsidR="005F155F" w:rsidRPr="005F155F">
              <w:rPr>
                <w:rFonts w:ascii="Calibri" w:hAnsi="Calibri" w:cs="Calibri"/>
                <w:noProof/>
                <w:webHidden/>
              </w:rPr>
            </w:r>
            <w:r w:rsidR="005F155F" w:rsidRPr="005F155F">
              <w:rPr>
                <w:rFonts w:ascii="Calibri" w:hAnsi="Calibri" w:cs="Calibri"/>
                <w:noProof/>
                <w:webHidden/>
              </w:rPr>
              <w:fldChar w:fldCharType="separate"/>
            </w:r>
            <w:r w:rsidR="005F155F" w:rsidRPr="005F155F">
              <w:rPr>
                <w:rFonts w:ascii="Calibri" w:hAnsi="Calibri" w:cs="Calibri"/>
                <w:noProof/>
                <w:webHidden/>
              </w:rPr>
              <w:t>3</w:t>
            </w:r>
            <w:r w:rsidR="005F155F" w:rsidRPr="005F155F">
              <w:rPr>
                <w:rFonts w:ascii="Calibri" w:hAnsi="Calibri" w:cs="Calibri"/>
                <w:noProof/>
                <w:webHidden/>
              </w:rPr>
              <w:fldChar w:fldCharType="end"/>
            </w:r>
          </w:hyperlink>
        </w:p>
        <w:p w:rsidR="005F155F" w:rsidRPr="005F155F" w:rsidRDefault="009C05CD">
          <w:pPr>
            <w:pStyle w:val="TOC1"/>
            <w:tabs>
              <w:tab w:val="right" w:leader="dot" w:pos="9742"/>
            </w:tabs>
            <w:rPr>
              <w:rFonts w:ascii="Calibri" w:hAnsi="Calibri" w:cs="Calibri"/>
              <w:noProof/>
              <w:sz w:val="22"/>
              <w:lang w:val="en-GB" w:eastAsia="en-GB"/>
            </w:rPr>
          </w:pPr>
          <w:hyperlink w:anchor="_Toc476301244" w:history="1">
            <w:r w:rsidR="005F155F" w:rsidRPr="005F155F">
              <w:rPr>
                <w:rStyle w:val="Hyperlink"/>
                <w:rFonts w:ascii="Calibri" w:hAnsi="Calibri" w:cs="Calibri"/>
                <w:noProof/>
              </w:rPr>
              <w:t>4.    West London CCG Membership</w:t>
            </w:r>
            <w:r w:rsidR="005F155F" w:rsidRPr="005F155F">
              <w:rPr>
                <w:rFonts w:ascii="Calibri" w:hAnsi="Calibri" w:cs="Calibri"/>
                <w:noProof/>
                <w:webHidden/>
              </w:rPr>
              <w:tab/>
            </w:r>
            <w:r w:rsidR="005F155F" w:rsidRPr="005F155F">
              <w:rPr>
                <w:rFonts w:ascii="Calibri" w:hAnsi="Calibri" w:cs="Calibri"/>
                <w:noProof/>
                <w:webHidden/>
              </w:rPr>
              <w:fldChar w:fldCharType="begin"/>
            </w:r>
            <w:r w:rsidR="005F155F" w:rsidRPr="005F155F">
              <w:rPr>
                <w:rFonts w:ascii="Calibri" w:hAnsi="Calibri" w:cs="Calibri"/>
                <w:noProof/>
                <w:webHidden/>
              </w:rPr>
              <w:instrText xml:space="preserve"> PAGEREF _Toc476301244 \h </w:instrText>
            </w:r>
            <w:r w:rsidR="005F155F" w:rsidRPr="005F155F">
              <w:rPr>
                <w:rFonts w:ascii="Calibri" w:hAnsi="Calibri" w:cs="Calibri"/>
                <w:noProof/>
                <w:webHidden/>
              </w:rPr>
            </w:r>
            <w:r w:rsidR="005F155F" w:rsidRPr="005F155F">
              <w:rPr>
                <w:rFonts w:ascii="Calibri" w:hAnsi="Calibri" w:cs="Calibri"/>
                <w:noProof/>
                <w:webHidden/>
              </w:rPr>
              <w:fldChar w:fldCharType="separate"/>
            </w:r>
            <w:r w:rsidR="005F155F" w:rsidRPr="005F155F">
              <w:rPr>
                <w:rFonts w:ascii="Calibri" w:hAnsi="Calibri" w:cs="Calibri"/>
                <w:noProof/>
                <w:webHidden/>
              </w:rPr>
              <w:t>3</w:t>
            </w:r>
            <w:r w:rsidR="005F155F" w:rsidRPr="005F155F">
              <w:rPr>
                <w:rFonts w:ascii="Calibri" w:hAnsi="Calibri" w:cs="Calibri"/>
                <w:noProof/>
                <w:webHidden/>
              </w:rPr>
              <w:fldChar w:fldCharType="end"/>
            </w:r>
          </w:hyperlink>
        </w:p>
        <w:p w:rsidR="005F155F" w:rsidRPr="005F155F" w:rsidRDefault="009C05CD">
          <w:pPr>
            <w:pStyle w:val="TOC1"/>
            <w:tabs>
              <w:tab w:val="right" w:leader="dot" w:pos="9742"/>
            </w:tabs>
            <w:rPr>
              <w:rFonts w:ascii="Calibri" w:hAnsi="Calibri" w:cs="Calibri"/>
              <w:noProof/>
              <w:sz w:val="22"/>
              <w:lang w:val="en-GB" w:eastAsia="en-GB"/>
            </w:rPr>
          </w:pPr>
          <w:hyperlink w:anchor="_Toc476301245" w:history="1">
            <w:r w:rsidR="005F155F" w:rsidRPr="005F155F">
              <w:rPr>
                <w:rStyle w:val="Hyperlink"/>
                <w:rFonts w:ascii="Calibri" w:hAnsi="Calibri" w:cs="Calibri"/>
                <w:noProof/>
              </w:rPr>
              <w:t>5.    Governance and Administration</w:t>
            </w:r>
            <w:r w:rsidR="005F155F" w:rsidRPr="005F155F">
              <w:rPr>
                <w:rFonts w:ascii="Calibri" w:hAnsi="Calibri" w:cs="Calibri"/>
                <w:noProof/>
                <w:webHidden/>
              </w:rPr>
              <w:tab/>
            </w:r>
            <w:r w:rsidR="005F155F" w:rsidRPr="005F155F">
              <w:rPr>
                <w:rFonts w:ascii="Calibri" w:hAnsi="Calibri" w:cs="Calibri"/>
                <w:noProof/>
                <w:webHidden/>
              </w:rPr>
              <w:fldChar w:fldCharType="begin"/>
            </w:r>
            <w:r w:rsidR="005F155F" w:rsidRPr="005F155F">
              <w:rPr>
                <w:rFonts w:ascii="Calibri" w:hAnsi="Calibri" w:cs="Calibri"/>
                <w:noProof/>
                <w:webHidden/>
              </w:rPr>
              <w:instrText xml:space="preserve"> PAGEREF _Toc476301245 \h </w:instrText>
            </w:r>
            <w:r w:rsidR="005F155F" w:rsidRPr="005F155F">
              <w:rPr>
                <w:rFonts w:ascii="Calibri" w:hAnsi="Calibri" w:cs="Calibri"/>
                <w:noProof/>
                <w:webHidden/>
              </w:rPr>
            </w:r>
            <w:r w:rsidR="005F155F" w:rsidRPr="005F155F">
              <w:rPr>
                <w:rFonts w:ascii="Calibri" w:hAnsi="Calibri" w:cs="Calibri"/>
                <w:noProof/>
                <w:webHidden/>
              </w:rPr>
              <w:fldChar w:fldCharType="separate"/>
            </w:r>
            <w:r w:rsidR="005F155F" w:rsidRPr="005F155F">
              <w:rPr>
                <w:rFonts w:ascii="Calibri" w:hAnsi="Calibri" w:cs="Calibri"/>
                <w:noProof/>
                <w:webHidden/>
              </w:rPr>
              <w:t>5</w:t>
            </w:r>
            <w:r w:rsidR="005F155F" w:rsidRPr="005F155F">
              <w:rPr>
                <w:rFonts w:ascii="Calibri" w:hAnsi="Calibri" w:cs="Calibri"/>
                <w:noProof/>
                <w:webHidden/>
              </w:rPr>
              <w:fldChar w:fldCharType="end"/>
            </w:r>
          </w:hyperlink>
        </w:p>
        <w:p w:rsidR="00F06D55" w:rsidRDefault="002D1139" w:rsidP="009352B3">
          <w:pPr>
            <w:ind w:left="284" w:right="401"/>
          </w:pPr>
          <w:r w:rsidRPr="005F155F">
            <w:rPr>
              <w:rFonts w:ascii="Calibri" w:eastAsiaTheme="minorEastAsia" w:hAnsi="Calibri" w:cs="Calibri"/>
              <w:lang w:val="en-US" w:eastAsia="ja-JP"/>
            </w:rPr>
            <w:fldChar w:fldCharType="end"/>
          </w:r>
        </w:p>
      </w:sdtContent>
    </w:sdt>
    <w:p w:rsidR="006C7EB3" w:rsidRDefault="006C7EB3" w:rsidP="009352B3">
      <w:pPr>
        <w:ind w:left="284" w:right="401"/>
      </w:pPr>
    </w:p>
    <w:p w:rsidR="00F06D55" w:rsidRDefault="00F06D55" w:rsidP="009352B3">
      <w:pPr>
        <w:ind w:left="284" w:right="401"/>
        <w:sectPr w:rsidR="00F06D55" w:rsidSect="00F35374">
          <w:pgSz w:w="11906" w:h="16838"/>
          <w:pgMar w:top="426" w:right="1077" w:bottom="1361" w:left="1077" w:header="709" w:footer="709" w:gutter="0"/>
          <w:pgNumType w:fmt="lowerRoman" w:start="0"/>
          <w:cols w:space="708"/>
          <w:titlePg/>
          <w:docGrid w:linePitch="360"/>
        </w:sectPr>
      </w:pPr>
    </w:p>
    <w:p w:rsidR="001D2EF6" w:rsidRPr="00933A5B" w:rsidRDefault="001D2EF6" w:rsidP="009352B3">
      <w:pPr>
        <w:pStyle w:val="Heading1"/>
        <w:numPr>
          <w:ilvl w:val="0"/>
          <w:numId w:val="8"/>
        </w:numPr>
        <w:spacing w:before="0" w:after="0"/>
        <w:ind w:left="284" w:right="401" w:firstLine="0"/>
        <w:rPr>
          <w:rFonts w:ascii="Calibri" w:hAnsi="Calibri" w:cs="Calibri"/>
        </w:rPr>
      </w:pPr>
      <w:bookmarkStart w:id="1" w:name="_Toc353453121"/>
      <w:bookmarkStart w:id="2" w:name="_Toc476301090"/>
      <w:bookmarkStart w:id="3" w:name="_Toc476301239"/>
      <w:r w:rsidRPr="00933A5B">
        <w:rPr>
          <w:rFonts w:ascii="Calibri" w:hAnsi="Calibri" w:cs="Calibri"/>
        </w:rPr>
        <w:lastRenderedPageBreak/>
        <w:t xml:space="preserve">Introduction </w:t>
      </w:r>
      <w:bookmarkEnd w:id="1"/>
      <w:r w:rsidRPr="00933A5B">
        <w:rPr>
          <w:rFonts w:ascii="Calibri" w:hAnsi="Calibri" w:cs="Calibri"/>
        </w:rPr>
        <w:t>and Overview</w:t>
      </w:r>
      <w:bookmarkEnd w:id="2"/>
      <w:bookmarkEnd w:id="3"/>
    </w:p>
    <w:p w:rsidR="001D2EF6" w:rsidRPr="009352B3" w:rsidRDefault="001D2EF6" w:rsidP="009352B3">
      <w:pPr>
        <w:pStyle w:val="Heading1"/>
        <w:numPr>
          <w:ilvl w:val="1"/>
          <w:numId w:val="9"/>
        </w:numPr>
        <w:spacing w:before="0" w:after="0"/>
        <w:ind w:left="284" w:right="401" w:firstLine="0"/>
        <w:rPr>
          <w:rFonts w:ascii="Calibri" w:hAnsi="Calibri" w:cs="Calibri"/>
        </w:rPr>
      </w:pPr>
      <w:bookmarkStart w:id="4" w:name="_Toc476301091"/>
      <w:bookmarkStart w:id="5" w:name="_Toc476301240"/>
      <w:r w:rsidRPr="00933A5B">
        <w:rPr>
          <w:rFonts w:ascii="Calibri" w:hAnsi="Calibri" w:cs="Calibri"/>
        </w:rPr>
        <w:t>Purpose of this document</w:t>
      </w:r>
      <w:bookmarkEnd w:id="4"/>
      <w:bookmarkEnd w:id="5"/>
    </w:p>
    <w:p w:rsidR="001D2EF6" w:rsidRPr="00BB34DD" w:rsidRDefault="001D2EF6" w:rsidP="009352B3">
      <w:pPr>
        <w:spacing w:after="0" w:line="240" w:lineRule="auto"/>
        <w:ind w:left="284" w:right="401"/>
        <w:jc w:val="both"/>
        <w:rPr>
          <w:rFonts w:ascii="Calibri" w:hAnsi="Calibri" w:cs="Calibri"/>
          <w:sz w:val="22"/>
        </w:rPr>
      </w:pPr>
      <w:r w:rsidRPr="00BB34DD">
        <w:rPr>
          <w:rFonts w:ascii="Calibri" w:hAnsi="Calibri" w:cs="Calibri"/>
          <w:sz w:val="22"/>
        </w:rPr>
        <w:t xml:space="preserve">The purpose of this Memorandum of Information (MOI) is to provide </w:t>
      </w:r>
      <w:r w:rsidR="009352B3" w:rsidRPr="00BB34DD">
        <w:rPr>
          <w:rFonts w:ascii="Calibri" w:hAnsi="Calibri" w:cs="Calibri"/>
          <w:sz w:val="22"/>
        </w:rPr>
        <w:t xml:space="preserve">potential providers </w:t>
      </w:r>
      <w:r w:rsidRPr="00BB34DD">
        <w:rPr>
          <w:rFonts w:ascii="Calibri" w:hAnsi="Calibri" w:cs="Calibri"/>
          <w:sz w:val="22"/>
        </w:rPr>
        <w:t>with an overview on NHS West London (WL) CC</w:t>
      </w:r>
      <w:r w:rsidR="005B7FBF" w:rsidRPr="00BB34DD">
        <w:rPr>
          <w:rFonts w:ascii="Calibri" w:hAnsi="Calibri" w:cs="Calibri"/>
          <w:sz w:val="22"/>
        </w:rPr>
        <w:t xml:space="preserve">G’s considerations with regards to the </w:t>
      </w:r>
      <w:r w:rsidR="009352B3" w:rsidRPr="00BB34DD">
        <w:rPr>
          <w:rFonts w:ascii="Calibri" w:hAnsi="Calibri" w:cs="Calibri"/>
          <w:sz w:val="22"/>
        </w:rPr>
        <w:t>rapid learning and organisational development process to guide the refinement and attain further improvements in the model of care of the CCG’s My Care, My Way (MCMW) programme of integrated care for the 65 and over.</w:t>
      </w:r>
      <w:r w:rsidR="005B7FBF" w:rsidRPr="00BB34DD">
        <w:rPr>
          <w:rFonts w:ascii="Calibri" w:hAnsi="Calibri" w:cs="Calibri"/>
          <w:sz w:val="22"/>
        </w:rPr>
        <w:t xml:space="preserve"> </w:t>
      </w:r>
    </w:p>
    <w:p w:rsidR="001D2EF6" w:rsidRPr="00BB34DD" w:rsidRDefault="001D2EF6" w:rsidP="009352B3">
      <w:pPr>
        <w:spacing w:after="0" w:line="240" w:lineRule="auto"/>
        <w:ind w:left="284" w:right="401"/>
        <w:rPr>
          <w:rFonts w:ascii="Calibri" w:hAnsi="Calibri" w:cs="Calibri"/>
          <w:sz w:val="22"/>
        </w:rPr>
      </w:pPr>
    </w:p>
    <w:p w:rsidR="00D00070" w:rsidRPr="00BB34DD" w:rsidRDefault="001D2EF6" w:rsidP="009352B3">
      <w:pPr>
        <w:spacing w:after="0" w:line="240" w:lineRule="auto"/>
        <w:ind w:left="284" w:right="401"/>
        <w:rPr>
          <w:rFonts w:ascii="Calibri" w:hAnsi="Calibri" w:cs="Calibri"/>
          <w:sz w:val="22"/>
        </w:rPr>
      </w:pPr>
      <w:r w:rsidRPr="00BB34DD">
        <w:rPr>
          <w:rFonts w:ascii="Calibri" w:hAnsi="Calibri" w:cs="Calibri"/>
          <w:sz w:val="22"/>
        </w:rPr>
        <w:t xml:space="preserve">The MOI is intended only as a preliminary background explanation of </w:t>
      </w:r>
      <w:r w:rsidR="009352B3" w:rsidRPr="00BB34DD">
        <w:rPr>
          <w:rFonts w:ascii="Calibri" w:hAnsi="Calibri" w:cs="Calibri"/>
          <w:sz w:val="22"/>
        </w:rPr>
        <w:t>the MCMW Programme.</w:t>
      </w:r>
      <w:r w:rsidRPr="00BB34DD">
        <w:rPr>
          <w:rFonts w:ascii="Calibri" w:hAnsi="Calibri" w:cs="Calibri"/>
          <w:sz w:val="22"/>
        </w:rPr>
        <w:t xml:space="preserve"> It is in no way intended to form the basis of any decision on the terms upon which WL CCG will enter in to any contractual relationship. This </w:t>
      </w:r>
      <w:r w:rsidR="009352B3" w:rsidRPr="00BB34DD">
        <w:rPr>
          <w:rFonts w:ascii="Calibri" w:hAnsi="Calibri" w:cs="Calibri"/>
          <w:sz w:val="22"/>
        </w:rPr>
        <w:t>MOI</w:t>
      </w:r>
      <w:r w:rsidRPr="00BB34DD">
        <w:rPr>
          <w:rFonts w:ascii="Calibri" w:hAnsi="Calibri" w:cs="Calibri"/>
          <w:sz w:val="22"/>
        </w:rPr>
        <w:t xml:space="preserve"> is supported by further details provided in </w:t>
      </w:r>
      <w:r w:rsidR="000A6555">
        <w:rPr>
          <w:rFonts w:ascii="Calibri" w:hAnsi="Calibri" w:cs="Calibri"/>
          <w:sz w:val="22"/>
        </w:rPr>
        <w:t>the</w:t>
      </w:r>
      <w:r w:rsidRPr="00BB34DD">
        <w:rPr>
          <w:rFonts w:ascii="Calibri" w:hAnsi="Calibri" w:cs="Calibri"/>
          <w:sz w:val="22"/>
        </w:rPr>
        <w:t xml:space="preserve"> draft service specification.</w:t>
      </w:r>
    </w:p>
    <w:p w:rsidR="00933A5B" w:rsidRDefault="00933A5B" w:rsidP="009352B3">
      <w:pPr>
        <w:spacing w:after="0" w:line="240" w:lineRule="auto"/>
        <w:ind w:left="284" w:right="401"/>
        <w:rPr>
          <w:rFonts w:ascii="Calibri" w:hAnsi="Calibri" w:cs="Calibri"/>
          <w:szCs w:val="24"/>
        </w:rPr>
      </w:pPr>
    </w:p>
    <w:p w:rsidR="00E477B0" w:rsidRPr="009352B3" w:rsidRDefault="001D2EF6" w:rsidP="009352B3">
      <w:pPr>
        <w:pStyle w:val="Heading1"/>
        <w:numPr>
          <w:ilvl w:val="1"/>
          <w:numId w:val="8"/>
        </w:numPr>
        <w:spacing w:before="0" w:after="0"/>
        <w:ind w:left="284" w:right="401" w:firstLine="0"/>
        <w:rPr>
          <w:rFonts w:ascii="Calibri" w:hAnsi="Calibri" w:cs="Calibri"/>
        </w:rPr>
      </w:pPr>
      <w:bookmarkStart w:id="6" w:name="_Toc476301092"/>
      <w:bookmarkStart w:id="7" w:name="_Toc476301241"/>
      <w:r w:rsidRPr="00E477B0">
        <w:rPr>
          <w:rFonts w:ascii="Calibri" w:hAnsi="Calibri" w:cs="Calibri"/>
        </w:rPr>
        <w:t>Introduction</w:t>
      </w:r>
      <w:bookmarkEnd w:id="6"/>
      <w:bookmarkEnd w:id="7"/>
      <w:r w:rsidRPr="00E477B0">
        <w:rPr>
          <w:rFonts w:ascii="Calibri" w:hAnsi="Calibri" w:cs="Calibri"/>
        </w:rPr>
        <w:t xml:space="preserve"> </w:t>
      </w:r>
    </w:p>
    <w:p w:rsidR="00BB34DD" w:rsidRPr="00BB34DD" w:rsidRDefault="00BB34DD" w:rsidP="00BB34DD">
      <w:pPr>
        <w:ind w:left="284" w:right="401"/>
        <w:jc w:val="both"/>
        <w:rPr>
          <w:rFonts w:ascii="Calibri" w:eastAsia="Times New Roman" w:hAnsi="Calibri" w:cs="Calibri"/>
          <w:sz w:val="22"/>
          <w:lang w:eastAsia="en-GB"/>
        </w:rPr>
      </w:pPr>
      <w:r w:rsidRPr="00BB34DD">
        <w:rPr>
          <w:rFonts w:ascii="Calibri" w:eastAsia="Times New Roman" w:hAnsi="Calibri" w:cs="Calibri"/>
          <w:sz w:val="22"/>
          <w:lang w:eastAsia="en-GB"/>
        </w:rPr>
        <w:t xml:space="preserve">My Care My Way (MCMW) builds on the CCG Programme around a whole systems model of care working with people aged 65 and over with complex needs and conditions. The person is at the centre of holistic care planning across organisations such as health, social care and the voluntary sector.  This way of working is a better, more coordinated way of providing care for </w:t>
      </w:r>
      <w:r>
        <w:rPr>
          <w:rFonts w:ascii="Calibri" w:eastAsia="Times New Roman" w:hAnsi="Calibri" w:cs="Calibri"/>
          <w:sz w:val="22"/>
          <w:lang w:eastAsia="en-GB"/>
        </w:rPr>
        <w:t xml:space="preserve">the elderly population </w:t>
      </w:r>
      <w:r w:rsidRPr="00BB34DD">
        <w:rPr>
          <w:rFonts w:ascii="Calibri" w:eastAsia="Times New Roman" w:hAnsi="Calibri" w:cs="Calibri"/>
          <w:sz w:val="22"/>
          <w:lang w:eastAsia="en-GB"/>
        </w:rPr>
        <w:t>with long term conditions in West London and requires people with commitment and passion for working with older people.</w:t>
      </w:r>
    </w:p>
    <w:p w:rsidR="00BB34DD" w:rsidRDefault="00BB34DD" w:rsidP="00BB34DD">
      <w:pPr>
        <w:ind w:left="284" w:right="401"/>
        <w:jc w:val="both"/>
        <w:rPr>
          <w:rFonts w:ascii="Calibri" w:hAnsi="Calibri" w:cs="Calibri"/>
          <w:sz w:val="22"/>
        </w:rPr>
      </w:pPr>
      <w:r w:rsidRPr="00BB34DD">
        <w:rPr>
          <w:rFonts w:ascii="Calibri" w:eastAsia="Times New Roman" w:hAnsi="Calibri" w:cs="Calibri"/>
          <w:sz w:val="22"/>
          <w:lang w:eastAsia="en-GB"/>
        </w:rPr>
        <w:t xml:space="preserve">MCMW was developed in response to a number of key national and local drivers including patient feedback, the NHS 5 Year Forward View, increasing demand and the changing health and social care landscape in NW London. It was developed over a 2 year period and has been operational for </w:t>
      </w:r>
      <w:r>
        <w:rPr>
          <w:rFonts w:ascii="Calibri" w:eastAsia="Times New Roman" w:hAnsi="Calibri" w:cs="Calibri"/>
          <w:sz w:val="22"/>
          <w:lang w:eastAsia="en-GB"/>
        </w:rPr>
        <w:t xml:space="preserve">over </w:t>
      </w:r>
      <w:r w:rsidRPr="00BB34DD">
        <w:rPr>
          <w:rFonts w:ascii="Calibri" w:eastAsia="Times New Roman" w:hAnsi="Calibri" w:cs="Calibri"/>
          <w:sz w:val="22"/>
          <w:lang w:eastAsia="en-GB"/>
        </w:rPr>
        <w:t>1</w:t>
      </w:r>
      <w:r>
        <w:rPr>
          <w:rFonts w:ascii="Calibri" w:eastAsia="Times New Roman" w:hAnsi="Calibri" w:cs="Calibri"/>
          <w:sz w:val="22"/>
          <w:lang w:eastAsia="en-GB"/>
        </w:rPr>
        <w:t>5</w:t>
      </w:r>
      <w:r w:rsidRPr="00BB34DD">
        <w:rPr>
          <w:rFonts w:ascii="Calibri" w:eastAsia="Times New Roman" w:hAnsi="Calibri" w:cs="Calibri"/>
          <w:sz w:val="22"/>
          <w:lang w:eastAsia="en-GB"/>
        </w:rPr>
        <w:t xml:space="preserve"> months. </w:t>
      </w:r>
      <w:r w:rsidR="002359ED" w:rsidRPr="00BB34DD">
        <w:rPr>
          <w:rFonts w:ascii="Calibri" w:hAnsi="Calibri" w:cs="Calibri"/>
          <w:sz w:val="22"/>
        </w:rPr>
        <w:t xml:space="preserve">The service aims to deliver an accessible, efficient, service managing the </w:t>
      </w:r>
      <w:r>
        <w:rPr>
          <w:rFonts w:ascii="Calibri" w:hAnsi="Calibri" w:cs="Calibri"/>
          <w:sz w:val="22"/>
        </w:rPr>
        <w:t xml:space="preserve">health and care needs of the frail and elderly population of West London. </w:t>
      </w:r>
    </w:p>
    <w:p w:rsidR="00BB34DD" w:rsidRPr="00BB34DD" w:rsidRDefault="00BB34DD" w:rsidP="00BB34DD">
      <w:pPr>
        <w:ind w:left="284" w:right="401"/>
        <w:jc w:val="both"/>
        <w:rPr>
          <w:rFonts w:ascii="Calibri" w:hAnsi="Calibri" w:cs="Calibri"/>
          <w:sz w:val="22"/>
        </w:rPr>
      </w:pPr>
      <w:r w:rsidRPr="00BB34DD">
        <w:rPr>
          <w:rFonts w:ascii="Calibri" w:hAnsi="Calibri" w:cs="Calibri"/>
          <w:sz w:val="22"/>
        </w:rPr>
        <w:t>My Care My Way (MCMW) is an holistic approach to providing ca</w:t>
      </w:r>
      <w:r>
        <w:rPr>
          <w:rFonts w:ascii="Calibri" w:hAnsi="Calibri" w:cs="Calibri"/>
          <w:sz w:val="22"/>
        </w:rPr>
        <w:t xml:space="preserve">re to people and comprises the </w:t>
      </w:r>
      <w:r w:rsidRPr="00BB34DD">
        <w:rPr>
          <w:rFonts w:ascii="Calibri" w:hAnsi="Calibri" w:cs="Calibri"/>
          <w:sz w:val="22"/>
        </w:rPr>
        <w:t>following key  functions:</w:t>
      </w:r>
    </w:p>
    <w:p w:rsidR="00BB34DD" w:rsidRPr="00BB34DD" w:rsidRDefault="00BB34DD" w:rsidP="00BB34DD">
      <w:pPr>
        <w:pStyle w:val="NoSpacing"/>
        <w:numPr>
          <w:ilvl w:val="0"/>
          <w:numId w:val="38"/>
        </w:numPr>
        <w:ind w:left="1276" w:hanging="283"/>
        <w:rPr>
          <w:rFonts w:ascii="Calibri" w:eastAsiaTheme="minorHAnsi" w:hAnsi="Calibri" w:cs="Calibri"/>
          <w:sz w:val="22"/>
          <w:lang w:val="en-GB" w:eastAsia="en-US"/>
        </w:rPr>
      </w:pPr>
      <w:r w:rsidRPr="00BB34DD">
        <w:rPr>
          <w:rFonts w:ascii="Calibri" w:eastAsiaTheme="minorHAnsi" w:hAnsi="Calibri" w:cs="Calibri"/>
          <w:sz w:val="22"/>
          <w:lang w:val="en-GB" w:eastAsia="en-US"/>
        </w:rPr>
        <w:t>Risk Stratification and selection of appropriate service users for active care planning.</w:t>
      </w:r>
    </w:p>
    <w:p w:rsidR="00BB34DD" w:rsidRPr="00BB34DD" w:rsidRDefault="00BB34DD" w:rsidP="00BB34DD">
      <w:pPr>
        <w:pStyle w:val="NoSpacing"/>
        <w:numPr>
          <w:ilvl w:val="0"/>
          <w:numId w:val="38"/>
        </w:numPr>
        <w:ind w:left="1276" w:hanging="283"/>
        <w:rPr>
          <w:rFonts w:ascii="Calibri" w:eastAsiaTheme="minorHAnsi" w:hAnsi="Calibri" w:cs="Calibri"/>
          <w:sz w:val="22"/>
          <w:lang w:val="en-GB" w:eastAsia="en-US"/>
        </w:rPr>
      </w:pPr>
      <w:r w:rsidRPr="00BB34DD">
        <w:rPr>
          <w:rFonts w:ascii="Calibri" w:eastAsiaTheme="minorHAnsi" w:hAnsi="Calibri" w:cs="Calibri"/>
          <w:sz w:val="22"/>
          <w:lang w:val="en-GB" w:eastAsia="en-US"/>
        </w:rPr>
        <w:t>Holistic assessment for both health, social and wellbeing needs</w:t>
      </w:r>
    </w:p>
    <w:p w:rsidR="00BB34DD" w:rsidRPr="00BB34DD" w:rsidRDefault="00BB34DD" w:rsidP="00BB34DD">
      <w:pPr>
        <w:pStyle w:val="NoSpacing"/>
        <w:numPr>
          <w:ilvl w:val="0"/>
          <w:numId w:val="38"/>
        </w:numPr>
        <w:ind w:left="1276" w:hanging="283"/>
        <w:rPr>
          <w:rFonts w:ascii="Calibri" w:eastAsiaTheme="minorHAnsi" w:hAnsi="Calibri" w:cs="Calibri"/>
          <w:sz w:val="22"/>
          <w:lang w:val="en-GB" w:eastAsia="en-US"/>
        </w:rPr>
      </w:pPr>
      <w:r w:rsidRPr="00BB34DD">
        <w:rPr>
          <w:rFonts w:ascii="Calibri" w:eastAsiaTheme="minorHAnsi" w:hAnsi="Calibri" w:cs="Calibri"/>
          <w:sz w:val="22"/>
          <w:lang w:val="en-GB" w:eastAsia="en-US"/>
        </w:rPr>
        <w:t>Person centred care planning</w:t>
      </w:r>
    </w:p>
    <w:p w:rsidR="00BB34DD" w:rsidRPr="00BB34DD" w:rsidRDefault="00BB34DD" w:rsidP="00BB34DD">
      <w:pPr>
        <w:pStyle w:val="NoSpacing"/>
        <w:numPr>
          <w:ilvl w:val="0"/>
          <w:numId w:val="38"/>
        </w:numPr>
        <w:ind w:left="1276" w:hanging="283"/>
        <w:rPr>
          <w:rFonts w:ascii="Calibri" w:eastAsiaTheme="minorHAnsi" w:hAnsi="Calibri" w:cs="Calibri"/>
          <w:sz w:val="22"/>
          <w:lang w:val="en-GB" w:eastAsia="en-US"/>
        </w:rPr>
      </w:pPr>
      <w:r w:rsidRPr="00BB34DD">
        <w:rPr>
          <w:rFonts w:ascii="Calibri" w:eastAsiaTheme="minorHAnsi" w:hAnsi="Calibri" w:cs="Calibri"/>
          <w:sz w:val="22"/>
          <w:lang w:val="en-GB" w:eastAsia="en-US"/>
        </w:rPr>
        <w:t xml:space="preserve">Care Coordination.  </w:t>
      </w:r>
    </w:p>
    <w:p w:rsidR="00BB34DD" w:rsidRPr="00BB34DD" w:rsidRDefault="00BB34DD" w:rsidP="00BB34DD">
      <w:pPr>
        <w:pStyle w:val="NoSpacing"/>
        <w:numPr>
          <w:ilvl w:val="0"/>
          <w:numId w:val="38"/>
        </w:numPr>
        <w:ind w:left="1276" w:hanging="283"/>
        <w:rPr>
          <w:rFonts w:ascii="Calibri" w:eastAsiaTheme="minorHAnsi" w:hAnsi="Calibri" w:cs="Calibri"/>
          <w:sz w:val="22"/>
          <w:lang w:val="en-GB" w:eastAsia="en-US"/>
        </w:rPr>
      </w:pPr>
      <w:r w:rsidRPr="00BB34DD">
        <w:rPr>
          <w:rFonts w:ascii="Calibri" w:eastAsiaTheme="minorHAnsi" w:hAnsi="Calibri" w:cs="Calibri"/>
          <w:sz w:val="22"/>
          <w:lang w:val="en-GB" w:eastAsia="en-US"/>
        </w:rPr>
        <w:t>Patient centred multidisciplinary team working, supporting appropriate urgent care responses</w:t>
      </w:r>
    </w:p>
    <w:p w:rsidR="00746482" w:rsidRPr="00132372" w:rsidRDefault="008741C6" w:rsidP="009352B3">
      <w:pPr>
        <w:pStyle w:val="Heading1"/>
        <w:numPr>
          <w:ilvl w:val="0"/>
          <w:numId w:val="8"/>
        </w:numPr>
        <w:ind w:left="284" w:right="401" w:firstLine="0"/>
        <w:rPr>
          <w:rFonts w:ascii="Calibri" w:hAnsi="Calibri" w:cs="Calibri"/>
        </w:rPr>
      </w:pPr>
      <w:bookmarkStart w:id="8" w:name="_Toc476301093"/>
      <w:bookmarkStart w:id="9" w:name="_Toc476301242"/>
      <w:r w:rsidRPr="00132372">
        <w:rPr>
          <w:rFonts w:ascii="Calibri" w:hAnsi="Calibri" w:cs="Calibri"/>
        </w:rPr>
        <w:t>Strategic and Local Context</w:t>
      </w:r>
      <w:bookmarkEnd w:id="8"/>
      <w:bookmarkEnd w:id="9"/>
    </w:p>
    <w:p w:rsidR="008741C6" w:rsidRPr="00F35374" w:rsidRDefault="008741C6" w:rsidP="009352B3">
      <w:pPr>
        <w:pStyle w:val="Heading3"/>
        <w:spacing w:before="0" w:line="240" w:lineRule="auto"/>
        <w:ind w:left="284" w:right="401"/>
        <w:rPr>
          <w:rFonts w:ascii="Calibri" w:hAnsi="Calibri" w:cs="Calibri"/>
          <w:b w:val="0"/>
          <w:color w:val="auto"/>
          <w:sz w:val="22"/>
        </w:rPr>
      </w:pPr>
      <w:r w:rsidRPr="00F35374">
        <w:rPr>
          <w:rFonts w:ascii="Calibri" w:hAnsi="Calibri" w:cs="Calibri"/>
          <w:b w:val="0"/>
          <w:color w:val="auto"/>
          <w:sz w:val="22"/>
        </w:rPr>
        <w:t xml:space="preserve">The CCG has taken into consideration national, regional and local strategies and frameworks in the development of </w:t>
      </w:r>
      <w:r w:rsidR="009D70A0" w:rsidRPr="00F35374">
        <w:rPr>
          <w:rFonts w:ascii="Calibri" w:hAnsi="Calibri" w:cs="Calibri"/>
          <w:b w:val="0"/>
          <w:color w:val="auto"/>
          <w:sz w:val="22"/>
        </w:rPr>
        <w:t>i</w:t>
      </w:r>
      <w:r w:rsidR="005B7FBF" w:rsidRPr="00F35374">
        <w:rPr>
          <w:rFonts w:ascii="Calibri" w:hAnsi="Calibri" w:cs="Calibri"/>
          <w:b w:val="0"/>
          <w:color w:val="auto"/>
          <w:sz w:val="22"/>
        </w:rPr>
        <w:t>ts commissioning intentions</w:t>
      </w:r>
      <w:r w:rsidR="009D70A0" w:rsidRPr="00F35374">
        <w:rPr>
          <w:rFonts w:ascii="Calibri" w:hAnsi="Calibri" w:cs="Calibri"/>
          <w:b w:val="0"/>
          <w:color w:val="auto"/>
          <w:sz w:val="22"/>
        </w:rPr>
        <w:t xml:space="preserve">.  </w:t>
      </w:r>
      <w:r w:rsidRPr="00F35374">
        <w:rPr>
          <w:rFonts w:ascii="Calibri" w:hAnsi="Calibri" w:cs="Calibri"/>
          <w:b w:val="0"/>
          <w:color w:val="auto"/>
          <w:sz w:val="22"/>
        </w:rPr>
        <w:t>There are strong and robust strategic drivers for change and key related strategies have been highlighted in this section of the MOI.</w:t>
      </w:r>
    </w:p>
    <w:p w:rsidR="00917BB9" w:rsidRPr="00F35374" w:rsidRDefault="00917BB9" w:rsidP="009352B3">
      <w:pPr>
        <w:pStyle w:val="Heading3"/>
        <w:spacing w:before="0" w:line="240" w:lineRule="auto"/>
        <w:ind w:left="284" w:right="401"/>
        <w:rPr>
          <w:rFonts w:ascii="Calibri" w:hAnsi="Calibri" w:cs="Calibri"/>
          <w:b w:val="0"/>
          <w:color w:val="auto"/>
          <w:sz w:val="22"/>
        </w:rPr>
      </w:pPr>
    </w:p>
    <w:p w:rsidR="008741C6" w:rsidRPr="00F35374" w:rsidRDefault="008741C6" w:rsidP="009352B3">
      <w:pPr>
        <w:pStyle w:val="Heading3"/>
        <w:spacing w:before="0" w:line="240" w:lineRule="auto"/>
        <w:ind w:left="284" w:right="401"/>
        <w:rPr>
          <w:rFonts w:ascii="Calibri" w:hAnsi="Calibri" w:cs="Calibri"/>
          <w:b w:val="0"/>
          <w:color w:val="auto"/>
          <w:sz w:val="22"/>
        </w:rPr>
      </w:pPr>
      <w:r w:rsidRPr="00F35374">
        <w:rPr>
          <w:rFonts w:ascii="Calibri" w:hAnsi="Calibri" w:cs="Calibri"/>
          <w:b w:val="0"/>
          <w:color w:val="auto"/>
          <w:sz w:val="22"/>
        </w:rPr>
        <w:t xml:space="preserve">Over recent years, the NHS has been increasing its focus on improving the provision, access and quality of care provided outside of an acute hospital setting. The key drivers for the development of this service are to provide a local, more accessible, clinical and cost effective service for patients, as set out in </w:t>
      </w:r>
      <w:r w:rsidR="00F11464" w:rsidRPr="00F35374">
        <w:rPr>
          <w:rFonts w:ascii="Calibri" w:hAnsi="Calibri" w:cs="Calibri"/>
          <w:b w:val="0"/>
          <w:color w:val="auto"/>
          <w:sz w:val="22"/>
        </w:rPr>
        <w:t>‘</w:t>
      </w:r>
      <w:r w:rsidRPr="00F35374">
        <w:rPr>
          <w:rFonts w:ascii="Calibri" w:hAnsi="Calibri" w:cs="Calibri"/>
          <w:b w:val="0"/>
          <w:color w:val="auto"/>
          <w:sz w:val="22"/>
        </w:rPr>
        <w:t>Equity and excellence: Liberating the NHS’</w:t>
      </w:r>
      <w:r w:rsidRPr="00F35374">
        <w:rPr>
          <w:rStyle w:val="FootnoteReference"/>
          <w:rFonts w:ascii="Calibri" w:hAnsi="Calibri" w:cs="Calibri"/>
          <w:b w:val="0"/>
          <w:color w:val="auto"/>
          <w:sz w:val="22"/>
        </w:rPr>
        <w:footnoteReference w:id="1"/>
      </w:r>
    </w:p>
    <w:p w:rsidR="008741C6" w:rsidRPr="00132372" w:rsidRDefault="008741C6" w:rsidP="009352B3">
      <w:pPr>
        <w:spacing w:after="0" w:line="240" w:lineRule="auto"/>
        <w:ind w:left="284" w:right="401"/>
        <w:contextualSpacing/>
        <w:rPr>
          <w:rFonts w:ascii="Calibri" w:hAnsi="Calibri" w:cs="Calibri"/>
          <w:szCs w:val="24"/>
        </w:rPr>
      </w:pPr>
    </w:p>
    <w:p w:rsidR="008741C6" w:rsidRPr="00F35374" w:rsidRDefault="008741C6" w:rsidP="009352B3">
      <w:pPr>
        <w:spacing w:after="0" w:line="240" w:lineRule="auto"/>
        <w:ind w:left="284" w:right="401"/>
        <w:contextualSpacing/>
        <w:rPr>
          <w:rFonts w:ascii="Calibri" w:eastAsiaTheme="majorEastAsia" w:hAnsi="Calibri" w:cs="Calibri"/>
          <w:bCs/>
          <w:sz w:val="22"/>
        </w:rPr>
      </w:pPr>
      <w:r w:rsidRPr="00F35374">
        <w:rPr>
          <w:rFonts w:ascii="Calibri" w:eastAsiaTheme="majorEastAsia" w:hAnsi="Calibri" w:cs="Calibri"/>
          <w:bCs/>
          <w:sz w:val="22"/>
        </w:rPr>
        <w:t xml:space="preserve">The recent NHS England Guidance (2013) highlights that in order to meet the needs of our population; it is not possible to maintain the current duplication and fragmentation of care.  The guidance states that; </w:t>
      </w:r>
      <w:r w:rsidRPr="00F35374">
        <w:rPr>
          <w:rFonts w:ascii="Calibri" w:eastAsiaTheme="majorEastAsia" w:hAnsi="Calibri" w:cs="Calibri"/>
          <w:bCs/>
          <w:sz w:val="22"/>
        </w:rPr>
        <w:lastRenderedPageBreak/>
        <w:t>‘without transformational change in how services are delivered, a high quality, yet free at the point of use health service will not be available to future generations.’</w:t>
      </w:r>
      <w:r w:rsidRPr="00F35374">
        <w:rPr>
          <w:rStyle w:val="FootnoteReference"/>
          <w:rFonts w:ascii="Calibri" w:hAnsi="Calibri"/>
          <w:sz w:val="22"/>
        </w:rPr>
        <w:footnoteReference w:id="2"/>
      </w:r>
    </w:p>
    <w:p w:rsidR="00F11464" w:rsidRPr="00F35374" w:rsidRDefault="00F11464" w:rsidP="009352B3">
      <w:pPr>
        <w:spacing w:after="0" w:line="240" w:lineRule="auto"/>
        <w:ind w:left="284" w:right="401"/>
        <w:contextualSpacing/>
        <w:rPr>
          <w:rFonts w:ascii="Calibri" w:eastAsiaTheme="majorEastAsia" w:hAnsi="Calibri" w:cs="Calibri"/>
          <w:bCs/>
          <w:sz w:val="22"/>
        </w:rPr>
      </w:pPr>
    </w:p>
    <w:p w:rsidR="00F11464" w:rsidRPr="00F35374" w:rsidRDefault="00F11464" w:rsidP="009352B3">
      <w:pPr>
        <w:spacing w:before="100" w:beforeAutospacing="1" w:after="100" w:afterAutospacing="1"/>
        <w:ind w:left="284" w:right="401"/>
        <w:jc w:val="both"/>
        <w:rPr>
          <w:rFonts w:ascii="Calibri" w:hAnsi="Calibri" w:cs="Calibri"/>
          <w:sz w:val="22"/>
        </w:rPr>
      </w:pPr>
      <w:r w:rsidRPr="00F35374">
        <w:rPr>
          <w:rFonts w:ascii="Calibri" w:hAnsi="Calibri" w:cs="Calibri"/>
          <w:sz w:val="22"/>
        </w:rPr>
        <w:t>The NHS Five Year Forward View</w:t>
      </w:r>
      <w:r w:rsidRPr="00F35374">
        <w:rPr>
          <w:rStyle w:val="FootnoteReference"/>
          <w:rFonts w:ascii="Calibri" w:hAnsi="Calibri" w:cs="Calibri"/>
          <w:sz w:val="22"/>
        </w:rPr>
        <w:footnoteReference w:id="3"/>
      </w:r>
      <w:r w:rsidRPr="00F35374">
        <w:rPr>
          <w:rFonts w:ascii="Calibri" w:hAnsi="Calibri" w:cs="Calibri"/>
          <w:sz w:val="22"/>
        </w:rPr>
        <w:t xml:space="preserve"> further emphasises the need to break down barriers in how care is provided; with far more care delivered locally, supported by specialist centres for more complex needs. The provision of </w:t>
      </w:r>
      <w:r w:rsidR="00BB34DD" w:rsidRPr="00F35374">
        <w:rPr>
          <w:rFonts w:ascii="Calibri" w:hAnsi="Calibri" w:cs="Calibri"/>
          <w:sz w:val="22"/>
        </w:rPr>
        <w:t xml:space="preserve">integrated </w:t>
      </w:r>
      <w:r w:rsidRPr="00F35374">
        <w:rPr>
          <w:rFonts w:ascii="Calibri" w:hAnsi="Calibri" w:cs="Calibri"/>
          <w:sz w:val="22"/>
        </w:rPr>
        <w:t>services in the community is a step towards meeting this objective of care closer to patients and primary care. This has significant benefits; providing a more convenient service to patients and helping to relieve the pressure on secondary care services, focusing</w:t>
      </w:r>
      <w:r w:rsidR="00BB34DD" w:rsidRPr="00F35374">
        <w:rPr>
          <w:rFonts w:ascii="Calibri" w:hAnsi="Calibri" w:cs="Calibri"/>
          <w:sz w:val="22"/>
        </w:rPr>
        <w:t xml:space="preserve"> on patients with </w:t>
      </w:r>
      <w:r w:rsidRPr="00F35374">
        <w:rPr>
          <w:rFonts w:ascii="Calibri" w:hAnsi="Calibri" w:cs="Calibri"/>
          <w:sz w:val="22"/>
        </w:rPr>
        <w:t xml:space="preserve">the most complex </w:t>
      </w:r>
      <w:r w:rsidR="00BB34DD" w:rsidRPr="00F35374">
        <w:rPr>
          <w:rFonts w:ascii="Calibri" w:hAnsi="Calibri" w:cs="Calibri"/>
          <w:sz w:val="22"/>
        </w:rPr>
        <w:t>health and care needs</w:t>
      </w:r>
      <w:r w:rsidRPr="00F35374">
        <w:rPr>
          <w:rFonts w:ascii="Calibri" w:hAnsi="Calibri" w:cs="Calibri"/>
          <w:sz w:val="22"/>
        </w:rPr>
        <w:t xml:space="preserve">. Patient </w:t>
      </w:r>
      <w:r w:rsidR="00BB34DD" w:rsidRPr="00F35374">
        <w:rPr>
          <w:rFonts w:ascii="Calibri" w:hAnsi="Calibri" w:cs="Calibri"/>
          <w:sz w:val="22"/>
        </w:rPr>
        <w:t xml:space="preserve">&amp; carer </w:t>
      </w:r>
      <w:r w:rsidRPr="00F35374">
        <w:rPr>
          <w:rFonts w:ascii="Calibri" w:hAnsi="Calibri" w:cs="Calibri"/>
          <w:sz w:val="22"/>
        </w:rPr>
        <w:t>feedback</w:t>
      </w:r>
      <w:r w:rsidR="00BB34DD" w:rsidRPr="00F35374">
        <w:rPr>
          <w:rFonts w:ascii="Calibri" w:hAnsi="Calibri" w:cs="Calibri"/>
          <w:sz w:val="22"/>
        </w:rPr>
        <w:t xml:space="preserve">, along with staff surveys </w:t>
      </w:r>
      <w:r w:rsidRPr="00F35374">
        <w:rPr>
          <w:rFonts w:ascii="Calibri" w:hAnsi="Calibri" w:cs="Calibri"/>
          <w:sz w:val="22"/>
        </w:rPr>
        <w:t xml:space="preserve">indicate high </w:t>
      </w:r>
      <w:r w:rsidR="00BB34DD" w:rsidRPr="00F35374">
        <w:rPr>
          <w:rFonts w:ascii="Calibri" w:hAnsi="Calibri" w:cs="Calibri"/>
          <w:sz w:val="22"/>
        </w:rPr>
        <w:t xml:space="preserve">levels of </w:t>
      </w:r>
      <w:r w:rsidRPr="00F35374">
        <w:rPr>
          <w:rFonts w:ascii="Calibri" w:hAnsi="Calibri" w:cs="Calibri"/>
          <w:sz w:val="22"/>
        </w:rPr>
        <w:t xml:space="preserve">satisfaction by </w:t>
      </w:r>
      <w:r w:rsidR="00BB34DD" w:rsidRPr="00F35374">
        <w:rPr>
          <w:rFonts w:ascii="Calibri" w:hAnsi="Calibri" w:cs="Calibri"/>
          <w:sz w:val="22"/>
        </w:rPr>
        <w:t xml:space="preserve">both the service users and providers. </w:t>
      </w:r>
    </w:p>
    <w:p w:rsidR="00F11464" w:rsidRPr="00F35374" w:rsidRDefault="002026CE" w:rsidP="009352B3">
      <w:pPr>
        <w:autoSpaceDE w:val="0"/>
        <w:autoSpaceDN w:val="0"/>
        <w:adjustRightInd w:val="0"/>
        <w:ind w:left="284" w:right="401"/>
        <w:jc w:val="both"/>
        <w:rPr>
          <w:rFonts w:ascii="Calibri" w:hAnsi="Calibri" w:cs="Calibri"/>
          <w:b/>
          <w:sz w:val="28"/>
          <w:szCs w:val="28"/>
        </w:rPr>
      </w:pPr>
      <w:r w:rsidRPr="00F35374">
        <w:rPr>
          <w:rFonts w:ascii="Calibri" w:hAnsi="Calibri" w:cs="Calibri"/>
          <w:b/>
          <w:color w:val="000000"/>
          <w:sz w:val="28"/>
          <w:szCs w:val="28"/>
        </w:rPr>
        <w:t xml:space="preserve">2.1 </w:t>
      </w:r>
      <w:r w:rsidR="00F11464" w:rsidRPr="00F35374">
        <w:rPr>
          <w:rFonts w:ascii="Calibri" w:hAnsi="Calibri" w:cs="Calibri"/>
          <w:b/>
          <w:color w:val="000000"/>
          <w:sz w:val="28"/>
          <w:szCs w:val="28"/>
        </w:rPr>
        <w:t>Local Drivers for Change</w:t>
      </w:r>
    </w:p>
    <w:p w:rsidR="00F11464" w:rsidRPr="00F35374" w:rsidRDefault="00F11464" w:rsidP="009352B3">
      <w:pPr>
        <w:spacing w:before="120" w:after="240"/>
        <w:ind w:left="284" w:right="401"/>
        <w:jc w:val="both"/>
        <w:rPr>
          <w:rFonts w:ascii="Calibri" w:hAnsi="Calibri" w:cs="Calibri"/>
          <w:color w:val="000000"/>
          <w:sz w:val="22"/>
        </w:rPr>
      </w:pPr>
      <w:r w:rsidRPr="00F35374">
        <w:rPr>
          <w:rFonts w:ascii="Calibri" w:hAnsi="Calibri" w:cs="Calibri"/>
          <w:color w:val="000000"/>
          <w:sz w:val="22"/>
        </w:rPr>
        <w:t>The local drivers underpinning the need to transform clinical services in the borough of West London include:</w:t>
      </w:r>
    </w:p>
    <w:p w:rsidR="00F35374" w:rsidRDefault="00F35374" w:rsidP="00F35374">
      <w:pPr>
        <w:pStyle w:val="ListParagraph"/>
        <w:numPr>
          <w:ilvl w:val="0"/>
          <w:numId w:val="39"/>
        </w:numPr>
        <w:tabs>
          <w:tab w:val="left" w:pos="9498"/>
        </w:tabs>
        <w:spacing w:after="0" w:line="240" w:lineRule="auto"/>
        <w:ind w:right="401"/>
        <w:jc w:val="both"/>
        <w:rPr>
          <w:rFonts w:ascii="Calibri" w:hAnsi="Calibri" w:cs="Calibri"/>
          <w:color w:val="000000"/>
          <w:sz w:val="22"/>
        </w:rPr>
      </w:pPr>
      <w:r w:rsidRPr="00F35374">
        <w:rPr>
          <w:rFonts w:ascii="Calibri" w:hAnsi="Calibri" w:cs="Calibri"/>
          <w:color w:val="000000"/>
          <w:sz w:val="22"/>
        </w:rPr>
        <w:t xml:space="preserve">West London CCG and its Partners have a vision for health and care, Putting Patients First (PPF) is WLCCG’s key vehicle for delivering integrated services. </w:t>
      </w:r>
    </w:p>
    <w:p w:rsidR="00F35374" w:rsidRDefault="00F35374" w:rsidP="00F35374">
      <w:pPr>
        <w:pStyle w:val="ListParagraph"/>
        <w:numPr>
          <w:ilvl w:val="0"/>
          <w:numId w:val="39"/>
        </w:numPr>
        <w:tabs>
          <w:tab w:val="left" w:pos="9498"/>
        </w:tabs>
        <w:spacing w:after="0" w:line="240" w:lineRule="auto"/>
        <w:ind w:right="401"/>
        <w:jc w:val="both"/>
        <w:rPr>
          <w:rFonts w:ascii="Calibri" w:hAnsi="Calibri" w:cs="Calibri"/>
          <w:color w:val="000000"/>
          <w:sz w:val="22"/>
        </w:rPr>
      </w:pPr>
      <w:r w:rsidRPr="00F35374">
        <w:rPr>
          <w:rFonts w:ascii="Calibri" w:hAnsi="Calibri" w:cs="Calibri"/>
          <w:color w:val="000000"/>
          <w:sz w:val="22"/>
        </w:rPr>
        <w:t xml:space="preserve">PPF is an integrated approach to managing frail and vulnerable patients through the principles of care planning, case management and multi-disciplinary team working. </w:t>
      </w:r>
    </w:p>
    <w:p w:rsidR="00F35374" w:rsidRDefault="00F35374" w:rsidP="00F35374">
      <w:pPr>
        <w:pStyle w:val="ListParagraph"/>
        <w:numPr>
          <w:ilvl w:val="0"/>
          <w:numId w:val="39"/>
        </w:numPr>
        <w:tabs>
          <w:tab w:val="left" w:pos="9498"/>
        </w:tabs>
        <w:spacing w:after="0" w:line="240" w:lineRule="auto"/>
        <w:ind w:right="401"/>
        <w:jc w:val="both"/>
        <w:rPr>
          <w:rFonts w:ascii="Calibri" w:hAnsi="Calibri" w:cs="Calibri"/>
          <w:color w:val="000000"/>
          <w:sz w:val="22"/>
        </w:rPr>
      </w:pPr>
      <w:r>
        <w:rPr>
          <w:rFonts w:ascii="Calibri" w:hAnsi="Calibri" w:cs="Calibri"/>
          <w:color w:val="000000"/>
          <w:sz w:val="22"/>
        </w:rPr>
        <w:t>I</w:t>
      </w:r>
      <w:r w:rsidRPr="00F35374">
        <w:rPr>
          <w:rFonts w:ascii="Calibri" w:hAnsi="Calibri" w:cs="Calibri"/>
          <w:color w:val="000000"/>
          <w:sz w:val="22"/>
        </w:rPr>
        <w:t xml:space="preserve">t ensures that care provided for patients is seamless with joined up working between all professionals, involving clear communication to ensure that patients understand their condition, treatment plan and options for self-management, where appropriate. </w:t>
      </w:r>
    </w:p>
    <w:p w:rsidR="00F35374" w:rsidRDefault="00F35374" w:rsidP="00F35374">
      <w:pPr>
        <w:pStyle w:val="ListParagraph"/>
        <w:numPr>
          <w:ilvl w:val="0"/>
          <w:numId w:val="39"/>
        </w:numPr>
        <w:tabs>
          <w:tab w:val="left" w:pos="9498"/>
        </w:tabs>
        <w:spacing w:after="0" w:line="240" w:lineRule="auto"/>
        <w:ind w:right="401"/>
        <w:jc w:val="both"/>
        <w:rPr>
          <w:rFonts w:ascii="Calibri" w:hAnsi="Calibri" w:cs="Calibri"/>
          <w:color w:val="000000"/>
          <w:sz w:val="22"/>
        </w:rPr>
      </w:pPr>
      <w:r w:rsidRPr="00F35374">
        <w:rPr>
          <w:rFonts w:ascii="Calibri" w:hAnsi="Calibri" w:cs="Calibri"/>
          <w:color w:val="000000"/>
          <w:sz w:val="22"/>
        </w:rPr>
        <w:t xml:space="preserve">It enables patients to be stepped up and down seamlessly between any episodes of urgent care and planned or proactive managed care. These same principles form the basis of </w:t>
      </w:r>
      <w:r>
        <w:rPr>
          <w:rFonts w:ascii="Calibri" w:hAnsi="Calibri" w:cs="Calibri"/>
          <w:color w:val="000000"/>
          <w:sz w:val="22"/>
        </w:rPr>
        <w:t>MCMW</w:t>
      </w:r>
      <w:r w:rsidRPr="00F35374">
        <w:rPr>
          <w:rFonts w:ascii="Calibri" w:hAnsi="Calibri" w:cs="Calibri"/>
          <w:color w:val="000000"/>
          <w:sz w:val="22"/>
        </w:rPr>
        <w:t xml:space="preserve"> Programme which is an Integrated Care model of care which focusses on those over the age of 65. </w:t>
      </w:r>
    </w:p>
    <w:p w:rsidR="00F35374" w:rsidRDefault="00F35374" w:rsidP="009352B3">
      <w:pPr>
        <w:tabs>
          <w:tab w:val="left" w:pos="9498"/>
        </w:tabs>
        <w:spacing w:after="0" w:line="240" w:lineRule="auto"/>
        <w:ind w:left="284" w:right="401"/>
        <w:jc w:val="both"/>
        <w:rPr>
          <w:rFonts w:ascii="Calibri" w:hAnsi="Calibri" w:cs="Calibri"/>
          <w:color w:val="000000"/>
          <w:szCs w:val="24"/>
        </w:rPr>
      </w:pPr>
    </w:p>
    <w:p w:rsidR="00F35374" w:rsidRPr="00F35374" w:rsidRDefault="00F35374" w:rsidP="00F35374">
      <w:pPr>
        <w:autoSpaceDE w:val="0"/>
        <w:autoSpaceDN w:val="0"/>
        <w:adjustRightInd w:val="0"/>
        <w:ind w:left="284" w:right="401"/>
        <w:jc w:val="both"/>
        <w:rPr>
          <w:rFonts w:ascii="Calibri" w:hAnsi="Calibri" w:cs="Calibri"/>
          <w:b/>
          <w:sz w:val="28"/>
          <w:szCs w:val="28"/>
        </w:rPr>
      </w:pPr>
      <w:r>
        <w:rPr>
          <w:rFonts w:ascii="Calibri" w:hAnsi="Calibri" w:cs="Calibri"/>
          <w:b/>
          <w:color w:val="000000"/>
          <w:sz w:val="28"/>
          <w:szCs w:val="28"/>
        </w:rPr>
        <w:t>2.2</w:t>
      </w:r>
      <w:r w:rsidRPr="00F35374">
        <w:rPr>
          <w:rFonts w:ascii="Calibri" w:hAnsi="Calibri" w:cs="Calibri"/>
          <w:b/>
          <w:color w:val="000000"/>
          <w:sz w:val="28"/>
          <w:szCs w:val="28"/>
        </w:rPr>
        <w:t xml:space="preserve"> </w:t>
      </w:r>
      <w:r>
        <w:rPr>
          <w:rFonts w:ascii="Calibri" w:hAnsi="Calibri" w:cs="Calibri"/>
          <w:b/>
          <w:color w:val="000000"/>
          <w:sz w:val="28"/>
          <w:szCs w:val="28"/>
        </w:rPr>
        <w:t>MCMW Model of Care</w:t>
      </w:r>
    </w:p>
    <w:p w:rsidR="00F35374" w:rsidRPr="00F35374" w:rsidRDefault="00F35374" w:rsidP="00F35374">
      <w:pPr>
        <w:tabs>
          <w:tab w:val="left" w:pos="9498"/>
        </w:tabs>
        <w:spacing w:after="0" w:line="240" w:lineRule="auto"/>
        <w:ind w:left="284" w:right="401"/>
        <w:jc w:val="both"/>
        <w:rPr>
          <w:rFonts w:ascii="Calibri" w:hAnsi="Calibri" w:cs="Calibri"/>
          <w:color w:val="000000"/>
          <w:sz w:val="22"/>
        </w:rPr>
      </w:pPr>
      <w:r w:rsidRPr="00F35374">
        <w:rPr>
          <w:rFonts w:ascii="Calibri" w:hAnsi="Calibri" w:cs="Calibri"/>
          <w:color w:val="000000"/>
          <w:sz w:val="22"/>
        </w:rPr>
        <w:t xml:space="preserve">The MCMW model of care is a new way of working that brings together multi-agencies across health, social care and the 3rd sector. The key is to provide seamless services to people 65 and over living within the West London area, enabling them to remain as independent for as long as possible whilst achieving outcomes that are important to them. Through single assessment, central support/care planning and co-ordination, people will be able to access their own support/care plan and actively contribute to shaping the services that will be delivered to enable them to manage their health and care needs. </w:t>
      </w:r>
    </w:p>
    <w:p w:rsidR="00F35374" w:rsidRDefault="00F35374" w:rsidP="00F35374">
      <w:pPr>
        <w:tabs>
          <w:tab w:val="left" w:pos="9498"/>
        </w:tabs>
        <w:spacing w:after="0" w:line="240" w:lineRule="auto"/>
        <w:ind w:left="284" w:right="401"/>
        <w:jc w:val="both"/>
        <w:rPr>
          <w:rFonts w:ascii="Calibri" w:hAnsi="Calibri" w:cs="Calibri"/>
          <w:color w:val="000000"/>
          <w:sz w:val="22"/>
        </w:rPr>
      </w:pPr>
    </w:p>
    <w:p w:rsidR="00CE1416" w:rsidRDefault="00F35374" w:rsidP="00CE1416">
      <w:pPr>
        <w:tabs>
          <w:tab w:val="left" w:pos="9498"/>
        </w:tabs>
        <w:spacing w:after="0" w:line="240" w:lineRule="auto"/>
        <w:ind w:left="284" w:right="401"/>
        <w:jc w:val="center"/>
        <w:rPr>
          <w:rFonts w:ascii="Calibri" w:hAnsi="Calibri" w:cs="Calibri"/>
          <w:color w:val="000000"/>
          <w:sz w:val="22"/>
        </w:rPr>
      </w:pPr>
      <w:r>
        <w:rPr>
          <w:rFonts w:ascii="Arial" w:hAnsi="Arial" w:cs="Arial"/>
          <w:noProof/>
          <w:lang w:eastAsia="en-GB"/>
        </w:rPr>
        <w:drawing>
          <wp:inline distT="0" distB="0" distL="0" distR="0" wp14:anchorId="4AC9FD30" wp14:editId="19C7D400">
            <wp:extent cx="3790950" cy="249773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90950" cy="2497739"/>
                    </a:xfrm>
                    <a:prstGeom prst="rect">
                      <a:avLst/>
                    </a:prstGeom>
                    <a:noFill/>
                  </pic:spPr>
                </pic:pic>
              </a:graphicData>
            </a:graphic>
          </wp:inline>
        </w:drawing>
      </w:r>
    </w:p>
    <w:p w:rsidR="00132372" w:rsidRDefault="00F35374" w:rsidP="00CE1416">
      <w:pPr>
        <w:tabs>
          <w:tab w:val="left" w:pos="9498"/>
        </w:tabs>
        <w:spacing w:after="0" w:line="240" w:lineRule="auto"/>
        <w:ind w:left="284" w:right="401"/>
        <w:rPr>
          <w:rFonts w:ascii="Calibri" w:hAnsi="Calibri" w:cs="Calibri"/>
          <w:color w:val="000000"/>
          <w:sz w:val="22"/>
        </w:rPr>
      </w:pPr>
      <w:r>
        <w:rPr>
          <w:rFonts w:ascii="Calibri" w:hAnsi="Calibri" w:cs="Calibri"/>
          <w:color w:val="000000"/>
          <w:sz w:val="22"/>
        </w:rPr>
        <w:lastRenderedPageBreak/>
        <w:t>I</w:t>
      </w:r>
      <w:r w:rsidRPr="00F35374">
        <w:rPr>
          <w:rFonts w:ascii="Calibri" w:hAnsi="Calibri" w:cs="Calibri"/>
          <w:color w:val="000000"/>
          <w:sz w:val="22"/>
        </w:rPr>
        <w:t xml:space="preserve">n order for the </w:t>
      </w:r>
      <w:r>
        <w:rPr>
          <w:rFonts w:ascii="Calibri" w:hAnsi="Calibri" w:cs="Calibri"/>
          <w:color w:val="000000"/>
          <w:sz w:val="22"/>
        </w:rPr>
        <w:t xml:space="preserve">programme </w:t>
      </w:r>
      <w:r w:rsidRPr="00F35374">
        <w:rPr>
          <w:rFonts w:ascii="Calibri" w:hAnsi="Calibri" w:cs="Calibri"/>
          <w:color w:val="000000"/>
          <w:sz w:val="22"/>
        </w:rPr>
        <w:t xml:space="preserve">to function in an integrated way it is necessary for teams to be co-located which will encourage services to work together through day to day interaction and multi-disciplinary team meetings. St Charles is ideally located given the services that are already operating out of the building e.g. X ray, cardiology, respiratory, diabetes, phlebotomy, podiatry, voluntary services and older peoples’ day activities to name but a few. </w:t>
      </w:r>
      <w:r>
        <w:rPr>
          <w:rFonts w:ascii="Calibri" w:hAnsi="Calibri" w:cs="Calibri"/>
          <w:color w:val="000000"/>
          <w:sz w:val="22"/>
        </w:rPr>
        <w:t xml:space="preserve">Similar range of services is also available at the other ICC hub at Violet </w:t>
      </w:r>
      <w:proofErr w:type="spellStart"/>
      <w:r>
        <w:rPr>
          <w:rFonts w:ascii="Calibri" w:hAnsi="Calibri" w:cs="Calibri"/>
          <w:color w:val="000000"/>
          <w:sz w:val="22"/>
        </w:rPr>
        <w:t>Melchett</w:t>
      </w:r>
      <w:proofErr w:type="spellEnd"/>
      <w:r>
        <w:rPr>
          <w:rFonts w:ascii="Calibri" w:hAnsi="Calibri" w:cs="Calibri"/>
          <w:color w:val="000000"/>
          <w:sz w:val="22"/>
        </w:rPr>
        <w:t xml:space="preserve"> health centre. </w:t>
      </w:r>
    </w:p>
    <w:p w:rsidR="00B34A8A" w:rsidRDefault="00B34A8A" w:rsidP="00CE1416">
      <w:pPr>
        <w:spacing w:after="0" w:line="240" w:lineRule="auto"/>
        <w:ind w:right="401"/>
        <w:contextualSpacing/>
        <w:rPr>
          <w:rFonts w:ascii="Calibri" w:hAnsi="Calibri" w:cs="Calibri"/>
        </w:rPr>
      </w:pPr>
    </w:p>
    <w:p w:rsidR="00E77CFC" w:rsidRPr="00CE1416" w:rsidRDefault="00B34A8A" w:rsidP="00CE1416">
      <w:pPr>
        <w:pStyle w:val="Heading1"/>
        <w:tabs>
          <w:tab w:val="left" w:pos="709"/>
        </w:tabs>
        <w:spacing w:before="0" w:after="0"/>
        <w:ind w:left="284" w:right="401"/>
        <w:rPr>
          <w:rFonts w:ascii="Calibri" w:hAnsi="Calibri" w:cs="Calibri"/>
        </w:rPr>
      </w:pPr>
      <w:bookmarkStart w:id="10" w:name="_Toc476301094"/>
      <w:bookmarkStart w:id="11" w:name="_Toc476301243"/>
      <w:r w:rsidRPr="00CE1416">
        <w:rPr>
          <w:rFonts w:ascii="Calibri" w:hAnsi="Calibri" w:cs="Calibri"/>
        </w:rPr>
        <w:t>3</w:t>
      </w:r>
      <w:r w:rsidR="00CE1416">
        <w:rPr>
          <w:rFonts w:ascii="Calibri" w:hAnsi="Calibri" w:cs="Calibri"/>
        </w:rPr>
        <w:t>.</w:t>
      </w:r>
      <w:r w:rsidRPr="00CE1416">
        <w:rPr>
          <w:rFonts w:ascii="Calibri" w:hAnsi="Calibri" w:cs="Calibri"/>
        </w:rPr>
        <w:t xml:space="preserve"> </w:t>
      </w:r>
      <w:r w:rsidR="00CE1416">
        <w:rPr>
          <w:rFonts w:ascii="Calibri" w:hAnsi="Calibri" w:cs="Calibri"/>
        </w:rPr>
        <w:t xml:space="preserve">   </w:t>
      </w:r>
      <w:r w:rsidR="00CE1416" w:rsidRPr="00CE1416">
        <w:rPr>
          <w:rFonts w:ascii="Calibri" w:hAnsi="Calibri" w:cs="Calibri"/>
        </w:rPr>
        <w:t>OD Approach</w:t>
      </w:r>
      <w:bookmarkEnd w:id="10"/>
      <w:bookmarkEnd w:id="11"/>
    </w:p>
    <w:p w:rsidR="00B34A8A" w:rsidRDefault="00B34A8A" w:rsidP="009352B3">
      <w:pPr>
        <w:spacing w:after="0" w:line="240" w:lineRule="auto"/>
        <w:ind w:left="284" w:right="401"/>
        <w:jc w:val="both"/>
        <w:rPr>
          <w:rFonts w:ascii="Calibri" w:hAnsi="Calibri" w:cs="Calibri"/>
          <w:b/>
          <w:color w:val="000000"/>
          <w:szCs w:val="24"/>
        </w:rPr>
      </w:pPr>
    </w:p>
    <w:p w:rsidR="00CE1416" w:rsidRPr="00CE1416" w:rsidRDefault="00CE1416" w:rsidP="00CE1416">
      <w:pPr>
        <w:spacing w:after="0" w:line="240" w:lineRule="auto"/>
        <w:ind w:left="284" w:right="401"/>
        <w:jc w:val="both"/>
        <w:rPr>
          <w:rFonts w:ascii="Calibri" w:hAnsi="Calibri" w:cs="Calibri"/>
          <w:color w:val="000000"/>
          <w:sz w:val="22"/>
        </w:rPr>
      </w:pPr>
      <w:r w:rsidRPr="00CE1416">
        <w:rPr>
          <w:rFonts w:ascii="Calibri" w:hAnsi="Calibri" w:cs="Calibri"/>
          <w:color w:val="000000"/>
          <w:sz w:val="22"/>
        </w:rPr>
        <w:t xml:space="preserve">The overarching objectives of the OD approach are: </w:t>
      </w:r>
    </w:p>
    <w:p w:rsidR="00CE1416" w:rsidRPr="00CE1416" w:rsidRDefault="00CE1416" w:rsidP="00CE1416">
      <w:pPr>
        <w:spacing w:after="0" w:line="240" w:lineRule="auto"/>
        <w:ind w:left="284" w:right="401"/>
        <w:jc w:val="both"/>
        <w:rPr>
          <w:rFonts w:ascii="Calibri" w:hAnsi="Calibri" w:cs="Calibri"/>
          <w:color w:val="000000"/>
          <w:sz w:val="22"/>
        </w:rPr>
      </w:pPr>
    </w:p>
    <w:p w:rsidR="00CE1416" w:rsidRPr="00CE1416" w:rsidRDefault="00CE1416" w:rsidP="00CE1416">
      <w:pPr>
        <w:numPr>
          <w:ilvl w:val="0"/>
          <w:numId w:val="40"/>
        </w:numPr>
        <w:spacing w:after="0" w:line="240" w:lineRule="auto"/>
        <w:ind w:right="401"/>
        <w:jc w:val="both"/>
        <w:rPr>
          <w:rFonts w:ascii="Calibri" w:hAnsi="Calibri" w:cs="Calibri"/>
          <w:color w:val="000000"/>
          <w:sz w:val="22"/>
        </w:rPr>
      </w:pPr>
      <w:r w:rsidRPr="00CE1416">
        <w:rPr>
          <w:rFonts w:ascii="Calibri" w:hAnsi="Calibri" w:cs="Calibri"/>
          <w:color w:val="000000"/>
          <w:sz w:val="22"/>
        </w:rPr>
        <w:t>To create and open and honest culture which supports people to be courageous in delivering better health outcomes</w:t>
      </w:r>
    </w:p>
    <w:p w:rsidR="00CE1416" w:rsidRPr="00CE1416" w:rsidRDefault="00CE1416" w:rsidP="00CE1416">
      <w:pPr>
        <w:numPr>
          <w:ilvl w:val="0"/>
          <w:numId w:val="40"/>
        </w:numPr>
        <w:spacing w:after="0" w:line="240" w:lineRule="auto"/>
        <w:ind w:right="401"/>
        <w:jc w:val="both"/>
        <w:rPr>
          <w:rFonts w:ascii="Calibri" w:hAnsi="Calibri" w:cs="Calibri"/>
          <w:color w:val="000000"/>
          <w:sz w:val="22"/>
        </w:rPr>
      </w:pPr>
      <w:r w:rsidRPr="00CE1416">
        <w:rPr>
          <w:rFonts w:ascii="Calibri" w:hAnsi="Calibri" w:cs="Calibri"/>
          <w:color w:val="000000"/>
          <w:sz w:val="22"/>
        </w:rPr>
        <w:t>Every individual member of the My Care My Way team and the wider community partners to understand their role and work towards a common purpose</w:t>
      </w:r>
    </w:p>
    <w:p w:rsidR="00CE1416" w:rsidRPr="00CE1416" w:rsidRDefault="00CE1416" w:rsidP="00CE1416">
      <w:pPr>
        <w:numPr>
          <w:ilvl w:val="0"/>
          <w:numId w:val="40"/>
        </w:numPr>
        <w:spacing w:after="0" w:line="240" w:lineRule="auto"/>
        <w:ind w:right="401"/>
        <w:jc w:val="both"/>
        <w:rPr>
          <w:rFonts w:ascii="Calibri" w:hAnsi="Calibri" w:cs="Calibri"/>
          <w:color w:val="000000"/>
          <w:sz w:val="22"/>
        </w:rPr>
      </w:pPr>
      <w:r w:rsidRPr="00CE1416">
        <w:rPr>
          <w:rFonts w:ascii="Calibri" w:hAnsi="Calibri" w:cs="Calibri"/>
          <w:color w:val="000000"/>
          <w:sz w:val="22"/>
        </w:rPr>
        <w:t>The organisational structure of the My Care My Way programme is clear and meets the highest standards of governance and enables WLCCG to achieve its strategic vision.</w:t>
      </w:r>
    </w:p>
    <w:p w:rsidR="00820314" w:rsidRDefault="00CE1416" w:rsidP="00820314">
      <w:pPr>
        <w:numPr>
          <w:ilvl w:val="0"/>
          <w:numId w:val="40"/>
        </w:numPr>
        <w:spacing w:after="0" w:line="240" w:lineRule="auto"/>
        <w:ind w:right="401"/>
        <w:jc w:val="both"/>
        <w:rPr>
          <w:rFonts w:ascii="Calibri" w:hAnsi="Calibri" w:cs="Calibri"/>
          <w:color w:val="000000"/>
          <w:sz w:val="22"/>
        </w:rPr>
      </w:pPr>
      <w:r w:rsidRPr="00CE1416">
        <w:rPr>
          <w:rFonts w:ascii="Calibri" w:hAnsi="Calibri" w:cs="Calibri"/>
          <w:color w:val="000000"/>
          <w:sz w:val="22"/>
        </w:rPr>
        <w:t xml:space="preserve">This programme will assist in the refinement of the Model od Care, developing partnership working with the knowledge, skills, behaviours and qualities required to deliver the transformational changes required to meet future needs. </w:t>
      </w:r>
    </w:p>
    <w:p w:rsidR="00820314" w:rsidRDefault="00820314" w:rsidP="00820314">
      <w:pPr>
        <w:spacing w:after="0" w:line="240" w:lineRule="auto"/>
        <w:ind w:left="360" w:right="401"/>
        <w:jc w:val="both"/>
        <w:rPr>
          <w:rFonts w:ascii="Calibri" w:hAnsi="Calibri" w:cs="Calibri"/>
          <w:color w:val="000000"/>
          <w:sz w:val="22"/>
        </w:rPr>
      </w:pPr>
    </w:p>
    <w:p w:rsidR="003F6D2C" w:rsidRPr="00820314" w:rsidRDefault="003F6D2C" w:rsidP="00820314">
      <w:pPr>
        <w:spacing w:after="0" w:line="240" w:lineRule="auto"/>
        <w:ind w:left="284" w:right="401"/>
        <w:jc w:val="both"/>
        <w:rPr>
          <w:rFonts w:ascii="Calibri" w:hAnsi="Calibri" w:cs="Calibri"/>
          <w:color w:val="000000"/>
          <w:sz w:val="22"/>
        </w:rPr>
      </w:pPr>
      <w:r w:rsidRPr="00820314">
        <w:rPr>
          <w:rFonts w:ascii="Calibri" w:hAnsi="Calibri" w:cs="Calibri"/>
          <w:szCs w:val="24"/>
        </w:rPr>
        <w:t xml:space="preserve">Service Specification sets out the detailed requirements for the </w:t>
      </w:r>
      <w:r w:rsidRPr="00820314">
        <w:rPr>
          <w:rFonts w:ascii="Calibri" w:eastAsiaTheme="majorEastAsia" w:hAnsi="Calibri" w:cs="Calibri"/>
          <w:szCs w:val="24"/>
        </w:rPr>
        <w:t xml:space="preserve">Rapid Learning and Development Process – Refinement of the Model of Care </w:t>
      </w:r>
      <w:r w:rsidRPr="00820314">
        <w:rPr>
          <w:rFonts w:ascii="Calibri" w:hAnsi="Calibri" w:cs="Calibri"/>
          <w:szCs w:val="24"/>
        </w:rPr>
        <w:t>service.</w:t>
      </w:r>
    </w:p>
    <w:p w:rsidR="003F6D2C" w:rsidRPr="00CE1416" w:rsidRDefault="003F6D2C" w:rsidP="00CE1416">
      <w:pPr>
        <w:spacing w:after="0" w:line="240" w:lineRule="auto"/>
        <w:ind w:left="720" w:right="401"/>
        <w:jc w:val="both"/>
        <w:rPr>
          <w:rFonts w:ascii="Calibri" w:hAnsi="Calibri" w:cs="Calibri"/>
          <w:color w:val="000000"/>
          <w:sz w:val="22"/>
        </w:rPr>
      </w:pPr>
    </w:p>
    <w:p w:rsidR="001B7B7F" w:rsidRPr="003F6D2C" w:rsidRDefault="00CE1416" w:rsidP="003F6D2C">
      <w:pPr>
        <w:pStyle w:val="Heading1"/>
        <w:spacing w:before="0" w:after="0"/>
        <w:ind w:right="401" w:firstLine="284"/>
        <w:rPr>
          <w:rFonts w:ascii="Calibri" w:hAnsi="Calibri" w:cs="Calibri"/>
        </w:rPr>
      </w:pPr>
      <w:bookmarkStart w:id="12" w:name="_Toc476301095"/>
      <w:bookmarkStart w:id="13" w:name="_Toc476301244"/>
      <w:r>
        <w:rPr>
          <w:rFonts w:ascii="Calibri" w:hAnsi="Calibri" w:cs="Calibri"/>
        </w:rPr>
        <w:t xml:space="preserve">4. </w:t>
      </w:r>
      <w:r w:rsidR="00820314">
        <w:rPr>
          <w:rFonts w:ascii="Calibri" w:hAnsi="Calibri" w:cs="Calibri"/>
        </w:rPr>
        <w:t xml:space="preserve">   </w:t>
      </w:r>
      <w:r w:rsidR="001B7B7F" w:rsidRPr="00CE1416">
        <w:rPr>
          <w:rFonts w:ascii="Calibri" w:hAnsi="Calibri" w:cs="Calibri"/>
        </w:rPr>
        <w:t>West London CCG Membership</w:t>
      </w:r>
      <w:bookmarkEnd w:id="12"/>
      <w:bookmarkEnd w:id="13"/>
    </w:p>
    <w:p w:rsidR="001B7B7F" w:rsidRPr="003F6D2C" w:rsidRDefault="001B7B7F" w:rsidP="009352B3">
      <w:pPr>
        <w:pStyle w:val="ListParagraph"/>
        <w:ind w:left="284" w:right="401"/>
        <w:rPr>
          <w:rFonts w:ascii="Calibri" w:eastAsia="Times New Roman" w:hAnsi="Calibri" w:cs="Calibri"/>
          <w:sz w:val="22"/>
        </w:rPr>
      </w:pPr>
      <w:r w:rsidRPr="003F6D2C">
        <w:rPr>
          <w:rFonts w:ascii="Calibri" w:hAnsi="Calibri" w:cs="Calibri"/>
          <w:sz w:val="22"/>
        </w:rPr>
        <w:t xml:space="preserve">West London CCG is composed of 47 member GP practices divided into two localities </w:t>
      </w:r>
      <w:r w:rsidRPr="003F6D2C">
        <w:rPr>
          <w:rFonts w:ascii="Calibri" w:eastAsia="Times New Roman" w:hAnsi="Calibri" w:cs="Calibri"/>
          <w:sz w:val="22"/>
        </w:rPr>
        <w:t xml:space="preserve">(North and South). The practices are further divided into 5 Commissioning Learning Sets (CLS), which are geographical groupings of GP practices that have been formed for the purposes of fostering collaboration and learning amongst members, sharing and benchmarking data, improving performance, spreading good practice, and generating ideas for service improvement. </w:t>
      </w:r>
    </w:p>
    <w:p w:rsidR="001B7B7F" w:rsidRPr="003F6D2C" w:rsidRDefault="001B7B7F" w:rsidP="009352B3">
      <w:pPr>
        <w:pStyle w:val="ListParagraph"/>
        <w:ind w:left="284" w:right="401"/>
        <w:rPr>
          <w:rFonts w:ascii="Calibri" w:eastAsia="Times New Roman" w:hAnsi="Calibri" w:cs="Calibri"/>
          <w:sz w:val="22"/>
        </w:rPr>
      </w:pPr>
    </w:p>
    <w:p w:rsidR="00055CC5" w:rsidRPr="003F6D2C" w:rsidRDefault="001B7B7F" w:rsidP="003F6D2C">
      <w:pPr>
        <w:pStyle w:val="ListParagraph"/>
        <w:ind w:left="284" w:right="401"/>
        <w:rPr>
          <w:rFonts w:ascii="Calibri" w:eastAsia="Times New Roman" w:hAnsi="Calibri" w:cs="Calibri"/>
          <w:sz w:val="22"/>
        </w:rPr>
      </w:pPr>
      <w:r w:rsidRPr="003F6D2C">
        <w:rPr>
          <w:rFonts w:ascii="Calibri" w:eastAsia="Times New Roman" w:hAnsi="Calibri" w:cs="Calibri"/>
          <w:sz w:val="22"/>
        </w:rPr>
        <w:t xml:space="preserve">The five CLSs are South West (Kensington &amp; Chelsea), South East (Kensington &amp; Chelsea), North West (Kensington &amp; Chelsea), North Central (Kensington &amp; Chelsea and Queens Park and Paddington) and North East (Kensington &amp; Chelsea and Queens Park and Paddington). </w:t>
      </w:r>
    </w:p>
    <w:p w:rsidR="000E7CDB" w:rsidRPr="003F6D2C" w:rsidRDefault="003F6D2C" w:rsidP="003F6D2C">
      <w:pPr>
        <w:autoSpaceDE w:val="0"/>
        <w:autoSpaceDN w:val="0"/>
        <w:adjustRightInd w:val="0"/>
        <w:ind w:left="284" w:right="401"/>
        <w:jc w:val="both"/>
        <w:rPr>
          <w:rFonts w:ascii="Calibri" w:hAnsi="Calibri" w:cs="Calibri"/>
          <w:b/>
          <w:color w:val="000000"/>
          <w:sz w:val="28"/>
          <w:szCs w:val="28"/>
        </w:rPr>
      </w:pPr>
      <w:r>
        <w:rPr>
          <w:rFonts w:ascii="Calibri" w:hAnsi="Calibri" w:cs="Calibri"/>
          <w:b/>
          <w:color w:val="000000"/>
          <w:sz w:val="28"/>
          <w:szCs w:val="28"/>
        </w:rPr>
        <w:t>4.1</w:t>
      </w:r>
      <w:r w:rsidR="00391D57" w:rsidRPr="003F6D2C">
        <w:rPr>
          <w:rFonts w:ascii="Calibri" w:hAnsi="Calibri" w:cs="Calibri"/>
          <w:b/>
          <w:color w:val="000000"/>
          <w:sz w:val="28"/>
          <w:szCs w:val="28"/>
        </w:rPr>
        <w:t xml:space="preserve"> </w:t>
      </w:r>
      <w:r w:rsidR="00820314">
        <w:rPr>
          <w:rFonts w:ascii="Calibri" w:hAnsi="Calibri" w:cs="Calibri"/>
          <w:b/>
          <w:color w:val="000000"/>
          <w:sz w:val="28"/>
          <w:szCs w:val="28"/>
        </w:rPr>
        <w:t xml:space="preserve">  </w:t>
      </w:r>
      <w:r w:rsidR="004871AC" w:rsidRPr="003F6D2C">
        <w:rPr>
          <w:rFonts w:ascii="Calibri" w:hAnsi="Calibri" w:cs="Calibri"/>
          <w:b/>
          <w:color w:val="000000"/>
          <w:sz w:val="28"/>
          <w:szCs w:val="28"/>
        </w:rPr>
        <w:t>Population demographics</w:t>
      </w:r>
    </w:p>
    <w:p w:rsidR="004871AC" w:rsidRPr="003F6D2C" w:rsidRDefault="000E7CDB" w:rsidP="009352B3">
      <w:pPr>
        <w:pStyle w:val="ListParagraph"/>
        <w:ind w:left="284" w:right="401"/>
        <w:rPr>
          <w:rFonts w:ascii="Calibri" w:eastAsia="Times New Roman" w:hAnsi="Calibri" w:cs="Calibri"/>
          <w:sz w:val="22"/>
        </w:rPr>
      </w:pPr>
      <w:r w:rsidRPr="003F6D2C">
        <w:rPr>
          <w:rFonts w:ascii="Calibri" w:eastAsia="Times New Roman" w:hAnsi="Calibri" w:cs="Calibri"/>
          <w:sz w:val="22"/>
        </w:rPr>
        <w:t>West London CCG covers the Royal Borough of Kensington and Chelsea and also the Queen’s Park and Paddington area of Westminster. We commission services for our registered population of 22</w:t>
      </w:r>
      <w:r w:rsidR="003F6D2C">
        <w:rPr>
          <w:rFonts w:ascii="Calibri" w:eastAsia="Times New Roman" w:hAnsi="Calibri" w:cs="Calibri"/>
          <w:sz w:val="22"/>
        </w:rPr>
        <w:t>9,7</w:t>
      </w:r>
      <w:r w:rsidRPr="003F6D2C">
        <w:rPr>
          <w:rFonts w:ascii="Calibri" w:eastAsia="Times New Roman" w:hAnsi="Calibri" w:cs="Calibri"/>
          <w:sz w:val="22"/>
        </w:rPr>
        <w:t>00</w:t>
      </w:r>
      <w:r w:rsidR="003F6D2C">
        <w:rPr>
          <w:rFonts w:ascii="Calibri" w:eastAsia="Times New Roman" w:hAnsi="Calibri" w:cs="Calibri"/>
          <w:sz w:val="22"/>
        </w:rPr>
        <w:t xml:space="preserve"> of which 28,005 are 65 years or over</w:t>
      </w:r>
      <w:r w:rsidRPr="003F6D2C">
        <w:rPr>
          <w:rFonts w:ascii="Calibri" w:eastAsia="Times New Roman" w:hAnsi="Calibri" w:cs="Calibri"/>
          <w:sz w:val="22"/>
        </w:rPr>
        <w:t>. The population has a large proportion of older working age residents and very few children. Half the area’s population were born abroad and nearly one third</w:t>
      </w:r>
      <w:r w:rsidR="003F6D2C">
        <w:rPr>
          <w:rFonts w:ascii="Calibri" w:eastAsia="Times New Roman" w:hAnsi="Calibri" w:cs="Calibri"/>
          <w:sz w:val="22"/>
        </w:rPr>
        <w:t xml:space="preserve"> are from B</w:t>
      </w:r>
      <w:r w:rsidRPr="003F6D2C">
        <w:rPr>
          <w:rFonts w:ascii="Calibri" w:eastAsia="Times New Roman" w:hAnsi="Calibri" w:cs="Calibri"/>
          <w:sz w:val="22"/>
        </w:rPr>
        <w:t xml:space="preserve">ME groups. </w:t>
      </w:r>
    </w:p>
    <w:p w:rsidR="003F6D2C" w:rsidRDefault="004871AC" w:rsidP="003F6D2C">
      <w:pPr>
        <w:ind w:left="284" w:right="401"/>
        <w:rPr>
          <w:rFonts w:ascii="Calibri" w:hAnsi="Calibri" w:cs="Calibri"/>
          <w:sz w:val="22"/>
        </w:rPr>
      </w:pPr>
      <w:r w:rsidRPr="003F6D2C">
        <w:rPr>
          <w:rFonts w:ascii="Calibri" w:hAnsi="Calibri" w:cs="Calibri"/>
          <w:sz w:val="22"/>
        </w:rPr>
        <w:t>In Kensington and Chelsea there are more females (50.7%) than males (49.3%) whereas the opposite is true for Westminster (49.2% female; 50.8% male). Overall, there are more men than women living across the West London.</w:t>
      </w:r>
    </w:p>
    <w:p w:rsidR="004871AC" w:rsidRPr="007A4CA5" w:rsidRDefault="004871AC" w:rsidP="003F6D2C">
      <w:pPr>
        <w:ind w:left="284" w:right="401"/>
        <w:jc w:val="center"/>
      </w:pPr>
      <w:r>
        <w:rPr>
          <w:noProof/>
          <w:lang w:eastAsia="en-GB"/>
        </w:rPr>
        <w:lastRenderedPageBreak/>
        <w:drawing>
          <wp:inline distT="0" distB="0" distL="0" distR="0" wp14:anchorId="21F488E1" wp14:editId="3D33F349">
            <wp:extent cx="5257800" cy="1569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0" cy="1569720"/>
                    </a:xfrm>
                    <a:prstGeom prst="rect">
                      <a:avLst/>
                    </a:prstGeom>
                    <a:noFill/>
                    <a:ln>
                      <a:noFill/>
                    </a:ln>
                  </pic:spPr>
                </pic:pic>
              </a:graphicData>
            </a:graphic>
          </wp:inline>
        </w:drawing>
      </w:r>
    </w:p>
    <w:p w:rsidR="004871AC" w:rsidRPr="006F77D7" w:rsidRDefault="004871AC" w:rsidP="009352B3">
      <w:pPr>
        <w:ind w:left="284" w:right="401"/>
        <w:contextualSpacing/>
        <w:rPr>
          <w:rFonts w:ascii="Calibri" w:hAnsi="Calibri" w:cs="Calibri"/>
          <w:b/>
          <w:sz w:val="18"/>
          <w:szCs w:val="18"/>
        </w:rPr>
      </w:pPr>
      <w:r w:rsidRPr="006F77D7">
        <w:rPr>
          <w:rFonts w:ascii="Calibri" w:hAnsi="Calibri" w:cs="Calibri"/>
          <w:b/>
          <w:sz w:val="18"/>
          <w:szCs w:val="18"/>
        </w:rPr>
        <w:t>Table 1: Gender profile of Central and West London CCG residents</w:t>
      </w:r>
    </w:p>
    <w:p w:rsidR="00391D57" w:rsidRDefault="00391D57" w:rsidP="009352B3">
      <w:pPr>
        <w:spacing w:after="0" w:line="240" w:lineRule="auto"/>
        <w:ind w:left="284" w:right="401"/>
        <w:jc w:val="both"/>
        <w:rPr>
          <w:rFonts w:ascii="Calibri" w:hAnsi="Calibri" w:cs="Calibri"/>
        </w:rPr>
      </w:pPr>
    </w:p>
    <w:p w:rsidR="004871AC" w:rsidRPr="003F6D2C" w:rsidRDefault="004871AC" w:rsidP="009352B3">
      <w:pPr>
        <w:spacing w:after="0" w:line="240" w:lineRule="auto"/>
        <w:ind w:left="284" w:right="401"/>
        <w:jc w:val="both"/>
        <w:rPr>
          <w:rFonts w:ascii="Calibri" w:hAnsi="Calibri" w:cs="Calibri"/>
          <w:sz w:val="22"/>
        </w:rPr>
      </w:pPr>
      <w:r w:rsidRPr="003F6D2C">
        <w:rPr>
          <w:rFonts w:ascii="Calibri" w:hAnsi="Calibri" w:cs="Calibri"/>
          <w:sz w:val="22"/>
        </w:rPr>
        <w:t xml:space="preserve">The age profile of Kensington and Chelsea shows an aging population, with 12% of the population aged over 65, and 11% in Westminster. In neighbouring Hammersmith and Fulham, only 9% of the population is over 65. </w:t>
      </w:r>
    </w:p>
    <w:p w:rsidR="00391D57" w:rsidRDefault="00391D57" w:rsidP="009352B3">
      <w:pPr>
        <w:spacing w:after="0" w:line="240" w:lineRule="auto"/>
        <w:ind w:left="284" w:right="401"/>
        <w:jc w:val="both"/>
        <w:rPr>
          <w:rFonts w:ascii="Calibri" w:hAnsi="Calibri" w:cs="Calibri"/>
        </w:rPr>
      </w:pPr>
    </w:p>
    <w:p w:rsidR="004871AC" w:rsidRPr="00306E5B" w:rsidRDefault="004871AC" w:rsidP="009352B3">
      <w:pPr>
        <w:ind w:left="284" w:right="401"/>
        <w:jc w:val="center"/>
        <w:rPr>
          <w:rFonts w:ascii="Calibri" w:hAnsi="Calibri" w:cs="Calibri"/>
        </w:rPr>
      </w:pPr>
      <w:r>
        <w:rPr>
          <w:noProof/>
          <w:lang w:eastAsia="en-GB"/>
        </w:rPr>
        <w:drawing>
          <wp:inline distT="0" distB="0" distL="0" distR="0" wp14:anchorId="0D08FF4E" wp14:editId="2D370743">
            <wp:extent cx="4579620" cy="1653540"/>
            <wp:effectExtent l="0" t="0" r="11430" b="2286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871AC" w:rsidRPr="00D1191C" w:rsidRDefault="004871AC" w:rsidP="009352B3">
      <w:pPr>
        <w:ind w:left="284" w:right="401"/>
        <w:jc w:val="both"/>
        <w:rPr>
          <w:rFonts w:ascii="Calibri" w:hAnsi="Calibri" w:cs="Calibri"/>
          <w:sz w:val="18"/>
          <w:szCs w:val="18"/>
        </w:rPr>
      </w:pPr>
      <w:r w:rsidRPr="00D1191C">
        <w:rPr>
          <w:rFonts w:ascii="Calibri" w:hAnsi="Calibri" w:cs="Calibri"/>
          <w:b/>
          <w:sz w:val="18"/>
          <w:szCs w:val="18"/>
        </w:rPr>
        <w:t>Figure 1: Proportion of population by broad age group</w:t>
      </w:r>
    </w:p>
    <w:p w:rsidR="004871AC" w:rsidRPr="003F6D2C" w:rsidRDefault="004871AC" w:rsidP="009352B3">
      <w:pPr>
        <w:ind w:left="284" w:right="401"/>
        <w:jc w:val="both"/>
        <w:rPr>
          <w:rFonts w:ascii="Calibri" w:hAnsi="Calibri" w:cs="Calibri"/>
          <w:sz w:val="22"/>
        </w:rPr>
      </w:pPr>
      <w:r w:rsidRPr="003F6D2C">
        <w:rPr>
          <w:rFonts w:ascii="Calibri" w:hAnsi="Calibri" w:cs="Calibri"/>
          <w:sz w:val="22"/>
        </w:rPr>
        <w:t>Kensington &amp; Chelsea and Westminster both have higher proportions (73% and 75% respectively) of population aged 15-64 than both London (70.2%) and England as a whole (65.9%). An estimated 11-12% of both Boroughs’ populations are in their retirement age.</w:t>
      </w:r>
    </w:p>
    <w:p w:rsidR="004871AC" w:rsidRPr="003F6D2C" w:rsidRDefault="004871AC" w:rsidP="009352B3">
      <w:pPr>
        <w:ind w:left="284" w:right="401"/>
        <w:jc w:val="both"/>
        <w:rPr>
          <w:rFonts w:ascii="Calibri" w:hAnsi="Calibri" w:cs="Calibri"/>
          <w:sz w:val="22"/>
        </w:rPr>
      </w:pPr>
      <w:r w:rsidRPr="003F6D2C">
        <w:rPr>
          <w:rFonts w:ascii="Calibri" w:hAnsi="Calibri" w:cs="Calibri"/>
          <w:sz w:val="22"/>
        </w:rPr>
        <w:t>Based on the usual residents’ population, Kensington &amp; Chelsea is the country’s second most densely populated area with density of 13,087 per square km; Westminster is the country’s 7</w:t>
      </w:r>
      <w:r w:rsidRPr="003F6D2C">
        <w:rPr>
          <w:rFonts w:ascii="Calibri" w:hAnsi="Calibri" w:cs="Calibri"/>
          <w:sz w:val="22"/>
          <w:vertAlign w:val="superscript"/>
        </w:rPr>
        <w:t>th</w:t>
      </w:r>
      <w:r w:rsidRPr="003F6D2C">
        <w:rPr>
          <w:rFonts w:ascii="Calibri" w:hAnsi="Calibri" w:cs="Calibri"/>
          <w:sz w:val="22"/>
        </w:rPr>
        <w:t xml:space="preserve"> most densely populated area with density of 10,211 per square km. </w:t>
      </w:r>
    </w:p>
    <w:p w:rsidR="000E7CDB" w:rsidRPr="003F6D2C" w:rsidRDefault="000E7CDB" w:rsidP="009352B3">
      <w:pPr>
        <w:autoSpaceDE w:val="0"/>
        <w:autoSpaceDN w:val="0"/>
        <w:adjustRightInd w:val="0"/>
        <w:spacing w:after="17" w:line="240" w:lineRule="auto"/>
        <w:ind w:left="284" w:right="401"/>
        <w:rPr>
          <w:rFonts w:ascii="Calibri" w:hAnsi="Calibri" w:cs="Calibri"/>
          <w:sz w:val="22"/>
        </w:rPr>
      </w:pPr>
      <w:r w:rsidRPr="003F6D2C">
        <w:rPr>
          <w:rFonts w:ascii="Calibri" w:hAnsi="Calibri" w:cs="Calibri"/>
          <w:sz w:val="22"/>
        </w:rPr>
        <w:t xml:space="preserve">Half the area’s population were born abroad. Four in 10 (38%) of the population in Westminster and nearly a third (29%) of the population in Kensington and Chelsea is from Black, Asian and minority ethnic (BAME) groups. Over a quarter of people in K&amp;C and just under a third of people in Westminster state that English is not their main language </w:t>
      </w:r>
    </w:p>
    <w:p w:rsidR="004871AC" w:rsidRPr="003F6D2C" w:rsidRDefault="00391D57" w:rsidP="003F6D2C">
      <w:pPr>
        <w:pStyle w:val="Heading3"/>
        <w:ind w:left="284" w:right="401"/>
        <w:contextualSpacing/>
        <w:rPr>
          <w:rFonts w:ascii="Calibri" w:eastAsiaTheme="minorHAnsi" w:hAnsi="Calibri" w:cs="Calibri"/>
          <w:bCs w:val="0"/>
          <w:color w:val="000000"/>
          <w:sz w:val="28"/>
          <w:szCs w:val="28"/>
        </w:rPr>
      </w:pPr>
      <w:r w:rsidRPr="003F6D2C">
        <w:rPr>
          <w:rFonts w:ascii="Calibri" w:eastAsiaTheme="minorHAnsi" w:hAnsi="Calibri" w:cs="Calibri"/>
          <w:bCs w:val="0"/>
          <w:color w:val="000000"/>
          <w:sz w:val="28"/>
          <w:szCs w:val="28"/>
        </w:rPr>
        <w:t xml:space="preserve">4.3 </w:t>
      </w:r>
      <w:r w:rsidR="00820314">
        <w:rPr>
          <w:rFonts w:ascii="Calibri" w:eastAsiaTheme="minorHAnsi" w:hAnsi="Calibri" w:cs="Calibri"/>
          <w:bCs w:val="0"/>
          <w:color w:val="000000"/>
          <w:sz w:val="28"/>
          <w:szCs w:val="28"/>
        </w:rPr>
        <w:t xml:space="preserve">   </w:t>
      </w:r>
      <w:r w:rsidR="004871AC" w:rsidRPr="003F6D2C">
        <w:rPr>
          <w:rFonts w:ascii="Calibri" w:eastAsiaTheme="minorHAnsi" w:hAnsi="Calibri" w:cs="Calibri"/>
          <w:bCs w:val="0"/>
          <w:color w:val="000000"/>
          <w:sz w:val="28"/>
          <w:szCs w:val="28"/>
        </w:rPr>
        <w:t xml:space="preserve">Health Profile </w:t>
      </w:r>
    </w:p>
    <w:p w:rsidR="004871AC" w:rsidRPr="003F6D2C" w:rsidRDefault="000E7CDB" w:rsidP="009352B3">
      <w:pPr>
        <w:autoSpaceDE w:val="0"/>
        <w:autoSpaceDN w:val="0"/>
        <w:adjustRightInd w:val="0"/>
        <w:spacing w:after="0" w:line="240" w:lineRule="auto"/>
        <w:ind w:left="284" w:right="401"/>
        <w:jc w:val="both"/>
        <w:rPr>
          <w:rFonts w:ascii="Calibri" w:eastAsia="Times New Roman" w:hAnsi="Calibri" w:cs="Calibri"/>
          <w:sz w:val="22"/>
        </w:rPr>
      </w:pPr>
      <w:r w:rsidRPr="003F6D2C">
        <w:rPr>
          <w:rFonts w:ascii="Calibri" w:hAnsi="Calibri" w:cs="Calibri"/>
          <w:bCs/>
          <w:sz w:val="22"/>
        </w:rPr>
        <w:t>Cancer is the highest cause of death followed by cardiovascular disease.</w:t>
      </w:r>
      <w:r w:rsidRPr="003F6D2C">
        <w:rPr>
          <w:rFonts w:ascii="Arial" w:hAnsi="Arial" w:cs="Arial"/>
          <w:b/>
          <w:bCs/>
          <w:sz w:val="22"/>
        </w:rPr>
        <w:t xml:space="preserve"> </w:t>
      </w:r>
      <w:r w:rsidR="004871AC" w:rsidRPr="003F6D2C">
        <w:rPr>
          <w:rFonts w:ascii="Calibri" w:eastAsia="Times New Roman" w:hAnsi="Calibri" w:cs="Calibri"/>
          <w:sz w:val="22"/>
        </w:rPr>
        <w:t>In Kensington and Chelsea, the average life expectancy is 85.1 years for men and 89.8 for women, the highest in the country. Life Expectancy in Kensington and Chelsea was the fastest improving in the country over the last decade, with an increase of 7.8 years for men and 7.5 years for women</w:t>
      </w:r>
      <w:r w:rsidR="004871AC" w:rsidRPr="003F6D2C">
        <w:rPr>
          <w:rStyle w:val="FootnoteReference"/>
          <w:rFonts w:ascii="Calibri" w:eastAsia="Times New Roman" w:hAnsi="Calibri" w:cs="Calibri"/>
          <w:sz w:val="22"/>
        </w:rPr>
        <w:footnoteReference w:id="4"/>
      </w:r>
      <w:r w:rsidR="004871AC" w:rsidRPr="003F6D2C">
        <w:rPr>
          <w:rFonts w:ascii="Calibri" w:eastAsia="Times New Roman" w:hAnsi="Calibri" w:cs="Calibri"/>
          <w:sz w:val="22"/>
        </w:rPr>
        <w:t>. Westminster closely follows Kensington and Chelsea, having the second highest average life expectancy of all London boroughs at 84.3 years</w:t>
      </w:r>
      <w:r w:rsidR="004871AC" w:rsidRPr="003F6D2C">
        <w:rPr>
          <w:rStyle w:val="FootnoteReference"/>
          <w:rFonts w:ascii="Calibri" w:eastAsia="Times New Roman" w:hAnsi="Calibri" w:cs="Calibri"/>
          <w:sz w:val="22"/>
        </w:rPr>
        <w:footnoteReference w:id="5"/>
      </w:r>
      <w:r w:rsidR="004871AC" w:rsidRPr="003F6D2C">
        <w:rPr>
          <w:rFonts w:ascii="Calibri" w:eastAsia="Times New Roman" w:hAnsi="Calibri" w:cs="Calibri"/>
          <w:sz w:val="22"/>
        </w:rPr>
        <w:t>.</w:t>
      </w:r>
      <w:r w:rsidRPr="003F6D2C">
        <w:rPr>
          <w:rFonts w:ascii="Calibri" w:eastAsia="Times New Roman" w:hAnsi="Calibri" w:cs="Calibri"/>
          <w:sz w:val="22"/>
        </w:rPr>
        <w:t xml:space="preserve"> </w:t>
      </w:r>
    </w:p>
    <w:p w:rsidR="00391D57" w:rsidRPr="00306E5B" w:rsidRDefault="00391D57" w:rsidP="009352B3">
      <w:pPr>
        <w:autoSpaceDE w:val="0"/>
        <w:autoSpaceDN w:val="0"/>
        <w:adjustRightInd w:val="0"/>
        <w:spacing w:after="0" w:line="240" w:lineRule="auto"/>
        <w:ind w:left="284" w:right="401"/>
        <w:jc w:val="both"/>
        <w:rPr>
          <w:rFonts w:ascii="Calibri" w:eastAsia="Times New Roman" w:hAnsi="Calibri" w:cs="Calibri"/>
        </w:rPr>
      </w:pPr>
    </w:p>
    <w:p w:rsidR="004871AC" w:rsidRPr="003F6D2C" w:rsidRDefault="004871AC" w:rsidP="009352B3">
      <w:pPr>
        <w:autoSpaceDE w:val="0"/>
        <w:autoSpaceDN w:val="0"/>
        <w:adjustRightInd w:val="0"/>
        <w:spacing w:after="0" w:line="240" w:lineRule="auto"/>
        <w:ind w:left="284" w:right="401"/>
        <w:jc w:val="both"/>
        <w:rPr>
          <w:rFonts w:ascii="Calibri" w:eastAsia="Times New Roman" w:hAnsi="Calibri" w:cs="Calibri"/>
          <w:sz w:val="22"/>
        </w:rPr>
      </w:pPr>
      <w:r w:rsidRPr="003F6D2C">
        <w:rPr>
          <w:rFonts w:ascii="Calibri" w:eastAsia="Times New Roman" w:hAnsi="Calibri" w:cs="Calibri"/>
          <w:sz w:val="22"/>
        </w:rPr>
        <w:t xml:space="preserve">The rate of death from all causes in under 75s is lower in both Kensington and Chelsea (67.9) and Westminster (79.2) than in England (100). However there is discrepancy across the boroughs, with some </w:t>
      </w:r>
      <w:r w:rsidRPr="003F6D2C">
        <w:rPr>
          <w:rFonts w:ascii="Calibri" w:eastAsia="Times New Roman" w:hAnsi="Calibri" w:cs="Calibri"/>
          <w:sz w:val="22"/>
        </w:rPr>
        <w:lastRenderedPageBreak/>
        <w:t xml:space="preserve">areas have higher than expected rates of death (142.7 in Westminster and 131.3 in K&amp;C) and some having very low rates of death (32.2 in Westminster; 25.9 in K&amp;C). </w:t>
      </w:r>
    </w:p>
    <w:p w:rsidR="00055CC5" w:rsidRPr="003F6D2C" w:rsidRDefault="00055CC5" w:rsidP="009352B3">
      <w:pPr>
        <w:autoSpaceDE w:val="0"/>
        <w:autoSpaceDN w:val="0"/>
        <w:adjustRightInd w:val="0"/>
        <w:spacing w:after="0" w:line="240" w:lineRule="auto"/>
        <w:ind w:left="284" w:right="401"/>
        <w:rPr>
          <w:rFonts w:ascii="Arial" w:hAnsi="Arial" w:cs="Arial"/>
          <w:color w:val="000000"/>
          <w:sz w:val="22"/>
        </w:rPr>
      </w:pPr>
    </w:p>
    <w:p w:rsidR="00055CC5" w:rsidRPr="003F6D2C" w:rsidRDefault="00055CC5" w:rsidP="009352B3">
      <w:pPr>
        <w:autoSpaceDE w:val="0"/>
        <w:autoSpaceDN w:val="0"/>
        <w:adjustRightInd w:val="0"/>
        <w:spacing w:after="0" w:line="240" w:lineRule="auto"/>
        <w:ind w:left="284" w:right="401"/>
        <w:rPr>
          <w:rFonts w:ascii="Calibri" w:hAnsi="Calibri" w:cs="Calibri"/>
          <w:sz w:val="22"/>
        </w:rPr>
      </w:pPr>
      <w:r w:rsidRPr="003F6D2C">
        <w:rPr>
          <w:rFonts w:ascii="Calibri" w:hAnsi="Calibri" w:cs="Calibri"/>
          <w:sz w:val="22"/>
        </w:rPr>
        <w:t xml:space="preserve">Life expectancy for men and women living in the area covered by West London CCG is higher than London and England averages. However, the north of the area covered by West London CCG has correspondingly worse health outcomes. The wards falling into the worst 20% in London for self-reported bad/very bad health, self-reported limiting long-term illness (LLTI) and self-reported working age LLTI are </w:t>
      </w:r>
      <w:proofErr w:type="spellStart"/>
      <w:r w:rsidRPr="003F6D2C">
        <w:rPr>
          <w:rFonts w:ascii="Calibri" w:hAnsi="Calibri" w:cs="Calibri"/>
          <w:sz w:val="22"/>
        </w:rPr>
        <w:t>Golborne</w:t>
      </w:r>
      <w:proofErr w:type="spellEnd"/>
      <w:r w:rsidRPr="003F6D2C">
        <w:rPr>
          <w:rFonts w:ascii="Calibri" w:hAnsi="Calibri" w:cs="Calibri"/>
          <w:sz w:val="22"/>
        </w:rPr>
        <w:t xml:space="preserve">, St Charles, Notting Barns and </w:t>
      </w:r>
      <w:proofErr w:type="spellStart"/>
      <w:r w:rsidRPr="003F6D2C">
        <w:rPr>
          <w:rFonts w:ascii="Calibri" w:hAnsi="Calibri" w:cs="Calibri"/>
          <w:sz w:val="22"/>
        </w:rPr>
        <w:t>Cremorne</w:t>
      </w:r>
      <w:proofErr w:type="spellEnd"/>
      <w:r w:rsidRPr="003F6D2C">
        <w:rPr>
          <w:rFonts w:ascii="Calibri" w:hAnsi="Calibri" w:cs="Calibri"/>
          <w:sz w:val="22"/>
        </w:rPr>
        <w:t xml:space="preserve">. </w:t>
      </w:r>
    </w:p>
    <w:p w:rsidR="00055CC5" w:rsidRDefault="00055CC5" w:rsidP="003F6D2C">
      <w:pPr>
        <w:autoSpaceDE w:val="0"/>
        <w:autoSpaceDN w:val="0"/>
        <w:adjustRightInd w:val="0"/>
        <w:spacing w:after="0" w:line="240" w:lineRule="auto"/>
        <w:ind w:right="401"/>
        <w:rPr>
          <w:rFonts w:ascii="Arial" w:hAnsi="Arial" w:cs="Arial"/>
          <w:b/>
          <w:bCs/>
          <w:sz w:val="28"/>
          <w:szCs w:val="28"/>
        </w:rPr>
      </w:pPr>
    </w:p>
    <w:p w:rsidR="003F57FD" w:rsidRPr="003F6D2C" w:rsidRDefault="003F57FD" w:rsidP="009352B3">
      <w:pPr>
        <w:spacing w:after="0" w:line="240" w:lineRule="auto"/>
        <w:ind w:left="284" w:right="401"/>
        <w:rPr>
          <w:rFonts w:ascii="Calibri" w:hAnsi="Calibri" w:cs="Calibri"/>
          <w:sz w:val="22"/>
        </w:rPr>
      </w:pPr>
      <w:r w:rsidRPr="003F6D2C">
        <w:rPr>
          <w:rFonts w:ascii="Calibri" w:hAnsi="Calibri" w:cs="Calibri"/>
          <w:sz w:val="22"/>
        </w:rPr>
        <w:t>For further information about West London CCG and population profile please visit:</w:t>
      </w:r>
    </w:p>
    <w:p w:rsidR="003F57FD" w:rsidRPr="003F6D2C" w:rsidRDefault="003F57FD" w:rsidP="009352B3">
      <w:pPr>
        <w:spacing w:after="0" w:line="240" w:lineRule="auto"/>
        <w:ind w:left="284" w:right="401"/>
        <w:rPr>
          <w:rFonts w:ascii="Calibri" w:eastAsia="Calibri" w:hAnsi="Calibri" w:cs="Calibri"/>
          <w:b/>
          <w:bCs/>
          <w:noProof/>
          <w:color w:val="0070C0"/>
          <w:sz w:val="22"/>
          <w:lang w:eastAsia="en-GB"/>
        </w:rPr>
      </w:pPr>
      <w:r w:rsidRPr="003F6D2C">
        <w:rPr>
          <w:rFonts w:ascii="Calibri" w:eastAsia="Calibri" w:hAnsi="Calibri" w:cs="Calibri"/>
          <w:b/>
          <w:bCs/>
          <w:noProof/>
          <w:sz w:val="22"/>
          <w:lang w:eastAsia="en-GB"/>
        </w:rPr>
        <w:t>WLCCG Website</w:t>
      </w:r>
      <w:r w:rsidRPr="003F6D2C">
        <w:rPr>
          <w:rFonts w:ascii="Calibri" w:eastAsia="Calibri" w:hAnsi="Calibri" w:cs="Calibri"/>
          <w:b/>
          <w:bCs/>
          <w:noProof/>
          <w:color w:val="0070C0"/>
          <w:sz w:val="22"/>
          <w:lang w:eastAsia="en-GB"/>
        </w:rPr>
        <w:t xml:space="preserve">:  </w:t>
      </w:r>
      <w:hyperlink r:id="rId18" w:history="1">
        <w:r w:rsidRPr="003F6D2C">
          <w:rPr>
            <w:rStyle w:val="Hyperlink"/>
            <w:rFonts w:ascii="Calibri" w:eastAsia="Calibri" w:hAnsi="Calibri" w:cs="Calibri"/>
            <w:b/>
            <w:bCs/>
            <w:noProof/>
            <w:color w:val="0070C0"/>
            <w:sz w:val="22"/>
            <w:lang w:eastAsia="en-GB"/>
          </w:rPr>
          <w:t>www.westlondonccg.nh.uk</w:t>
        </w:r>
      </w:hyperlink>
    </w:p>
    <w:p w:rsidR="003F1F26" w:rsidRPr="003F6D2C" w:rsidRDefault="003F1F26" w:rsidP="009352B3">
      <w:pPr>
        <w:spacing w:after="0" w:line="240" w:lineRule="auto"/>
        <w:ind w:left="284" w:right="401"/>
        <w:rPr>
          <w:rFonts w:ascii="Calibri" w:hAnsi="Calibri" w:cs="Calibri"/>
          <w:sz w:val="22"/>
        </w:rPr>
      </w:pPr>
    </w:p>
    <w:p w:rsidR="003F57FD" w:rsidRPr="003F6D2C" w:rsidRDefault="003F57FD" w:rsidP="009352B3">
      <w:pPr>
        <w:spacing w:after="0" w:line="240" w:lineRule="auto"/>
        <w:ind w:left="284" w:right="401"/>
        <w:rPr>
          <w:rStyle w:val="Hyperlink"/>
          <w:rFonts w:ascii="Calibri" w:hAnsi="Calibri" w:cs="Calibri"/>
          <w:sz w:val="22"/>
        </w:rPr>
      </w:pPr>
      <w:r w:rsidRPr="003F6D2C">
        <w:rPr>
          <w:rFonts w:ascii="Calibri" w:hAnsi="Calibri" w:cs="Calibri"/>
          <w:sz w:val="22"/>
        </w:rPr>
        <w:t xml:space="preserve">Joint Strategic Needs Assessment </w:t>
      </w:r>
      <w:r w:rsidR="003F1F26" w:rsidRPr="003F6D2C">
        <w:rPr>
          <w:rFonts w:ascii="Calibri" w:hAnsi="Calibri" w:cs="Calibri"/>
          <w:sz w:val="22"/>
        </w:rPr>
        <w:t>(</w:t>
      </w:r>
      <w:r w:rsidR="003F1F26" w:rsidRPr="003F6D2C">
        <w:rPr>
          <w:rFonts w:ascii="Calibri" w:hAnsi="Calibri" w:cs="Calibri"/>
          <w:sz w:val="22"/>
          <w:lang w:val="en"/>
        </w:rPr>
        <w:t xml:space="preserve">JSNA) for Westminster, Kensington &amp; Chelsea and Hammersmith &amp; </w:t>
      </w:r>
      <w:proofErr w:type="spellStart"/>
      <w:r w:rsidR="003F1F26" w:rsidRPr="003F6D2C">
        <w:rPr>
          <w:rFonts w:ascii="Calibri" w:hAnsi="Calibri" w:cs="Calibri"/>
          <w:sz w:val="22"/>
          <w:lang w:val="en"/>
        </w:rPr>
        <w:t>Fulham</w:t>
      </w:r>
      <w:proofErr w:type="spellEnd"/>
      <w:r w:rsidR="003F1F26" w:rsidRPr="003F6D2C">
        <w:rPr>
          <w:rFonts w:ascii="Calibri" w:hAnsi="Calibri" w:cs="Calibri"/>
          <w:sz w:val="22"/>
          <w:lang w:val="en"/>
        </w:rPr>
        <w:t xml:space="preserve"> </w:t>
      </w:r>
      <w:r w:rsidRPr="003F6D2C">
        <w:rPr>
          <w:rFonts w:ascii="Calibri" w:hAnsi="Calibri" w:cs="Calibri"/>
          <w:sz w:val="22"/>
        </w:rPr>
        <w:t>2013</w:t>
      </w:r>
      <w:r w:rsidR="003F1F26" w:rsidRPr="003F6D2C">
        <w:rPr>
          <w:rFonts w:ascii="Calibri" w:hAnsi="Calibri" w:cs="Calibri"/>
          <w:sz w:val="22"/>
        </w:rPr>
        <w:t xml:space="preserve">/14   </w:t>
      </w:r>
      <w:hyperlink r:id="rId19" w:history="1">
        <w:r w:rsidRPr="003F6D2C">
          <w:rPr>
            <w:rStyle w:val="Hyperlink"/>
            <w:rFonts w:ascii="Calibri" w:hAnsi="Calibri" w:cs="Calibri"/>
            <w:sz w:val="22"/>
          </w:rPr>
          <w:t>http://www.jsna.info/document/highlight-reports-2013-14</w:t>
        </w:r>
      </w:hyperlink>
    </w:p>
    <w:p w:rsidR="00413370" w:rsidRPr="00005D0C" w:rsidRDefault="00413370" w:rsidP="009352B3">
      <w:pPr>
        <w:ind w:left="284" w:right="401"/>
      </w:pPr>
    </w:p>
    <w:p w:rsidR="00820314" w:rsidRPr="00820314" w:rsidRDefault="00820314" w:rsidP="00820314">
      <w:pPr>
        <w:pStyle w:val="Heading1"/>
        <w:spacing w:before="0" w:after="0"/>
        <w:ind w:left="284" w:right="401"/>
        <w:rPr>
          <w:rFonts w:ascii="Calibri" w:hAnsi="Calibri" w:cs="Calibri"/>
        </w:rPr>
      </w:pPr>
      <w:bookmarkStart w:id="14" w:name="_Toc476301096"/>
      <w:bookmarkStart w:id="15" w:name="_Toc476301245"/>
      <w:r>
        <w:rPr>
          <w:rFonts w:ascii="Calibri" w:hAnsi="Calibri" w:cs="Calibri"/>
        </w:rPr>
        <w:t>5</w:t>
      </w:r>
      <w:r w:rsidR="00917BB9" w:rsidRPr="00917BB9">
        <w:rPr>
          <w:rFonts w:ascii="Calibri" w:hAnsi="Calibri" w:cs="Calibri"/>
        </w:rPr>
        <w:t xml:space="preserve">. </w:t>
      </w:r>
      <w:r>
        <w:rPr>
          <w:rFonts w:ascii="Calibri" w:hAnsi="Calibri" w:cs="Calibri"/>
        </w:rPr>
        <w:t xml:space="preserve">   </w:t>
      </w:r>
      <w:r w:rsidR="00917BB9" w:rsidRPr="00917BB9">
        <w:rPr>
          <w:rFonts w:ascii="Calibri" w:hAnsi="Calibri" w:cs="Calibri"/>
        </w:rPr>
        <w:t>Governance and Administration</w:t>
      </w:r>
      <w:bookmarkStart w:id="16" w:name="TOC160959986"/>
      <w:bookmarkStart w:id="17" w:name="_Toc332025561"/>
      <w:bookmarkStart w:id="18" w:name="_Toc332026737"/>
      <w:bookmarkStart w:id="19" w:name="_Toc332027123"/>
      <w:bookmarkStart w:id="20" w:name="_Toc332027173"/>
      <w:bookmarkStart w:id="21" w:name="_Toc332028255"/>
      <w:bookmarkStart w:id="22" w:name="_Toc332028416"/>
      <w:bookmarkStart w:id="23" w:name="_Toc332028584"/>
      <w:bookmarkStart w:id="24" w:name="_Toc332029003"/>
      <w:bookmarkStart w:id="25" w:name="_Toc332029144"/>
      <w:bookmarkStart w:id="26" w:name="_Toc332030610"/>
      <w:bookmarkStart w:id="27" w:name="_Toc332030703"/>
      <w:bookmarkStart w:id="28" w:name="_Toc394573964"/>
      <w:bookmarkEnd w:id="14"/>
      <w:bookmarkEnd w:id="15"/>
    </w:p>
    <w:p w:rsidR="00917BB9" w:rsidRPr="00820314" w:rsidRDefault="00820314" w:rsidP="00820314">
      <w:pPr>
        <w:pStyle w:val="Heading3"/>
        <w:ind w:left="284" w:right="401"/>
        <w:contextualSpacing/>
        <w:rPr>
          <w:rFonts w:ascii="Calibri" w:eastAsiaTheme="minorHAnsi" w:hAnsi="Calibri" w:cs="Calibri"/>
          <w:bCs w:val="0"/>
          <w:color w:val="000000"/>
          <w:sz w:val="28"/>
          <w:szCs w:val="28"/>
        </w:rPr>
      </w:pPr>
      <w:r w:rsidRPr="00820314">
        <w:rPr>
          <w:rFonts w:ascii="Calibri" w:eastAsiaTheme="minorHAnsi" w:hAnsi="Calibri" w:cs="Calibri"/>
          <w:bCs w:val="0"/>
          <w:color w:val="000000"/>
          <w:sz w:val="28"/>
          <w:szCs w:val="28"/>
        </w:rPr>
        <w:t xml:space="preserve">5.1 </w:t>
      </w:r>
      <w:r>
        <w:rPr>
          <w:rFonts w:ascii="Calibri" w:eastAsiaTheme="minorHAnsi" w:hAnsi="Calibri" w:cs="Calibri"/>
          <w:bCs w:val="0"/>
          <w:color w:val="000000"/>
          <w:sz w:val="28"/>
          <w:szCs w:val="28"/>
        </w:rPr>
        <w:t xml:space="preserve"> </w:t>
      </w:r>
      <w:r w:rsidR="00917BB9" w:rsidRPr="00820314">
        <w:rPr>
          <w:rFonts w:ascii="Calibri" w:eastAsiaTheme="minorHAnsi" w:hAnsi="Calibri" w:cs="Calibri"/>
          <w:bCs w:val="0"/>
          <w:color w:val="000000"/>
          <w:sz w:val="28"/>
          <w:szCs w:val="28"/>
        </w:rPr>
        <w:t>Freedom of Information</w:t>
      </w:r>
      <w:bookmarkEnd w:id="16"/>
      <w:bookmarkEnd w:id="17"/>
      <w:bookmarkEnd w:id="18"/>
      <w:bookmarkEnd w:id="19"/>
      <w:bookmarkEnd w:id="20"/>
      <w:bookmarkEnd w:id="21"/>
      <w:bookmarkEnd w:id="22"/>
      <w:bookmarkEnd w:id="23"/>
      <w:bookmarkEnd w:id="24"/>
      <w:bookmarkEnd w:id="25"/>
      <w:bookmarkEnd w:id="26"/>
      <w:bookmarkEnd w:id="27"/>
      <w:bookmarkEnd w:id="28"/>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r w:rsidRPr="00820314">
        <w:rPr>
          <w:rFonts w:ascii="Calibri" w:eastAsiaTheme="minorHAnsi" w:hAnsi="Calibri" w:cs="Calibri"/>
          <w:color w:val="auto"/>
          <w:szCs w:val="22"/>
          <w:lang w:eastAsia="en-US"/>
        </w:rPr>
        <w:t>NHS West London CCG is committed to open government and meeting legal responsibilities under the Freedom of Information Act (FOIA). Accordingly, any information created by or submitted to the Commissioners (including, but not limited to, the information contained in the application and the submissions, and clarification answers received from potential bidder and bidders) may need to be disclosed by the Commissioners in response to a request for information under FOIA.</w:t>
      </w: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r w:rsidRPr="00820314">
        <w:rPr>
          <w:rFonts w:ascii="Calibri" w:eastAsiaTheme="minorHAnsi" w:hAnsi="Calibri" w:cs="Calibri"/>
          <w:color w:val="auto"/>
          <w:szCs w:val="22"/>
          <w:lang w:eastAsia="en-US"/>
        </w:rPr>
        <w:t>In making a submission or application or corresponding with the CCG at any stage of the Procurement, each potential bidder, and each Relevant Organisation acknowledges and accepts that the Commissioner may be obliged under the FOIA to disclose any information provided to it:</w:t>
      </w: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p>
    <w:p w:rsidR="00917BB9" w:rsidRPr="00820314" w:rsidRDefault="00917BB9" w:rsidP="009352B3">
      <w:pPr>
        <w:pStyle w:val="BulletMOI"/>
        <w:numPr>
          <w:ilvl w:val="0"/>
          <w:numId w:val="32"/>
        </w:numPr>
        <w:tabs>
          <w:tab w:val="clear" w:pos="720"/>
          <w:tab w:val="clear" w:pos="1599"/>
        </w:tabs>
        <w:ind w:left="284" w:right="401"/>
        <w:rPr>
          <w:rFonts w:ascii="Calibri" w:eastAsiaTheme="minorHAnsi" w:hAnsi="Calibri" w:cs="Calibri"/>
          <w:color w:val="auto"/>
          <w:szCs w:val="22"/>
          <w:lang w:eastAsia="en-US"/>
        </w:rPr>
      </w:pPr>
      <w:r w:rsidRPr="00820314">
        <w:rPr>
          <w:rFonts w:ascii="Calibri" w:eastAsiaTheme="minorHAnsi" w:hAnsi="Calibri" w:cs="Calibri"/>
          <w:color w:val="auto"/>
          <w:szCs w:val="22"/>
          <w:lang w:eastAsia="en-US"/>
        </w:rPr>
        <w:t>Without consulting the potential bidder or bidders or</w:t>
      </w:r>
    </w:p>
    <w:p w:rsidR="00917BB9" w:rsidRPr="00820314" w:rsidRDefault="00917BB9" w:rsidP="009352B3">
      <w:pPr>
        <w:pStyle w:val="BulletMOI"/>
        <w:numPr>
          <w:ilvl w:val="0"/>
          <w:numId w:val="32"/>
        </w:numPr>
        <w:tabs>
          <w:tab w:val="clear" w:pos="720"/>
          <w:tab w:val="clear" w:pos="1599"/>
        </w:tabs>
        <w:ind w:left="284" w:right="401"/>
        <w:rPr>
          <w:rFonts w:ascii="Calibri" w:eastAsiaTheme="minorHAnsi" w:hAnsi="Calibri" w:cs="Calibri"/>
          <w:color w:val="auto"/>
          <w:szCs w:val="22"/>
          <w:lang w:eastAsia="en-US"/>
        </w:rPr>
      </w:pPr>
      <w:r w:rsidRPr="00820314">
        <w:rPr>
          <w:rFonts w:ascii="Calibri" w:eastAsiaTheme="minorHAnsi" w:hAnsi="Calibri" w:cs="Calibri"/>
          <w:color w:val="auto"/>
          <w:szCs w:val="22"/>
          <w:lang w:eastAsia="en-US"/>
        </w:rPr>
        <w:t>Following consultation with the potential bidders or bidders and having taken its views into account.</w:t>
      </w: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r w:rsidRPr="00820314">
        <w:rPr>
          <w:rFonts w:ascii="Calibri" w:eastAsiaTheme="minorHAnsi" w:hAnsi="Calibri" w:cs="Calibri"/>
          <w:color w:val="auto"/>
          <w:szCs w:val="22"/>
          <w:lang w:eastAsia="en-US"/>
        </w:rPr>
        <w:t>Potential bidder and bidders must clearly identify any information supplied in their response to the application that they consider to be confidential or commercially sensitive and attach a brief statement of the reasons why such information should be so treated and for what period.</w:t>
      </w: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r w:rsidRPr="00820314">
        <w:rPr>
          <w:rFonts w:ascii="Calibri" w:eastAsiaTheme="minorHAnsi" w:hAnsi="Calibri" w:cs="Calibri"/>
          <w:color w:val="auto"/>
          <w:szCs w:val="22"/>
          <w:lang w:eastAsia="en-US"/>
        </w:rPr>
        <w:t>Where it is considered that disclosing information in response to a FOIA request could cause a risk to the Procurement process or prejudice the commercial interests of any potential bidder or bidders, the Commissioners may wish to withhold such information under the relevant FOIA exemption.</w:t>
      </w: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r w:rsidRPr="00820314">
        <w:rPr>
          <w:rFonts w:ascii="Calibri" w:eastAsiaTheme="minorHAnsi" w:hAnsi="Calibri" w:cs="Calibri"/>
          <w:color w:val="auto"/>
          <w:szCs w:val="22"/>
          <w:lang w:eastAsia="en-US"/>
        </w:rPr>
        <w:t>However, potential bidders should be aware that NHS West London CCG is responsible for determining at their absolute discretion whether the information requested falls within an exemption to disclosure, or whether it must be disclosed.</w:t>
      </w: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r w:rsidRPr="00820314">
        <w:rPr>
          <w:rFonts w:ascii="Calibri" w:eastAsiaTheme="minorHAnsi" w:hAnsi="Calibri" w:cs="Calibri"/>
          <w:color w:val="auto"/>
          <w:szCs w:val="22"/>
          <w:lang w:eastAsia="en-US"/>
        </w:rPr>
        <w:t xml:space="preserve">Potential bidders should therefore note that the receipt by the Commissioners of any information marked “confidential” or equivalent does not mean that the Commissioners accept any duty of confidence by virtue of that marking, and that the Commissioner has the final decision regarding the disclosure of any such information in response to a request for information under the FOIA. </w:t>
      </w:r>
    </w:p>
    <w:p w:rsidR="00917BB9" w:rsidRPr="00917BB9" w:rsidRDefault="00917BB9" w:rsidP="009352B3">
      <w:pPr>
        <w:pStyle w:val="MOIText"/>
        <w:spacing w:before="0" w:after="0" w:line="240" w:lineRule="auto"/>
        <w:ind w:left="284" w:right="401"/>
        <w:rPr>
          <w:rFonts w:ascii="Calibri" w:hAnsi="Calibri" w:cs="Calibri"/>
          <w:sz w:val="24"/>
          <w:szCs w:val="24"/>
        </w:rPr>
      </w:pPr>
    </w:p>
    <w:p w:rsidR="00917BB9" w:rsidRPr="00820314" w:rsidRDefault="00820314" w:rsidP="009352B3">
      <w:pPr>
        <w:pStyle w:val="Heading3A"/>
        <w:spacing w:before="0" w:after="120"/>
        <w:ind w:left="284" w:right="401" w:firstLine="0"/>
        <w:jc w:val="both"/>
        <w:outlineLvl w:val="9"/>
        <w:rPr>
          <w:rFonts w:ascii="Calibri" w:eastAsiaTheme="minorHAnsi" w:hAnsi="Calibri" w:cs="Calibri"/>
          <w:b/>
          <w:sz w:val="28"/>
          <w:szCs w:val="28"/>
          <w:lang w:eastAsia="en-US"/>
        </w:rPr>
      </w:pPr>
      <w:bookmarkStart w:id="29" w:name="TOC160959987"/>
      <w:bookmarkStart w:id="30" w:name="_Toc332025562"/>
      <w:bookmarkStart w:id="31" w:name="_Toc332026738"/>
      <w:bookmarkStart w:id="32" w:name="_Toc332027124"/>
      <w:bookmarkStart w:id="33" w:name="_Toc332027174"/>
      <w:bookmarkStart w:id="34" w:name="_Toc332028256"/>
      <w:bookmarkStart w:id="35" w:name="_Toc332028417"/>
      <w:bookmarkStart w:id="36" w:name="_Toc332028585"/>
      <w:bookmarkStart w:id="37" w:name="_Toc332029004"/>
      <w:bookmarkStart w:id="38" w:name="_Toc332029145"/>
      <w:bookmarkStart w:id="39" w:name="_Toc332030611"/>
      <w:bookmarkStart w:id="40" w:name="_Toc332030704"/>
      <w:bookmarkStart w:id="41" w:name="_Toc394573965"/>
      <w:r>
        <w:rPr>
          <w:rFonts w:ascii="Calibri" w:eastAsiaTheme="minorHAnsi" w:hAnsi="Calibri" w:cs="Calibri"/>
          <w:b/>
          <w:sz w:val="28"/>
          <w:szCs w:val="28"/>
          <w:lang w:eastAsia="en-US"/>
        </w:rPr>
        <w:t>5</w:t>
      </w:r>
      <w:r w:rsidR="00917BB9" w:rsidRPr="00820314">
        <w:rPr>
          <w:rFonts w:ascii="Calibri" w:eastAsiaTheme="minorHAnsi" w:hAnsi="Calibri" w:cs="Calibri"/>
          <w:b/>
          <w:sz w:val="28"/>
          <w:szCs w:val="28"/>
          <w:lang w:eastAsia="en-US"/>
        </w:rPr>
        <w:t>.</w:t>
      </w:r>
      <w:r w:rsidR="00D2531C" w:rsidRPr="00820314">
        <w:rPr>
          <w:rFonts w:ascii="Calibri" w:eastAsiaTheme="minorHAnsi" w:hAnsi="Calibri" w:cs="Calibri"/>
          <w:b/>
          <w:sz w:val="28"/>
          <w:szCs w:val="28"/>
          <w:lang w:eastAsia="en-US"/>
        </w:rPr>
        <w:t>2</w:t>
      </w:r>
      <w:r w:rsidR="00917BB9" w:rsidRPr="00820314">
        <w:rPr>
          <w:rFonts w:ascii="Calibri" w:eastAsiaTheme="minorHAnsi" w:hAnsi="Calibri" w:cs="Calibri"/>
          <w:b/>
          <w:sz w:val="28"/>
          <w:szCs w:val="28"/>
          <w:lang w:eastAsia="en-US"/>
        </w:rPr>
        <w:tab/>
        <w:t>Disclaimer</w:t>
      </w:r>
      <w:bookmarkEnd w:id="29"/>
      <w:bookmarkEnd w:id="30"/>
      <w:bookmarkEnd w:id="31"/>
      <w:bookmarkEnd w:id="32"/>
      <w:bookmarkEnd w:id="33"/>
      <w:bookmarkEnd w:id="34"/>
      <w:bookmarkEnd w:id="35"/>
      <w:bookmarkEnd w:id="36"/>
      <w:bookmarkEnd w:id="37"/>
      <w:bookmarkEnd w:id="38"/>
      <w:bookmarkEnd w:id="39"/>
      <w:bookmarkEnd w:id="40"/>
      <w:bookmarkEnd w:id="41"/>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r w:rsidRPr="00917BB9">
        <w:rPr>
          <w:rFonts w:ascii="Calibri" w:hAnsi="Calibri" w:cs="Calibri"/>
          <w:sz w:val="24"/>
          <w:szCs w:val="24"/>
        </w:rPr>
        <w:t>T</w:t>
      </w:r>
      <w:r w:rsidRPr="00820314">
        <w:rPr>
          <w:rFonts w:ascii="Calibri" w:eastAsiaTheme="minorHAnsi" w:hAnsi="Calibri" w:cs="Calibri"/>
          <w:color w:val="auto"/>
          <w:szCs w:val="22"/>
          <w:lang w:eastAsia="en-US"/>
        </w:rPr>
        <w:t>he information contained in this MOI is presented in good faith and does not purport to be comprehensive or to have been independently verified.</w:t>
      </w: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r w:rsidRPr="00820314">
        <w:rPr>
          <w:rFonts w:ascii="Calibri" w:eastAsiaTheme="minorHAnsi" w:hAnsi="Calibri" w:cs="Calibri"/>
          <w:color w:val="auto"/>
          <w:szCs w:val="22"/>
          <w:lang w:eastAsia="en-US"/>
        </w:rPr>
        <w:t xml:space="preserve">Neither the CCGs, nor any of their advisers accept any responsibility or liability in relation to its accuracy or completeness or any other information which has been, or which is subsequently, made available to any potential Bidder, Provider, Bidder Member, Clinical Services Supplier, financiers or any of their advisers, orally or in writing or in whatever media. </w:t>
      </w: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r w:rsidRPr="00820314">
        <w:rPr>
          <w:rFonts w:ascii="Calibri" w:eastAsiaTheme="minorHAnsi" w:hAnsi="Calibri" w:cs="Calibri"/>
          <w:color w:val="auto"/>
          <w:szCs w:val="22"/>
          <w:lang w:eastAsia="en-US"/>
        </w:rPr>
        <w:t>Interested parties and their advisers must therefore take their own steps to verify the accuracy of any information that they consider relevant. They must not, and are not entitled to, rely on any statement or representation made by the Commissioners or any of their advisers.</w:t>
      </w: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r w:rsidRPr="00820314">
        <w:rPr>
          <w:rFonts w:ascii="Calibri" w:eastAsiaTheme="minorHAnsi" w:hAnsi="Calibri" w:cs="Calibri"/>
          <w:color w:val="auto"/>
          <w:szCs w:val="22"/>
          <w:lang w:eastAsia="en-US"/>
        </w:rPr>
        <w:t>This MOI is intended only as a preliminary background explanation of NHS Central London and NHS West London CCGs’ activities and plans and is not intended to form the basis of any decision on whether to enter into any contractual relationship.</w:t>
      </w: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r w:rsidRPr="00820314">
        <w:rPr>
          <w:rFonts w:ascii="Calibri" w:eastAsiaTheme="minorHAnsi" w:hAnsi="Calibri" w:cs="Calibri"/>
          <w:color w:val="auto"/>
          <w:szCs w:val="22"/>
          <w:lang w:eastAsia="en-US"/>
        </w:rPr>
        <w:t>The Commissioners reserve the right to change the basis of, or the procedures (including the timetable) relating to, the Procurement process, to reject any, or all, of the submissions and applications, not to invite a potential bidder to proceed further, not to furnish a potential bidder with additional information nor otherwise to negotiate with a potential bidder in respect of the Procurement, subject to compliance with general EU principles on equal treatment, non- discrimination and transparency and procurement law.</w:t>
      </w: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r w:rsidRPr="00820314">
        <w:rPr>
          <w:rFonts w:ascii="Calibri" w:eastAsiaTheme="minorHAnsi" w:hAnsi="Calibri" w:cs="Calibri"/>
          <w:color w:val="auto"/>
          <w:szCs w:val="22"/>
          <w:lang w:eastAsia="en-US"/>
        </w:rPr>
        <w:t>The CCGs shall not be obliged to appoint any of the bidders and reserves the right not to proceed with the Procurement, or any part thereof, at any time.</w:t>
      </w: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r w:rsidRPr="00820314">
        <w:rPr>
          <w:rFonts w:ascii="Calibri" w:eastAsiaTheme="minorHAnsi" w:hAnsi="Calibri" w:cs="Calibri"/>
          <w:color w:val="auto"/>
          <w:szCs w:val="22"/>
          <w:lang w:eastAsia="en-US"/>
        </w:rPr>
        <w:t>Nothing in this MOI is, nor shall be relied upon as, a promise or representation as to any decision by NHS Central London and NHS West London CCGs in relation to this Procurement. No person has been authorised by the Commissioners or their advisers or consultants to give any information or make any representation not contained in this MOI and, if given or made, any such information or representation shall not be relied upon as having been so authorised.</w:t>
      </w: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r w:rsidRPr="00820314">
        <w:rPr>
          <w:rFonts w:ascii="Calibri" w:eastAsiaTheme="minorHAnsi" w:hAnsi="Calibri" w:cs="Calibri"/>
          <w:color w:val="auto"/>
          <w:szCs w:val="22"/>
          <w:lang w:eastAsia="en-US"/>
        </w:rPr>
        <w:t>Nothing in this MOI or any other pre-contractual documentation shall constitute the basis of an express or implied contract that may be concluded in relation to the Procurement, nor shall such documentation/information be used in construing any such contract. Each bidder must rely on the terms and conditions contained in any contract when, and if, finally executed, subject to such limitations and restrictions that may be specified in such contract. No such contract will contain any representation or warranty in respect of the MOI or other pre-contract documentation.</w:t>
      </w:r>
    </w:p>
    <w:p w:rsidR="00917BB9" w:rsidRPr="00820314" w:rsidRDefault="00917BB9" w:rsidP="009352B3">
      <w:pPr>
        <w:pStyle w:val="MOIText"/>
        <w:spacing w:before="0" w:after="0" w:line="240" w:lineRule="auto"/>
        <w:ind w:left="284" w:right="401"/>
        <w:rPr>
          <w:rFonts w:ascii="Calibri" w:eastAsiaTheme="minorHAnsi" w:hAnsi="Calibri" w:cs="Calibri"/>
          <w:color w:val="auto"/>
          <w:szCs w:val="22"/>
          <w:lang w:eastAsia="en-US"/>
        </w:rPr>
      </w:pPr>
    </w:p>
    <w:p w:rsidR="002110BD" w:rsidRPr="00820314" w:rsidRDefault="00917BB9" w:rsidP="009352B3">
      <w:pPr>
        <w:ind w:left="284" w:right="401"/>
        <w:rPr>
          <w:rFonts w:ascii="Calibri" w:hAnsi="Calibri" w:cs="Calibri"/>
          <w:sz w:val="22"/>
        </w:rPr>
      </w:pPr>
      <w:r w:rsidRPr="00820314">
        <w:rPr>
          <w:rFonts w:ascii="Calibri" w:hAnsi="Calibri" w:cs="Calibri"/>
          <w:sz w:val="22"/>
        </w:rPr>
        <w:t xml:space="preserve">In this section, references to this MOI include all information contained in it and any other information (whether written, oral or in machine-readable form) or opinions made available by or on behalf of the Commissioners, or any of their advisers or consultants in connection with this MOI or any other </w:t>
      </w:r>
      <w:bookmarkStart w:id="42" w:name="TOC161720203"/>
      <w:bookmarkEnd w:id="42"/>
    </w:p>
    <w:p w:rsidR="005F155F" w:rsidRPr="00281CBB" w:rsidRDefault="005F155F" w:rsidP="009352B3">
      <w:pPr>
        <w:ind w:left="284" w:right="401"/>
      </w:pPr>
    </w:p>
    <w:sectPr w:rsidR="005F155F" w:rsidRPr="00281CBB" w:rsidSect="00F35374">
      <w:footerReference w:type="default" r:id="rId20"/>
      <w:pgSz w:w="11906" w:h="16838"/>
      <w:pgMar w:top="720" w:right="720" w:bottom="284"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5CD" w:rsidRDefault="009C05CD" w:rsidP="006C7EB3">
      <w:pPr>
        <w:spacing w:after="0" w:line="240" w:lineRule="auto"/>
      </w:pPr>
      <w:r>
        <w:separator/>
      </w:r>
    </w:p>
  </w:endnote>
  <w:endnote w:type="continuationSeparator" w:id="0">
    <w:p w:rsidR="009C05CD" w:rsidRDefault="009C05CD" w:rsidP="006C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ntax">
    <w:altName w:val="Times New Roman"/>
    <w:charset w:val="00"/>
    <w:family w:val="roman"/>
    <w:pitch w:val="variable"/>
  </w:font>
  <w:font w:name="MS ??">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382051"/>
      <w:docPartObj>
        <w:docPartGallery w:val="Page Numbers (Bottom of Page)"/>
        <w:docPartUnique/>
      </w:docPartObj>
    </w:sdtPr>
    <w:sdtEndPr>
      <w:rPr>
        <w:color w:val="808080" w:themeColor="background1" w:themeShade="80"/>
        <w:spacing w:val="60"/>
      </w:rPr>
    </w:sdtEndPr>
    <w:sdtContent>
      <w:p w:rsidR="005F155F" w:rsidRDefault="005F155F">
        <w:pPr>
          <w:pStyle w:val="Footer"/>
          <w:pBdr>
            <w:top w:val="single" w:sz="4" w:space="1" w:color="D9D9D9" w:themeColor="background1" w:themeShade="D9"/>
          </w:pBdr>
          <w:jc w:val="right"/>
        </w:pPr>
        <w:r>
          <w:fldChar w:fldCharType="begin"/>
        </w:r>
        <w:r>
          <w:instrText xml:space="preserve"> PAGE   \* MERGEFORMAT </w:instrText>
        </w:r>
        <w:r>
          <w:fldChar w:fldCharType="separate"/>
        </w:r>
        <w:r w:rsidR="00D10B8F">
          <w:rPr>
            <w:noProof/>
          </w:rPr>
          <w:t>1</w:t>
        </w:r>
        <w:r>
          <w:rPr>
            <w:noProof/>
          </w:rPr>
          <w:fldChar w:fldCharType="end"/>
        </w:r>
        <w:r>
          <w:t xml:space="preserve"> | </w:t>
        </w:r>
        <w:r>
          <w:rPr>
            <w:color w:val="808080" w:themeColor="background1" w:themeShade="80"/>
            <w:spacing w:val="60"/>
          </w:rPr>
          <w:t>Page</w:t>
        </w:r>
      </w:p>
    </w:sdtContent>
  </w:sdt>
  <w:p w:rsidR="00295096" w:rsidRPr="00AA7F11" w:rsidRDefault="002950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5CD" w:rsidRDefault="009C05CD" w:rsidP="006C7EB3">
      <w:pPr>
        <w:spacing w:after="0" w:line="240" w:lineRule="auto"/>
      </w:pPr>
      <w:r>
        <w:separator/>
      </w:r>
    </w:p>
  </w:footnote>
  <w:footnote w:type="continuationSeparator" w:id="0">
    <w:p w:rsidR="009C05CD" w:rsidRDefault="009C05CD" w:rsidP="006C7EB3">
      <w:pPr>
        <w:spacing w:after="0" w:line="240" w:lineRule="auto"/>
      </w:pPr>
      <w:r>
        <w:continuationSeparator/>
      </w:r>
    </w:p>
  </w:footnote>
  <w:footnote w:id="1">
    <w:p w:rsidR="00295096" w:rsidRPr="00EA7B23" w:rsidRDefault="00295096" w:rsidP="008741C6">
      <w:pPr>
        <w:jc w:val="both"/>
        <w:rPr>
          <w:rFonts w:ascii="Calibri" w:hAnsi="Calibri" w:cs="Arial"/>
          <w:sz w:val="16"/>
          <w:szCs w:val="16"/>
        </w:rPr>
      </w:pPr>
      <w:r w:rsidRPr="00EA7B23">
        <w:rPr>
          <w:rStyle w:val="FootnoteReference"/>
          <w:rFonts w:ascii="Calibri" w:hAnsi="Calibri"/>
          <w:sz w:val="16"/>
          <w:szCs w:val="16"/>
        </w:rPr>
        <w:footnoteRef/>
      </w:r>
      <w:r w:rsidRPr="00EA7B23">
        <w:rPr>
          <w:rFonts w:ascii="Calibri" w:hAnsi="Calibri"/>
          <w:sz w:val="16"/>
          <w:szCs w:val="16"/>
        </w:rPr>
        <w:t xml:space="preserve"> </w:t>
      </w:r>
      <w:r w:rsidRPr="00EA7B23">
        <w:rPr>
          <w:rFonts w:ascii="Calibri" w:hAnsi="Calibri" w:cs="Arial"/>
          <w:sz w:val="16"/>
          <w:szCs w:val="16"/>
        </w:rPr>
        <w:t>Equity and excellence: Liberating the NHS, DH (2010).</w:t>
      </w:r>
    </w:p>
  </w:footnote>
  <w:footnote w:id="2">
    <w:p w:rsidR="00295096" w:rsidRPr="00BB34DD" w:rsidRDefault="00295096" w:rsidP="008741C6">
      <w:pPr>
        <w:pStyle w:val="FootnoteText"/>
        <w:rPr>
          <w:rFonts w:ascii="Calibri" w:hAnsi="Calibri" w:cs="Calibri"/>
          <w:sz w:val="16"/>
          <w:szCs w:val="16"/>
        </w:rPr>
      </w:pPr>
      <w:r w:rsidRPr="00BB34DD">
        <w:rPr>
          <w:rStyle w:val="FootnoteReference"/>
          <w:rFonts w:ascii="Calibri" w:hAnsi="Calibri" w:cs="Calibri"/>
          <w:sz w:val="16"/>
          <w:szCs w:val="16"/>
        </w:rPr>
        <w:footnoteRef/>
      </w:r>
      <w:r w:rsidRPr="00BB34DD">
        <w:rPr>
          <w:rFonts w:ascii="Calibri" w:hAnsi="Calibri" w:cs="Calibri"/>
          <w:sz w:val="16"/>
          <w:szCs w:val="16"/>
        </w:rPr>
        <w:t xml:space="preserve"> NHS England (2013) Planning and Delivering Service changes for Patients</w:t>
      </w:r>
    </w:p>
  </w:footnote>
  <w:footnote w:id="3">
    <w:p w:rsidR="00295096" w:rsidRPr="007B0C14" w:rsidRDefault="00295096" w:rsidP="00F11464">
      <w:pPr>
        <w:pStyle w:val="FootnoteText"/>
        <w:rPr>
          <w:sz w:val="16"/>
          <w:szCs w:val="16"/>
        </w:rPr>
      </w:pPr>
      <w:r w:rsidRPr="00BB34DD">
        <w:rPr>
          <w:rStyle w:val="FootnoteReference"/>
          <w:rFonts w:ascii="Calibri" w:hAnsi="Calibri" w:cs="Calibri"/>
          <w:sz w:val="16"/>
          <w:szCs w:val="16"/>
        </w:rPr>
        <w:footnoteRef/>
      </w:r>
      <w:r w:rsidRPr="00BB34DD">
        <w:rPr>
          <w:rFonts w:ascii="Calibri" w:hAnsi="Calibri" w:cs="Calibri"/>
          <w:sz w:val="16"/>
          <w:szCs w:val="16"/>
        </w:rPr>
        <w:t xml:space="preserve"> </w:t>
      </w:r>
      <w:hyperlink r:id="rId1" w:history="1">
        <w:r w:rsidRPr="00BB34DD">
          <w:rPr>
            <w:rStyle w:val="Hyperlink"/>
            <w:rFonts w:ascii="Calibri" w:hAnsi="Calibri" w:cs="Calibri"/>
            <w:sz w:val="16"/>
            <w:szCs w:val="16"/>
          </w:rPr>
          <w:t>http://www.england.nhs.uk/wp-content/uploads/2014/10/5yfv-web.pdf</w:t>
        </w:r>
      </w:hyperlink>
    </w:p>
  </w:footnote>
  <w:footnote w:id="4">
    <w:p w:rsidR="00295096" w:rsidRPr="003F6D2C" w:rsidRDefault="00295096" w:rsidP="004871AC">
      <w:pPr>
        <w:pStyle w:val="FootnoteText"/>
        <w:rPr>
          <w:rFonts w:ascii="Calibri" w:hAnsi="Calibri" w:cs="Calibri"/>
          <w:sz w:val="16"/>
          <w:szCs w:val="16"/>
        </w:rPr>
      </w:pPr>
      <w:r w:rsidRPr="003F6D2C">
        <w:rPr>
          <w:rStyle w:val="FootnoteReference"/>
          <w:rFonts w:ascii="Calibri" w:hAnsi="Calibri" w:cs="Calibri"/>
          <w:sz w:val="16"/>
          <w:szCs w:val="16"/>
        </w:rPr>
        <w:footnoteRef/>
      </w:r>
      <w:r w:rsidRPr="003F6D2C">
        <w:rPr>
          <w:rFonts w:ascii="Calibri" w:hAnsi="Calibri" w:cs="Calibri"/>
          <w:sz w:val="16"/>
          <w:szCs w:val="16"/>
        </w:rPr>
        <w:t xml:space="preserve"> </w:t>
      </w:r>
      <w:proofErr w:type="gramStart"/>
      <w:r w:rsidRPr="003F6D2C">
        <w:rPr>
          <w:rFonts w:ascii="Calibri" w:hAnsi="Calibri" w:cs="Calibri"/>
          <w:sz w:val="16"/>
          <w:szCs w:val="16"/>
        </w:rPr>
        <w:t>JSNA, 2012.</w:t>
      </w:r>
      <w:proofErr w:type="gramEnd"/>
    </w:p>
  </w:footnote>
  <w:footnote w:id="5">
    <w:p w:rsidR="00295096" w:rsidRPr="003F6D2C" w:rsidRDefault="00295096" w:rsidP="004871AC">
      <w:pPr>
        <w:pStyle w:val="FootnoteText"/>
        <w:rPr>
          <w:rFonts w:ascii="Calibri" w:hAnsi="Calibri" w:cs="Calibri"/>
          <w:sz w:val="16"/>
          <w:szCs w:val="16"/>
        </w:rPr>
      </w:pPr>
      <w:r w:rsidRPr="003F6D2C">
        <w:rPr>
          <w:rStyle w:val="FootnoteReference"/>
          <w:rFonts w:ascii="Calibri" w:hAnsi="Calibri" w:cs="Calibri"/>
          <w:sz w:val="16"/>
          <w:szCs w:val="16"/>
        </w:rPr>
        <w:footnoteRef/>
      </w:r>
      <w:r w:rsidRPr="003F6D2C">
        <w:rPr>
          <w:rFonts w:ascii="Calibri" w:hAnsi="Calibri" w:cs="Calibri"/>
          <w:sz w:val="16"/>
          <w:szCs w:val="16"/>
        </w:rPr>
        <w:t xml:space="preserve"> Office for National Statistics, Neighbourhood Statistics, 2006-2008.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5AFC"/>
    <w:multiLevelType w:val="hybridMultilevel"/>
    <w:tmpl w:val="97EA89C2"/>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3EE7716"/>
    <w:multiLevelType w:val="hybridMultilevel"/>
    <w:tmpl w:val="C33E95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4307F1"/>
    <w:multiLevelType w:val="multilevel"/>
    <w:tmpl w:val="CEB464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E063EA"/>
    <w:multiLevelType w:val="multilevel"/>
    <w:tmpl w:val="87DA2A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5D2FCE"/>
    <w:multiLevelType w:val="multilevel"/>
    <w:tmpl w:val="256E728A"/>
    <w:lvl w:ilvl="0">
      <w:start w:val="1"/>
      <w:numFmt w:val="decimal"/>
      <w:lvlText w:val="%1."/>
      <w:lvlJc w:val="left"/>
      <w:pPr>
        <w:ind w:left="720" w:hanging="360"/>
      </w:pPr>
      <w:rPr>
        <w:rFonts w:hint="default"/>
      </w:rPr>
    </w:lvl>
    <w:lvl w:ilvl="1">
      <w:numFmt w:val="decimal"/>
      <w:isLgl/>
      <w:lvlText w:val="%1.%2"/>
      <w:lvlJc w:val="left"/>
      <w:pPr>
        <w:ind w:left="1080" w:hanging="72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440" w:hanging="1080"/>
      </w:pPr>
      <w:rPr>
        <w:rFonts w:ascii="Calibri" w:hAnsi="Calibri" w:cs="Calibri" w:hint="default"/>
      </w:rPr>
    </w:lvl>
    <w:lvl w:ilvl="4">
      <w:start w:val="1"/>
      <w:numFmt w:val="decimal"/>
      <w:isLgl/>
      <w:lvlText w:val="%1.%2.%3.%4.%5"/>
      <w:lvlJc w:val="left"/>
      <w:pPr>
        <w:ind w:left="1800" w:hanging="1440"/>
      </w:pPr>
      <w:rPr>
        <w:rFonts w:ascii="Calibri" w:hAnsi="Calibri" w:cs="Calibri" w:hint="default"/>
      </w:rPr>
    </w:lvl>
    <w:lvl w:ilvl="5">
      <w:start w:val="1"/>
      <w:numFmt w:val="decimal"/>
      <w:isLgl/>
      <w:lvlText w:val="%1.%2.%3.%4.%5.%6"/>
      <w:lvlJc w:val="left"/>
      <w:pPr>
        <w:ind w:left="1800" w:hanging="1440"/>
      </w:pPr>
      <w:rPr>
        <w:rFonts w:ascii="Calibri" w:hAnsi="Calibri" w:cs="Calibri" w:hint="default"/>
      </w:rPr>
    </w:lvl>
    <w:lvl w:ilvl="6">
      <w:start w:val="1"/>
      <w:numFmt w:val="decimal"/>
      <w:isLgl/>
      <w:lvlText w:val="%1.%2.%3.%4.%5.%6.%7"/>
      <w:lvlJc w:val="left"/>
      <w:pPr>
        <w:ind w:left="2160" w:hanging="1800"/>
      </w:pPr>
      <w:rPr>
        <w:rFonts w:ascii="Calibri" w:hAnsi="Calibri" w:cs="Calibri" w:hint="default"/>
      </w:rPr>
    </w:lvl>
    <w:lvl w:ilvl="7">
      <w:start w:val="1"/>
      <w:numFmt w:val="decimal"/>
      <w:isLgl/>
      <w:lvlText w:val="%1.%2.%3.%4.%5.%6.%7.%8"/>
      <w:lvlJc w:val="left"/>
      <w:pPr>
        <w:ind w:left="2160" w:hanging="1800"/>
      </w:pPr>
      <w:rPr>
        <w:rFonts w:ascii="Calibri" w:hAnsi="Calibri" w:cs="Calibri" w:hint="default"/>
      </w:rPr>
    </w:lvl>
    <w:lvl w:ilvl="8">
      <w:start w:val="1"/>
      <w:numFmt w:val="decimal"/>
      <w:isLgl/>
      <w:lvlText w:val="%1.%2.%3.%4.%5.%6.%7.%8.%9"/>
      <w:lvlJc w:val="left"/>
      <w:pPr>
        <w:ind w:left="2520" w:hanging="2160"/>
      </w:pPr>
      <w:rPr>
        <w:rFonts w:ascii="Calibri" w:hAnsi="Calibri" w:cs="Calibri" w:hint="default"/>
      </w:rPr>
    </w:lvl>
  </w:abstractNum>
  <w:abstractNum w:abstractNumId="5">
    <w:nsid w:val="0CAA74D3"/>
    <w:multiLevelType w:val="multilevel"/>
    <w:tmpl w:val="27FE9F2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F5A1EC7"/>
    <w:multiLevelType w:val="hybridMultilevel"/>
    <w:tmpl w:val="E86071DA"/>
    <w:lvl w:ilvl="0" w:tplc="56BE3920">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9B3BFF"/>
    <w:multiLevelType w:val="hybridMultilevel"/>
    <w:tmpl w:val="DD4081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10FE03D6"/>
    <w:multiLevelType w:val="hybridMultilevel"/>
    <w:tmpl w:val="D9BC9836"/>
    <w:lvl w:ilvl="0" w:tplc="BBD44AB0">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FC09AB"/>
    <w:multiLevelType w:val="hybridMultilevel"/>
    <w:tmpl w:val="1A5E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2960C8"/>
    <w:multiLevelType w:val="hybridMultilevel"/>
    <w:tmpl w:val="73E6B4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68F1DD4"/>
    <w:multiLevelType w:val="hybridMultilevel"/>
    <w:tmpl w:val="1FD6A9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F03DBB"/>
    <w:multiLevelType w:val="hybridMultilevel"/>
    <w:tmpl w:val="EB82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254A8F"/>
    <w:multiLevelType w:val="multilevel"/>
    <w:tmpl w:val="B276FE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0850B9"/>
    <w:multiLevelType w:val="hybridMultilevel"/>
    <w:tmpl w:val="8F6CBC3C"/>
    <w:lvl w:ilvl="0" w:tplc="9BF4677E">
      <w:start w:val="1"/>
      <w:numFmt w:val="bullet"/>
      <w:lvlText w:val=""/>
      <w:lvlJc w:val="left"/>
      <w:pPr>
        <w:tabs>
          <w:tab w:val="num" w:pos="1080"/>
        </w:tabs>
        <w:ind w:left="1080" w:hanging="360"/>
      </w:pPr>
      <w:rPr>
        <w:rFonts w:ascii="Symbol" w:hAnsi="Symbol" w:hint="default"/>
        <w:sz w:val="20"/>
      </w:rPr>
    </w:lvl>
    <w:lvl w:ilvl="1" w:tplc="0409000F"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nsid w:val="27D41E74"/>
    <w:multiLevelType w:val="hybridMultilevel"/>
    <w:tmpl w:val="E58CB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08630A"/>
    <w:multiLevelType w:val="hybridMultilevel"/>
    <w:tmpl w:val="DE1C7F1C"/>
    <w:lvl w:ilvl="0" w:tplc="214829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6936940"/>
    <w:multiLevelType w:val="multilevel"/>
    <w:tmpl w:val="4CC8E48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9A47BEC"/>
    <w:multiLevelType w:val="hybridMultilevel"/>
    <w:tmpl w:val="B6EE77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A49420F"/>
    <w:multiLevelType w:val="hybridMultilevel"/>
    <w:tmpl w:val="0B948C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AA92868"/>
    <w:multiLevelType w:val="multilevel"/>
    <w:tmpl w:val="C388F200"/>
    <w:lvl w:ilvl="0">
      <w:start w:val="1"/>
      <w:numFmt w:val="bullet"/>
      <w:lvlText w:val=""/>
      <w:lvlJc w:val="left"/>
      <w:pPr>
        <w:tabs>
          <w:tab w:val="num" w:pos="720"/>
        </w:tabs>
        <w:ind w:left="720" w:firstLine="0"/>
      </w:pPr>
      <w:rPr>
        <w:rFonts w:ascii="Symbol" w:hAnsi="Symbol" w:hint="default"/>
        <w:position w:val="0"/>
        <w:sz w:val="22"/>
      </w:rPr>
    </w:lvl>
    <w:lvl w:ilvl="1">
      <w:start w:val="1"/>
      <w:numFmt w:val="bullet"/>
      <w:suff w:val="nothing"/>
      <w:lvlText w:val=""/>
      <w:lvlJc w:val="left"/>
      <w:pPr>
        <w:ind w:left="0" w:firstLine="0"/>
      </w:pPr>
      <w:rPr>
        <w:rFonts w:hint="default"/>
        <w:position w:val="0"/>
        <w:sz w:val="22"/>
      </w:rPr>
    </w:lvl>
    <w:lvl w:ilvl="2">
      <w:start w:val="1"/>
      <w:numFmt w:val="bullet"/>
      <w:suff w:val="nothing"/>
      <w:lvlText w:val=""/>
      <w:lvlJc w:val="left"/>
      <w:pPr>
        <w:ind w:left="0" w:firstLine="0"/>
      </w:pPr>
      <w:rPr>
        <w:rFonts w:hint="default"/>
        <w:position w:val="0"/>
        <w:sz w:val="22"/>
      </w:rPr>
    </w:lvl>
    <w:lvl w:ilvl="3">
      <w:start w:val="1"/>
      <w:numFmt w:val="bullet"/>
      <w:suff w:val="nothing"/>
      <w:lvlText w:val=""/>
      <w:lvlJc w:val="left"/>
      <w:pPr>
        <w:ind w:left="0" w:firstLine="0"/>
      </w:pPr>
      <w:rPr>
        <w:rFonts w:hint="default"/>
        <w:position w:val="0"/>
        <w:sz w:val="22"/>
      </w:rPr>
    </w:lvl>
    <w:lvl w:ilvl="4">
      <w:start w:val="1"/>
      <w:numFmt w:val="bullet"/>
      <w:suff w:val="nothing"/>
      <w:lvlText w:val=""/>
      <w:lvlJc w:val="left"/>
      <w:pPr>
        <w:ind w:left="0" w:firstLine="0"/>
      </w:pPr>
      <w:rPr>
        <w:rFonts w:hint="default"/>
        <w:position w:val="0"/>
        <w:sz w:val="22"/>
      </w:rPr>
    </w:lvl>
    <w:lvl w:ilvl="5">
      <w:start w:val="1"/>
      <w:numFmt w:val="bullet"/>
      <w:suff w:val="nothing"/>
      <w:lvlText w:val=""/>
      <w:lvlJc w:val="left"/>
      <w:pPr>
        <w:ind w:left="0" w:firstLine="0"/>
      </w:pPr>
      <w:rPr>
        <w:rFonts w:hint="default"/>
        <w:position w:val="0"/>
        <w:sz w:val="22"/>
      </w:rPr>
    </w:lvl>
    <w:lvl w:ilvl="6">
      <w:start w:val="1"/>
      <w:numFmt w:val="bullet"/>
      <w:suff w:val="nothing"/>
      <w:lvlText w:val=""/>
      <w:lvlJc w:val="left"/>
      <w:pPr>
        <w:ind w:left="0" w:firstLine="0"/>
      </w:pPr>
      <w:rPr>
        <w:rFonts w:hint="default"/>
        <w:position w:val="0"/>
        <w:sz w:val="22"/>
      </w:rPr>
    </w:lvl>
    <w:lvl w:ilvl="7">
      <w:start w:val="1"/>
      <w:numFmt w:val="bullet"/>
      <w:suff w:val="nothing"/>
      <w:lvlText w:val=""/>
      <w:lvlJc w:val="left"/>
      <w:pPr>
        <w:ind w:left="0" w:firstLine="0"/>
      </w:pPr>
      <w:rPr>
        <w:rFonts w:hint="default"/>
        <w:position w:val="0"/>
        <w:sz w:val="22"/>
      </w:rPr>
    </w:lvl>
    <w:lvl w:ilvl="8">
      <w:start w:val="1"/>
      <w:numFmt w:val="bullet"/>
      <w:suff w:val="nothing"/>
      <w:lvlText w:val=""/>
      <w:lvlJc w:val="left"/>
      <w:pPr>
        <w:ind w:left="0" w:firstLine="0"/>
      </w:pPr>
      <w:rPr>
        <w:rFonts w:hint="default"/>
        <w:position w:val="0"/>
        <w:sz w:val="22"/>
      </w:rPr>
    </w:lvl>
  </w:abstractNum>
  <w:abstractNum w:abstractNumId="21">
    <w:nsid w:val="3DEE0218"/>
    <w:multiLevelType w:val="multilevel"/>
    <w:tmpl w:val="16C262A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04C63BB"/>
    <w:multiLevelType w:val="hybridMultilevel"/>
    <w:tmpl w:val="986AB5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1DD08FD"/>
    <w:multiLevelType w:val="multilevel"/>
    <w:tmpl w:val="D6701E16"/>
    <w:lvl w:ilvl="0">
      <w:start w:val="5"/>
      <w:numFmt w:val="decimal"/>
      <w:lvlText w:val="%1."/>
      <w:lvlJc w:val="left"/>
      <w:pPr>
        <w:ind w:left="360" w:hanging="360"/>
      </w:pPr>
      <w:rPr>
        <w:rFonts w:hint="default"/>
        <w:b/>
      </w:rPr>
    </w:lvl>
    <w:lvl w:ilvl="1">
      <w:start w:val="4"/>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48467BC9"/>
    <w:multiLevelType w:val="multilevel"/>
    <w:tmpl w:val="336C2E94"/>
    <w:lvl w:ilvl="0">
      <w:start w:val="1"/>
      <w:numFmt w:val="decimal"/>
      <w:lvlText w:val="%1"/>
      <w:lvlJc w:val="left"/>
      <w:pPr>
        <w:ind w:left="468" w:hanging="468"/>
      </w:pPr>
      <w:rPr>
        <w:rFonts w:hint="default"/>
      </w:rPr>
    </w:lvl>
    <w:lvl w:ilvl="1">
      <w:start w:val="1"/>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4A130951"/>
    <w:multiLevelType w:val="hybridMultilevel"/>
    <w:tmpl w:val="47BA30B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4A584D3A"/>
    <w:multiLevelType w:val="hybridMultilevel"/>
    <w:tmpl w:val="E4F4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4A6517"/>
    <w:multiLevelType w:val="hybridMultilevel"/>
    <w:tmpl w:val="C80AC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9013AF"/>
    <w:multiLevelType w:val="hybridMultilevel"/>
    <w:tmpl w:val="999C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DA95AED"/>
    <w:multiLevelType w:val="hybridMultilevel"/>
    <w:tmpl w:val="EC5880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DD91B14"/>
    <w:multiLevelType w:val="multilevel"/>
    <w:tmpl w:val="444EB8F2"/>
    <w:lvl w:ilvl="0">
      <w:start w:val="1"/>
      <w:numFmt w:val="bullet"/>
      <w:lvlText w:val=""/>
      <w:lvlJc w:val="left"/>
      <w:pPr>
        <w:ind w:left="444" w:hanging="444"/>
      </w:pPr>
      <w:rPr>
        <w:rFonts w:ascii="Symbol" w:hAnsi="Symbol" w:hint="default"/>
      </w:rPr>
    </w:lvl>
    <w:lvl w:ilvl="1">
      <w:start w:val="1"/>
      <w:numFmt w:val="bullet"/>
      <w:lvlText w:val=""/>
      <w:lvlJc w:val="left"/>
      <w:pPr>
        <w:ind w:left="444" w:hanging="444"/>
      </w:pPr>
      <w:rPr>
        <w:rFonts w:ascii="Symbol" w:hAnsi="Symbol"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1664C36"/>
    <w:multiLevelType w:val="multilevel"/>
    <w:tmpl w:val="165AB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30333AA"/>
    <w:multiLevelType w:val="multilevel"/>
    <w:tmpl w:val="98B86A5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7C00CE3"/>
    <w:multiLevelType w:val="multilevel"/>
    <w:tmpl w:val="776E4A9E"/>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6D14550A"/>
    <w:multiLevelType w:val="hybridMultilevel"/>
    <w:tmpl w:val="8A7A0A2C"/>
    <w:lvl w:ilvl="0" w:tplc="D9A89D42">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E5A3034"/>
    <w:multiLevelType w:val="hybridMultilevel"/>
    <w:tmpl w:val="EE4C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1BA3FD7"/>
    <w:multiLevelType w:val="hybridMultilevel"/>
    <w:tmpl w:val="DC60D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DAF7B16"/>
    <w:multiLevelType w:val="hybridMultilevel"/>
    <w:tmpl w:val="B6F8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EBC4640"/>
    <w:multiLevelType w:val="multilevel"/>
    <w:tmpl w:val="8C946C6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7ED926F4"/>
    <w:multiLevelType w:val="hybridMultilevel"/>
    <w:tmpl w:val="3866234E"/>
    <w:lvl w:ilvl="0" w:tplc="08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11"/>
  </w:num>
  <w:num w:numId="2">
    <w:abstractNumId w:val="16"/>
  </w:num>
  <w:num w:numId="3">
    <w:abstractNumId w:val="22"/>
  </w:num>
  <w:num w:numId="4">
    <w:abstractNumId w:val="1"/>
  </w:num>
  <w:num w:numId="5">
    <w:abstractNumId w:val="19"/>
  </w:num>
  <w:num w:numId="6">
    <w:abstractNumId w:val="39"/>
  </w:num>
  <w:num w:numId="7">
    <w:abstractNumId w:val="29"/>
  </w:num>
  <w:num w:numId="8">
    <w:abstractNumId w:val="17"/>
  </w:num>
  <w:num w:numId="9">
    <w:abstractNumId w:val="24"/>
  </w:num>
  <w:num w:numId="10">
    <w:abstractNumId w:val="15"/>
  </w:num>
  <w:num w:numId="11">
    <w:abstractNumId w:val="9"/>
  </w:num>
  <w:num w:numId="12">
    <w:abstractNumId w:val="35"/>
  </w:num>
  <w:num w:numId="13">
    <w:abstractNumId w:val="30"/>
  </w:num>
  <w:num w:numId="14">
    <w:abstractNumId w:val="0"/>
  </w:num>
  <w:num w:numId="15">
    <w:abstractNumId w:val="14"/>
  </w:num>
  <w:num w:numId="16">
    <w:abstractNumId w:val="32"/>
  </w:num>
  <w:num w:numId="17">
    <w:abstractNumId w:val="18"/>
  </w:num>
  <w:num w:numId="18">
    <w:abstractNumId w:val="7"/>
  </w:num>
  <w:num w:numId="19">
    <w:abstractNumId w:val="10"/>
  </w:num>
  <w:num w:numId="20">
    <w:abstractNumId w:val="6"/>
  </w:num>
  <w:num w:numId="21">
    <w:abstractNumId w:val="8"/>
  </w:num>
  <w:num w:numId="22">
    <w:abstractNumId w:val="21"/>
  </w:num>
  <w:num w:numId="23">
    <w:abstractNumId w:val="34"/>
  </w:num>
  <w:num w:numId="24">
    <w:abstractNumId w:val="5"/>
  </w:num>
  <w:num w:numId="25">
    <w:abstractNumId w:val="33"/>
  </w:num>
  <w:num w:numId="26">
    <w:abstractNumId w:val="3"/>
  </w:num>
  <w:num w:numId="27">
    <w:abstractNumId w:val="12"/>
  </w:num>
  <w:num w:numId="28">
    <w:abstractNumId w:val="28"/>
  </w:num>
  <w:num w:numId="29">
    <w:abstractNumId w:val="31"/>
  </w:num>
  <w:num w:numId="30">
    <w:abstractNumId w:val="38"/>
  </w:num>
  <w:num w:numId="31">
    <w:abstractNumId w:val="23"/>
  </w:num>
  <w:num w:numId="32">
    <w:abstractNumId w:val="20"/>
  </w:num>
  <w:num w:numId="33">
    <w:abstractNumId w:val="13"/>
  </w:num>
  <w:num w:numId="34">
    <w:abstractNumId w:val="2"/>
  </w:num>
  <w:num w:numId="35">
    <w:abstractNumId w:val="26"/>
  </w:num>
  <w:num w:numId="36">
    <w:abstractNumId w:val="37"/>
  </w:num>
  <w:num w:numId="37">
    <w:abstractNumId w:val="27"/>
  </w:num>
  <w:num w:numId="38">
    <w:abstractNumId w:val="36"/>
  </w:num>
  <w:num w:numId="39">
    <w:abstractNumId w:val="25"/>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47"/>
    <w:rsid w:val="00005D0C"/>
    <w:rsid w:val="00047C87"/>
    <w:rsid w:val="00055CC5"/>
    <w:rsid w:val="00056236"/>
    <w:rsid w:val="000648EF"/>
    <w:rsid w:val="00070715"/>
    <w:rsid w:val="0007432E"/>
    <w:rsid w:val="00080C22"/>
    <w:rsid w:val="00094F34"/>
    <w:rsid w:val="000A0B0F"/>
    <w:rsid w:val="000A45F3"/>
    <w:rsid w:val="000A6555"/>
    <w:rsid w:val="000B78F9"/>
    <w:rsid w:val="000E7CDB"/>
    <w:rsid w:val="000F4B60"/>
    <w:rsid w:val="00105B0B"/>
    <w:rsid w:val="00121E15"/>
    <w:rsid w:val="001266E5"/>
    <w:rsid w:val="00126D76"/>
    <w:rsid w:val="00132372"/>
    <w:rsid w:val="00141F97"/>
    <w:rsid w:val="00151227"/>
    <w:rsid w:val="0016656D"/>
    <w:rsid w:val="001809A5"/>
    <w:rsid w:val="001825C7"/>
    <w:rsid w:val="00187B23"/>
    <w:rsid w:val="00195ED0"/>
    <w:rsid w:val="00197647"/>
    <w:rsid w:val="001A0130"/>
    <w:rsid w:val="001A5B90"/>
    <w:rsid w:val="001B77B0"/>
    <w:rsid w:val="001B7B7F"/>
    <w:rsid w:val="001C7A59"/>
    <w:rsid w:val="001D2EF6"/>
    <w:rsid w:val="001D421A"/>
    <w:rsid w:val="001D4317"/>
    <w:rsid w:val="001D4E3D"/>
    <w:rsid w:val="001D641B"/>
    <w:rsid w:val="001E11F7"/>
    <w:rsid w:val="002026CE"/>
    <w:rsid w:val="002110BD"/>
    <w:rsid w:val="0022593D"/>
    <w:rsid w:val="00225CF0"/>
    <w:rsid w:val="00226061"/>
    <w:rsid w:val="002266AF"/>
    <w:rsid w:val="00227C6F"/>
    <w:rsid w:val="00233B35"/>
    <w:rsid w:val="002359ED"/>
    <w:rsid w:val="0023668E"/>
    <w:rsid w:val="00241953"/>
    <w:rsid w:val="00244CDF"/>
    <w:rsid w:val="00253D97"/>
    <w:rsid w:val="00263780"/>
    <w:rsid w:val="00264187"/>
    <w:rsid w:val="00281CBB"/>
    <w:rsid w:val="00285409"/>
    <w:rsid w:val="00286201"/>
    <w:rsid w:val="00295096"/>
    <w:rsid w:val="002A1C00"/>
    <w:rsid w:val="002A4415"/>
    <w:rsid w:val="002A4D1B"/>
    <w:rsid w:val="002A69BC"/>
    <w:rsid w:val="002C403D"/>
    <w:rsid w:val="002D1139"/>
    <w:rsid w:val="002E17BB"/>
    <w:rsid w:val="00301AD6"/>
    <w:rsid w:val="00311E46"/>
    <w:rsid w:val="00320512"/>
    <w:rsid w:val="00322FB6"/>
    <w:rsid w:val="00325828"/>
    <w:rsid w:val="00332770"/>
    <w:rsid w:val="00337675"/>
    <w:rsid w:val="00337A85"/>
    <w:rsid w:val="0035394F"/>
    <w:rsid w:val="00354AF8"/>
    <w:rsid w:val="003611DA"/>
    <w:rsid w:val="003674E6"/>
    <w:rsid w:val="00375F39"/>
    <w:rsid w:val="003904F3"/>
    <w:rsid w:val="00391D57"/>
    <w:rsid w:val="003A1760"/>
    <w:rsid w:val="003A49EA"/>
    <w:rsid w:val="003B10DD"/>
    <w:rsid w:val="003B67C1"/>
    <w:rsid w:val="003B6E8B"/>
    <w:rsid w:val="003C3200"/>
    <w:rsid w:val="003C3711"/>
    <w:rsid w:val="003C499C"/>
    <w:rsid w:val="003C5740"/>
    <w:rsid w:val="003D411E"/>
    <w:rsid w:val="003E7501"/>
    <w:rsid w:val="003F1F26"/>
    <w:rsid w:val="003F45DE"/>
    <w:rsid w:val="003F57FD"/>
    <w:rsid w:val="003F6D2C"/>
    <w:rsid w:val="00403C9A"/>
    <w:rsid w:val="00413370"/>
    <w:rsid w:val="00435ECB"/>
    <w:rsid w:val="004419C9"/>
    <w:rsid w:val="00444665"/>
    <w:rsid w:val="00460EAA"/>
    <w:rsid w:val="00463E0B"/>
    <w:rsid w:val="00465627"/>
    <w:rsid w:val="004871AC"/>
    <w:rsid w:val="00494B36"/>
    <w:rsid w:val="0049645D"/>
    <w:rsid w:val="004A4CE3"/>
    <w:rsid w:val="004B369D"/>
    <w:rsid w:val="004B737A"/>
    <w:rsid w:val="004B78E0"/>
    <w:rsid w:val="004D069D"/>
    <w:rsid w:val="004D6C10"/>
    <w:rsid w:val="004E5141"/>
    <w:rsid w:val="004F621A"/>
    <w:rsid w:val="00514078"/>
    <w:rsid w:val="005214F0"/>
    <w:rsid w:val="00521F73"/>
    <w:rsid w:val="005234DB"/>
    <w:rsid w:val="00526B8B"/>
    <w:rsid w:val="00534771"/>
    <w:rsid w:val="00534DA2"/>
    <w:rsid w:val="00547E7B"/>
    <w:rsid w:val="00552E3E"/>
    <w:rsid w:val="00571D3F"/>
    <w:rsid w:val="005B7DFC"/>
    <w:rsid w:val="005B7FBF"/>
    <w:rsid w:val="005C49E3"/>
    <w:rsid w:val="005D2055"/>
    <w:rsid w:val="005E10D1"/>
    <w:rsid w:val="005F155F"/>
    <w:rsid w:val="005F709B"/>
    <w:rsid w:val="00610B50"/>
    <w:rsid w:val="0062078F"/>
    <w:rsid w:val="006272F3"/>
    <w:rsid w:val="006273B0"/>
    <w:rsid w:val="00630359"/>
    <w:rsid w:val="0063035E"/>
    <w:rsid w:val="00631779"/>
    <w:rsid w:val="00633B7C"/>
    <w:rsid w:val="006461F6"/>
    <w:rsid w:val="00671A4E"/>
    <w:rsid w:val="00675E56"/>
    <w:rsid w:val="006B54DD"/>
    <w:rsid w:val="006B7BA0"/>
    <w:rsid w:val="006C074C"/>
    <w:rsid w:val="006C7898"/>
    <w:rsid w:val="006C7EB3"/>
    <w:rsid w:val="006D5B24"/>
    <w:rsid w:val="006D5FD8"/>
    <w:rsid w:val="006E6391"/>
    <w:rsid w:val="006E6D15"/>
    <w:rsid w:val="00702FF6"/>
    <w:rsid w:val="00707465"/>
    <w:rsid w:val="00711596"/>
    <w:rsid w:val="00712DFA"/>
    <w:rsid w:val="00716E5F"/>
    <w:rsid w:val="00730579"/>
    <w:rsid w:val="00733B45"/>
    <w:rsid w:val="00745057"/>
    <w:rsid w:val="00746482"/>
    <w:rsid w:val="007547B3"/>
    <w:rsid w:val="0075607C"/>
    <w:rsid w:val="007743C6"/>
    <w:rsid w:val="0078662C"/>
    <w:rsid w:val="007C64DA"/>
    <w:rsid w:val="007D102A"/>
    <w:rsid w:val="007E43C3"/>
    <w:rsid w:val="007E5C1F"/>
    <w:rsid w:val="007E658E"/>
    <w:rsid w:val="007F1969"/>
    <w:rsid w:val="007F1AD3"/>
    <w:rsid w:val="007F41F0"/>
    <w:rsid w:val="00801AAA"/>
    <w:rsid w:val="008042B7"/>
    <w:rsid w:val="00812E78"/>
    <w:rsid w:val="00820314"/>
    <w:rsid w:val="00851195"/>
    <w:rsid w:val="0085134C"/>
    <w:rsid w:val="008578E8"/>
    <w:rsid w:val="00865D94"/>
    <w:rsid w:val="008741C6"/>
    <w:rsid w:val="00875075"/>
    <w:rsid w:val="00880A84"/>
    <w:rsid w:val="00881EA5"/>
    <w:rsid w:val="00883CC7"/>
    <w:rsid w:val="00886A3E"/>
    <w:rsid w:val="008C21AB"/>
    <w:rsid w:val="008D458D"/>
    <w:rsid w:val="008D5E53"/>
    <w:rsid w:val="008D6794"/>
    <w:rsid w:val="008E2AF3"/>
    <w:rsid w:val="008F06AB"/>
    <w:rsid w:val="008F2044"/>
    <w:rsid w:val="008F4B14"/>
    <w:rsid w:val="009005C8"/>
    <w:rsid w:val="00900798"/>
    <w:rsid w:val="00901B01"/>
    <w:rsid w:val="009178D3"/>
    <w:rsid w:val="00917BB9"/>
    <w:rsid w:val="009234CB"/>
    <w:rsid w:val="0092421E"/>
    <w:rsid w:val="0092615D"/>
    <w:rsid w:val="009302DB"/>
    <w:rsid w:val="0093320D"/>
    <w:rsid w:val="00933A5B"/>
    <w:rsid w:val="00933DA6"/>
    <w:rsid w:val="009352B3"/>
    <w:rsid w:val="0094123B"/>
    <w:rsid w:val="00946249"/>
    <w:rsid w:val="009525C1"/>
    <w:rsid w:val="00954B55"/>
    <w:rsid w:val="00964CDD"/>
    <w:rsid w:val="0096566C"/>
    <w:rsid w:val="00981478"/>
    <w:rsid w:val="00983715"/>
    <w:rsid w:val="00986AC2"/>
    <w:rsid w:val="009979B4"/>
    <w:rsid w:val="009A5C0A"/>
    <w:rsid w:val="009B564C"/>
    <w:rsid w:val="009C05CD"/>
    <w:rsid w:val="009C69C8"/>
    <w:rsid w:val="009D70A0"/>
    <w:rsid w:val="009E1299"/>
    <w:rsid w:val="009F6A5A"/>
    <w:rsid w:val="00A1005E"/>
    <w:rsid w:val="00A163E1"/>
    <w:rsid w:val="00A173D9"/>
    <w:rsid w:val="00A20238"/>
    <w:rsid w:val="00A215EE"/>
    <w:rsid w:val="00A248D2"/>
    <w:rsid w:val="00A31504"/>
    <w:rsid w:val="00A322FC"/>
    <w:rsid w:val="00A61784"/>
    <w:rsid w:val="00A8739D"/>
    <w:rsid w:val="00A95948"/>
    <w:rsid w:val="00AA7F11"/>
    <w:rsid w:val="00AB1158"/>
    <w:rsid w:val="00AC2899"/>
    <w:rsid w:val="00AC3882"/>
    <w:rsid w:val="00AD0969"/>
    <w:rsid w:val="00AD629E"/>
    <w:rsid w:val="00AE17B1"/>
    <w:rsid w:val="00AF3361"/>
    <w:rsid w:val="00AF4FDA"/>
    <w:rsid w:val="00AF5D02"/>
    <w:rsid w:val="00AF6337"/>
    <w:rsid w:val="00B00E04"/>
    <w:rsid w:val="00B043BC"/>
    <w:rsid w:val="00B05A60"/>
    <w:rsid w:val="00B230B6"/>
    <w:rsid w:val="00B25441"/>
    <w:rsid w:val="00B34A8A"/>
    <w:rsid w:val="00B45152"/>
    <w:rsid w:val="00B60604"/>
    <w:rsid w:val="00B6185B"/>
    <w:rsid w:val="00B80001"/>
    <w:rsid w:val="00B87CED"/>
    <w:rsid w:val="00B91962"/>
    <w:rsid w:val="00B91D3E"/>
    <w:rsid w:val="00B93EFC"/>
    <w:rsid w:val="00B97B01"/>
    <w:rsid w:val="00BB34DD"/>
    <w:rsid w:val="00BB3887"/>
    <w:rsid w:val="00BC1CCC"/>
    <w:rsid w:val="00BC2F03"/>
    <w:rsid w:val="00BC3D7B"/>
    <w:rsid w:val="00BC4B7F"/>
    <w:rsid w:val="00BD05C8"/>
    <w:rsid w:val="00BF2737"/>
    <w:rsid w:val="00C00D03"/>
    <w:rsid w:val="00C0310C"/>
    <w:rsid w:val="00C0794B"/>
    <w:rsid w:val="00C2559C"/>
    <w:rsid w:val="00C34775"/>
    <w:rsid w:val="00C5139F"/>
    <w:rsid w:val="00C657B6"/>
    <w:rsid w:val="00C71FF9"/>
    <w:rsid w:val="00C73490"/>
    <w:rsid w:val="00C7647D"/>
    <w:rsid w:val="00C80ECA"/>
    <w:rsid w:val="00C824B8"/>
    <w:rsid w:val="00C84EE8"/>
    <w:rsid w:val="00C94C3A"/>
    <w:rsid w:val="00CB46A1"/>
    <w:rsid w:val="00CC0B9B"/>
    <w:rsid w:val="00CC39D5"/>
    <w:rsid w:val="00CC6B52"/>
    <w:rsid w:val="00CD18EC"/>
    <w:rsid w:val="00CD7BCE"/>
    <w:rsid w:val="00CE1316"/>
    <w:rsid w:val="00CE1416"/>
    <w:rsid w:val="00CE1DB9"/>
    <w:rsid w:val="00D00070"/>
    <w:rsid w:val="00D10B8F"/>
    <w:rsid w:val="00D113E1"/>
    <w:rsid w:val="00D2531C"/>
    <w:rsid w:val="00D31D00"/>
    <w:rsid w:val="00D357A7"/>
    <w:rsid w:val="00D37C9E"/>
    <w:rsid w:val="00D479AD"/>
    <w:rsid w:val="00D561E9"/>
    <w:rsid w:val="00D61C34"/>
    <w:rsid w:val="00D629D8"/>
    <w:rsid w:val="00D70B28"/>
    <w:rsid w:val="00D92029"/>
    <w:rsid w:val="00D93B81"/>
    <w:rsid w:val="00D93DB5"/>
    <w:rsid w:val="00DA14EC"/>
    <w:rsid w:val="00DD4251"/>
    <w:rsid w:val="00DD6D73"/>
    <w:rsid w:val="00E37906"/>
    <w:rsid w:val="00E477B0"/>
    <w:rsid w:val="00E77CFC"/>
    <w:rsid w:val="00EA2693"/>
    <w:rsid w:val="00EC02BA"/>
    <w:rsid w:val="00EF05ED"/>
    <w:rsid w:val="00F06D55"/>
    <w:rsid w:val="00F11464"/>
    <w:rsid w:val="00F12634"/>
    <w:rsid w:val="00F24F8D"/>
    <w:rsid w:val="00F35374"/>
    <w:rsid w:val="00F37376"/>
    <w:rsid w:val="00F44B0C"/>
    <w:rsid w:val="00F54C8A"/>
    <w:rsid w:val="00F727D2"/>
    <w:rsid w:val="00F77C94"/>
    <w:rsid w:val="00F8210F"/>
    <w:rsid w:val="00F82C9B"/>
    <w:rsid w:val="00F93472"/>
    <w:rsid w:val="00F9385B"/>
    <w:rsid w:val="00FA78C8"/>
    <w:rsid w:val="00FB5E74"/>
    <w:rsid w:val="00FC572D"/>
    <w:rsid w:val="00FC7F62"/>
    <w:rsid w:val="00FD012A"/>
    <w:rsid w:val="00FF1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0B6"/>
    <w:rPr>
      <w:sz w:val="24"/>
    </w:rPr>
  </w:style>
  <w:style w:type="paragraph" w:styleId="Heading1">
    <w:name w:val="heading 1"/>
    <w:basedOn w:val="Normal"/>
    <w:next w:val="Normal"/>
    <w:link w:val="Heading1Char"/>
    <w:uiPriority w:val="9"/>
    <w:qFormat/>
    <w:rsid w:val="005214F0"/>
    <w:pPr>
      <w:keepNext/>
      <w:keepLines/>
      <w:pBdr>
        <w:top w:val="single" w:sz="8" w:space="12" w:color="1F497D" w:themeColor="text2"/>
      </w:pBdr>
      <w:spacing w:before="600" w:after="240" w:line="240"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34DA2"/>
    <w:pPr>
      <w:keepNext/>
      <w:keepLines/>
      <w:spacing w:before="240" w:after="4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unhideWhenUsed/>
    <w:qFormat/>
    <w:rsid w:val="002D1139"/>
    <w:pPr>
      <w:keepNext/>
      <w:keepLines/>
      <w:spacing w:before="200" w:after="0"/>
      <w:outlineLvl w:val="2"/>
    </w:pPr>
    <w:rPr>
      <w:rFonts w:asciiTheme="majorHAnsi" w:eastAsiaTheme="majorEastAsia" w:hAnsiTheme="majorHAnsi" w:cstheme="majorBidi"/>
      <w:b/>
      <w:bCs/>
      <w:color w:val="595959" w:themeColor="text1" w:themeTint="A6"/>
    </w:rPr>
  </w:style>
  <w:style w:type="paragraph" w:styleId="Heading4">
    <w:name w:val="heading 4"/>
    <w:basedOn w:val="Normal"/>
    <w:next w:val="Normal"/>
    <w:link w:val="Heading4Char"/>
    <w:uiPriority w:val="9"/>
    <w:unhideWhenUsed/>
    <w:qFormat/>
    <w:rsid w:val="00F06D55"/>
    <w:pPr>
      <w:keepNext/>
      <w:keepLines/>
      <w:spacing w:after="24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D6D73"/>
    <w:pPr>
      <w:spacing w:after="0" w:line="240" w:lineRule="auto"/>
    </w:pPr>
    <w:rPr>
      <w:rFonts w:eastAsiaTheme="minorEastAsia"/>
      <w:sz w:val="24"/>
      <w:lang w:val="en-US" w:eastAsia="ja-JP"/>
    </w:rPr>
  </w:style>
  <w:style w:type="character" w:customStyle="1" w:styleId="NoSpacingChar">
    <w:name w:val="No Spacing Char"/>
    <w:basedOn w:val="DefaultParagraphFont"/>
    <w:link w:val="NoSpacing"/>
    <w:uiPriority w:val="1"/>
    <w:rsid w:val="00DD6D73"/>
    <w:rPr>
      <w:rFonts w:eastAsiaTheme="minorEastAsia"/>
      <w:sz w:val="24"/>
      <w:lang w:val="en-US" w:eastAsia="ja-JP"/>
    </w:rPr>
  </w:style>
  <w:style w:type="paragraph" w:styleId="BalloonText">
    <w:name w:val="Balloon Text"/>
    <w:basedOn w:val="Normal"/>
    <w:link w:val="BalloonTextChar"/>
    <w:uiPriority w:val="99"/>
    <w:semiHidden/>
    <w:unhideWhenUsed/>
    <w:rsid w:val="00197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647"/>
    <w:rPr>
      <w:rFonts w:ascii="Tahoma" w:hAnsi="Tahoma" w:cs="Tahoma"/>
      <w:sz w:val="16"/>
      <w:szCs w:val="16"/>
    </w:rPr>
  </w:style>
  <w:style w:type="paragraph" w:styleId="Title">
    <w:name w:val="Title"/>
    <w:basedOn w:val="Normal"/>
    <w:next w:val="Normal"/>
    <w:link w:val="TitleChar"/>
    <w:uiPriority w:val="10"/>
    <w:qFormat/>
    <w:rsid w:val="002D1139"/>
    <w:pPr>
      <w:pBdr>
        <w:top w:val="single" w:sz="8" w:space="1" w:color="4F81BD" w:themeColor="accent1"/>
        <w:left w:val="single" w:sz="8" w:space="4" w:color="4F81BD" w:themeColor="accent1"/>
        <w:bottom w:val="single" w:sz="8" w:space="4" w:color="4F81BD" w:themeColor="accent1"/>
        <w:right w:val="single" w:sz="8" w:space="4" w:color="4F81BD" w:themeColor="accent1"/>
      </w:pBdr>
      <w:shd w:val="clear" w:color="auto" w:fill="4F81BD" w:themeFill="accent1"/>
      <w:spacing w:after="300" w:line="240" w:lineRule="auto"/>
      <w:contextualSpacing/>
    </w:pPr>
    <w:rPr>
      <w:rFonts w:asciiTheme="majorHAnsi" w:eastAsiaTheme="majorEastAsia" w:hAnsiTheme="majorHAnsi" w:cstheme="majorBidi"/>
      <w:color w:val="FFFFFF" w:themeColor="background1"/>
      <w:spacing w:val="5"/>
      <w:kern w:val="28"/>
      <w:sz w:val="36"/>
      <w:szCs w:val="52"/>
    </w:rPr>
  </w:style>
  <w:style w:type="character" w:customStyle="1" w:styleId="TitleChar">
    <w:name w:val="Title Char"/>
    <w:basedOn w:val="DefaultParagraphFont"/>
    <w:link w:val="Title"/>
    <w:uiPriority w:val="10"/>
    <w:rsid w:val="002D1139"/>
    <w:rPr>
      <w:rFonts w:asciiTheme="majorHAnsi" w:eastAsiaTheme="majorEastAsia" w:hAnsiTheme="majorHAnsi" w:cstheme="majorBidi"/>
      <w:color w:val="FFFFFF" w:themeColor="background1"/>
      <w:spacing w:val="5"/>
      <w:kern w:val="28"/>
      <w:sz w:val="36"/>
      <w:szCs w:val="52"/>
      <w:shd w:val="clear" w:color="auto" w:fill="4F81BD" w:themeFill="accent1"/>
    </w:rPr>
  </w:style>
  <w:style w:type="character" w:customStyle="1" w:styleId="Heading1Char">
    <w:name w:val="Heading 1 Char"/>
    <w:basedOn w:val="DefaultParagraphFont"/>
    <w:link w:val="Heading1"/>
    <w:uiPriority w:val="9"/>
    <w:rsid w:val="005214F0"/>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197647"/>
    <w:pPr>
      <w:outlineLvl w:val="9"/>
    </w:pPr>
    <w:rPr>
      <w:lang w:val="en-US" w:eastAsia="ja-JP"/>
    </w:rPr>
  </w:style>
  <w:style w:type="paragraph" w:styleId="TOC2">
    <w:name w:val="toc 2"/>
    <w:basedOn w:val="Normal"/>
    <w:next w:val="Normal"/>
    <w:autoRedefine/>
    <w:uiPriority w:val="39"/>
    <w:unhideWhenUsed/>
    <w:qFormat/>
    <w:rsid w:val="00197647"/>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197647"/>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197647"/>
    <w:pPr>
      <w:spacing w:after="100"/>
      <w:ind w:left="440"/>
    </w:pPr>
    <w:rPr>
      <w:rFonts w:eastAsiaTheme="minorEastAsia"/>
      <w:lang w:val="en-US" w:eastAsia="ja-JP"/>
    </w:rPr>
  </w:style>
  <w:style w:type="character" w:customStyle="1" w:styleId="Heading2Char">
    <w:name w:val="Heading 2 Char"/>
    <w:basedOn w:val="DefaultParagraphFont"/>
    <w:link w:val="Heading2"/>
    <w:uiPriority w:val="9"/>
    <w:rsid w:val="00534DA2"/>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rsid w:val="002D1139"/>
    <w:rPr>
      <w:rFonts w:asciiTheme="majorHAnsi" w:eastAsiaTheme="majorEastAsia" w:hAnsiTheme="majorHAnsi" w:cstheme="majorBidi"/>
      <w:b/>
      <w:bCs/>
      <w:color w:val="595959" w:themeColor="text1" w:themeTint="A6"/>
      <w:sz w:val="24"/>
    </w:rPr>
  </w:style>
  <w:style w:type="character" w:styleId="Hyperlink">
    <w:name w:val="Hyperlink"/>
    <w:basedOn w:val="DefaultParagraphFont"/>
    <w:uiPriority w:val="99"/>
    <w:unhideWhenUsed/>
    <w:rsid w:val="00197647"/>
    <w:rPr>
      <w:color w:val="0000FF" w:themeColor="hyperlink"/>
      <w:u w:val="single"/>
    </w:rPr>
  </w:style>
  <w:style w:type="paragraph" w:styleId="Header">
    <w:name w:val="header"/>
    <w:basedOn w:val="Normal"/>
    <w:link w:val="HeaderChar"/>
    <w:uiPriority w:val="99"/>
    <w:unhideWhenUsed/>
    <w:rsid w:val="006C7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EB3"/>
  </w:style>
  <w:style w:type="paragraph" w:styleId="Footer">
    <w:name w:val="footer"/>
    <w:basedOn w:val="Normal"/>
    <w:link w:val="FooterChar"/>
    <w:uiPriority w:val="99"/>
    <w:unhideWhenUsed/>
    <w:rsid w:val="006C7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EB3"/>
  </w:style>
  <w:style w:type="paragraph" w:styleId="ListParagraph">
    <w:name w:val="List Paragraph"/>
    <w:basedOn w:val="Normal"/>
    <w:link w:val="ListParagraphChar"/>
    <w:uiPriority w:val="34"/>
    <w:qFormat/>
    <w:rsid w:val="00DD6D73"/>
    <w:pPr>
      <w:ind w:left="720"/>
      <w:contextualSpacing/>
    </w:pPr>
  </w:style>
  <w:style w:type="table" w:styleId="TableGrid">
    <w:name w:val="Table Grid"/>
    <w:basedOn w:val="TableNormal"/>
    <w:uiPriority w:val="59"/>
    <w:rsid w:val="006B7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012A"/>
    <w:rPr>
      <w:b/>
      <w:bCs/>
    </w:rPr>
  </w:style>
  <w:style w:type="paragraph" w:styleId="FootnoteText">
    <w:name w:val="footnote text"/>
    <w:aliases w:val="~FootnoteText,RSK-FT Char,RSK-FT1 Char,RSK-FT2 Char,RSK-FT,RSK-FT1,RSK-FT2,Harestanes Ref,Char1, Char1"/>
    <w:basedOn w:val="Normal"/>
    <w:link w:val="FootnoteTextChar"/>
    <w:uiPriority w:val="99"/>
    <w:unhideWhenUsed/>
    <w:rsid w:val="00514078"/>
    <w:pPr>
      <w:spacing w:after="0" w:line="240" w:lineRule="auto"/>
    </w:pPr>
    <w:rPr>
      <w:sz w:val="20"/>
      <w:szCs w:val="20"/>
    </w:rPr>
  </w:style>
  <w:style w:type="character" w:customStyle="1" w:styleId="FootnoteTextChar">
    <w:name w:val="Footnote Text Char"/>
    <w:aliases w:val="~FootnoteText Char,RSK-FT Char Char,RSK-FT1 Char Char,RSK-FT2 Char Char,RSK-FT Char1,RSK-FT1 Char1,RSK-FT2 Char1,Harestanes Ref Char,Char1 Char, Char1 Char"/>
    <w:basedOn w:val="DefaultParagraphFont"/>
    <w:link w:val="FootnoteText"/>
    <w:uiPriority w:val="99"/>
    <w:rsid w:val="00514078"/>
    <w:rPr>
      <w:sz w:val="20"/>
      <w:szCs w:val="20"/>
    </w:rPr>
  </w:style>
  <w:style w:type="character" w:styleId="FootnoteReference">
    <w:name w:val="footnote reference"/>
    <w:basedOn w:val="DefaultParagraphFont"/>
    <w:uiPriority w:val="99"/>
    <w:unhideWhenUsed/>
    <w:rsid w:val="00514078"/>
    <w:rPr>
      <w:vertAlign w:val="superscript"/>
    </w:rPr>
  </w:style>
  <w:style w:type="paragraph" w:customStyle="1" w:styleId="Mandate">
    <w:name w:val="Mandate"/>
    <w:basedOn w:val="Heading1"/>
    <w:link w:val="MandateChar"/>
    <w:rsid w:val="00EC02BA"/>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pPr>
  </w:style>
  <w:style w:type="character" w:customStyle="1" w:styleId="MandateChar">
    <w:name w:val="Mandate Char"/>
    <w:basedOn w:val="Heading1Char"/>
    <w:link w:val="Mandate"/>
    <w:rsid w:val="00EC02BA"/>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sid w:val="00322FB6"/>
    <w:rPr>
      <w:color w:val="808080"/>
    </w:rPr>
  </w:style>
  <w:style w:type="paragraph" w:customStyle="1" w:styleId="Concept">
    <w:name w:val="Concept"/>
    <w:basedOn w:val="Mandate"/>
    <w:link w:val="ConceptChar"/>
    <w:rsid w:val="00EC02BA"/>
    <w:pPr>
      <w:pBdr>
        <w:top w:val="single" w:sz="12" w:space="1" w:color="4BACC6" w:themeColor="accent5"/>
        <w:left w:val="single" w:sz="12" w:space="4" w:color="4BACC6" w:themeColor="accent5"/>
        <w:bottom w:val="single" w:sz="12" w:space="1" w:color="4BACC6" w:themeColor="accent5"/>
        <w:right w:val="single" w:sz="12" w:space="4" w:color="4BACC6" w:themeColor="accent5"/>
      </w:pBdr>
    </w:pPr>
  </w:style>
  <w:style w:type="paragraph" w:customStyle="1" w:styleId="Planning">
    <w:name w:val="Planning"/>
    <w:basedOn w:val="Concept"/>
    <w:link w:val="PlanningChar"/>
    <w:rsid w:val="00EC02BA"/>
    <w:pPr>
      <w:pBdr>
        <w:top w:val="single" w:sz="12" w:space="1" w:color="4F81BD" w:themeColor="accent1"/>
        <w:left w:val="single" w:sz="12" w:space="4" w:color="4F81BD" w:themeColor="accent1"/>
        <w:bottom w:val="single" w:sz="12" w:space="1" w:color="4F81BD" w:themeColor="accent1"/>
        <w:right w:val="single" w:sz="12" w:space="4" w:color="4F81BD" w:themeColor="accent1"/>
      </w:pBdr>
    </w:pPr>
  </w:style>
  <w:style w:type="character" w:customStyle="1" w:styleId="ConceptChar">
    <w:name w:val="Concept Char"/>
    <w:basedOn w:val="MandateChar"/>
    <w:link w:val="Concept"/>
    <w:rsid w:val="00EC02BA"/>
    <w:rPr>
      <w:rFonts w:asciiTheme="majorHAnsi" w:eastAsiaTheme="majorEastAsia" w:hAnsiTheme="majorHAnsi" w:cstheme="majorBidi"/>
      <w:b/>
      <w:bCs/>
      <w:sz w:val="28"/>
      <w:szCs w:val="28"/>
    </w:rPr>
  </w:style>
  <w:style w:type="paragraph" w:customStyle="1" w:styleId="Delivery">
    <w:name w:val="Delivery"/>
    <w:basedOn w:val="Concept"/>
    <w:link w:val="DeliveryChar"/>
    <w:rsid w:val="00EC02BA"/>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pPr>
  </w:style>
  <w:style w:type="character" w:customStyle="1" w:styleId="PlanningChar">
    <w:name w:val="Planning Char"/>
    <w:basedOn w:val="ConceptChar"/>
    <w:link w:val="Planning"/>
    <w:rsid w:val="00EC02BA"/>
    <w:rPr>
      <w:rFonts w:asciiTheme="majorHAnsi" w:eastAsiaTheme="majorEastAsia" w:hAnsiTheme="majorHAnsi" w:cstheme="majorBidi"/>
      <w:b/>
      <w:bCs/>
      <w:sz w:val="28"/>
      <w:szCs w:val="28"/>
    </w:rPr>
  </w:style>
  <w:style w:type="paragraph" w:customStyle="1" w:styleId="Closure">
    <w:name w:val="Closure"/>
    <w:basedOn w:val="Delivery"/>
    <w:link w:val="ClosureChar"/>
    <w:rsid w:val="00EC02BA"/>
    <w:pPr>
      <w:pBdr>
        <w:top w:val="single" w:sz="12" w:space="1" w:color="8064A2" w:themeColor="accent4"/>
        <w:left w:val="single" w:sz="12" w:space="4" w:color="8064A2" w:themeColor="accent4"/>
        <w:bottom w:val="single" w:sz="12" w:space="1" w:color="8064A2" w:themeColor="accent4"/>
        <w:right w:val="single" w:sz="12" w:space="4" w:color="8064A2" w:themeColor="accent4"/>
      </w:pBdr>
    </w:pPr>
  </w:style>
  <w:style w:type="character" w:customStyle="1" w:styleId="DeliveryChar">
    <w:name w:val="Delivery Char"/>
    <w:basedOn w:val="ConceptChar"/>
    <w:link w:val="Delivery"/>
    <w:rsid w:val="00EC02BA"/>
    <w:rPr>
      <w:rFonts w:asciiTheme="majorHAnsi" w:eastAsiaTheme="majorEastAsia" w:hAnsiTheme="majorHAnsi" w:cstheme="majorBidi"/>
      <w:b/>
      <w:bCs/>
      <w:sz w:val="28"/>
      <w:szCs w:val="28"/>
    </w:rPr>
  </w:style>
  <w:style w:type="paragraph" w:styleId="Quote">
    <w:name w:val="Quote"/>
    <w:basedOn w:val="Normal"/>
    <w:next w:val="Normal"/>
    <w:link w:val="QuoteChar"/>
    <w:uiPriority w:val="29"/>
    <w:qFormat/>
    <w:rsid w:val="00233B35"/>
    <w:rPr>
      <w:i/>
      <w:iCs/>
      <w:color w:val="000000" w:themeColor="text1"/>
    </w:rPr>
  </w:style>
  <w:style w:type="character" w:customStyle="1" w:styleId="ClosureChar">
    <w:name w:val="Closure Char"/>
    <w:basedOn w:val="DeliveryChar"/>
    <w:link w:val="Closure"/>
    <w:rsid w:val="00EC02BA"/>
    <w:rPr>
      <w:rFonts w:asciiTheme="majorHAnsi" w:eastAsiaTheme="majorEastAsia" w:hAnsiTheme="majorHAnsi" w:cstheme="majorBidi"/>
      <w:b/>
      <w:bCs/>
      <w:sz w:val="28"/>
      <w:szCs w:val="28"/>
    </w:rPr>
  </w:style>
  <w:style w:type="character" w:customStyle="1" w:styleId="QuoteChar">
    <w:name w:val="Quote Char"/>
    <w:basedOn w:val="DefaultParagraphFont"/>
    <w:link w:val="Quote"/>
    <w:uiPriority w:val="29"/>
    <w:rsid w:val="00233B35"/>
    <w:rPr>
      <w:i/>
      <w:iCs/>
      <w:color w:val="000000" w:themeColor="text1"/>
      <w:sz w:val="24"/>
    </w:rPr>
  </w:style>
  <w:style w:type="character" w:customStyle="1" w:styleId="Heading4Char">
    <w:name w:val="Heading 4 Char"/>
    <w:basedOn w:val="DefaultParagraphFont"/>
    <w:link w:val="Heading4"/>
    <w:uiPriority w:val="9"/>
    <w:rsid w:val="00F06D55"/>
    <w:rPr>
      <w:rFonts w:asciiTheme="majorHAnsi" w:eastAsiaTheme="majorEastAsia" w:hAnsiTheme="majorHAnsi" w:cstheme="majorBidi"/>
      <w:b/>
      <w:bCs/>
      <w:iCs/>
      <w:sz w:val="24"/>
    </w:rPr>
  </w:style>
  <w:style w:type="paragraph" w:styleId="Caption">
    <w:name w:val="caption"/>
    <w:basedOn w:val="Normal"/>
    <w:next w:val="Normal"/>
    <w:uiPriority w:val="35"/>
    <w:unhideWhenUsed/>
    <w:qFormat/>
    <w:rsid w:val="00F06D55"/>
    <w:pPr>
      <w:spacing w:line="240" w:lineRule="auto"/>
    </w:pPr>
    <w:rPr>
      <w:b/>
      <w:bCs/>
      <w:szCs w:val="18"/>
    </w:rPr>
  </w:style>
  <w:style w:type="paragraph" w:styleId="TableofFigures">
    <w:name w:val="table of figures"/>
    <w:basedOn w:val="Normal"/>
    <w:next w:val="Normal"/>
    <w:uiPriority w:val="99"/>
    <w:unhideWhenUsed/>
    <w:rsid w:val="00F06D55"/>
    <w:pPr>
      <w:spacing w:after="0"/>
    </w:pPr>
  </w:style>
  <w:style w:type="paragraph" w:customStyle="1" w:styleId="Appendix">
    <w:name w:val="Appendix"/>
    <w:basedOn w:val="Normal"/>
    <w:link w:val="AppendixChar"/>
    <w:qFormat/>
    <w:rsid w:val="00056236"/>
    <w:rPr>
      <w:b/>
    </w:rPr>
  </w:style>
  <w:style w:type="character" w:customStyle="1" w:styleId="AppendixChar">
    <w:name w:val="Appendix Char"/>
    <w:basedOn w:val="DefaultParagraphFont"/>
    <w:link w:val="Appendix"/>
    <w:rsid w:val="00056236"/>
    <w:rPr>
      <w:b/>
      <w:sz w:val="24"/>
    </w:rPr>
  </w:style>
  <w:style w:type="paragraph" w:customStyle="1" w:styleId="Default">
    <w:name w:val="Default"/>
    <w:rsid w:val="006B54DD"/>
    <w:pPr>
      <w:autoSpaceDE w:val="0"/>
      <w:autoSpaceDN w:val="0"/>
      <w:adjustRightInd w:val="0"/>
      <w:spacing w:after="0" w:line="240" w:lineRule="auto"/>
    </w:pPr>
    <w:rPr>
      <w:rFonts w:ascii="Syntax" w:eastAsia="MS ??" w:hAnsi="Syntax" w:cs="Syntax"/>
      <w:color w:val="000000"/>
      <w:sz w:val="24"/>
      <w:szCs w:val="24"/>
      <w:lang w:eastAsia="en-GB"/>
    </w:rPr>
  </w:style>
  <w:style w:type="character" w:customStyle="1" w:styleId="ListParagraphChar">
    <w:name w:val="List Paragraph Char"/>
    <w:link w:val="ListParagraph"/>
    <w:uiPriority w:val="34"/>
    <w:rsid w:val="00F11464"/>
    <w:rPr>
      <w:sz w:val="24"/>
    </w:rPr>
  </w:style>
  <w:style w:type="paragraph" w:customStyle="1" w:styleId="Body">
    <w:name w:val="Body"/>
    <w:rsid w:val="004871AC"/>
    <w:pPr>
      <w:spacing w:after="0" w:line="240" w:lineRule="auto"/>
    </w:pPr>
    <w:rPr>
      <w:rFonts w:ascii="Helvetica" w:eastAsia="ヒラギノ角ゴ Pro W3" w:hAnsi="Helvetica" w:cs="Times New Roman"/>
      <w:color w:val="000000"/>
      <w:sz w:val="24"/>
      <w:szCs w:val="20"/>
      <w:lang w:val="en-US" w:eastAsia="en-GB"/>
    </w:rPr>
  </w:style>
  <w:style w:type="character" w:styleId="FollowedHyperlink">
    <w:name w:val="FollowedHyperlink"/>
    <w:basedOn w:val="DefaultParagraphFont"/>
    <w:uiPriority w:val="99"/>
    <w:semiHidden/>
    <w:unhideWhenUsed/>
    <w:rsid w:val="003F57FD"/>
    <w:rPr>
      <w:color w:val="800080" w:themeColor="followedHyperlink"/>
      <w:u w:val="single"/>
    </w:rPr>
  </w:style>
  <w:style w:type="paragraph" w:customStyle="1" w:styleId="MOIText">
    <w:name w:val="MOI Text"/>
    <w:rsid w:val="00917BB9"/>
    <w:pPr>
      <w:tabs>
        <w:tab w:val="left" w:pos="567"/>
      </w:tabs>
      <w:spacing w:before="60" w:after="60"/>
      <w:jc w:val="both"/>
    </w:pPr>
    <w:rPr>
      <w:rFonts w:ascii="Arial" w:eastAsia="ヒラギノ角ゴ Pro W3" w:hAnsi="Arial" w:cs="Times New Roman"/>
      <w:color w:val="000000"/>
      <w:szCs w:val="20"/>
      <w:lang w:eastAsia="en-GB"/>
    </w:rPr>
  </w:style>
  <w:style w:type="paragraph" w:customStyle="1" w:styleId="Heading2A">
    <w:name w:val="Heading 2 A"/>
    <w:next w:val="Normal"/>
    <w:rsid w:val="00917BB9"/>
    <w:pPr>
      <w:keepNext/>
      <w:tabs>
        <w:tab w:val="left" w:pos="1002"/>
      </w:tabs>
      <w:spacing w:before="60" w:after="60" w:line="240" w:lineRule="auto"/>
      <w:jc w:val="both"/>
      <w:outlineLvl w:val="1"/>
    </w:pPr>
    <w:rPr>
      <w:rFonts w:ascii="Arial Bold" w:eastAsia="ヒラギノ角ゴ Pro W3" w:hAnsi="Arial Bold" w:cs="Times New Roman"/>
      <w:color w:val="000000"/>
      <w:sz w:val="24"/>
      <w:szCs w:val="20"/>
      <w:lang w:eastAsia="en-GB"/>
    </w:rPr>
  </w:style>
  <w:style w:type="paragraph" w:customStyle="1" w:styleId="BulletMOI">
    <w:name w:val="Bullet MOI"/>
    <w:rsid w:val="00917BB9"/>
    <w:pPr>
      <w:tabs>
        <w:tab w:val="left" w:pos="720"/>
        <w:tab w:val="left" w:pos="1599"/>
      </w:tabs>
      <w:spacing w:after="0" w:line="240" w:lineRule="auto"/>
      <w:jc w:val="both"/>
    </w:pPr>
    <w:rPr>
      <w:rFonts w:ascii="Arial" w:eastAsia="ヒラギノ角ゴ Pro W3" w:hAnsi="Arial" w:cs="Times New Roman"/>
      <w:color w:val="000000"/>
      <w:szCs w:val="20"/>
      <w:lang w:eastAsia="en-GB"/>
    </w:rPr>
  </w:style>
  <w:style w:type="paragraph" w:customStyle="1" w:styleId="Heading3A">
    <w:name w:val="Heading 3 A"/>
    <w:next w:val="Normal"/>
    <w:rsid w:val="00917BB9"/>
    <w:pPr>
      <w:widowControl w:val="0"/>
      <w:tabs>
        <w:tab w:val="left" w:pos="851"/>
        <w:tab w:val="left" w:pos="3744"/>
        <w:tab w:val="left" w:pos="5184"/>
        <w:tab w:val="left" w:pos="6912"/>
      </w:tabs>
      <w:spacing w:before="120" w:after="0" w:line="240" w:lineRule="auto"/>
      <w:ind w:left="720" w:hanging="11"/>
      <w:outlineLvl w:val="2"/>
    </w:pPr>
    <w:rPr>
      <w:rFonts w:ascii="Arial Bold" w:eastAsia="ヒラギノ角ゴ Pro W3" w:hAnsi="Arial Bold" w:cs="Times New Roman"/>
      <w:color w:val="000000"/>
      <w:szCs w:val="20"/>
      <w:lang w:eastAsia="en-GB"/>
    </w:rPr>
  </w:style>
  <w:style w:type="character" w:customStyle="1" w:styleId="ColorfulList-Accent1Char1">
    <w:name w:val="Colorful List - Accent 1 Char1"/>
    <w:link w:val="ColorfulList-Accent1"/>
    <w:uiPriority w:val="34"/>
    <w:rsid w:val="00A1005E"/>
    <w:rPr>
      <w:rFonts w:ascii="Times New Roman" w:eastAsia="Times New Roman" w:hAnsi="Times New Roman" w:cs="Times New Roman"/>
      <w:sz w:val="24"/>
      <w:szCs w:val="24"/>
      <w:lang w:eastAsia="en-GB"/>
    </w:rPr>
  </w:style>
  <w:style w:type="table" w:styleId="ColorfulList-Accent1">
    <w:name w:val="Colorful List Accent 1"/>
    <w:basedOn w:val="TableNormal"/>
    <w:link w:val="ColorfulList-Accent1Char1"/>
    <w:uiPriority w:val="34"/>
    <w:rsid w:val="00A1005E"/>
    <w:pPr>
      <w:spacing w:after="0" w:line="240" w:lineRule="auto"/>
    </w:pPr>
    <w:rPr>
      <w:rFonts w:ascii="Times New Roman" w:eastAsia="Times New Roman" w:hAnsi="Times New Roman" w:cs="Times New Roman"/>
      <w:sz w:val="24"/>
      <w:szCs w:val="24"/>
      <w:lang w:eastAsia="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5B7FBF"/>
    <w:rPr>
      <w:sz w:val="16"/>
      <w:szCs w:val="16"/>
    </w:rPr>
  </w:style>
  <w:style w:type="paragraph" w:styleId="CommentText">
    <w:name w:val="annotation text"/>
    <w:basedOn w:val="Normal"/>
    <w:link w:val="CommentTextChar"/>
    <w:uiPriority w:val="99"/>
    <w:semiHidden/>
    <w:unhideWhenUsed/>
    <w:rsid w:val="005B7FBF"/>
    <w:pPr>
      <w:spacing w:line="240" w:lineRule="auto"/>
    </w:pPr>
    <w:rPr>
      <w:sz w:val="20"/>
      <w:szCs w:val="20"/>
    </w:rPr>
  </w:style>
  <w:style w:type="character" w:customStyle="1" w:styleId="CommentTextChar">
    <w:name w:val="Comment Text Char"/>
    <w:basedOn w:val="DefaultParagraphFont"/>
    <w:link w:val="CommentText"/>
    <w:uiPriority w:val="99"/>
    <w:semiHidden/>
    <w:rsid w:val="005B7FBF"/>
    <w:rPr>
      <w:sz w:val="20"/>
      <w:szCs w:val="20"/>
    </w:rPr>
  </w:style>
  <w:style w:type="paragraph" w:styleId="CommentSubject">
    <w:name w:val="annotation subject"/>
    <w:basedOn w:val="CommentText"/>
    <w:next w:val="CommentText"/>
    <w:link w:val="CommentSubjectChar"/>
    <w:uiPriority w:val="99"/>
    <w:semiHidden/>
    <w:unhideWhenUsed/>
    <w:rsid w:val="005B7FBF"/>
    <w:rPr>
      <w:b/>
      <w:bCs/>
    </w:rPr>
  </w:style>
  <w:style w:type="character" w:customStyle="1" w:styleId="CommentSubjectChar">
    <w:name w:val="Comment Subject Char"/>
    <w:basedOn w:val="CommentTextChar"/>
    <w:link w:val="CommentSubject"/>
    <w:uiPriority w:val="99"/>
    <w:semiHidden/>
    <w:rsid w:val="005B7FBF"/>
    <w:rPr>
      <w:b/>
      <w:bCs/>
      <w:sz w:val="20"/>
      <w:szCs w:val="20"/>
    </w:rPr>
  </w:style>
  <w:style w:type="paragraph" w:styleId="PlainText">
    <w:name w:val="Plain Text"/>
    <w:basedOn w:val="Normal"/>
    <w:link w:val="PlainTextChar"/>
    <w:uiPriority w:val="99"/>
    <w:unhideWhenUsed/>
    <w:rsid w:val="00F44B0C"/>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F44B0C"/>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0B6"/>
    <w:rPr>
      <w:sz w:val="24"/>
    </w:rPr>
  </w:style>
  <w:style w:type="paragraph" w:styleId="Heading1">
    <w:name w:val="heading 1"/>
    <w:basedOn w:val="Normal"/>
    <w:next w:val="Normal"/>
    <w:link w:val="Heading1Char"/>
    <w:uiPriority w:val="9"/>
    <w:qFormat/>
    <w:rsid w:val="005214F0"/>
    <w:pPr>
      <w:keepNext/>
      <w:keepLines/>
      <w:pBdr>
        <w:top w:val="single" w:sz="8" w:space="12" w:color="1F497D" w:themeColor="text2"/>
      </w:pBdr>
      <w:spacing w:before="600" w:after="240" w:line="240"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34DA2"/>
    <w:pPr>
      <w:keepNext/>
      <w:keepLines/>
      <w:spacing w:before="240" w:after="4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unhideWhenUsed/>
    <w:qFormat/>
    <w:rsid w:val="002D1139"/>
    <w:pPr>
      <w:keepNext/>
      <w:keepLines/>
      <w:spacing w:before="200" w:after="0"/>
      <w:outlineLvl w:val="2"/>
    </w:pPr>
    <w:rPr>
      <w:rFonts w:asciiTheme="majorHAnsi" w:eastAsiaTheme="majorEastAsia" w:hAnsiTheme="majorHAnsi" w:cstheme="majorBidi"/>
      <w:b/>
      <w:bCs/>
      <w:color w:val="595959" w:themeColor="text1" w:themeTint="A6"/>
    </w:rPr>
  </w:style>
  <w:style w:type="paragraph" w:styleId="Heading4">
    <w:name w:val="heading 4"/>
    <w:basedOn w:val="Normal"/>
    <w:next w:val="Normal"/>
    <w:link w:val="Heading4Char"/>
    <w:uiPriority w:val="9"/>
    <w:unhideWhenUsed/>
    <w:qFormat/>
    <w:rsid w:val="00F06D55"/>
    <w:pPr>
      <w:keepNext/>
      <w:keepLines/>
      <w:spacing w:after="24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D6D73"/>
    <w:pPr>
      <w:spacing w:after="0" w:line="240" w:lineRule="auto"/>
    </w:pPr>
    <w:rPr>
      <w:rFonts w:eastAsiaTheme="minorEastAsia"/>
      <w:sz w:val="24"/>
      <w:lang w:val="en-US" w:eastAsia="ja-JP"/>
    </w:rPr>
  </w:style>
  <w:style w:type="character" w:customStyle="1" w:styleId="NoSpacingChar">
    <w:name w:val="No Spacing Char"/>
    <w:basedOn w:val="DefaultParagraphFont"/>
    <w:link w:val="NoSpacing"/>
    <w:uiPriority w:val="1"/>
    <w:rsid w:val="00DD6D73"/>
    <w:rPr>
      <w:rFonts w:eastAsiaTheme="minorEastAsia"/>
      <w:sz w:val="24"/>
      <w:lang w:val="en-US" w:eastAsia="ja-JP"/>
    </w:rPr>
  </w:style>
  <w:style w:type="paragraph" w:styleId="BalloonText">
    <w:name w:val="Balloon Text"/>
    <w:basedOn w:val="Normal"/>
    <w:link w:val="BalloonTextChar"/>
    <w:uiPriority w:val="99"/>
    <w:semiHidden/>
    <w:unhideWhenUsed/>
    <w:rsid w:val="00197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647"/>
    <w:rPr>
      <w:rFonts w:ascii="Tahoma" w:hAnsi="Tahoma" w:cs="Tahoma"/>
      <w:sz w:val="16"/>
      <w:szCs w:val="16"/>
    </w:rPr>
  </w:style>
  <w:style w:type="paragraph" w:styleId="Title">
    <w:name w:val="Title"/>
    <w:basedOn w:val="Normal"/>
    <w:next w:val="Normal"/>
    <w:link w:val="TitleChar"/>
    <w:uiPriority w:val="10"/>
    <w:qFormat/>
    <w:rsid w:val="002D1139"/>
    <w:pPr>
      <w:pBdr>
        <w:top w:val="single" w:sz="8" w:space="1" w:color="4F81BD" w:themeColor="accent1"/>
        <w:left w:val="single" w:sz="8" w:space="4" w:color="4F81BD" w:themeColor="accent1"/>
        <w:bottom w:val="single" w:sz="8" w:space="4" w:color="4F81BD" w:themeColor="accent1"/>
        <w:right w:val="single" w:sz="8" w:space="4" w:color="4F81BD" w:themeColor="accent1"/>
      </w:pBdr>
      <w:shd w:val="clear" w:color="auto" w:fill="4F81BD" w:themeFill="accent1"/>
      <w:spacing w:after="300" w:line="240" w:lineRule="auto"/>
      <w:contextualSpacing/>
    </w:pPr>
    <w:rPr>
      <w:rFonts w:asciiTheme="majorHAnsi" w:eastAsiaTheme="majorEastAsia" w:hAnsiTheme="majorHAnsi" w:cstheme="majorBidi"/>
      <w:color w:val="FFFFFF" w:themeColor="background1"/>
      <w:spacing w:val="5"/>
      <w:kern w:val="28"/>
      <w:sz w:val="36"/>
      <w:szCs w:val="52"/>
    </w:rPr>
  </w:style>
  <w:style w:type="character" w:customStyle="1" w:styleId="TitleChar">
    <w:name w:val="Title Char"/>
    <w:basedOn w:val="DefaultParagraphFont"/>
    <w:link w:val="Title"/>
    <w:uiPriority w:val="10"/>
    <w:rsid w:val="002D1139"/>
    <w:rPr>
      <w:rFonts w:asciiTheme="majorHAnsi" w:eastAsiaTheme="majorEastAsia" w:hAnsiTheme="majorHAnsi" w:cstheme="majorBidi"/>
      <w:color w:val="FFFFFF" w:themeColor="background1"/>
      <w:spacing w:val="5"/>
      <w:kern w:val="28"/>
      <w:sz w:val="36"/>
      <w:szCs w:val="52"/>
      <w:shd w:val="clear" w:color="auto" w:fill="4F81BD" w:themeFill="accent1"/>
    </w:rPr>
  </w:style>
  <w:style w:type="character" w:customStyle="1" w:styleId="Heading1Char">
    <w:name w:val="Heading 1 Char"/>
    <w:basedOn w:val="DefaultParagraphFont"/>
    <w:link w:val="Heading1"/>
    <w:uiPriority w:val="9"/>
    <w:rsid w:val="005214F0"/>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197647"/>
    <w:pPr>
      <w:outlineLvl w:val="9"/>
    </w:pPr>
    <w:rPr>
      <w:lang w:val="en-US" w:eastAsia="ja-JP"/>
    </w:rPr>
  </w:style>
  <w:style w:type="paragraph" w:styleId="TOC2">
    <w:name w:val="toc 2"/>
    <w:basedOn w:val="Normal"/>
    <w:next w:val="Normal"/>
    <w:autoRedefine/>
    <w:uiPriority w:val="39"/>
    <w:unhideWhenUsed/>
    <w:qFormat/>
    <w:rsid w:val="00197647"/>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197647"/>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197647"/>
    <w:pPr>
      <w:spacing w:after="100"/>
      <w:ind w:left="440"/>
    </w:pPr>
    <w:rPr>
      <w:rFonts w:eastAsiaTheme="minorEastAsia"/>
      <w:lang w:val="en-US" w:eastAsia="ja-JP"/>
    </w:rPr>
  </w:style>
  <w:style w:type="character" w:customStyle="1" w:styleId="Heading2Char">
    <w:name w:val="Heading 2 Char"/>
    <w:basedOn w:val="DefaultParagraphFont"/>
    <w:link w:val="Heading2"/>
    <w:uiPriority w:val="9"/>
    <w:rsid w:val="00534DA2"/>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rsid w:val="002D1139"/>
    <w:rPr>
      <w:rFonts w:asciiTheme="majorHAnsi" w:eastAsiaTheme="majorEastAsia" w:hAnsiTheme="majorHAnsi" w:cstheme="majorBidi"/>
      <w:b/>
      <w:bCs/>
      <w:color w:val="595959" w:themeColor="text1" w:themeTint="A6"/>
      <w:sz w:val="24"/>
    </w:rPr>
  </w:style>
  <w:style w:type="character" w:styleId="Hyperlink">
    <w:name w:val="Hyperlink"/>
    <w:basedOn w:val="DefaultParagraphFont"/>
    <w:uiPriority w:val="99"/>
    <w:unhideWhenUsed/>
    <w:rsid w:val="00197647"/>
    <w:rPr>
      <w:color w:val="0000FF" w:themeColor="hyperlink"/>
      <w:u w:val="single"/>
    </w:rPr>
  </w:style>
  <w:style w:type="paragraph" w:styleId="Header">
    <w:name w:val="header"/>
    <w:basedOn w:val="Normal"/>
    <w:link w:val="HeaderChar"/>
    <w:uiPriority w:val="99"/>
    <w:unhideWhenUsed/>
    <w:rsid w:val="006C7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EB3"/>
  </w:style>
  <w:style w:type="paragraph" w:styleId="Footer">
    <w:name w:val="footer"/>
    <w:basedOn w:val="Normal"/>
    <w:link w:val="FooterChar"/>
    <w:uiPriority w:val="99"/>
    <w:unhideWhenUsed/>
    <w:rsid w:val="006C7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EB3"/>
  </w:style>
  <w:style w:type="paragraph" w:styleId="ListParagraph">
    <w:name w:val="List Paragraph"/>
    <w:basedOn w:val="Normal"/>
    <w:link w:val="ListParagraphChar"/>
    <w:uiPriority w:val="34"/>
    <w:qFormat/>
    <w:rsid w:val="00DD6D73"/>
    <w:pPr>
      <w:ind w:left="720"/>
      <w:contextualSpacing/>
    </w:pPr>
  </w:style>
  <w:style w:type="table" w:styleId="TableGrid">
    <w:name w:val="Table Grid"/>
    <w:basedOn w:val="TableNormal"/>
    <w:uiPriority w:val="59"/>
    <w:rsid w:val="006B7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012A"/>
    <w:rPr>
      <w:b/>
      <w:bCs/>
    </w:rPr>
  </w:style>
  <w:style w:type="paragraph" w:styleId="FootnoteText">
    <w:name w:val="footnote text"/>
    <w:aliases w:val="~FootnoteText,RSK-FT Char,RSK-FT1 Char,RSK-FT2 Char,RSK-FT,RSK-FT1,RSK-FT2,Harestanes Ref,Char1, Char1"/>
    <w:basedOn w:val="Normal"/>
    <w:link w:val="FootnoteTextChar"/>
    <w:uiPriority w:val="99"/>
    <w:unhideWhenUsed/>
    <w:rsid w:val="00514078"/>
    <w:pPr>
      <w:spacing w:after="0" w:line="240" w:lineRule="auto"/>
    </w:pPr>
    <w:rPr>
      <w:sz w:val="20"/>
      <w:szCs w:val="20"/>
    </w:rPr>
  </w:style>
  <w:style w:type="character" w:customStyle="1" w:styleId="FootnoteTextChar">
    <w:name w:val="Footnote Text Char"/>
    <w:aliases w:val="~FootnoteText Char,RSK-FT Char Char,RSK-FT1 Char Char,RSK-FT2 Char Char,RSK-FT Char1,RSK-FT1 Char1,RSK-FT2 Char1,Harestanes Ref Char,Char1 Char, Char1 Char"/>
    <w:basedOn w:val="DefaultParagraphFont"/>
    <w:link w:val="FootnoteText"/>
    <w:uiPriority w:val="99"/>
    <w:rsid w:val="00514078"/>
    <w:rPr>
      <w:sz w:val="20"/>
      <w:szCs w:val="20"/>
    </w:rPr>
  </w:style>
  <w:style w:type="character" w:styleId="FootnoteReference">
    <w:name w:val="footnote reference"/>
    <w:basedOn w:val="DefaultParagraphFont"/>
    <w:uiPriority w:val="99"/>
    <w:unhideWhenUsed/>
    <w:rsid w:val="00514078"/>
    <w:rPr>
      <w:vertAlign w:val="superscript"/>
    </w:rPr>
  </w:style>
  <w:style w:type="paragraph" w:customStyle="1" w:styleId="Mandate">
    <w:name w:val="Mandate"/>
    <w:basedOn w:val="Heading1"/>
    <w:link w:val="MandateChar"/>
    <w:rsid w:val="00EC02BA"/>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pPr>
  </w:style>
  <w:style w:type="character" w:customStyle="1" w:styleId="MandateChar">
    <w:name w:val="Mandate Char"/>
    <w:basedOn w:val="Heading1Char"/>
    <w:link w:val="Mandate"/>
    <w:rsid w:val="00EC02BA"/>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sid w:val="00322FB6"/>
    <w:rPr>
      <w:color w:val="808080"/>
    </w:rPr>
  </w:style>
  <w:style w:type="paragraph" w:customStyle="1" w:styleId="Concept">
    <w:name w:val="Concept"/>
    <w:basedOn w:val="Mandate"/>
    <w:link w:val="ConceptChar"/>
    <w:rsid w:val="00EC02BA"/>
    <w:pPr>
      <w:pBdr>
        <w:top w:val="single" w:sz="12" w:space="1" w:color="4BACC6" w:themeColor="accent5"/>
        <w:left w:val="single" w:sz="12" w:space="4" w:color="4BACC6" w:themeColor="accent5"/>
        <w:bottom w:val="single" w:sz="12" w:space="1" w:color="4BACC6" w:themeColor="accent5"/>
        <w:right w:val="single" w:sz="12" w:space="4" w:color="4BACC6" w:themeColor="accent5"/>
      </w:pBdr>
    </w:pPr>
  </w:style>
  <w:style w:type="paragraph" w:customStyle="1" w:styleId="Planning">
    <w:name w:val="Planning"/>
    <w:basedOn w:val="Concept"/>
    <w:link w:val="PlanningChar"/>
    <w:rsid w:val="00EC02BA"/>
    <w:pPr>
      <w:pBdr>
        <w:top w:val="single" w:sz="12" w:space="1" w:color="4F81BD" w:themeColor="accent1"/>
        <w:left w:val="single" w:sz="12" w:space="4" w:color="4F81BD" w:themeColor="accent1"/>
        <w:bottom w:val="single" w:sz="12" w:space="1" w:color="4F81BD" w:themeColor="accent1"/>
        <w:right w:val="single" w:sz="12" w:space="4" w:color="4F81BD" w:themeColor="accent1"/>
      </w:pBdr>
    </w:pPr>
  </w:style>
  <w:style w:type="character" w:customStyle="1" w:styleId="ConceptChar">
    <w:name w:val="Concept Char"/>
    <w:basedOn w:val="MandateChar"/>
    <w:link w:val="Concept"/>
    <w:rsid w:val="00EC02BA"/>
    <w:rPr>
      <w:rFonts w:asciiTheme="majorHAnsi" w:eastAsiaTheme="majorEastAsia" w:hAnsiTheme="majorHAnsi" w:cstheme="majorBidi"/>
      <w:b/>
      <w:bCs/>
      <w:sz w:val="28"/>
      <w:szCs w:val="28"/>
    </w:rPr>
  </w:style>
  <w:style w:type="paragraph" w:customStyle="1" w:styleId="Delivery">
    <w:name w:val="Delivery"/>
    <w:basedOn w:val="Concept"/>
    <w:link w:val="DeliveryChar"/>
    <w:rsid w:val="00EC02BA"/>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pPr>
  </w:style>
  <w:style w:type="character" w:customStyle="1" w:styleId="PlanningChar">
    <w:name w:val="Planning Char"/>
    <w:basedOn w:val="ConceptChar"/>
    <w:link w:val="Planning"/>
    <w:rsid w:val="00EC02BA"/>
    <w:rPr>
      <w:rFonts w:asciiTheme="majorHAnsi" w:eastAsiaTheme="majorEastAsia" w:hAnsiTheme="majorHAnsi" w:cstheme="majorBidi"/>
      <w:b/>
      <w:bCs/>
      <w:sz w:val="28"/>
      <w:szCs w:val="28"/>
    </w:rPr>
  </w:style>
  <w:style w:type="paragraph" w:customStyle="1" w:styleId="Closure">
    <w:name w:val="Closure"/>
    <w:basedOn w:val="Delivery"/>
    <w:link w:val="ClosureChar"/>
    <w:rsid w:val="00EC02BA"/>
    <w:pPr>
      <w:pBdr>
        <w:top w:val="single" w:sz="12" w:space="1" w:color="8064A2" w:themeColor="accent4"/>
        <w:left w:val="single" w:sz="12" w:space="4" w:color="8064A2" w:themeColor="accent4"/>
        <w:bottom w:val="single" w:sz="12" w:space="1" w:color="8064A2" w:themeColor="accent4"/>
        <w:right w:val="single" w:sz="12" w:space="4" w:color="8064A2" w:themeColor="accent4"/>
      </w:pBdr>
    </w:pPr>
  </w:style>
  <w:style w:type="character" w:customStyle="1" w:styleId="DeliveryChar">
    <w:name w:val="Delivery Char"/>
    <w:basedOn w:val="ConceptChar"/>
    <w:link w:val="Delivery"/>
    <w:rsid w:val="00EC02BA"/>
    <w:rPr>
      <w:rFonts w:asciiTheme="majorHAnsi" w:eastAsiaTheme="majorEastAsia" w:hAnsiTheme="majorHAnsi" w:cstheme="majorBidi"/>
      <w:b/>
      <w:bCs/>
      <w:sz w:val="28"/>
      <w:szCs w:val="28"/>
    </w:rPr>
  </w:style>
  <w:style w:type="paragraph" w:styleId="Quote">
    <w:name w:val="Quote"/>
    <w:basedOn w:val="Normal"/>
    <w:next w:val="Normal"/>
    <w:link w:val="QuoteChar"/>
    <w:uiPriority w:val="29"/>
    <w:qFormat/>
    <w:rsid w:val="00233B35"/>
    <w:rPr>
      <w:i/>
      <w:iCs/>
      <w:color w:val="000000" w:themeColor="text1"/>
    </w:rPr>
  </w:style>
  <w:style w:type="character" w:customStyle="1" w:styleId="ClosureChar">
    <w:name w:val="Closure Char"/>
    <w:basedOn w:val="DeliveryChar"/>
    <w:link w:val="Closure"/>
    <w:rsid w:val="00EC02BA"/>
    <w:rPr>
      <w:rFonts w:asciiTheme="majorHAnsi" w:eastAsiaTheme="majorEastAsia" w:hAnsiTheme="majorHAnsi" w:cstheme="majorBidi"/>
      <w:b/>
      <w:bCs/>
      <w:sz w:val="28"/>
      <w:szCs w:val="28"/>
    </w:rPr>
  </w:style>
  <w:style w:type="character" w:customStyle="1" w:styleId="QuoteChar">
    <w:name w:val="Quote Char"/>
    <w:basedOn w:val="DefaultParagraphFont"/>
    <w:link w:val="Quote"/>
    <w:uiPriority w:val="29"/>
    <w:rsid w:val="00233B35"/>
    <w:rPr>
      <w:i/>
      <w:iCs/>
      <w:color w:val="000000" w:themeColor="text1"/>
      <w:sz w:val="24"/>
    </w:rPr>
  </w:style>
  <w:style w:type="character" w:customStyle="1" w:styleId="Heading4Char">
    <w:name w:val="Heading 4 Char"/>
    <w:basedOn w:val="DefaultParagraphFont"/>
    <w:link w:val="Heading4"/>
    <w:uiPriority w:val="9"/>
    <w:rsid w:val="00F06D55"/>
    <w:rPr>
      <w:rFonts w:asciiTheme="majorHAnsi" w:eastAsiaTheme="majorEastAsia" w:hAnsiTheme="majorHAnsi" w:cstheme="majorBidi"/>
      <w:b/>
      <w:bCs/>
      <w:iCs/>
      <w:sz w:val="24"/>
    </w:rPr>
  </w:style>
  <w:style w:type="paragraph" w:styleId="Caption">
    <w:name w:val="caption"/>
    <w:basedOn w:val="Normal"/>
    <w:next w:val="Normal"/>
    <w:uiPriority w:val="35"/>
    <w:unhideWhenUsed/>
    <w:qFormat/>
    <w:rsid w:val="00F06D55"/>
    <w:pPr>
      <w:spacing w:line="240" w:lineRule="auto"/>
    </w:pPr>
    <w:rPr>
      <w:b/>
      <w:bCs/>
      <w:szCs w:val="18"/>
    </w:rPr>
  </w:style>
  <w:style w:type="paragraph" w:styleId="TableofFigures">
    <w:name w:val="table of figures"/>
    <w:basedOn w:val="Normal"/>
    <w:next w:val="Normal"/>
    <w:uiPriority w:val="99"/>
    <w:unhideWhenUsed/>
    <w:rsid w:val="00F06D55"/>
    <w:pPr>
      <w:spacing w:after="0"/>
    </w:pPr>
  </w:style>
  <w:style w:type="paragraph" w:customStyle="1" w:styleId="Appendix">
    <w:name w:val="Appendix"/>
    <w:basedOn w:val="Normal"/>
    <w:link w:val="AppendixChar"/>
    <w:qFormat/>
    <w:rsid w:val="00056236"/>
    <w:rPr>
      <w:b/>
    </w:rPr>
  </w:style>
  <w:style w:type="character" w:customStyle="1" w:styleId="AppendixChar">
    <w:name w:val="Appendix Char"/>
    <w:basedOn w:val="DefaultParagraphFont"/>
    <w:link w:val="Appendix"/>
    <w:rsid w:val="00056236"/>
    <w:rPr>
      <w:b/>
      <w:sz w:val="24"/>
    </w:rPr>
  </w:style>
  <w:style w:type="paragraph" w:customStyle="1" w:styleId="Default">
    <w:name w:val="Default"/>
    <w:rsid w:val="006B54DD"/>
    <w:pPr>
      <w:autoSpaceDE w:val="0"/>
      <w:autoSpaceDN w:val="0"/>
      <w:adjustRightInd w:val="0"/>
      <w:spacing w:after="0" w:line="240" w:lineRule="auto"/>
    </w:pPr>
    <w:rPr>
      <w:rFonts w:ascii="Syntax" w:eastAsia="MS ??" w:hAnsi="Syntax" w:cs="Syntax"/>
      <w:color w:val="000000"/>
      <w:sz w:val="24"/>
      <w:szCs w:val="24"/>
      <w:lang w:eastAsia="en-GB"/>
    </w:rPr>
  </w:style>
  <w:style w:type="character" w:customStyle="1" w:styleId="ListParagraphChar">
    <w:name w:val="List Paragraph Char"/>
    <w:link w:val="ListParagraph"/>
    <w:uiPriority w:val="34"/>
    <w:rsid w:val="00F11464"/>
    <w:rPr>
      <w:sz w:val="24"/>
    </w:rPr>
  </w:style>
  <w:style w:type="paragraph" w:customStyle="1" w:styleId="Body">
    <w:name w:val="Body"/>
    <w:rsid w:val="004871AC"/>
    <w:pPr>
      <w:spacing w:after="0" w:line="240" w:lineRule="auto"/>
    </w:pPr>
    <w:rPr>
      <w:rFonts w:ascii="Helvetica" w:eastAsia="ヒラギノ角ゴ Pro W3" w:hAnsi="Helvetica" w:cs="Times New Roman"/>
      <w:color w:val="000000"/>
      <w:sz w:val="24"/>
      <w:szCs w:val="20"/>
      <w:lang w:val="en-US" w:eastAsia="en-GB"/>
    </w:rPr>
  </w:style>
  <w:style w:type="character" w:styleId="FollowedHyperlink">
    <w:name w:val="FollowedHyperlink"/>
    <w:basedOn w:val="DefaultParagraphFont"/>
    <w:uiPriority w:val="99"/>
    <w:semiHidden/>
    <w:unhideWhenUsed/>
    <w:rsid w:val="003F57FD"/>
    <w:rPr>
      <w:color w:val="800080" w:themeColor="followedHyperlink"/>
      <w:u w:val="single"/>
    </w:rPr>
  </w:style>
  <w:style w:type="paragraph" w:customStyle="1" w:styleId="MOIText">
    <w:name w:val="MOI Text"/>
    <w:rsid w:val="00917BB9"/>
    <w:pPr>
      <w:tabs>
        <w:tab w:val="left" w:pos="567"/>
      </w:tabs>
      <w:spacing w:before="60" w:after="60"/>
      <w:jc w:val="both"/>
    </w:pPr>
    <w:rPr>
      <w:rFonts w:ascii="Arial" w:eastAsia="ヒラギノ角ゴ Pro W3" w:hAnsi="Arial" w:cs="Times New Roman"/>
      <w:color w:val="000000"/>
      <w:szCs w:val="20"/>
      <w:lang w:eastAsia="en-GB"/>
    </w:rPr>
  </w:style>
  <w:style w:type="paragraph" w:customStyle="1" w:styleId="Heading2A">
    <w:name w:val="Heading 2 A"/>
    <w:next w:val="Normal"/>
    <w:rsid w:val="00917BB9"/>
    <w:pPr>
      <w:keepNext/>
      <w:tabs>
        <w:tab w:val="left" w:pos="1002"/>
      </w:tabs>
      <w:spacing w:before="60" w:after="60" w:line="240" w:lineRule="auto"/>
      <w:jc w:val="both"/>
      <w:outlineLvl w:val="1"/>
    </w:pPr>
    <w:rPr>
      <w:rFonts w:ascii="Arial Bold" w:eastAsia="ヒラギノ角ゴ Pro W3" w:hAnsi="Arial Bold" w:cs="Times New Roman"/>
      <w:color w:val="000000"/>
      <w:sz w:val="24"/>
      <w:szCs w:val="20"/>
      <w:lang w:eastAsia="en-GB"/>
    </w:rPr>
  </w:style>
  <w:style w:type="paragraph" w:customStyle="1" w:styleId="BulletMOI">
    <w:name w:val="Bullet MOI"/>
    <w:rsid w:val="00917BB9"/>
    <w:pPr>
      <w:tabs>
        <w:tab w:val="left" w:pos="720"/>
        <w:tab w:val="left" w:pos="1599"/>
      </w:tabs>
      <w:spacing w:after="0" w:line="240" w:lineRule="auto"/>
      <w:jc w:val="both"/>
    </w:pPr>
    <w:rPr>
      <w:rFonts w:ascii="Arial" w:eastAsia="ヒラギノ角ゴ Pro W3" w:hAnsi="Arial" w:cs="Times New Roman"/>
      <w:color w:val="000000"/>
      <w:szCs w:val="20"/>
      <w:lang w:eastAsia="en-GB"/>
    </w:rPr>
  </w:style>
  <w:style w:type="paragraph" w:customStyle="1" w:styleId="Heading3A">
    <w:name w:val="Heading 3 A"/>
    <w:next w:val="Normal"/>
    <w:rsid w:val="00917BB9"/>
    <w:pPr>
      <w:widowControl w:val="0"/>
      <w:tabs>
        <w:tab w:val="left" w:pos="851"/>
        <w:tab w:val="left" w:pos="3744"/>
        <w:tab w:val="left" w:pos="5184"/>
        <w:tab w:val="left" w:pos="6912"/>
      </w:tabs>
      <w:spacing w:before="120" w:after="0" w:line="240" w:lineRule="auto"/>
      <w:ind w:left="720" w:hanging="11"/>
      <w:outlineLvl w:val="2"/>
    </w:pPr>
    <w:rPr>
      <w:rFonts w:ascii="Arial Bold" w:eastAsia="ヒラギノ角ゴ Pro W3" w:hAnsi="Arial Bold" w:cs="Times New Roman"/>
      <w:color w:val="000000"/>
      <w:szCs w:val="20"/>
      <w:lang w:eastAsia="en-GB"/>
    </w:rPr>
  </w:style>
  <w:style w:type="character" w:customStyle="1" w:styleId="ColorfulList-Accent1Char1">
    <w:name w:val="Colorful List - Accent 1 Char1"/>
    <w:link w:val="ColorfulList-Accent1"/>
    <w:uiPriority w:val="34"/>
    <w:rsid w:val="00A1005E"/>
    <w:rPr>
      <w:rFonts w:ascii="Times New Roman" w:eastAsia="Times New Roman" w:hAnsi="Times New Roman" w:cs="Times New Roman"/>
      <w:sz w:val="24"/>
      <w:szCs w:val="24"/>
      <w:lang w:eastAsia="en-GB"/>
    </w:rPr>
  </w:style>
  <w:style w:type="table" w:styleId="ColorfulList-Accent1">
    <w:name w:val="Colorful List Accent 1"/>
    <w:basedOn w:val="TableNormal"/>
    <w:link w:val="ColorfulList-Accent1Char1"/>
    <w:uiPriority w:val="34"/>
    <w:rsid w:val="00A1005E"/>
    <w:pPr>
      <w:spacing w:after="0" w:line="240" w:lineRule="auto"/>
    </w:pPr>
    <w:rPr>
      <w:rFonts w:ascii="Times New Roman" w:eastAsia="Times New Roman" w:hAnsi="Times New Roman" w:cs="Times New Roman"/>
      <w:sz w:val="24"/>
      <w:szCs w:val="24"/>
      <w:lang w:eastAsia="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5B7FBF"/>
    <w:rPr>
      <w:sz w:val="16"/>
      <w:szCs w:val="16"/>
    </w:rPr>
  </w:style>
  <w:style w:type="paragraph" w:styleId="CommentText">
    <w:name w:val="annotation text"/>
    <w:basedOn w:val="Normal"/>
    <w:link w:val="CommentTextChar"/>
    <w:uiPriority w:val="99"/>
    <w:semiHidden/>
    <w:unhideWhenUsed/>
    <w:rsid w:val="005B7FBF"/>
    <w:pPr>
      <w:spacing w:line="240" w:lineRule="auto"/>
    </w:pPr>
    <w:rPr>
      <w:sz w:val="20"/>
      <w:szCs w:val="20"/>
    </w:rPr>
  </w:style>
  <w:style w:type="character" w:customStyle="1" w:styleId="CommentTextChar">
    <w:name w:val="Comment Text Char"/>
    <w:basedOn w:val="DefaultParagraphFont"/>
    <w:link w:val="CommentText"/>
    <w:uiPriority w:val="99"/>
    <w:semiHidden/>
    <w:rsid w:val="005B7FBF"/>
    <w:rPr>
      <w:sz w:val="20"/>
      <w:szCs w:val="20"/>
    </w:rPr>
  </w:style>
  <w:style w:type="paragraph" w:styleId="CommentSubject">
    <w:name w:val="annotation subject"/>
    <w:basedOn w:val="CommentText"/>
    <w:next w:val="CommentText"/>
    <w:link w:val="CommentSubjectChar"/>
    <w:uiPriority w:val="99"/>
    <w:semiHidden/>
    <w:unhideWhenUsed/>
    <w:rsid w:val="005B7FBF"/>
    <w:rPr>
      <w:b/>
      <w:bCs/>
    </w:rPr>
  </w:style>
  <w:style w:type="character" w:customStyle="1" w:styleId="CommentSubjectChar">
    <w:name w:val="Comment Subject Char"/>
    <w:basedOn w:val="CommentTextChar"/>
    <w:link w:val="CommentSubject"/>
    <w:uiPriority w:val="99"/>
    <w:semiHidden/>
    <w:rsid w:val="005B7FBF"/>
    <w:rPr>
      <w:b/>
      <w:bCs/>
      <w:sz w:val="20"/>
      <w:szCs w:val="20"/>
    </w:rPr>
  </w:style>
  <w:style w:type="paragraph" w:styleId="PlainText">
    <w:name w:val="Plain Text"/>
    <w:basedOn w:val="Normal"/>
    <w:link w:val="PlainTextChar"/>
    <w:uiPriority w:val="99"/>
    <w:unhideWhenUsed/>
    <w:rsid w:val="00F44B0C"/>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F44B0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48664">
      <w:bodyDiv w:val="1"/>
      <w:marLeft w:val="0"/>
      <w:marRight w:val="0"/>
      <w:marTop w:val="0"/>
      <w:marBottom w:val="0"/>
      <w:divBdr>
        <w:top w:val="none" w:sz="0" w:space="0" w:color="auto"/>
        <w:left w:val="none" w:sz="0" w:space="0" w:color="auto"/>
        <w:bottom w:val="none" w:sz="0" w:space="0" w:color="auto"/>
        <w:right w:val="none" w:sz="0" w:space="0" w:color="auto"/>
      </w:divBdr>
    </w:div>
    <w:div w:id="816386440">
      <w:bodyDiv w:val="1"/>
      <w:marLeft w:val="0"/>
      <w:marRight w:val="0"/>
      <w:marTop w:val="0"/>
      <w:marBottom w:val="0"/>
      <w:divBdr>
        <w:top w:val="none" w:sz="0" w:space="0" w:color="auto"/>
        <w:left w:val="none" w:sz="0" w:space="0" w:color="auto"/>
        <w:bottom w:val="none" w:sz="0" w:space="0" w:color="auto"/>
        <w:right w:val="none" w:sz="0" w:space="0" w:color="auto"/>
      </w:divBdr>
    </w:div>
    <w:div w:id="1184906676">
      <w:bodyDiv w:val="1"/>
      <w:marLeft w:val="0"/>
      <w:marRight w:val="0"/>
      <w:marTop w:val="0"/>
      <w:marBottom w:val="0"/>
      <w:divBdr>
        <w:top w:val="none" w:sz="0" w:space="0" w:color="auto"/>
        <w:left w:val="none" w:sz="0" w:space="0" w:color="auto"/>
        <w:bottom w:val="none" w:sz="0" w:space="0" w:color="auto"/>
        <w:right w:val="none" w:sz="0" w:space="0" w:color="auto"/>
      </w:divBdr>
    </w:div>
    <w:div w:id="1366709593">
      <w:bodyDiv w:val="1"/>
      <w:marLeft w:val="0"/>
      <w:marRight w:val="0"/>
      <w:marTop w:val="0"/>
      <w:marBottom w:val="0"/>
      <w:divBdr>
        <w:top w:val="none" w:sz="0" w:space="0" w:color="auto"/>
        <w:left w:val="none" w:sz="0" w:space="0" w:color="auto"/>
        <w:bottom w:val="none" w:sz="0" w:space="0" w:color="auto"/>
        <w:right w:val="none" w:sz="0" w:space="0" w:color="auto"/>
      </w:divBdr>
    </w:div>
    <w:div w:id="1702366284">
      <w:bodyDiv w:val="1"/>
      <w:marLeft w:val="0"/>
      <w:marRight w:val="0"/>
      <w:marTop w:val="0"/>
      <w:marBottom w:val="0"/>
      <w:divBdr>
        <w:top w:val="none" w:sz="0" w:space="0" w:color="auto"/>
        <w:left w:val="none" w:sz="0" w:space="0" w:color="auto"/>
        <w:bottom w:val="none" w:sz="0" w:space="0" w:color="auto"/>
        <w:right w:val="none" w:sz="0" w:space="0" w:color="auto"/>
      </w:divBdr>
      <w:divsChild>
        <w:div w:id="1316565909">
          <w:marLeft w:val="547"/>
          <w:marRight w:val="0"/>
          <w:marTop w:val="0"/>
          <w:marBottom w:val="0"/>
          <w:divBdr>
            <w:top w:val="none" w:sz="0" w:space="0" w:color="auto"/>
            <w:left w:val="none" w:sz="0" w:space="0" w:color="auto"/>
            <w:bottom w:val="none" w:sz="0" w:space="0" w:color="auto"/>
            <w:right w:val="none" w:sz="0" w:space="0" w:color="auto"/>
          </w:divBdr>
        </w:div>
      </w:divsChild>
    </w:div>
    <w:div w:id="190074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www.westlondonccg.nh.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yperlink" Target="http://www.jsna.info/document/highlight-reports-2013-1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ngland.nhs.uk/wp-content/uploads/2014/10/5yfv-web.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Sheet1!$B$4</c:f>
              <c:strCache>
                <c:ptCount val="1"/>
                <c:pt idx="0">
                  <c:v>&lt;15</c:v>
                </c:pt>
              </c:strCache>
            </c:strRef>
          </c:tx>
          <c:invertIfNegative val="0"/>
          <c:cat>
            <c:strRef>
              <c:f>Sheet1!$A$5:$A$8</c:f>
              <c:strCache>
                <c:ptCount val="4"/>
                <c:pt idx="0">
                  <c:v>Kensington &amp; Chelsea</c:v>
                </c:pt>
                <c:pt idx="1">
                  <c:v>Westminster</c:v>
                </c:pt>
                <c:pt idx="2">
                  <c:v>London</c:v>
                </c:pt>
                <c:pt idx="3">
                  <c:v>England</c:v>
                </c:pt>
              </c:strCache>
            </c:strRef>
          </c:cat>
          <c:val>
            <c:numRef>
              <c:f>Sheet1!$B$5:$B$8</c:f>
              <c:numCache>
                <c:formatCode>0%</c:formatCode>
                <c:ptCount val="4"/>
                <c:pt idx="0">
                  <c:v>0.15</c:v>
                </c:pt>
                <c:pt idx="1">
                  <c:v>0.14000000000000001</c:v>
                </c:pt>
                <c:pt idx="2" formatCode="0.00%">
                  <c:v>0.187</c:v>
                </c:pt>
                <c:pt idx="3" formatCode="0.00%">
                  <c:v>0.17599999999999999</c:v>
                </c:pt>
              </c:numCache>
            </c:numRef>
          </c:val>
        </c:ser>
        <c:ser>
          <c:idx val="1"/>
          <c:order val="1"/>
          <c:tx>
            <c:strRef>
              <c:f>Sheet1!$C$4</c:f>
              <c:strCache>
                <c:ptCount val="1"/>
                <c:pt idx="0">
                  <c:v>15-64</c:v>
                </c:pt>
              </c:strCache>
            </c:strRef>
          </c:tx>
          <c:invertIfNegative val="0"/>
          <c:cat>
            <c:strRef>
              <c:f>Sheet1!$A$5:$A$8</c:f>
              <c:strCache>
                <c:ptCount val="4"/>
                <c:pt idx="0">
                  <c:v>Kensington &amp; Chelsea</c:v>
                </c:pt>
                <c:pt idx="1">
                  <c:v>Westminster</c:v>
                </c:pt>
                <c:pt idx="2">
                  <c:v>London</c:v>
                </c:pt>
                <c:pt idx="3">
                  <c:v>England</c:v>
                </c:pt>
              </c:strCache>
            </c:strRef>
          </c:cat>
          <c:val>
            <c:numRef>
              <c:f>Sheet1!$C$5:$C$8</c:f>
              <c:numCache>
                <c:formatCode>0%</c:formatCode>
                <c:ptCount val="4"/>
                <c:pt idx="0">
                  <c:v>0.73</c:v>
                </c:pt>
                <c:pt idx="1">
                  <c:v>0.75</c:v>
                </c:pt>
                <c:pt idx="2" formatCode="0.00%">
                  <c:v>0.70199999999999996</c:v>
                </c:pt>
                <c:pt idx="3" formatCode="0.00%">
                  <c:v>0.65900000000000003</c:v>
                </c:pt>
              </c:numCache>
            </c:numRef>
          </c:val>
        </c:ser>
        <c:ser>
          <c:idx val="2"/>
          <c:order val="2"/>
          <c:tx>
            <c:strRef>
              <c:f>Sheet1!$D$4</c:f>
              <c:strCache>
                <c:ptCount val="1"/>
                <c:pt idx="0">
                  <c:v>&gt;64</c:v>
                </c:pt>
              </c:strCache>
            </c:strRef>
          </c:tx>
          <c:invertIfNegative val="0"/>
          <c:cat>
            <c:strRef>
              <c:f>Sheet1!$A$5:$A$8</c:f>
              <c:strCache>
                <c:ptCount val="4"/>
                <c:pt idx="0">
                  <c:v>Kensington &amp; Chelsea</c:v>
                </c:pt>
                <c:pt idx="1">
                  <c:v>Westminster</c:v>
                </c:pt>
                <c:pt idx="2">
                  <c:v>London</c:v>
                </c:pt>
                <c:pt idx="3">
                  <c:v>England</c:v>
                </c:pt>
              </c:strCache>
            </c:strRef>
          </c:cat>
          <c:val>
            <c:numRef>
              <c:f>Sheet1!$D$5:$D$8</c:f>
              <c:numCache>
                <c:formatCode>0%</c:formatCode>
                <c:ptCount val="4"/>
                <c:pt idx="0">
                  <c:v>0.12</c:v>
                </c:pt>
                <c:pt idx="1">
                  <c:v>0.11</c:v>
                </c:pt>
                <c:pt idx="2" formatCode="0.00%">
                  <c:v>0.111</c:v>
                </c:pt>
                <c:pt idx="3" formatCode="0.00%">
                  <c:v>0.154</c:v>
                </c:pt>
              </c:numCache>
            </c:numRef>
          </c:val>
        </c:ser>
        <c:dLbls>
          <c:showLegendKey val="0"/>
          <c:showVal val="0"/>
          <c:showCatName val="0"/>
          <c:showSerName val="0"/>
          <c:showPercent val="0"/>
          <c:showBubbleSize val="0"/>
        </c:dLbls>
        <c:gapWidth val="150"/>
        <c:overlap val="100"/>
        <c:axId val="190233984"/>
        <c:axId val="244429952"/>
      </c:barChart>
      <c:catAx>
        <c:axId val="190233984"/>
        <c:scaling>
          <c:orientation val="minMax"/>
        </c:scaling>
        <c:delete val="0"/>
        <c:axPos val="l"/>
        <c:majorTickMark val="out"/>
        <c:minorTickMark val="none"/>
        <c:tickLblPos val="nextTo"/>
        <c:crossAx val="244429952"/>
        <c:crosses val="autoZero"/>
        <c:auto val="1"/>
        <c:lblAlgn val="ctr"/>
        <c:lblOffset val="100"/>
        <c:noMultiLvlLbl val="0"/>
      </c:catAx>
      <c:valAx>
        <c:axId val="244429952"/>
        <c:scaling>
          <c:orientation val="minMax"/>
        </c:scaling>
        <c:delete val="0"/>
        <c:axPos val="b"/>
        <c:majorGridlines/>
        <c:numFmt formatCode="0%" sourceLinked="1"/>
        <c:majorTickMark val="out"/>
        <c:minorTickMark val="none"/>
        <c:tickLblPos val="nextTo"/>
        <c:crossAx val="19023398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2013-04-11T00:00:00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C1687E-07B2-43CD-979B-B90297B0E2CA}">
  <ds:schemaRefs>
    <ds:schemaRef ds:uri="http://schemas.microsoft.com/sharepoint/v3/contenttype/forms"/>
  </ds:schemaRefs>
</ds:datastoreItem>
</file>

<file path=customXml/itemProps3.xml><?xml version="1.0" encoding="utf-8"?>
<ds:datastoreItem xmlns:ds="http://schemas.openxmlformats.org/officeDocument/2006/customXml" ds:itemID="{6A05C49F-0309-43A4-AAF1-E2ED067154BB}">
  <ds:schemaRefs>
    <ds:schemaRef ds:uri="http://schemas.microsoft.com/office/2006/metadata/properties"/>
  </ds:schemaRefs>
</ds:datastoreItem>
</file>

<file path=customXml/itemProps4.xml><?xml version="1.0" encoding="utf-8"?>
<ds:datastoreItem xmlns:ds="http://schemas.openxmlformats.org/officeDocument/2006/customXml" ds:itemID="{9B3B80FB-9D47-44E8-9B0A-39FF9AA5A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BB0FE81-756A-46C8-B444-70A820A9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Mandate</vt:lpstr>
    </vt:vector>
  </TitlesOfParts>
  <Company>NHS Central London CCG</Company>
  <LinksUpToDate>false</LinksUpToDate>
  <CharactersWithSpaces>17324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Mandate</dc:title>
  <dc:creator>PMO Office</dc:creator>
  <cp:lastModifiedBy>Phil Gouldbourn</cp:lastModifiedBy>
  <cp:revision>2</cp:revision>
  <cp:lastPrinted>2013-07-04T16:53:00Z</cp:lastPrinted>
  <dcterms:created xsi:type="dcterms:W3CDTF">2017-03-08T21:25:00Z</dcterms:created>
  <dcterms:modified xsi:type="dcterms:W3CDTF">2017-03-08T21:25:00Z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