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338FB013" w:rsidR="00E3048C" w:rsidRPr="0095605E" w:rsidRDefault="00E3048C"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bookmarkStart w:id="0" w:name="_Hlk135305402"/>
      <w:bookmarkStart w:id="1" w:name="_Hlk148352980"/>
      <w:bookmarkEnd w:id="0"/>
      <w:bookmarkEnd w:id="1"/>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3559"/>
        <w:gridCol w:w="3520"/>
      </w:tblGrid>
      <w:tr w:rsidR="00CA4BA2" w:rsidRPr="00961A47" w14:paraId="73D24E97" w14:textId="77777777" w:rsidTr="4584192F">
        <w:trPr>
          <w:trHeight w:val="341"/>
        </w:trPr>
        <w:tc>
          <w:tcPr>
            <w:tcW w:w="1984" w:type="dxa"/>
            <w:shd w:val="clear" w:color="auto" w:fill="auto"/>
          </w:tcPr>
          <w:p w14:paraId="2D35996B" w14:textId="77777777" w:rsidR="00CA4BA2" w:rsidRPr="00CF68EF" w:rsidRDefault="00CA4BA2" w:rsidP="00D2736E">
            <w:pPr>
              <w:numPr>
                <w:ilvl w:val="0"/>
                <w:numId w:val="5"/>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7276" w:type="dxa"/>
            <w:gridSpan w:val="2"/>
            <w:shd w:val="clear" w:color="auto" w:fill="auto"/>
          </w:tcPr>
          <w:p w14:paraId="7C4B6799" w14:textId="2536035A" w:rsidR="00CA4BA2" w:rsidRPr="00EA529F" w:rsidRDefault="07E3EDD3" w:rsidP="0789593A">
            <w:pPr>
              <w:tabs>
                <w:tab w:val="left" w:pos="709"/>
              </w:tabs>
              <w:rPr>
                <w:rFonts w:ascii="Arial" w:hAnsi="Arial" w:cs="Arial"/>
                <w:sz w:val="18"/>
                <w:szCs w:val="18"/>
              </w:rPr>
            </w:pPr>
            <w:r w:rsidRPr="0789593A">
              <w:rPr>
                <w:rFonts w:ascii="Arial" w:hAnsi="Arial" w:cs="Arial"/>
                <w:sz w:val="18"/>
                <w:szCs w:val="18"/>
              </w:rPr>
              <w:t>T</w:t>
            </w:r>
            <w:r w:rsidR="43BA0770" w:rsidRPr="0789593A">
              <w:rPr>
                <w:rFonts w:ascii="Arial" w:hAnsi="Arial" w:cs="Arial"/>
                <w:sz w:val="18"/>
                <w:szCs w:val="18"/>
              </w:rPr>
              <w:t>o be confirmed</w:t>
            </w:r>
          </w:p>
        </w:tc>
      </w:tr>
      <w:tr w:rsidR="00CA4BA2" w:rsidRPr="00961A47" w14:paraId="360FADB6" w14:textId="77777777" w:rsidTr="4584192F">
        <w:trPr>
          <w:trHeight w:val="611"/>
        </w:trPr>
        <w:tc>
          <w:tcPr>
            <w:tcW w:w="1984" w:type="dxa"/>
            <w:shd w:val="clear" w:color="auto" w:fill="auto"/>
          </w:tcPr>
          <w:p w14:paraId="661DFA5A" w14:textId="77777777" w:rsidR="00CA4BA2" w:rsidRPr="00CF68EF" w:rsidRDefault="00CA4BA2" w:rsidP="5E0A0A78">
            <w:pPr>
              <w:numPr>
                <w:ilvl w:val="0"/>
                <w:numId w:val="5"/>
              </w:numPr>
              <w:tabs>
                <w:tab w:val="left" w:pos="457"/>
              </w:tabs>
              <w:overflowPunct w:val="0"/>
              <w:autoSpaceDE w:val="0"/>
              <w:autoSpaceDN w:val="0"/>
              <w:adjustRightInd w:val="0"/>
              <w:ind w:left="454"/>
              <w:jc w:val="both"/>
              <w:textAlignment w:val="baseline"/>
              <w:rPr>
                <w:rFonts w:ascii="Arial" w:hAnsi="Arial" w:cs="Arial"/>
                <w:b/>
                <w:bCs/>
                <w:sz w:val="18"/>
                <w:szCs w:val="18"/>
              </w:rPr>
            </w:pPr>
            <w:r w:rsidRPr="5E0A0A78">
              <w:rPr>
                <w:rFonts w:ascii="Arial" w:hAnsi="Arial" w:cs="Arial"/>
                <w:b/>
                <w:bCs/>
                <w:sz w:val="18"/>
                <w:szCs w:val="18"/>
              </w:rPr>
              <w:t>Customer</w:t>
            </w:r>
          </w:p>
        </w:tc>
        <w:tc>
          <w:tcPr>
            <w:tcW w:w="7276" w:type="dxa"/>
            <w:gridSpan w:val="2"/>
            <w:shd w:val="clear" w:color="auto" w:fill="auto"/>
          </w:tcPr>
          <w:p w14:paraId="6A07B6BC" w14:textId="609A8A72" w:rsidR="00CA4BA2" w:rsidRPr="00EA529F" w:rsidRDefault="2AF9A7C7" w:rsidP="5E0A0A78">
            <w:pPr>
              <w:tabs>
                <w:tab w:val="left" w:pos="709"/>
              </w:tabs>
              <w:rPr>
                <w:rFonts w:ascii="Arial" w:hAnsi="Arial" w:cs="Arial"/>
                <w:sz w:val="18"/>
                <w:szCs w:val="18"/>
              </w:rPr>
            </w:pPr>
            <w:r w:rsidRPr="5E0A0A78">
              <w:rPr>
                <w:rFonts w:ascii="Arial" w:hAnsi="Arial" w:cs="Arial"/>
                <w:sz w:val="18"/>
                <w:szCs w:val="18"/>
              </w:rPr>
              <w:t>Natural England</w:t>
            </w:r>
          </w:p>
          <w:p w14:paraId="609B7414" w14:textId="3282AF95" w:rsidR="00CA4BA2" w:rsidRPr="00EA529F" w:rsidRDefault="2AF9A7C7" w:rsidP="1B6E4596">
            <w:pPr>
              <w:tabs>
                <w:tab w:val="left" w:pos="709"/>
              </w:tabs>
            </w:pPr>
            <w:r w:rsidRPr="5E0A0A78">
              <w:rPr>
                <w:rFonts w:ascii="Arial" w:hAnsi="Arial" w:cs="Arial"/>
                <w:sz w:val="18"/>
                <w:szCs w:val="18"/>
              </w:rPr>
              <w:t>Foss House</w:t>
            </w:r>
          </w:p>
          <w:p w14:paraId="057283EF" w14:textId="4D2D4E9B" w:rsidR="00CA4BA2" w:rsidRPr="00EA529F" w:rsidRDefault="2AF9A7C7" w:rsidP="1B6E4596">
            <w:pPr>
              <w:tabs>
                <w:tab w:val="left" w:pos="709"/>
              </w:tabs>
            </w:pPr>
            <w:r w:rsidRPr="5E0A0A78">
              <w:rPr>
                <w:rFonts w:ascii="Arial" w:hAnsi="Arial" w:cs="Arial"/>
                <w:sz w:val="18"/>
                <w:szCs w:val="18"/>
              </w:rPr>
              <w:t>Kings Pool</w:t>
            </w:r>
          </w:p>
          <w:p w14:paraId="4EA06490" w14:textId="74003B8F" w:rsidR="00CA4BA2" w:rsidRPr="00EA529F" w:rsidRDefault="2AF9A7C7" w:rsidP="1B6E4596">
            <w:pPr>
              <w:tabs>
                <w:tab w:val="left" w:pos="709"/>
              </w:tabs>
            </w:pPr>
            <w:r w:rsidRPr="5E0A0A78">
              <w:rPr>
                <w:rFonts w:ascii="Arial" w:hAnsi="Arial" w:cs="Arial"/>
                <w:sz w:val="18"/>
                <w:szCs w:val="18"/>
              </w:rPr>
              <w:t>1-2 Peasholme Green</w:t>
            </w:r>
          </w:p>
          <w:p w14:paraId="2642CD9F" w14:textId="5C981D71" w:rsidR="00CA4BA2" w:rsidRPr="00EA529F" w:rsidRDefault="2AF9A7C7" w:rsidP="1B6E4596">
            <w:pPr>
              <w:tabs>
                <w:tab w:val="left" w:pos="709"/>
              </w:tabs>
            </w:pPr>
            <w:r w:rsidRPr="5E0A0A78">
              <w:rPr>
                <w:rFonts w:ascii="Arial" w:hAnsi="Arial" w:cs="Arial"/>
                <w:sz w:val="18"/>
                <w:szCs w:val="18"/>
              </w:rPr>
              <w:t>York</w:t>
            </w:r>
          </w:p>
          <w:p w14:paraId="271A4682" w14:textId="07B0C1AA" w:rsidR="00CA4BA2" w:rsidRPr="00EA529F" w:rsidRDefault="2AF9A7C7" w:rsidP="1B6E4596">
            <w:pPr>
              <w:tabs>
                <w:tab w:val="left" w:pos="709"/>
              </w:tabs>
            </w:pPr>
            <w:r w:rsidRPr="5E0A0A78">
              <w:rPr>
                <w:rFonts w:ascii="Arial" w:hAnsi="Arial" w:cs="Arial"/>
                <w:sz w:val="18"/>
                <w:szCs w:val="18"/>
              </w:rPr>
              <w:t>YO1 7PX</w:t>
            </w:r>
          </w:p>
        </w:tc>
      </w:tr>
      <w:tr w:rsidR="00CA4BA2" w:rsidRPr="00961A47" w14:paraId="3C3EA26A" w14:textId="77777777" w:rsidTr="4584192F">
        <w:trPr>
          <w:trHeight w:val="197"/>
        </w:trPr>
        <w:tc>
          <w:tcPr>
            <w:tcW w:w="1984" w:type="dxa"/>
            <w:shd w:val="clear" w:color="auto" w:fill="auto"/>
          </w:tcPr>
          <w:p w14:paraId="1287F9B5" w14:textId="77777777" w:rsidR="00CA4BA2" w:rsidRPr="00CF68EF" w:rsidRDefault="00CA4BA2" w:rsidP="00D2736E">
            <w:pPr>
              <w:numPr>
                <w:ilvl w:val="0"/>
                <w:numId w:val="5"/>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7276" w:type="dxa"/>
            <w:gridSpan w:val="2"/>
            <w:shd w:val="clear" w:color="auto" w:fill="auto"/>
          </w:tcPr>
          <w:p w14:paraId="1BEF0925" w14:textId="5D24745A" w:rsidR="00CA4BA2" w:rsidRPr="00B46D37" w:rsidRDefault="008EEA9A" w:rsidP="1CD8D82D">
            <w:pPr>
              <w:tabs>
                <w:tab w:val="left" w:pos="709"/>
              </w:tabs>
              <w:rPr>
                <w:rFonts w:ascii="Arial" w:hAnsi="Arial" w:cs="Arial"/>
                <w:i/>
                <w:iCs/>
                <w:sz w:val="18"/>
                <w:szCs w:val="18"/>
              </w:rPr>
            </w:pPr>
            <w:r w:rsidRPr="1CD8D82D">
              <w:rPr>
                <w:rFonts w:ascii="Arial" w:hAnsi="Arial" w:cs="Arial"/>
                <w:b/>
                <w:bCs/>
                <w:sz w:val="18"/>
                <w:szCs w:val="18"/>
              </w:rPr>
              <w:t>Insert</w:t>
            </w:r>
            <w:r w:rsidRPr="1CD8D82D">
              <w:rPr>
                <w:rFonts w:ascii="Arial" w:hAnsi="Arial" w:cs="Arial"/>
                <w:i/>
                <w:iCs/>
                <w:sz w:val="18"/>
                <w:szCs w:val="18"/>
              </w:rPr>
              <w:t xml:space="preserve"> Contractor’s name, registered address (if registered), and registration number (if registered)</w:t>
            </w:r>
          </w:p>
        </w:tc>
      </w:tr>
      <w:tr w:rsidR="007E7D58" w:rsidRPr="00961A47" w14:paraId="0A6E5285" w14:textId="77777777" w:rsidTr="4584192F">
        <w:trPr>
          <w:trHeight w:val="197"/>
        </w:trPr>
        <w:tc>
          <w:tcPr>
            <w:tcW w:w="1984" w:type="dxa"/>
            <w:shd w:val="clear" w:color="auto" w:fill="auto"/>
          </w:tcPr>
          <w:p w14:paraId="5F7AF055" w14:textId="6B4E5DA8" w:rsidR="007E7D58" w:rsidRPr="00CF68EF" w:rsidRDefault="007E7D58" w:rsidP="007E7D58">
            <w:pPr>
              <w:numPr>
                <w:ilvl w:val="0"/>
                <w:numId w:val="5"/>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7276" w:type="dxa"/>
            <w:gridSpan w:val="2"/>
            <w:shd w:val="clear" w:color="auto" w:fill="auto"/>
          </w:tcPr>
          <w:p w14:paraId="1710C878" w14:textId="77777777" w:rsidR="00A14AE1" w:rsidRPr="00A14AE1" w:rsidRDefault="0F9040DF" w:rsidP="367D8368">
            <w:pPr>
              <w:tabs>
                <w:tab w:val="left" w:pos="709"/>
              </w:tabs>
              <w:rPr>
                <w:rFonts w:ascii="Arial" w:hAnsi="Arial" w:cs="Arial"/>
                <w:sz w:val="18"/>
                <w:szCs w:val="18"/>
              </w:rPr>
            </w:pPr>
            <w:r w:rsidRPr="367D8368">
              <w:rPr>
                <w:rFonts w:ascii="Arial" w:hAnsi="Arial" w:cs="Arial"/>
                <w:sz w:val="18"/>
                <w:szCs w:val="18"/>
              </w:rPr>
              <w:t>The following Defra Group members will receive the benefit of the Deliverables:</w:t>
            </w:r>
          </w:p>
          <w:p w14:paraId="121755C7" w14:textId="77777777" w:rsidR="00A14AE1" w:rsidRDefault="00A14AE1" w:rsidP="367D8368">
            <w:pPr>
              <w:tabs>
                <w:tab w:val="left" w:pos="709"/>
              </w:tabs>
              <w:rPr>
                <w:rFonts w:ascii="Arial" w:hAnsi="Arial" w:cs="Arial"/>
                <w:sz w:val="18"/>
                <w:szCs w:val="18"/>
              </w:rPr>
            </w:pPr>
          </w:p>
          <w:p w14:paraId="0A62C6B9" w14:textId="1FE82D87" w:rsidR="007E7D58" w:rsidRPr="00B46D37" w:rsidRDefault="05F0FFEE" w:rsidP="367D8368">
            <w:pPr>
              <w:tabs>
                <w:tab w:val="left" w:pos="709"/>
              </w:tabs>
              <w:rPr>
                <w:rFonts w:ascii="Arial" w:hAnsi="Arial" w:cs="Arial"/>
                <w:sz w:val="18"/>
                <w:szCs w:val="18"/>
              </w:rPr>
            </w:pPr>
            <w:r w:rsidRPr="367D8368">
              <w:rPr>
                <w:rFonts w:ascii="Arial" w:hAnsi="Arial" w:cs="Arial"/>
                <w:sz w:val="18"/>
                <w:szCs w:val="18"/>
              </w:rPr>
              <w:t>Natural England</w:t>
            </w:r>
          </w:p>
        </w:tc>
      </w:tr>
      <w:tr w:rsidR="007E7D58" w:rsidRPr="00961A47" w14:paraId="0F375EE1" w14:textId="77777777" w:rsidTr="4584192F">
        <w:trPr>
          <w:trHeight w:val="197"/>
        </w:trPr>
        <w:tc>
          <w:tcPr>
            <w:tcW w:w="1984" w:type="dxa"/>
            <w:shd w:val="clear" w:color="auto" w:fill="auto"/>
          </w:tcPr>
          <w:p w14:paraId="49E98B68" w14:textId="77777777" w:rsidR="007E7D58" w:rsidRPr="00B46D37" w:rsidRDefault="007E7D58" w:rsidP="007E7D58">
            <w:pPr>
              <w:numPr>
                <w:ilvl w:val="0"/>
                <w:numId w:val="5"/>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7276" w:type="dxa"/>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4355056" w14:textId="605F31DD" w:rsidR="007E7D58" w:rsidRDefault="007E7D58" w:rsidP="5FD19188">
            <w:pPr>
              <w:tabs>
                <w:tab w:val="left" w:pos="709"/>
              </w:tabs>
              <w:rPr>
                <w:rFonts w:ascii="Arial" w:hAnsi="Arial" w:cs="Arial"/>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8"/>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8"/>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8"/>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005D046C">
        <w:trPr>
          <w:trHeight w:val="966"/>
        </w:trPr>
        <w:tc>
          <w:tcPr>
            <w:tcW w:w="1984" w:type="dxa"/>
            <w:vMerge w:val="restart"/>
            <w:shd w:val="clear" w:color="auto" w:fill="auto"/>
          </w:tcPr>
          <w:p w14:paraId="3B2CC37B" w14:textId="4B3C5A05" w:rsidR="007E7D58" w:rsidRDefault="007E7D58" w:rsidP="007E7D58">
            <w:pPr>
              <w:numPr>
                <w:ilvl w:val="0"/>
                <w:numId w:val="5"/>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3638" w:type="dxa"/>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3638" w:type="dxa"/>
            <w:tcBorders>
              <w:bottom w:val="single" w:sz="4" w:space="0" w:color="auto"/>
            </w:tcBorders>
            <w:shd w:val="clear" w:color="auto" w:fill="auto"/>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p w14:paraId="713E3DCD" w14:textId="3D18D2DF" w:rsidR="007E7D58" w:rsidRPr="000E43D4" w:rsidRDefault="007E7D58" w:rsidP="5B3F8344">
            <w:pPr>
              <w:tabs>
                <w:tab w:val="left" w:pos="709"/>
              </w:tabs>
              <w:rPr>
                <w:rFonts w:ascii="Arial" w:eastAsia="Arial" w:hAnsi="Arial" w:cs="Arial"/>
                <w:i/>
                <w:iCs/>
                <w:sz w:val="18"/>
                <w:szCs w:val="18"/>
              </w:rPr>
            </w:pPr>
            <w:r w:rsidRPr="5B3F8344">
              <w:rPr>
                <w:rFonts w:ascii="Arial" w:eastAsia="Arial" w:hAnsi="Arial" w:cs="Arial"/>
                <w:b/>
                <w:bCs/>
                <w:sz w:val="18"/>
                <w:szCs w:val="18"/>
              </w:rPr>
              <w:t>Services Only:</w:t>
            </w:r>
            <w:r w:rsidRPr="5B3F8344">
              <w:rPr>
                <w:rFonts w:ascii="Arial" w:eastAsia="Arial" w:hAnsi="Arial" w:cs="Arial"/>
                <w:i/>
                <w:iCs/>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Content>
                <w:r w:rsidR="17FE8394" w:rsidRPr="5B3F8344">
                  <w:rPr>
                    <w:rFonts w:ascii="MS Gothic" w:eastAsia="MS Gothic" w:hAnsi="MS Gothic" w:cs="MS Gothic"/>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tc>
      </w:tr>
      <w:tr w:rsidR="007E7D58" w:rsidRPr="00961A47" w14:paraId="4ED88D31" w14:textId="77777777" w:rsidTr="005D046C">
        <w:trPr>
          <w:trHeight w:val="966"/>
        </w:trPr>
        <w:tc>
          <w:tcPr>
            <w:tcW w:w="1984" w:type="dxa"/>
            <w:vMerge/>
          </w:tcPr>
          <w:p w14:paraId="5A3F8C0B" w14:textId="70D234B1" w:rsidR="007E7D58" w:rsidRPr="00B46D37" w:rsidRDefault="007E7D58" w:rsidP="007E7D58">
            <w:pPr>
              <w:numPr>
                <w:ilvl w:val="0"/>
                <w:numId w:val="5"/>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3638" w:type="dxa"/>
            <w:shd w:val="clear" w:color="auto" w:fill="auto"/>
          </w:tcPr>
          <w:p w14:paraId="52EC6593" w14:textId="6E7AF7BD" w:rsidR="007E7D58" w:rsidRPr="005D046C" w:rsidRDefault="12982BC3" w:rsidP="52F7EE9F">
            <w:pPr>
              <w:tabs>
                <w:tab w:val="left" w:pos="709"/>
              </w:tabs>
              <w:rPr>
                <w:rFonts w:ascii="Arial" w:hAnsi="Arial" w:cs="Arial"/>
                <w:b/>
                <w:bCs/>
                <w:sz w:val="18"/>
                <w:szCs w:val="18"/>
              </w:rPr>
            </w:pPr>
            <w:r w:rsidRPr="005D046C">
              <w:rPr>
                <w:rFonts w:ascii="Arial" w:hAnsi="Arial" w:cs="Arial"/>
                <w:b/>
                <w:bCs/>
                <w:sz w:val="18"/>
                <w:szCs w:val="18"/>
              </w:rPr>
              <w:t>Goods</w:t>
            </w:r>
          </w:p>
        </w:tc>
        <w:tc>
          <w:tcPr>
            <w:tcW w:w="3638" w:type="dxa"/>
            <w:shd w:val="clear" w:color="auto" w:fill="auto"/>
          </w:tcPr>
          <w:p w14:paraId="6A40B123" w14:textId="4F3DEFF5" w:rsidR="005D046C" w:rsidRPr="005D046C" w:rsidRDefault="00A32B86" w:rsidP="3B5EB0A9">
            <w:pPr>
              <w:pStyle w:val="pf0"/>
              <w:rPr>
                <w:rStyle w:val="cf01"/>
                <w:rFonts w:ascii="Arial" w:hAnsi="Arial" w:cs="Arial"/>
              </w:rPr>
            </w:pPr>
            <w:r>
              <w:rPr>
                <w:rFonts w:ascii="Arial" w:hAnsi="Arial" w:cs="Arial"/>
                <w:sz w:val="18"/>
                <w:szCs w:val="18"/>
              </w:rPr>
              <w:t>None</w:t>
            </w:r>
          </w:p>
        </w:tc>
      </w:tr>
      <w:tr w:rsidR="007E7D58" w:rsidRPr="00961A47" w14:paraId="682172EF" w14:textId="77777777" w:rsidTr="4584192F">
        <w:trPr>
          <w:trHeight w:val="383"/>
        </w:trPr>
        <w:tc>
          <w:tcPr>
            <w:tcW w:w="1984" w:type="dxa"/>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3638" w:type="dxa"/>
            <w:shd w:val="clear" w:color="auto" w:fill="auto"/>
          </w:tcPr>
          <w:p w14:paraId="6B28EF86" w14:textId="77777777" w:rsidR="007E7D58" w:rsidRPr="005D046C" w:rsidRDefault="007E7D58" w:rsidP="5BAF898E">
            <w:pPr>
              <w:tabs>
                <w:tab w:val="left" w:pos="709"/>
              </w:tabs>
              <w:rPr>
                <w:rFonts w:ascii="Arial" w:hAnsi="Arial" w:cs="Arial"/>
                <w:b/>
                <w:bCs/>
                <w:sz w:val="18"/>
                <w:szCs w:val="18"/>
              </w:rPr>
            </w:pPr>
            <w:r w:rsidRPr="005D046C">
              <w:rPr>
                <w:rFonts w:ascii="Arial" w:hAnsi="Arial" w:cs="Arial"/>
                <w:b/>
                <w:bCs/>
                <w:sz w:val="18"/>
                <w:szCs w:val="18"/>
              </w:rPr>
              <w:t>Services</w:t>
            </w:r>
          </w:p>
        </w:tc>
        <w:tc>
          <w:tcPr>
            <w:tcW w:w="3638" w:type="dxa"/>
            <w:shd w:val="clear" w:color="auto" w:fill="auto"/>
          </w:tcPr>
          <w:p w14:paraId="5FA36A9F" w14:textId="762F5814" w:rsidR="005D046C" w:rsidRPr="005D046C" w:rsidRDefault="005D046C" w:rsidP="00072742">
            <w:pPr>
              <w:pStyle w:val="pf0"/>
              <w:rPr>
                <w:rFonts w:ascii="Arial" w:hAnsi="Arial" w:cs="Arial"/>
                <w:sz w:val="18"/>
                <w:szCs w:val="18"/>
              </w:rPr>
            </w:pPr>
            <w:bookmarkStart w:id="2" w:name="_DV_C144"/>
            <w:bookmarkStart w:id="3" w:name="_Ref377110627"/>
            <w:r w:rsidRPr="005D046C">
              <w:rPr>
                <w:rFonts w:ascii="Arial" w:hAnsi="Arial" w:cs="Arial"/>
                <w:sz w:val="18"/>
                <w:szCs w:val="18"/>
              </w:rPr>
              <w:t>Description in Appendix 2</w:t>
            </w:r>
          </w:p>
          <w:p w14:paraId="78CB0504" w14:textId="5D43CF94" w:rsidR="007E7D58" w:rsidRPr="005D046C" w:rsidRDefault="005D046C" w:rsidP="00072742">
            <w:pPr>
              <w:pStyle w:val="pf0"/>
              <w:rPr>
                <w:rFonts w:ascii="Arial" w:hAnsi="Arial" w:cs="Arial"/>
                <w:i/>
                <w:iCs/>
                <w:sz w:val="18"/>
                <w:szCs w:val="18"/>
              </w:rPr>
            </w:pPr>
            <w:r w:rsidRPr="005D046C">
              <w:rPr>
                <w:rFonts w:ascii="Arial" w:hAnsi="Arial" w:cs="Arial"/>
                <w:sz w:val="18"/>
                <w:szCs w:val="18"/>
              </w:rPr>
              <w:t xml:space="preserve">To </w:t>
            </w:r>
            <w:r w:rsidR="007E7D58" w:rsidRPr="005D046C">
              <w:rPr>
                <w:rFonts w:ascii="Arial" w:hAnsi="Arial" w:cs="Arial"/>
                <w:sz w:val="18"/>
                <w:szCs w:val="18"/>
              </w:rPr>
              <w:t xml:space="preserve">be performed at </w:t>
            </w:r>
            <w:r w:rsidR="007E7D58" w:rsidRPr="005D046C">
              <w:rPr>
                <w:rFonts w:ascii="Arial" w:hAnsi="Arial" w:cs="Arial"/>
                <w:b/>
                <w:bCs/>
                <w:i/>
                <w:iCs/>
                <w:sz w:val="18"/>
                <w:szCs w:val="18"/>
              </w:rPr>
              <w:t>the Contractor’s premises</w:t>
            </w:r>
            <w:r w:rsidR="54EFE67A" w:rsidRPr="005D046C">
              <w:rPr>
                <w:rFonts w:ascii="Arial" w:hAnsi="Arial" w:cs="Arial"/>
                <w:b/>
                <w:bCs/>
                <w:i/>
                <w:iCs/>
                <w:sz w:val="18"/>
                <w:szCs w:val="18"/>
              </w:rPr>
              <w:t>.</w:t>
            </w:r>
            <w:bookmarkEnd w:id="2"/>
            <w:bookmarkEnd w:id="3"/>
          </w:p>
          <w:p w14:paraId="1F8C6F4E" w14:textId="42751159" w:rsidR="007E7D58" w:rsidRPr="005D046C" w:rsidRDefault="007E7D58" w:rsidP="4584192F">
            <w:pPr>
              <w:tabs>
                <w:tab w:val="left" w:pos="709"/>
              </w:tabs>
              <w:rPr>
                <w:rFonts w:ascii="Arial" w:hAnsi="Arial" w:cs="Arial"/>
                <w:i/>
                <w:iCs/>
                <w:sz w:val="18"/>
                <w:szCs w:val="18"/>
              </w:rPr>
            </w:pPr>
            <w:r w:rsidRPr="005D046C">
              <w:rPr>
                <w:rFonts w:ascii="Arial" w:hAnsi="Arial" w:cs="Arial"/>
                <w:sz w:val="18"/>
                <w:szCs w:val="18"/>
              </w:rPr>
              <w:t xml:space="preserve">Date(s) of Delivery: </w:t>
            </w:r>
            <w:r w:rsidR="1C75AF1B" w:rsidRPr="005D046C">
              <w:rPr>
                <w:rFonts w:ascii="Arial" w:hAnsi="Arial" w:cs="Arial"/>
                <w:b/>
                <w:bCs/>
                <w:i/>
                <w:iCs/>
                <w:sz w:val="18"/>
                <w:szCs w:val="18"/>
              </w:rPr>
              <w:t xml:space="preserve">15-Jul-2024 – 06-Jan-2025 </w:t>
            </w:r>
          </w:p>
          <w:p w14:paraId="6996B8C2" w14:textId="149EF36B" w:rsidR="007E7D58" w:rsidRPr="005D046C" w:rsidRDefault="007E7D58" w:rsidP="005F8391">
            <w:pPr>
              <w:tabs>
                <w:tab w:val="left" w:pos="709"/>
              </w:tabs>
              <w:rPr>
                <w:rFonts w:ascii="Arial" w:hAnsi="Arial" w:cs="Arial"/>
                <w:sz w:val="18"/>
                <w:szCs w:val="18"/>
              </w:rPr>
            </w:pPr>
          </w:p>
          <w:p w14:paraId="2A786758" w14:textId="77777777" w:rsidR="007E7D58" w:rsidRPr="005D046C" w:rsidRDefault="007E7D58" w:rsidP="4584192F">
            <w:pPr>
              <w:tabs>
                <w:tab w:val="left" w:pos="709"/>
              </w:tabs>
              <w:rPr>
                <w:rFonts w:ascii="Arial" w:hAnsi="Arial" w:cs="Arial"/>
                <w:i/>
                <w:iCs/>
                <w:sz w:val="18"/>
                <w:szCs w:val="18"/>
              </w:rPr>
            </w:pPr>
          </w:p>
        </w:tc>
      </w:tr>
      <w:tr w:rsidR="007E7D58" w:rsidRPr="00961A47" w14:paraId="2A3F6693" w14:textId="77777777" w:rsidTr="4584192F">
        <w:trPr>
          <w:trHeight w:val="698"/>
        </w:trPr>
        <w:tc>
          <w:tcPr>
            <w:tcW w:w="1984" w:type="dxa"/>
            <w:shd w:val="clear" w:color="auto" w:fill="auto"/>
          </w:tcPr>
          <w:p w14:paraId="66431E1A" w14:textId="77777777" w:rsidR="007E7D58" w:rsidRPr="006C1774" w:rsidRDefault="007E7D58" w:rsidP="007E7D58">
            <w:pPr>
              <w:numPr>
                <w:ilvl w:val="0"/>
                <w:numId w:val="5"/>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7276" w:type="dxa"/>
            <w:gridSpan w:val="2"/>
            <w:shd w:val="clear" w:color="auto" w:fill="auto"/>
          </w:tcPr>
          <w:p w14:paraId="37E6BF23" w14:textId="445158EE" w:rsidR="007E7D58" w:rsidRPr="00B46D37" w:rsidRDefault="7173FE94" w:rsidP="6313D740">
            <w:pPr>
              <w:tabs>
                <w:tab w:val="left" w:pos="709"/>
              </w:tabs>
              <w:spacing w:line="259" w:lineRule="auto"/>
              <w:rPr>
                <w:rFonts w:ascii="Arial" w:eastAsia="Arial" w:hAnsi="Arial" w:cs="Arial"/>
                <w:i/>
                <w:iCs/>
                <w:sz w:val="18"/>
                <w:szCs w:val="18"/>
              </w:rPr>
            </w:pPr>
            <w:r w:rsidRPr="6313D740">
              <w:rPr>
                <w:rFonts w:ascii="Arial" w:eastAsia="Arial" w:hAnsi="Arial" w:cs="Arial"/>
                <w:i/>
                <w:iCs/>
                <w:sz w:val="18"/>
                <w:szCs w:val="18"/>
              </w:rPr>
              <w:t>15-Jul-2024</w:t>
            </w:r>
          </w:p>
        </w:tc>
      </w:tr>
      <w:tr w:rsidR="007E7D58" w:rsidRPr="00961A47" w14:paraId="71B2C04E" w14:textId="77777777" w:rsidTr="4584192F">
        <w:trPr>
          <w:trHeight w:val="383"/>
        </w:trPr>
        <w:tc>
          <w:tcPr>
            <w:tcW w:w="1984" w:type="dxa"/>
            <w:shd w:val="clear" w:color="auto" w:fill="auto"/>
          </w:tcPr>
          <w:p w14:paraId="5D4EEC78" w14:textId="77777777" w:rsidR="007E7D58" w:rsidRPr="006C1774" w:rsidDel="000738CA" w:rsidRDefault="007E7D58" w:rsidP="007E7D58">
            <w:pPr>
              <w:numPr>
                <w:ilvl w:val="0"/>
                <w:numId w:val="5"/>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7276" w:type="dxa"/>
            <w:gridSpan w:val="2"/>
            <w:shd w:val="clear" w:color="auto" w:fill="auto"/>
          </w:tcPr>
          <w:p w14:paraId="2483DC9A" w14:textId="4EDAB427" w:rsidR="007E7D58" w:rsidRPr="00B46D37" w:rsidRDefault="0439D244" w:rsidP="6313D740">
            <w:pPr>
              <w:spacing w:before="120" w:after="120"/>
              <w:ind w:right="936"/>
              <w:rPr>
                <w:rFonts w:ascii="Arial" w:hAnsi="Arial" w:cs="Arial"/>
                <w:b/>
                <w:bCs/>
                <w:i/>
                <w:iCs/>
                <w:sz w:val="18"/>
                <w:szCs w:val="18"/>
              </w:rPr>
            </w:pPr>
            <w:r w:rsidRPr="6313D740">
              <w:rPr>
                <w:rFonts w:ascii="Arial" w:eastAsia="Arial" w:hAnsi="Arial" w:cs="Arial"/>
                <w:i/>
                <w:iCs/>
                <w:sz w:val="18"/>
                <w:szCs w:val="18"/>
              </w:rPr>
              <w:t>06-Jan-2024</w:t>
            </w:r>
          </w:p>
        </w:tc>
      </w:tr>
      <w:tr w:rsidR="007E7D58" w:rsidRPr="00961A47" w14:paraId="6D89A4FD" w14:textId="77777777" w:rsidTr="4584192F">
        <w:trPr>
          <w:trHeight w:val="383"/>
        </w:trPr>
        <w:tc>
          <w:tcPr>
            <w:tcW w:w="1984" w:type="dxa"/>
            <w:shd w:val="clear" w:color="auto" w:fill="auto"/>
          </w:tcPr>
          <w:p w14:paraId="718871A9" w14:textId="77777777" w:rsidR="007E7D58" w:rsidRPr="006C1774" w:rsidRDefault="007E7D58" w:rsidP="007E7D58">
            <w:pPr>
              <w:numPr>
                <w:ilvl w:val="0"/>
                <w:numId w:val="5"/>
              </w:numPr>
              <w:tabs>
                <w:tab w:val="left" w:pos="457"/>
              </w:tabs>
              <w:overflowPunct w:val="0"/>
              <w:autoSpaceDE w:val="0"/>
              <w:autoSpaceDN w:val="0"/>
              <w:adjustRightInd w:val="0"/>
              <w:ind w:left="454"/>
              <w:jc w:val="both"/>
              <w:textAlignment w:val="baseline"/>
              <w:rPr>
                <w:rFonts w:ascii="Arial" w:hAnsi="Arial" w:cs="Arial"/>
                <w:b/>
                <w:sz w:val="18"/>
                <w:szCs w:val="18"/>
              </w:rPr>
            </w:pPr>
            <w:bookmarkStart w:id="4" w:name="_Ref99635469"/>
            <w:bookmarkStart w:id="5" w:name="_Ref99635697"/>
            <w:bookmarkStart w:id="6" w:name="_Ref111474589"/>
            <w:r w:rsidRPr="006C1774">
              <w:rPr>
                <w:rFonts w:ascii="Arial" w:hAnsi="Arial" w:cs="Arial"/>
                <w:b/>
                <w:sz w:val="18"/>
                <w:szCs w:val="18"/>
              </w:rPr>
              <w:t>Charges</w:t>
            </w:r>
            <w:bookmarkEnd w:id="4"/>
          </w:p>
        </w:tc>
        <w:tc>
          <w:tcPr>
            <w:tcW w:w="7276" w:type="dxa"/>
            <w:gridSpan w:val="2"/>
            <w:shd w:val="clear" w:color="auto" w:fill="auto"/>
          </w:tcPr>
          <w:p w14:paraId="1A7D4E04" w14:textId="760CD2B2" w:rsidR="007E7D58" w:rsidRPr="00B46D37" w:rsidRDefault="007E7D58" w:rsidP="007E7D58">
            <w:pPr>
              <w:pStyle w:val="Header"/>
              <w:tabs>
                <w:tab w:val="left" w:pos="709"/>
              </w:tabs>
              <w:ind w:right="3"/>
              <w:rPr>
                <w:rFonts w:ascii="Arial" w:hAnsi="Arial" w:cs="Arial"/>
                <w:sz w:val="18"/>
                <w:szCs w:val="18"/>
              </w:rPr>
            </w:pPr>
            <w:bookmarkStart w:id="7" w:name="_Ref377110658"/>
            <w:r w:rsidRPr="49456D77">
              <w:rPr>
                <w:rFonts w:ascii="Arial" w:hAnsi="Arial" w:cs="Arial"/>
                <w:sz w:val="18"/>
                <w:szCs w:val="18"/>
              </w:rPr>
              <w:t xml:space="preserve">The Charges for the </w:t>
            </w:r>
            <w:bookmarkStart w:id="8" w:name="_DV_C154"/>
            <w:r w:rsidRPr="49456D77">
              <w:rPr>
                <w:rFonts w:ascii="Arial" w:hAnsi="Arial" w:cs="Arial"/>
                <w:sz w:val="18"/>
                <w:szCs w:val="18"/>
              </w:rPr>
              <w:t xml:space="preserve">Goods and/or Services </w:t>
            </w:r>
            <w:bookmarkEnd w:id="8"/>
            <w:r w:rsidRPr="49456D77">
              <w:rPr>
                <w:rFonts w:ascii="Arial" w:hAnsi="Arial" w:cs="Arial"/>
                <w:sz w:val="18"/>
                <w:szCs w:val="18"/>
              </w:rPr>
              <w:t xml:space="preserve">shall be as set out [below </w:t>
            </w:r>
            <w:r w:rsidRPr="49456D77">
              <w:rPr>
                <w:rFonts w:ascii="Arial" w:hAnsi="Arial" w:cs="Arial"/>
                <w:b/>
                <w:bCs/>
                <w:i/>
                <w:iCs/>
                <w:sz w:val="18"/>
                <w:szCs w:val="18"/>
              </w:rPr>
              <w:t>[insert details]</w:t>
            </w:r>
            <w:r w:rsidRPr="49456D77">
              <w:rPr>
                <w:rFonts w:ascii="Arial" w:hAnsi="Arial" w:cs="Arial"/>
                <w:sz w:val="18"/>
                <w:szCs w:val="18"/>
              </w:rPr>
              <w:t xml:space="preserve"> / in [Appendix 3 – Charges]].</w:t>
            </w:r>
            <w:bookmarkEnd w:id="7"/>
            <w:r w:rsidRPr="49456D77">
              <w:rPr>
                <w:rFonts w:ascii="Arial" w:hAnsi="Arial" w:cs="Arial"/>
                <w:sz w:val="18"/>
                <w:szCs w:val="18"/>
              </w:rPr>
              <w:t xml:space="preserve"> </w:t>
            </w:r>
            <w:r w:rsidR="00F34637" w:rsidRPr="49456D7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4584192F">
        <w:trPr>
          <w:trHeight w:val="383"/>
        </w:trPr>
        <w:tc>
          <w:tcPr>
            <w:tcW w:w="1984" w:type="dxa"/>
            <w:shd w:val="clear" w:color="auto" w:fill="auto"/>
          </w:tcPr>
          <w:p w14:paraId="548B5E31" w14:textId="77777777" w:rsidR="007E7D58" w:rsidRPr="00B46D37" w:rsidRDefault="007E7D58" w:rsidP="007E7D58">
            <w:pPr>
              <w:numPr>
                <w:ilvl w:val="0"/>
                <w:numId w:val="5"/>
              </w:numPr>
              <w:tabs>
                <w:tab w:val="left" w:pos="457"/>
              </w:tabs>
              <w:overflowPunct w:val="0"/>
              <w:autoSpaceDE w:val="0"/>
              <w:autoSpaceDN w:val="0"/>
              <w:adjustRightInd w:val="0"/>
              <w:ind w:left="454"/>
              <w:jc w:val="both"/>
              <w:textAlignment w:val="baseline"/>
              <w:rPr>
                <w:rFonts w:ascii="Arial" w:hAnsi="Arial" w:cs="Arial"/>
                <w:b/>
                <w:sz w:val="18"/>
                <w:szCs w:val="18"/>
              </w:rPr>
            </w:pPr>
            <w:bookmarkStart w:id="9" w:name="_Ref99635482"/>
            <w:r w:rsidRPr="00B46D37">
              <w:rPr>
                <w:rFonts w:ascii="Arial" w:hAnsi="Arial" w:cs="Arial"/>
                <w:b/>
                <w:sz w:val="18"/>
                <w:szCs w:val="18"/>
              </w:rPr>
              <w:t>Payment</w:t>
            </w:r>
            <w:bookmarkEnd w:id="9"/>
          </w:p>
        </w:tc>
        <w:tc>
          <w:tcPr>
            <w:tcW w:w="7276" w:type="dxa"/>
            <w:gridSpan w:val="2"/>
            <w:shd w:val="clear" w:color="auto" w:fill="auto"/>
          </w:tcPr>
          <w:p w14:paraId="01A96761" w14:textId="05B96F07" w:rsidR="007E7D58" w:rsidRDefault="007E7D58" w:rsidP="0F5C9C7F">
            <w:pPr>
              <w:pStyle w:val="Header"/>
              <w:tabs>
                <w:tab w:val="left" w:pos="709"/>
              </w:tabs>
              <w:rPr>
                <w:rFonts w:ascii="Arial" w:hAnsi="Arial" w:cs="Arial"/>
                <w:b/>
                <w:bCs/>
                <w:i/>
                <w:iCs/>
                <w:sz w:val="18"/>
                <w:szCs w:val="18"/>
              </w:rPr>
            </w:pPr>
            <w:bookmarkStart w:id="10" w:name="_DV_M104"/>
            <w:bookmarkStart w:id="11" w:name="_DV_M110"/>
            <w:bookmarkEnd w:id="10"/>
            <w:bookmarkEnd w:id="11"/>
            <w:r w:rsidRPr="0F5C9C7F">
              <w:rPr>
                <w:rFonts w:ascii="Arial" w:hAnsi="Arial" w:cs="Arial"/>
                <w:sz w:val="18"/>
                <w:szCs w:val="18"/>
              </w:rPr>
              <w:t xml:space="preserve">Payments will be made to </w:t>
            </w:r>
            <w:r w:rsidRPr="0F5C9C7F">
              <w:rPr>
                <w:rFonts w:ascii="Arial" w:hAnsi="Arial" w:cs="Arial"/>
                <w:b/>
                <w:bCs/>
                <w:sz w:val="18"/>
                <w:szCs w:val="18"/>
              </w:rPr>
              <w:t>[Insert payment method(s) and necessary details]</w:t>
            </w:r>
          </w:p>
          <w:p w14:paraId="35E51F28" w14:textId="31E9238A" w:rsidR="007E7D58" w:rsidRDefault="007E7D58" w:rsidP="007E7D58">
            <w:pPr>
              <w:pStyle w:val="Header"/>
              <w:tabs>
                <w:tab w:val="left" w:pos="709"/>
              </w:tabs>
              <w:rPr>
                <w:rFonts w:ascii="Arial" w:hAnsi="Arial" w:cs="Arial"/>
                <w:b/>
                <w:sz w:val="18"/>
                <w:szCs w:val="18"/>
              </w:rPr>
            </w:pPr>
          </w:p>
          <w:p w14:paraId="58052F16" w14:textId="07EF9DB4" w:rsidR="007E7D58" w:rsidRDefault="6320F182" w:rsidP="3FB0456B">
            <w:pPr>
              <w:pStyle w:val="Header"/>
              <w:tabs>
                <w:tab w:val="left" w:pos="709"/>
              </w:tabs>
              <w:rPr>
                <w:rFonts w:ascii="Arial" w:hAnsi="Arial" w:cs="Arial"/>
                <w:b/>
                <w:bCs/>
                <w:i/>
                <w:iCs/>
                <w:sz w:val="18"/>
                <w:szCs w:val="18"/>
              </w:rPr>
            </w:pPr>
            <w:r w:rsidRPr="3FB0456B">
              <w:rPr>
                <w:rFonts w:ascii="Arial" w:hAnsi="Arial" w:cs="Arial"/>
                <w:b/>
                <w:bCs/>
                <w:i/>
                <w:iCs/>
                <w:sz w:val="18"/>
                <w:szCs w:val="18"/>
              </w:rPr>
              <w:t>P</w:t>
            </w:r>
            <w:r w:rsidR="00DE4F91" w:rsidRPr="3FB0456B">
              <w:rPr>
                <w:rFonts w:ascii="Arial" w:hAnsi="Arial" w:cs="Arial"/>
                <w:b/>
                <w:bCs/>
                <w:i/>
                <w:iCs/>
                <w:sz w:val="18"/>
                <w:szCs w:val="18"/>
              </w:rPr>
              <w:t>ayments will be made in pounds by BACS transfer using the details provided by the supplier on submission of a compliant invoice.</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rsidTr="4584192F">
        <w:trPr>
          <w:trHeight w:val="383"/>
        </w:trPr>
        <w:tc>
          <w:tcPr>
            <w:tcW w:w="1984" w:type="dxa"/>
            <w:shd w:val="clear" w:color="auto" w:fill="auto"/>
          </w:tcPr>
          <w:p w14:paraId="19A13727" w14:textId="4D923FEC" w:rsidR="00DD176F" w:rsidRPr="00B46D37" w:rsidRDefault="00DD176F" w:rsidP="007E7D58">
            <w:pPr>
              <w:numPr>
                <w:ilvl w:val="0"/>
                <w:numId w:val="5"/>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7276" w:type="dxa"/>
            <w:gridSpan w:val="2"/>
            <w:shd w:val="clear" w:color="auto" w:fill="auto"/>
          </w:tcPr>
          <w:p w14:paraId="787ED3D4" w14:textId="17E2DA4B" w:rsidR="009179C1" w:rsidRDefault="68733B5E" w:rsidP="009179C1">
            <w:pPr>
              <w:pStyle w:val="Header"/>
              <w:tabs>
                <w:tab w:val="left" w:pos="709"/>
              </w:tabs>
              <w:rPr>
                <w:rFonts w:ascii="Arial" w:hAnsi="Arial" w:cs="Arial"/>
                <w:sz w:val="18"/>
                <w:szCs w:val="18"/>
              </w:rPr>
            </w:pPr>
            <w:r w:rsidRPr="49456D77">
              <w:rPr>
                <w:rFonts w:ascii="Arial" w:hAnsi="Arial" w:cs="Arial"/>
                <w:sz w:val="18"/>
                <w:szCs w:val="18"/>
              </w:rPr>
              <w:t>A sum equal to £5,000,000</w:t>
            </w:r>
          </w:p>
          <w:p w14:paraId="519FBB0C" w14:textId="77777777" w:rsidR="009179C1" w:rsidRPr="009179C1" w:rsidRDefault="009179C1" w:rsidP="009179C1">
            <w:pPr>
              <w:pStyle w:val="Header"/>
              <w:tabs>
                <w:tab w:val="left" w:pos="709"/>
              </w:tabs>
              <w:rPr>
                <w:rFonts w:ascii="Arial" w:hAnsi="Arial" w:cs="Arial"/>
                <w:sz w:val="18"/>
                <w:szCs w:val="18"/>
              </w:rPr>
            </w:pP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4584192F">
        <w:trPr>
          <w:trHeight w:val="383"/>
        </w:trPr>
        <w:tc>
          <w:tcPr>
            <w:tcW w:w="1984" w:type="dxa"/>
            <w:shd w:val="clear" w:color="auto" w:fill="auto"/>
          </w:tcPr>
          <w:p w14:paraId="4BB9E7D9" w14:textId="77777777" w:rsidR="007E7D58" w:rsidRPr="00B46D37" w:rsidRDefault="007E7D58" w:rsidP="007E7D58">
            <w:pPr>
              <w:numPr>
                <w:ilvl w:val="0"/>
                <w:numId w:val="5"/>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7276" w:type="dxa"/>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688CC637" w:rsidR="007E7D58" w:rsidRPr="00B46D37" w:rsidRDefault="007E7D58" w:rsidP="007E7D58">
            <w:pPr>
              <w:pStyle w:val="BodyText3"/>
              <w:keepNext/>
              <w:tabs>
                <w:tab w:val="left" w:pos="709"/>
              </w:tabs>
              <w:spacing w:after="0" w:line="240" w:lineRule="auto"/>
              <w:rPr>
                <w:rFonts w:ascii="Arial" w:hAnsi="Arial" w:cs="Arial"/>
                <w:sz w:val="18"/>
                <w:szCs w:val="18"/>
              </w:rPr>
            </w:pPr>
          </w:p>
          <w:p w14:paraId="74B23753" w14:textId="783EC522" w:rsidR="7ADD5C59" w:rsidRDefault="7ADD5C59" w:rsidP="6A51C07D">
            <w:pPr>
              <w:pStyle w:val="BodyText3"/>
              <w:keepNext/>
              <w:tabs>
                <w:tab w:val="left" w:pos="709"/>
              </w:tabs>
              <w:spacing w:after="0" w:line="240" w:lineRule="auto"/>
            </w:pPr>
            <w:r w:rsidRPr="18E84618">
              <w:rPr>
                <w:rFonts w:ascii="Arial" w:hAnsi="Arial" w:cs="Arial"/>
                <w:sz w:val="18"/>
                <w:szCs w:val="18"/>
              </w:rPr>
              <w:t xml:space="preserve">Robyn Samuel – </w:t>
            </w:r>
            <w:r w:rsidR="7137D1EC" w:rsidRPr="18E84618">
              <w:rPr>
                <w:rFonts w:ascii="Arial" w:hAnsi="Arial" w:cs="Arial"/>
                <w:sz w:val="18"/>
                <w:szCs w:val="18"/>
              </w:rPr>
              <w:t>robyn.samuel@naturalengland.org.uk</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2393D0B7" w:rsidR="007E7D58" w:rsidRPr="00B46D37" w:rsidRDefault="007E7D58" w:rsidP="007E7D58">
            <w:pPr>
              <w:pStyle w:val="BodyText3"/>
              <w:keepNext/>
              <w:tabs>
                <w:tab w:val="left" w:pos="709"/>
              </w:tabs>
              <w:spacing w:after="0" w:line="240" w:lineRule="auto"/>
              <w:rPr>
                <w:rFonts w:ascii="Arial" w:hAnsi="Arial" w:cs="Arial"/>
                <w:sz w:val="18"/>
                <w:szCs w:val="18"/>
              </w:rPr>
            </w:pPr>
          </w:p>
          <w:p w14:paraId="39F5C822" w14:textId="557BCF68" w:rsidR="65CC82DF" w:rsidRDefault="65CC82DF" w:rsidP="6A51C07D">
            <w:pPr>
              <w:pStyle w:val="BodyText3"/>
              <w:keepNext/>
              <w:tabs>
                <w:tab w:val="left" w:pos="709"/>
              </w:tabs>
              <w:spacing w:after="0" w:line="240" w:lineRule="auto"/>
            </w:pPr>
            <w:r w:rsidRPr="2B689F6C">
              <w:rPr>
                <w:rFonts w:ascii="Arial" w:hAnsi="Arial" w:cs="Arial"/>
                <w:sz w:val="18"/>
                <w:szCs w:val="18"/>
              </w:rPr>
              <w:t>James McClelland - james.mcclelland@naturalengland.org.uk</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rsidTr="4584192F">
        <w:trPr>
          <w:trHeight w:val="383"/>
        </w:trPr>
        <w:tc>
          <w:tcPr>
            <w:tcW w:w="1984" w:type="dxa"/>
            <w:shd w:val="clear" w:color="auto" w:fill="auto"/>
          </w:tcPr>
          <w:p w14:paraId="7415A584" w14:textId="77777777" w:rsidR="007E7D58" w:rsidRPr="00B46D37" w:rsidRDefault="007E7D58" w:rsidP="007E7D58">
            <w:pPr>
              <w:numPr>
                <w:ilvl w:val="0"/>
                <w:numId w:val="5"/>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7276" w:type="dxa"/>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1E597B39" w:rsidR="007E7D58" w:rsidRPr="00B46D37" w:rsidRDefault="007E7D58" w:rsidP="007E7D58">
            <w:pPr>
              <w:pStyle w:val="BodyText3"/>
              <w:keepNext/>
              <w:tabs>
                <w:tab w:val="left" w:pos="709"/>
              </w:tabs>
              <w:spacing w:after="0" w:line="240" w:lineRule="auto"/>
              <w:rPr>
                <w:rFonts w:ascii="Arial" w:hAnsi="Arial" w:cs="Arial"/>
                <w:sz w:val="18"/>
                <w:szCs w:val="18"/>
              </w:rPr>
            </w:pPr>
            <w:r w:rsidRPr="7575730D">
              <w:rPr>
                <w:rFonts w:ascii="Arial" w:hAnsi="Arial" w:cs="Arial"/>
                <w:sz w:val="18"/>
                <w:szCs w:val="18"/>
              </w:rPr>
              <w:t>[</w:t>
            </w:r>
            <w:r w:rsidRPr="7575730D">
              <w:rPr>
                <w:rFonts w:ascii="Arial" w:hAnsi="Arial" w:cs="Arial"/>
                <w:b/>
                <w:bCs/>
                <w:sz w:val="18"/>
                <w:szCs w:val="18"/>
              </w:rPr>
              <w:t>Insert</w:t>
            </w:r>
            <w:r w:rsidRPr="7575730D">
              <w:rPr>
                <w:rFonts w:ascii="Arial" w:hAnsi="Arial" w:cs="Arial"/>
                <w:b/>
                <w:bCs/>
                <w:i/>
                <w:iCs/>
                <w:sz w:val="18"/>
                <w:szCs w:val="18"/>
              </w:rPr>
              <w:t xml:space="preserve"> contract manager name and contact details</w:t>
            </w:r>
            <w:r w:rsidRPr="7575730D">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7575730D">
              <w:rPr>
                <w:rFonts w:ascii="Arial" w:hAnsi="Arial" w:cs="Arial"/>
                <w:sz w:val="18"/>
                <w:szCs w:val="18"/>
              </w:rPr>
              <w:t xml:space="preserve">or, in their absence, </w:t>
            </w:r>
          </w:p>
          <w:p w14:paraId="75A53299" w14:textId="564813E2"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12E29F64" w:rsidR="007E7D58" w:rsidRDefault="007E7D58" w:rsidP="1FF00889">
            <w:pPr>
              <w:pStyle w:val="BodyText3"/>
              <w:keepNext/>
              <w:tabs>
                <w:tab w:val="left" w:pos="709"/>
              </w:tabs>
              <w:spacing w:after="0" w:line="240" w:lineRule="auto"/>
              <w:rPr>
                <w:rFonts w:ascii="Arial" w:hAnsi="Arial" w:cs="Arial"/>
                <w:sz w:val="18"/>
                <w:szCs w:val="18"/>
              </w:rPr>
            </w:pPr>
            <w:r w:rsidRPr="7575730D">
              <w:rPr>
                <w:rFonts w:ascii="Arial" w:hAnsi="Arial" w:cs="Arial"/>
                <w:sz w:val="18"/>
                <w:szCs w:val="18"/>
              </w:rPr>
              <w:t>[</w:t>
            </w:r>
            <w:r w:rsidRPr="7575730D">
              <w:rPr>
                <w:rFonts w:ascii="Arial" w:hAnsi="Arial" w:cs="Arial"/>
                <w:b/>
                <w:bCs/>
                <w:sz w:val="18"/>
                <w:szCs w:val="18"/>
              </w:rPr>
              <w:t>Insert</w:t>
            </w:r>
            <w:r w:rsidRPr="7575730D">
              <w:rPr>
                <w:rFonts w:ascii="Arial" w:hAnsi="Arial" w:cs="Arial"/>
                <w:b/>
                <w:bCs/>
                <w:i/>
                <w:iCs/>
                <w:sz w:val="18"/>
                <w:szCs w:val="18"/>
              </w:rPr>
              <w:t xml:space="preserve"> secondary name and contact details</w:t>
            </w:r>
            <w:r w:rsidRPr="7575730D">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rsidTr="4584192F">
        <w:trPr>
          <w:trHeight w:val="383"/>
        </w:trPr>
        <w:tc>
          <w:tcPr>
            <w:tcW w:w="1984" w:type="dxa"/>
            <w:shd w:val="clear" w:color="auto" w:fill="auto"/>
          </w:tcPr>
          <w:p w14:paraId="11C710D6" w14:textId="019BF3A4" w:rsidR="007E7D58" w:rsidRPr="00B46D37" w:rsidRDefault="007E7D58" w:rsidP="007E7D58">
            <w:pPr>
              <w:numPr>
                <w:ilvl w:val="0"/>
                <w:numId w:val="5"/>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5"/>
            <w:r w:rsidRPr="006C1774">
              <w:rPr>
                <w:rFonts w:ascii="Arial" w:hAnsi="Arial" w:cs="Arial"/>
                <w:b/>
                <w:sz w:val="18"/>
                <w:szCs w:val="18"/>
              </w:rPr>
              <w:t xml:space="preserve"> (“IPR”) Clauses</w:t>
            </w:r>
            <w:bookmarkEnd w:id="6"/>
          </w:p>
        </w:tc>
        <w:tc>
          <w:tcPr>
            <w:tcW w:w="7276" w:type="dxa"/>
            <w:gridSpan w:val="2"/>
            <w:shd w:val="clear" w:color="auto" w:fill="auto"/>
          </w:tcPr>
          <w:p w14:paraId="699605EB" w14:textId="406D1511" w:rsidR="007E7D58" w:rsidRPr="00B46D37" w:rsidRDefault="007E7D58" w:rsidP="06B51BF2">
            <w:pPr>
              <w:pStyle w:val="Header"/>
              <w:tabs>
                <w:tab w:val="left" w:pos="709"/>
              </w:tabs>
              <w:ind w:right="3"/>
              <w:rPr>
                <w:rFonts w:ascii="Arial" w:hAnsi="Arial" w:cs="Arial"/>
                <w:sz w:val="18"/>
                <w:szCs w:val="18"/>
              </w:rPr>
            </w:pPr>
            <w:r w:rsidRPr="49456D77">
              <w:rPr>
                <w:rFonts w:ascii="Arial" w:hAnsi="Arial" w:cs="Arial"/>
                <w:sz w:val="18"/>
                <w:szCs w:val="18"/>
              </w:rPr>
              <w:t xml:space="preserve">The Customer has chosen Option </w:t>
            </w:r>
            <w:r w:rsidRPr="49456D77">
              <w:rPr>
                <w:rFonts w:ascii="Arial" w:hAnsi="Arial" w:cs="Arial"/>
                <w:b/>
                <w:bCs/>
                <w:sz w:val="18"/>
                <w:szCs w:val="18"/>
              </w:rPr>
              <w:t>B</w:t>
            </w:r>
            <w:r w:rsidRPr="49456D77">
              <w:rPr>
                <w:rFonts w:ascii="Arial" w:hAnsi="Arial" w:cs="Arial"/>
                <w:sz w:val="18"/>
                <w:szCs w:val="18"/>
              </w:rPr>
              <w:t xml:space="preserve"> in respect of intellectual property rights provisions for the Agreement as set out in the terms and conditions.</w:t>
            </w:r>
          </w:p>
        </w:tc>
      </w:tr>
      <w:tr w:rsidR="007E7D58" w:rsidRPr="00961A47" w14:paraId="66EB0154" w14:textId="77777777" w:rsidTr="4584192F">
        <w:trPr>
          <w:trHeight w:val="383"/>
        </w:trPr>
        <w:tc>
          <w:tcPr>
            <w:tcW w:w="1984" w:type="dxa"/>
            <w:shd w:val="clear" w:color="auto" w:fill="auto"/>
          </w:tcPr>
          <w:p w14:paraId="03498F3F" w14:textId="77777777" w:rsidR="007E7D58" w:rsidRPr="00060369" w:rsidRDefault="007E7D58" w:rsidP="007E7D58">
            <w:pPr>
              <w:numPr>
                <w:ilvl w:val="0"/>
                <w:numId w:val="5"/>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111474711"/>
            <w:r w:rsidRPr="00060369">
              <w:rPr>
                <w:rFonts w:ascii="Arial" w:eastAsia="Arial" w:hAnsi="Arial" w:cs="Arial"/>
                <w:b/>
                <w:color w:val="000000"/>
                <w:sz w:val="18"/>
                <w:szCs w:val="18"/>
              </w:rPr>
              <w:t>Progress Meetings and Progress Reports</w:t>
            </w:r>
            <w:bookmarkEnd w:id="12"/>
          </w:p>
        </w:tc>
        <w:tc>
          <w:tcPr>
            <w:tcW w:w="7276" w:type="dxa"/>
            <w:gridSpan w:val="2"/>
            <w:shd w:val="clear" w:color="auto" w:fill="auto"/>
          </w:tcPr>
          <w:p w14:paraId="4AC4472A" w14:textId="5427AAE4" w:rsidR="007E7D58" w:rsidRPr="00060369" w:rsidRDefault="007E7D58" w:rsidP="2A004AB1">
            <w:pPr>
              <w:pBdr>
                <w:top w:val="nil"/>
                <w:left w:val="nil"/>
                <w:bottom w:val="nil"/>
                <w:right w:val="nil"/>
                <w:between w:val="nil"/>
              </w:pBdr>
              <w:suppressAutoHyphens/>
              <w:spacing w:before="120" w:after="120"/>
              <w:rPr>
                <w:rFonts w:ascii="Arial" w:eastAsia="Arial" w:hAnsi="Arial" w:cs="Arial"/>
                <w:color w:val="000000"/>
                <w:sz w:val="18"/>
                <w:szCs w:val="18"/>
              </w:rPr>
            </w:pPr>
            <w:r w:rsidRPr="2A004AB1">
              <w:rPr>
                <w:rFonts w:ascii="Arial" w:eastAsia="Arial" w:hAnsi="Arial" w:cs="Arial"/>
                <w:color w:val="000000" w:themeColor="text1"/>
                <w:sz w:val="18"/>
                <w:szCs w:val="18"/>
              </w:rPr>
              <w:t xml:space="preserve">The Contractor shall attend progress meetings with the Customer every </w:t>
            </w:r>
            <w:r w:rsidR="5AAC7B7D" w:rsidRPr="2A004AB1">
              <w:rPr>
                <w:rFonts w:ascii="Arial" w:eastAsia="Arial" w:hAnsi="Arial" w:cs="Arial"/>
                <w:color w:val="000000" w:themeColor="text1"/>
                <w:sz w:val="18"/>
                <w:szCs w:val="18"/>
              </w:rPr>
              <w:t>2 weeks initially</w:t>
            </w:r>
            <w:r w:rsidR="48175D73" w:rsidRPr="2A004AB1">
              <w:rPr>
                <w:rFonts w:ascii="Arial" w:eastAsia="Arial" w:hAnsi="Arial" w:cs="Arial"/>
                <w:color w:val="000000" w:themeColor="text1"/>
                <w:sz w:val="18"/>
                <w:szCs w:val="18"/>
              </w:rPr>
              <w:t>. As the project progresses</w:t>
            </w:r>
            <w:r w:rsidR="3D655975" w:rsidRPr="2A004AB1">
              <w:rPr>
                <w:rFonts w:ascii="Arial" w:eastAsia="Arial" w:hAnsi="Arial" w:cs="Arial"/>
                <w:color w:val="000000" w:themeColor="text1"/>
                <w:sz w:val="18"/>
                <w:szCs w:val="18"/>
              </w:rPr>
              <w:t>,</w:t>
            </w:r>
            <w:r w:rsidR="5AAC7B7D" w:rsidRPr="2A004AB1">
              <w:rPr>
                <w:rFonts w:ascii="Arial" w:eastAsia="Arial" w:hAnsi="Arial" w:cs="Arial"/>
                <w:color w:val="000000" w:themeColor="text1"/>
                <w:sz w:val="18"/>
                <w:szCs w:val="18"/>
              </w:rPr>
              <w:t xml:space="preserve"> the frequency of progr</w:t>
            </w:r>
            <w:r w:rsidR="362F39FB" w:rsidRPr="2A004AB1">
              <w:rPr>
                <w:rFonts w:ascii="Arial" w:eastAsia="Arial" w:hAnsi="Arial" w:cs="Arial"/>
                <w:color w:val="000000" w:themeColor="text1"/>
                <w:sz w:val="18"/>
                <w:szCs w:val="18"/>
              </w:rPr>
              <w:t>ess meeting will be reviewed</w:t>
            </w:r>
            <w:r w:rsidR="3711928E" w:rsidRPr="2A004AB1">
              <w:rPr>
                <w:rFonts w:ascii="Arial" w:eastAsia="Arial" w:hAnsi="Arial" w:cs="Arial"/>
                <w:color w:val="000000" w:themeColor="text1"/>
                <w:sz w:val="18"/>
                <w:szCs w:val="18"/>
              </w:rPr>
              <w:t>.</w:t>
            </w:r>
          </w:p>
        </w:tc>
      </w:tr>
      <w:tr w:rsidR="007E7D58" w:rsidRPr="00961A47" w14:paraId="0CA426CF" w14:textId="77777777" w:rsidTr="4584192F">
        <w:trPr>
          <w:trHeight w:val="383"/>
        </w:trPr>
        <w:tc>
          <w:tcPr>
            <w:tcW w:w="1984" w:type="dxa"/>
            <w:shd w:val="clear" w:color="auto" w:fill="auto"/>
          </w:tcPr>
          <w:p w14:paraId="609EE302" w14:textId="77777777" w:rsidR="007E7D58" w:rsidRPr="00060369" w:rsidRDefault="007E7D58" w:rsidP="007E7D58">
            <w:pPr>
              <w:numPr>
                <w:ilvl w:val="0"/>
                <w:numId w:val="5"/>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7276" w:type="dxa"/>
            <w:gridSpan w:val="2"/>
            <w:shd w:val="clear" w:color="auto" w:fill="auto"/>
          </w:tcPr>
          <w:tbl>
            <w:tblPr>
              <w:tblW w:w="0" w:type="auto"/>
              <w:tblLook w:val="04A0" w:firstRow="1" w:lastRow="0" w:firstColumn="1" w:lastColumn="0" w:noHBand="0" w:noVBand="1"/>
            </w:tblPr>
            <w:tblGrid>
              <w:gridCol w:w="4431"/>
              <w:gridCol w:w="2432"/>
            </w:tblGrid>
            <w:tr w:rsidR="007E7D58" w14:paraId="430CB4B5" w14:textId="77777777" w:rsidTr="3BCA69A6">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3BCA69A6">
              <w:tc>
                <w:tcPr>
                  <w:tcW w:w="4531" w:type="dxa"/>
                </w:tcPr>
                <w:p w14:paraId="1942591A" w14:textId="25D22333" w:rsidR="007E7D58" w:rsidRPr="00CA4BA2" w:rsidRDefault="22E1B13B" w:rsidP="44196A84">
                  <w:pPr>
                    <w:tabs>
                      <w:tab w:val="left" w:pos="709"/>
                    </w:tabs>
                    <w:rPr>
                      <w:rFonts w:ascii="Arial" w:hAnsi="Arial" w:cs="Arial"/>
                      <w:sz w:val="18"/>
                      <w:szCs w:val="18"/>
                    </w:rPr>
                  </w:pPr>
                  <w:r w:rsidRPr="3BCA69A6">
                    <w:rPr>
                      <w:rFonts w:ascii="Arial" w:hAnsi="Arial" w:cs="Arial"/>
                      <w:sz w:val="18"/>
                      <w:szCs w:val="18"/>
                    </w:rPr>
                    <w:t>Natural England</w:t>
                  </w:r>
                </w:p>
                <w:p w14:paraId="2CAC49DF" w14:textId="7D26691B" w:rsidR="007E7D58" w:rsidRPr="00CA4BA2" w:rsidRDefault="22E1B13B" w:rsidP="3BCA69A6">
                  <w:pPr>
                    <w:tabs>
                      <w:tab w:val="left" w:pos="709"/>
                    </w:tabs>
                    <w:rPr>
                      <w:rFonts w:ascii="Arial" w:hAnsi="Arial" w:cs="Arial"/>
                      <w:sz w:val="18"/>
                      <w:szCs w:val="18"/>
                    </w:rPr>
                  </w:pPr>
                  <w:r w:rsidRPr="3BCA69A6">
                    <w:rPr>
                      <w:rFonts w:ascii="Arial" w:hAnsi="Arial" w:cs="Arial"/>
                      <w:sz w:val="18"/>
                      <w:szCs w:val="18"/>
                    </w:rPr>
                    <w:t>Foss House</w:t>
                  </w:r>
                </w:p>
                <w:p w14:paraId="72A24F7E" w14:textId="468324D6" w:rsidR="007E7D58" w:rsidRPr="00CA4BA2" w:rsidRDefault="22E1B13B" w:rsidP="3BCA69A6">
                  <w:pPr>
                    <w:tabs>
                      <w:tab w:val="left" w:pos="709"/>
                    </w:tabs>
                    <w:rPr>
                      <w:rFonts w:ascii="Arial" w:hAnsi="Arial" w:cs="Arial"/>
                      <w:sz w:val="18"/>
                      <w:szCs w:val="18"/>
                    </w:rPr>
                  </w:pPr>
                  <w:r w:rsidRPr="3BCA69A6">
                    <w:rPr>
                      <w:rFonts w:ascii="Arial" w:hAnsi="Arial" w:cs="Arial"/>
                      <w:sz w:val="18"/>
                      <w:szCs w:val="18"/>
                    </w:rPr>
                    <w:t>Kings Pool</w:t>
                  </w:r>
                </w:p>
                <w:p w14:paraId="0BACAE15" w14:textId="3654993A" w:rsidR="007E7D58" w:rsidRPr="00CA4BA2" w:rsidRDefault="22E1B13B" w:rsidP="3BCA69A6">
                  <w:pPr>
                    <w:tabs>
                      <w:tab w:val="left" w:pos="709"/>
                    </w:tabs>
                    <w:rPr>
                      <w:rFonts w:ascii="Arial" w:hAnsi="Arial" w:cs="Arial"/>
                      <w:sz w:val="18"/>
                      <w:szCs w:val="18"/>
                    </w:rPr>
                  </w:pPr>
                  <w:r w:rsidRPr="3BCA69A6">
                    <w:rPr>
                      <w:rFonts w:ascii="Arial" w:hAnsi="Arial" w:cs="Arial"/>
                      <w:sz w:val="18"/>
                      <w:szCs w:val="18"/>
                    </w:rPr>
                    <w:t>1-2 Peasholme Green</w:t>
                  </w:r>
                </w:p>
                <w:p w14:paraId="7BE705E1" w14:textId="489DF901" w:rsidR="007E7D58" w:rsidRPr="00CA4BA2" w:rsidRDefault="22E1B13B" w:rsidP="3BCA69A6">
                  <w:pPr>
                    <w:tabs>
                      <w:tab w:val="left" w:pos="709"/>
                    </w:tabs>
                    <w:rPr>
                      <w:rFonts w:ascii="Arial" w:hAnsi="Arial" w:cs="Arial"/>
                      <w:sz w:val="18"/>
                      <w:szCs w:val="18"/>
                    </w:rPr>
                  </w:pPr>
                  <w:r w:rsidRPr="3BCA69A6">
                    <w:rPr>
                      <w:rFonts w:ascii="Arial" w:hAnsi="Arial" w:cs="Arial"/>
                      <w:sz w:val="18"/>
                      <w:szCs w:val="18"/>
                    </w:rPr>
                    <w:t>York</w:t>
                  </w:r>
                </w:p>
                <w:p w14:paraId="79292E87" w14:textId="4EB597AC" w:rsidR="007E7D58" w:rsidRPr="00CA4BA2" w:rsidRDefault="22E1B13B" w:rsidP="3BCA69A6">
                  <w:pPr>
                    <w:tabs>
                      <w:tab w:val="left" w:pos="709"/>
                    </w:tabs>
                    <w:rPr>
                      <w:rFonts w:ascii="Arial" w:hAnsi="Arial" w:cs="Arial"/>
                      <w:sz w:val="18"/>
                      <w:szCs w:val="18"/>
                    </w:rPr>
                  </w:pPr>
                  <w:r w:rsidRPr="3BCA69A6">
                    <w:rPr>
                      <w:rFonts w:ascii="Arial" w:hAnsi="Arial" w:cs="Arial"/>
                      <w:sz w:val="18"/>
                      <w:szCs w:val="18"/>
                    </w:rPr>
                    <w:t>YO1 7PX</w:t>
                  </w:r>
                </w:p>
                <w:p w14:paraId="597D4E15" w14:textId="37D96A44" w:rsidR="007E7D58" w:rsidRPr="00CA4BA2" w:rsidRDefault="007E7D58" w:rsidP="007E7D58">
                  <w:pPr>
                    <w:pStyle w:val="Header"/>
                    <w:tabs>
                      <w:tab w:val="left" w:pos="709"/>
                    </w:tabs>
                    <w:ind w:right="3"/>
                  </w:pP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75FEC651" w:rsidR="007E7D58" w:rsidRPr="00CA4BA2" w:rsidRDefault="007E7D58" w:rsidP="007E7D58">
                  <w:pPr>
                    <w:pStyle w:val="Header"/>
                    <w:tabs>
                      <w:tab w:val="left" w:pos="709"/>
                    </w:tabs>
                    <w:ind w:right="3"/>
                    <w:rPr>
                      <w:rFonts w:ascii="Arial" w:hAnsi="Arial" w:cs="Arial"/>
                      <w:sz w:val="18"/>
                      <w:szCs w:val="18"/>
                    </w:rPr>
                  </w:pPr>
                  <w:r w:rsidRPr="3BCA69A6">
                    <w:rPr>
                      <w:rFonts w:ascii="Arial" w:hAnsi="Arial" w:cs="Arial"/>
                      <w:sz w:val="18"/>
                      <w:szCs w:val="18"/>
                    </w:rPr>
                    <w:t>Attention:</w:t>
                  </w:r>
                  <w:r w:rsidR="1A8CDF25" w:rsidRPr="3BCA69A6">
                    <w:rPr>
                      <w:rFonts w:ascii="Arial" w:hAnsi="Arial" w:cs="Arial"/>
                      <w:sz w:val="18"/>
                      <w:szCs w:val="18"/>
                    </w:rPr>
                    <w:t xml:space="preserve"> Robyn Samuel</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3CC150C7" w14:textId="0231067F" w:rsidR="007E7D58" w:rsidRDefault="007E7D58" w:rsidP="77ECED10">
                  <w:pPr>
                    <w:pStyle w:val="Header"/>
                    <w:tabs>
                      <w:tab w:val="left" w:pos="709"/>
                    </w:tabs>
                    <w:ind w:right="3"/>
                    <w:rPr>
                      <w:rFonts w:ascii="Arial" w:hAnsi="Arial" w:cs="Arial"/>
                      <w:sz w:val="18"/>
                      <w:szCs w:val="18"/>
                    </w:rPr>
                  </w:pPr>
                  <w:r w:rsidRPr="3BCA69A6">
                    <w:rPr>
                      <w:rFonts w:ascii="Arial" w:hAnsi="Arial" w:cs="Arial"/>
                      <w:sz w:val="18"/>
                      <w:szCs w:val="18"/>
                    </w:rPr>
                    <w:t xml:space="preserve">Email:  </w:t>
                  </w:r>
                  <w:r w:rsidR="5D91A5E4" w:rsidRPr="3BCA69A6">
                    <w:rPr>
                      <w:rFonts w:ascii="Arial" w:hAnsi="Arial" w:cs="Arial"/>
                      <w:sz w:val="18"/>
                      <w:szCs w:val="18"/>
                    </w:rPr>
                    <w:t>robyn.samuel@naturalengland.org.uk</w:t>
                  </w: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3BCA69A6">
                  <w:pPr>
                    <w:pStyle w:val="Header"/>
                    <w:tabs>
                      <w:tab w:val="left" w:pos="709"/>
                    </w:tabs>
                    <w:ind w:right="3"/>
                    <w:rPr>
                      <w:rFonts w:ascii="Arial" w:hAnsi="Arial" w:cs="Arial"/>
                      <w:b/>
                      <w:bCs/>
                      <w:sz w:val="18"/>
                      <w:szCs w:val="18"/>
                    </w:rPr>
                  </w:pPr>
                  <w:r w:rsidRPr="3BCA69A6">
                    <w:rPr>
                      <w:rFonts w:ascii="Arial" w:hAnsi="Arial" w:cs="Arial"/>
                      <w:sz w:val="18"/>
                      <w:szCs w:val="18"/>
                    </w:rPr>
                    <w:t>[</w:t>
                  </w:r>
                  <w:r w:rsidRPr="3BCA69A6">
                    <w:rPr>
                      <w:rFonts w:ascii="Arial" w:hAnsi="Arial" w:cs="Arial"/>
                      <w:b/>
                      <w:bCs/>
                      <w:sz w:val="18"/>
                      <w:szCs w:val="18"/>
                    </w:rPr>
                    <w:t xml:space="preserve">insert </w:t>
                  </w:r>
                  <w:r w:rsidRPr="3BCA69A6">
                    <w:rPr>
                      <w:rFonts w:ascii="Arial" w:hAnsi="Arial" w:cs="Arial"/>
                      <w:b/>
                      <w:bCs/>
                      <w:i/>
                      <w:iCs/>
                      <w:sz w:val="18"/>
                      <w:szCs w:val="18"/>
                    </w:rPr>
                    <w:t>name</w:t>
                  </w:r>
                  <w:r>
                    <w:br/>
                  </w:r>
                  <w:r w:rsidRPr="3BCA69A6">
                    <w:rPr>
                      <w:rFonts w:ascii="Arial" w:hAnsi="Arial" w:cs="Arial"/>
                      <w:b/>
                      <w:bCs/>
                      <w:i/>
                      <w:iCs/>
                      <w:sz w:val="18"/>
                      <w:szCs w:val="18"/>
                    </w:rPr>
                    <w:t>and address of Contractor</w:t>
                  </w:r>
                  <w:r w:rsidRPr="3BCA69A6">
                    <w:rPr>
                      <w:rFonts w:ascii="Arial" w:hAnsi="Arial" w:cs="Arial"/>
                      <w:b/>
                      <w:bCs/>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3BCA69A6">
                    <w:rPr>
                      <w:rFonts w:ascii="Arial" w:hAnsi="Arial" w:cs="Arial"/>
                      <w:sz w:val="18"/>
                      <w:szCs w:val="18"/>
                    </w:rPr>
                    <w:t xml:space="preserve">Attention: </w:t>
                  </w:r>
                  <w:r w:rsidRPr="3BCA69A6">
                    <w:rPr>
                      <w:rFonts w:ascii="Arial" w:hAnsi="Arial" w:cs="Arial"/>
                      <w:b/>
                      <w:bCs/>
                      <w:sz w:val="18"/>
                      <w:szCs w:val="18"/>
                    </w:rPr>
                    <w:t xml:space="preserve">[insert </w:t>
                  </w:r>
                  <w:r w:rsidRPr="3BCA69A6">
                    <w:rPr>
                      <w:rFonts w:ascii="Arial" w:hAnsi="Arial" w:cs="Arial"/>
                      <w:b/>
                      <w:bCs/>
                      <w:i/>
                      <w:iCs/>
                      <w:sz w:val="18"/>
                      <w:szCs w:val="18"/>
                    </w:rPr>
                    <w:t>title</w:t>
                  </w:r>
                  <w:r w:rsidRPr="3BCA69A6">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3BCA69A6">
                    <w:rPr>
                      <w:rFonts w:ascii="Arial" w:hAnsi="Arial" w:cs="Arial"/>
                      <w:sz w:val="18"/>
                      <w:szCs w:val="18"/>
                    </w:rPr>
                    <w:t>Email:  [</w:t>
                  </w:r>
                  <w:r w:rsidRPr="3BCA69A6">
                    <w:rPr>
                      <w:rFonts w:ascii="Arial" w:hAnsi="Arial" w:cs="Arial"/>
                      <w:b/>
                      <w:bCs/>
                      <w:sz w:val="18"/>
                      <w:szCs w:val="18"/>
                    </w:rPr>
                    <w:t xml:space="preserve">insert </w:t>
                  </w:r>
                  <w:r w:rsidRPr="3BCA69A6">
                    <w:rPr>
                      <w:rFonts w:ascii="Arial" w:hAnsi="Arial" w:cs="Arial"/>
                      <w:b/>
                      <w:bCs/>
                      <w:i/>
                      <w:iCs/>
                      <w:sz w:val="18"/>
                      <w:szCs w:val="18"/>
                    </w:rPr>
                    <w:t>email address</w:t>
                  </w:r>
                  <w:r w:rsidRPr="3BCA69A6">
                    <w:rPr>
                      <w:rFonts w:ascii="Arial" w:hAnsi="Arial" w:cs="Arial"/>
                      <w:sz w:val="18"/>
                      <w:szCs w:val="18"/>
                    </w:rPr>
                    <w:t>]</w:t>
                  </w: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4584192F">
        <w:trPr>
          <w:trHeight w:val="1750"/>
        </w:trPr>
        <w:tc>
          <w:tcPr>
            <w:tcW w:w="1984" w:type="dxa"/>
            <w:shd w:val="clear" w:color="auto" w:fill="auto"/>
          </w:tcPr>
          <w:p w14:paraId="10717F1C" w14:textId="738D99A7" w:rsidR="007E7D58" w:rsidRPr="00060369" w:rsidRDefault="007E7D58" w:rsidP="007E7D58">
            <w:pPr>
              <w:numPr>
                <w:ilvl w:val="0"/>
                <w:numId w:val="5"/>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99635614"/>
            <w:r w:rsidRPr="006C1774">
              <w:rPr>
                <w:rFonts w:ascii="Arial" w:hAnsi="Arial" w:cs="Arial"/>
                <w:b/>
                <w:sz w:val="18"/>
                <w:szCs w:val="18"/>
              </w:rPr>
              <w:t xml:space="preserve">Key </w:t>
            </w:r>
            <w:bookmarkEnd w:id="13"/>
            <w:r w:rsidRPr="006C1774">
              <w:rPr>
                <w:rFonts w:ascii="Arial" w:hAnsi="Arial" w:cs="Arial"/>
                <w:b/>
                <w:sz w:val="18"/>
                <w:szCs w:val="18"/>
              </w:rPr>
              <w:t>Personnel</w:t>
            </w:r>
            <w:r w:rsidR="004028F1">
              <w:rPr>
                <w:rFonts w:ascii="Arial" w:hAnsi="Arial" w:cs="Arial"/>
                <w:b/>
                <w:sz w:val="18"/>
                <w:szCs w:val="18"/>
              </w:rPr>
              <w:t xml:space="preserve"> of the Contractor</w:t>
            </w:r>
          </w:p>
        </w:tc>
        <w:tc>
          <w:tcPr>
            <w:tcW w:w="7276" w:type="dxa"/>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rsidTr="31355866">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581971AA" w14:textId="77777777" w:rsidTr="31355866">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rsidTr="4584192F">
        <w:tc>
          <w:tcPr>
            <w:tcW w:w="1984" w:type="dxa"/>
            <w:shd w:val="clear" w:color="auto" w:fill="auto"/>
          </w:tcPr>
          <w:p w14:paraId="41E43A9C" w14:textId="77777777" w:rsidR="007E7D58" w:rsidRPr="00060369" w:rsidRDefault="007E7D58" w:rsidP="007E7D58">
            <w:pPr>
              <w:numPr>
                <w:ilvl w:val="0"/>
                <w:numId w:val="5"/>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99635623"/>
            <w:r w:rsidRPr="00060369">
              <w:rPr>
                <w:rFonts w:ascii="Arial" w:hAnsi="Arial" w:cs="Arial"/>
                <w:b/>
                <w:sz w:val="18"/>
                <w:szCs w:val="18"/>
              </w:rPr>
              <w:t>Procedures and Policies</w:t>
            </w:r>
            <w:bookmarkEnd w:id="14"/>
          </w:p>
        </w:tc>
        <w:tc>
          <w:tcPr>
            <w:tcW w:w="7276" w:type="dxa"/>
            <w:gridSpan w:val="2"/>
            <w:shd w:val="clear" w:color="auto" w:fill="auto"/>
          </w:tcPr>
          <w:p w14:paraId="00A1E155" w14:textId="43C6CF09" w:rsidR="007E7D58" w:rsidRPr="00060369" w:rsidRDefault="007E7D58" w:rsidP="14E92441">
            <w:pPr>
              <w:tabs>
                <w:tab w:val="left" w:pos="709"/>
              </w:tabs>
              <w:spacing w:line="259" w:lineRule="auto"/>
              <w:rPr>
                <w:rFonts w:ascii="Arial" w:hAnsi="Arial" w:cs="Arial"/>
                <w:b/>
                <w:bCs/>
                <w:i/>
                <w:iCs/>
                <w:sz w:val="18"/>
                <w:szCs w:val="18"/>
              </w:rPr>
            </w:pPr>
            <w:r w:rsidRPr="14E92441">
              <w:rPr>
                <w:rFonts w:ascii="Arial" w:hAnsi="Arial" w:cs="Arial"/>
                <w:sz w:val="18"/>
                <w:szCs w:val="18"/>
              </w:rPr>
              <w:t xml:space="preserve">For the purposes of the Agreement: </w:t>
            </w:r>
            <w:r w:rsidR="60449F94" w:rsidRPr="14E92441">
              <w:rPr>
                <w:rFonts w:ascii="Arial" w:hAnsi="Arial" w:cs="Arial"/>
                <w:b/>
                <w:bCs/>
                <w:i/>
                <w:iCs/>
                <w:sz w:val="18"/>
                <w:szCs w:val="18"/>
              </w:rPr>
              <w:t>N/A</w:t>
            </w:r>
          </w:p>
        </w:tc>
      </w:tr>
      <w:tr w:rsidR="007E7D58" w:rsidRPr="00961A47" w14:paraId="5BE74AA2" w14:textId="77777777" w:rsidTr="4584192F">
        <w:tc>
          <w:tcPr>
            <w:tcW w:w="1984" w:type="dxa"/>
            <w:shd w:val="clear" w:color="auto" w:fill="auto"/>
          </w:tcPr>
          <w:p w14:paraId="1B2BEDDD" w14:textId="77777777" w:rsidR="007E7D58" w:rsidRPr="00607C0A" w:rsidRDefault="007E7D58" w:rsidP="007E7D58">
            <w:pPr>
              <w:numPr>
                <w:ilvl w:val="0"/>
                <w:numId w:val="5"/>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111456393"/>
            <w:r w:rsidRPr="00607C0A">
              <w:rPr>
                <w:rFonts w:ascii="Arial" w:hAnsi="Arial" w:cs="Arial"/>
                <w:b/>
                <w:sz w:val="18"/>
                <w:szCs w:val="18"/>
              </w:rPr>
              <w:t>Special Terms</w:t>
            </w:r>
            <w:bookmarkEnd w:id="15"/>
          </w:p>
        </w:tc>
        <w:tc>
          <w:tcPr>
            <w:tcW w:w="7276" w:type="dxa"/>
            <w:gridSpan w:val="2"/>
            <w:shd w:val="clear" w:color="auto" w:fill="auto"/>
          </w:tcPr>
          <w:p w14:paraId="5CA25D6F" w14:textId="382F2FF1" w:rsidR="007E7D58" w:rsidRPr="00607C0A" w:rsidRDefault="0FD98050" w:rsidP="6313D740">
            <w:pPr>
              <w:spacing w:before="120" w:after="120" w:line="259" w:lineRule="auto"/>
            </w:pPr>
            <w:r w:rsidRPr="6313D740">
              <w:rPr>
                <w:rFonts w:ascii="Arial" w:eastAsia="Arial" w:hAnsi="Arial" w:cs="Arial"/>
                <w:sz w:val="18"/>
                <w:szCs w:val="18"/>
              </w:rPr>
              <w:t>N/A</w:t>
            </w:r>
          </w:p>
        </w:tc>
      </w:tr>
      <w:tr w:rsidR="007E7D58" w:rsidRPr="00961A47" w14:paraId="3A1B4439" w14:textId="77777777" w:rsidTr="4584192F">
        <w:tc>
          <w:tcPr>
            <w:tcW w:w="1984" w:type="dxa"/>
            <w:shd w:val="clear" w:color="auto" w:fill="auto"/>
          </w:tcPr>
          <w:p w14:paraId="5327047D" w14:textId="77777777" w:rsidR="007E7D58" w:rsidRPr="00060369" w:rsidRDefault="007E7D58" w:rsidP="007E7D58">
            <w:pPr>
              <w:numPr>
                <w:ilvl w:val="0"/>
                <w:numId w:val="5"/>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7276" w:type="dxa"/>
            <w:gridSpan w:val="2"/>
            <w:shd w:val="clear" w:color="auto" w:fill="auto"/>
          </w:tcPr>
          <w:p w14:paraId="1AE40EDF" w14:textId="35EBF200" w:rsidR="007E7D58" w:rsidRPr="00060369" w:rsidRDefault="083E108B" w:rsidP="61CD430C">
            <w:pPr>
              <w:spacing w:before="120" w:after="120" w:line="259" w:lineRule="auto"/>
              <w:rPr>
                <w:rFonts w:ascii="Arial" w:eastAsia="Arial" w:hAnsi="Arial" w:cs="Arial"/>
                <w:sz w:val="18"/>
                <w:szCs w:val="18"/>
              </w:rPr>
            </w:pPr>
            <w:r w:rsidRPr="61CD430C">
              <w:rPr>
                <w:rFonts w:ascii="Arial" w:eastAsia="Arial" w:hAnsi="Arial" w:cs="Arial"/>
                <w:sz w:val="18"/>
                <w:szCs w:val="18"/>
              </w:rPr>
              <w:t>N/A</w:t>
            </w:r>
          </w:p>
        </w:tc>
      </w:tr>
      <w:tr w:rsidR="007E7D58" w:rsidRPr="00961A47" w14:paraId="5FF59053" w14:textId="77777777" w:rsidTr="4584192F">
        <w:tc>
          <w:tcPr>
            <w:tcW w:w="1984" w:type="dxa"/>
            <w:shd w:val="clear" w:color="auto" w:fill="auto"/>
          </w:tcPr>
          <w:p w14:paraId="4E4C9474" w14:textId="7F6261B7" w:rsidR="007E7D58" w:rsidRPr="00280C77" w:rsidRDefault="007E7D58" w:rsidP="007E7D58">
            <w:pPr>
              <w:numPr>
                <w:ilvl w:val="0"/>
                <w:numId w:val="5"/>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7276" w:type="dxa"/>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Content>
                <w:r w:rsidRPr="00280C77">
                  <w:rPr>
                    <w:rFonts w:ascii="Segoe UI Symbol" w:eastAsia="MS Gothic" w:hAnsi="Segoe UI Symbol" w:cs="Segoe UI Symbol"/>
                    <w:b/>
                    <w:bCs/>
                    <w:sz w:val="18"/>
                    <w:szCs w:val="18"/>
                  </w:rPr>
                  <w:t>☐</w:t>
                </w:r>
              </w:sdtContent>
            </w:sdt>
          </w:p>
          <w:p w14:paraId="6AE812DC" w14:textId="3C22AB2D" w:rsidR="007E7D58" w:rsidRPr="00280C77" w:rsidRDefault="007E7D58" w:rsidP="6C9108EF">
            <w:pPr>
              <w:tabs>
                <w:tab w:val="left" w:pos="709"/>
              </w:tabs>
              <w:spacing w:before="120" w:after="120"/>
              <w:rPr>
                <w:rFonts w:ascii="Arial" w:eastAsia="Arial" w:hAnsi="Arial" w:cs="Arial"/>
                <w:b/>
                <w:bCs/>
                <w:i/>
                <w:iCs/>
                <w:sz w:val="18"/>
                <w:szCs w:val="18"/>
              </w:rPr>
            </w:pPr>
            <w:r w:rsidRPr="6C9108EF">
              <w:rPr>
                <w:rFonts w:ascii="Arial" w:eastAsia="Arial" w:hAnsi="Arial" w:cs="Arial"/>
                <w:b/>
                <w:bCs/>
                <w:sz w:val="18"/>
                <w:szCs w:val="18"/>
              </w:rPr>
              <w:t>No:</w:t>
            </w:r>
            <w:r w:rsidRPr="6C9108EF">
              <w:rPr>
                <w:rFonts w:ascii="Arial" w:eastAsia="Arial" w:hAnsi="Arial" w:cs="Arial"/>
                <w:b/>
                <w:bCs/>
                <w:i/>
                <w:iCs/>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Content>
                <w:r w:rsidR="4BE68869" w:rsidRPr="6C9108EF">
                  <w:rPr>
                    <w:rFonts w:ascii="MS Gothic" w:eastAsia="MS Gothic" w:hAnsi="MS Gothic" w:cs="MS Gothic"/>
                    <w:b/>
                    <w:bCs/>
                    <w:sz w:val="18"/>
                    <w:szCs w:val="18"/>
                  </w:rPr>
                  <w:t>☒</w:t>
                </w:r>
              </w:sdtContent>
            </w:sdt>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31EC6F66">
        <w:trPr>
          <w:trHeight w:val="997"/>
        </w:trPr>
        <w:tc>
          <w:tcPr>
            <w:tcW w:w="5089" w:type="dxa"/>
            <w:shd w:val="clear" w:color="auto" w:fill="D5DCE4" w:themeFill="text2" w:themeFillTint="33"/>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hemeFill="text2" w:themeFillTint="33"/>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31EC6F66">
        <w:trPr>
          <w:trHeight w:val="1630"/>
        </w:trPr>
        <w:tc>
          <w:tcPr>
            <w:tcW w:w="5089" w:type="dxa"/>
            <w:shd w:val="clear" w:color="auto" w:fill="D5DCE4" w:themeFill="text2" w:themeFillTint="33"/>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rsidP="31EC6F66">
            <w:pPr>
              <w:tabs>
                <w:tab w:val="left" w:pos="709"/>
              </w:tabs>
              <w:rPr>
                <w:rFonts w:ascii="Arial" w:hAnsi="Arial" w:cs="Arial"/>
              </w:rPr>
            </w:pPr>
            <w:r w:rsidRPr="31EC6F66">
              <w:rPr>
                <w:rFonts w:ascii="Arial" w:hAnsi="Arial" w:cs="Arial"/>
              </w:rPr>
              <w:t>[</w:t>
            </w:r>
            <w:r w:rsidRPr="31EC6F66">
              <w:rPr>
                <w:rFonts w:ascii="Arial" w:hAnsi="Arial" w:cs="Arial"/>
                <w:b/>
                <w:bCs/>
              </w:rPr>
              <w:t>Insert</w:t>
            </w:r>
            <w:r w:rsidRPr="31EC6F66">
              <w:rPr>
                <w:rFonts w:ascii="Arial" w:hAnsi="Arial" w:cs="Arial"/>
              </w:rPr>
              <w:t xml:space="preserve"> name] </w:t>
            </w:r>
            <w:r>
              <w:tab/>
            </w:r>
            <w:r>
              <w:tab/>
            </w:r>
            <w:r>
              <w:tab/>
            </w:r>
            <w:r>
              <w:tab/>
            </w:r>
            <w:r>
              <w:tab/>
            </w:r>
          </w:p>
          <w:p w14:paraId="68059406" w14:textId="77777777" w:rsidR="009C2213" w:rsidRPr="00961A47" w:rsidRDefault="009C2213" w:rsidP="31EC6F66">
            <w:pPr>
              <w:tabs>
                <w:tab w:val="left" w:pos="709"/>
              </w:tabs>
              <w:rPr>
                <w:rFonts w:ascii="Arial" w:hAnsi="Arial" w:cs="Arial"/>
              </w:rPr>
            </w:pPr>
          </w:p>
          <w:p w14:paraId="390C896A" w14:textId="77777777" w:rsidR="009C2213" w:rsidRPr="00961A47" w:rsidRDefault="009C2213" w:rsidP="31EC6F66">
            <w:pPr>
              <w:tabs>
                <w:tab w:val="left" w:pos="709"/>
              </w:tabs>
              <w:rPr>
                <w:rFonts w:ascii="Arial" w:hAnsi="Arial" w:cs="Arial"/>
              </w:rPr>
            </w:pPr>
            <w:r w:rsidRPr="31EC6F66">
              <w:rPr>
                <w:rFonts w:ascii="Arial" w:hAnsi="Arial" w:cs="Arial"/>
              </w:rPr>
              <w:t>[</w:t>
            </w:r>
            <w:r w:rsidRPr="31EC6F66">
              <w:rPr>
                <w:rFonts w:ascii="Arial" w:hAnsi="Arial" w:cs="Arial"/>
                <w:b/>
                <w:bCs/>
              </w:rPr>
              <w:t>Insert</w:t>
            </w:r>
            <w:r w:rsidRPr="31EC6F66">
              <w:rPr>
                <w:rFonts w:ascii="Arial" w:hAnsi="Arial" w:cs="Arial"/>
              </w:rPr>
              <w:t xml:space="preserve"> job title]</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hemeFill="text2" w:themeFillTint="33"/>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rsidP="31EC6F66">
            <w:pPr>
              <w:tabs>
                <w:tab w:val="left" w:pos="709"/>
              </w:tabs>
              <w:rPr>
                <w:rFonts w:ascii="Arial" w:hAnsi="Arial" w:cs="Arial"/>
              </w:rPr>
            </w:pPr>
            <w:r w:rsidRPr="31EC6F66">
              <w:rPr>
                <w:rFonts w:ascii="Arial" w:hAnsi="Arial" w:cs="Arial"/>
              </w:rPr>
              <w:t>[</w:t>
            </w:r>
            <w:r w:rsidRPr="31EC6F66">
              <w:rPr>
                <w:rFonts w:ascii="Arial" w:hAnsi="Arial" w:cs="Arial"/>
                <w:b/>
                <w:bCs/>
              </w:rPr>
              <w:t>Insert</w:t>
            </w:r>
            <w:r w:rsidRPr="31EC6F66">
              <w:rPr>
                <w:rFonts w:ascii="Arial" w:hAnsi="Arial" w:cs="Arial"/>
              </w:rPr>
              <w:t xml:space="preserve"> name]</w:t>
            </w:r>
          </w:p>
          <w:p w14:paraId="1506AC5A" w14:textId="77777777" w:rsidR="009C2213" w:rsidRPr="00961A47" w:rsidRDefault="009C2213" w:rsidP="31EC6F66">
            <w:pPr>
              <w:tabs>
                <w:tab w:val="left" w:pos="709"/>
              </w:tabs>
              <w:rPr>
                <w:rFonts w:ascii="Arial" w:hAnsi="Arial" w:cs="Arial"/>
              </w:rPr>
            </w:pPr>
          </w:p>
          <w:p w14:paraId="3C0EAAE6" w14:textId="77777777" w:rsidR="009C2213" w:rsidRPr="00961A47" w:rsidRDefault="009C2213" w:rsidP="31EC6F66">
            <w:pPr>
              <w:tabs>
                <w:tab w:val="left" w:pos="709"/>
              </w:tabs>
              <w:rPr>
                <w:rFonts w:ascii="Arial" w:hAnsi="Arial" w:cs="Arial"/>
              </w:rPr>
            </w:pPr>
            <w:r w:rsidRPr="31EC6F66">
              <w:rPr>
                <w:rFonts w:ascii="Arial" w:hAnsi="Arial" w:cs="Arial"/>
              </w:rPr>
              <w:t>[</w:t>
            </w:r>
            <w:r w:rsidRPr="31EC6F66">
              <w:rPr>
                <w:rFonts w:ascii="Arial" w:hAnsi="Arial" w:cs="Arial"/>
                <w:b/>
                <w:bCs/>
              </w:rPr>
              <w:t>Insert</w:t>
            </w:r>
            <w:r w:rsidRPr="31EC6F66">
              <w:rPr>
                <w:rFonts w:ascii="Arial" w:hAnsi="Arial" w:cs="Arial"/>
              </w:rPr>
              <w:t xml:space="preserve"> job title]</w:t>
            </w:r>
          </w:p>
        </w:tc>
      </w:tr>
      <w:tr w:rsidR="009C2213" w:rsidRPr="00961A47" w14:paraId="207F3855" w14:textId="77777777" w:rsidTr="31EC6F66">
        <w:tc>
          <w:tcPr>
            <w:tcW w:w="5089" w:type="dxa"/>
            <w:shd w:val="clear" w:color="auto" w:fill="D5DCE4" w:themeFill="text2" w:themeFillTint="33"/>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hemeFill="text2" w:themeFillTint="33"/>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31EC6F66">
        <w:tc>
          <w:tcPr>
            <w:tcW w:w="5089" w:type="dxa"/>
            <w:shd w:val="clear" w:color="auto" w:fill="D5DCE4" w:themeFill="text2" w:themeFillTint="33"/>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hemeFill="text2" w:themeFillTint="33"/>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6F4A129E" w:rsidR="00DF1F5A" w:rsidRDefault="00964799" w:rsidP="00964799">
      <w:pPr>
        <w:jc w:val="center"/>
        <w:rPr>
          <w:b/>
          <w:bCs/>
        </w:rPr>
      </w:pPr>
      <w:r w:rsidRPr="5BAF898E">
        <w:rPr>
          <w:b/>
          <w:bCs/>
        </w:rPr>
        <w:t>A</w:t>
      </w:r>
      <w:r w:rsidR="00BF4F9C" w:rsidRPr="5BAF898E">
        <w:rPr>
          <w:b/>
          <w:bCs/>
        </w:rPr>
        <w:t>ppendix</w:t>
      </w:r>
      <w:r w:rsidRPr="5BAF898E">
        <w:rPr>
          <w:b/>
          <w:bCs/>
        </w:rPr>
        <w:t xml:space="preserve"> 2: Specification</w:t>
      </w:r>
      <w:r w:rsidR="008B397E" w:rsidRPr="5BAF898E">
        <w:rPr>
          <w:b/>
          <w:bCs/>
        </w:rPr>
        <w:t xml:space="preserve">/Description </w:t>
      </w:r>
    </w:p>
    <w:p w14:paraId="20F04C51" w14:textId="77777777" w:rsidR="0028704B" w:rsidRPr="009D6BFB" w:rsidRDefault="0028704B" w:rsidP="00964799">
      <w:pPr>
        <w:jc w:val="center"/>
        <w:rPr>
          <w:b/>
          <w:bCs/>
        </w:rPr>
      </w:pPr>
    </w:p>
    <w:p w14:paraId="5794BC9B" w14:textId="4C746C78" w:rsidR="00964799" w:rsidRDefault="72AEBDB4" w:rsidP="6F03FFC6">
      <w:pPr>
        <w:pStyle w:val="ListParagraph"/>
        <w:spacing w:line="276" w:lineRule="auto"/>
        <w:rPr>
          <w:rFonts w:ascii="Aptos" w:eastAsia="Aptos" w:hAnsi="Aptos" w:cs="Aptos"/>
          <w:b/>
          <w:bCs/>
          <w:color w:val="000000" w:themeColor="text1"/>
          <w:sz w:val="28"/>
          <w:szCs w:val="28"/>
        </w:rPr>
      </w:pPr>
      <w:r w:rsidRPr="6F03FFC6">
        <w:rPr>
          <w:rStyle w:val="Text"/>
          <w:rFonts w:ascii="Aptos" w:eastAsia="Aptos" w:hAnsi="Aptos" w:cs="Aptos"/>
          <w:b/>
          <w:bCs/>
          <w:color w:val="000000" w:themeColor="text1"/>
          <w:sz w:val="28"/>
          <w:szCs w:val="28"/>
          <w:lang w:val="en-GB"/>
        </w:rPr>
        <w:t>Introduction</w:t>
      </w:r>
    </w:p>
    <w:p w14:paraId="2A9695D8" w14:textId="2D3C2B10" w:rsidR="00964799" w:rsidRDefault="72AEBDB4" w:rsidP="175C0AEA">
      <w:pPr>
        <w:spacing w:line="276" w:lineRule="auto"/>
        <w:rPr>
          <w:rFonts w:ascii="Aptos" w:eastAsia="Aptos" w:hAnsi="Aptos" w:cs="Aptos"/>
          <w:color w:val="000000" w:themeColor="text1"/>
        </w:rPr>
      </w:pPr>
      <w:r w:rsidRPr="175C0AEA">
        <w:rPr>
          <w:rFonts w:ascii="Aptos" w:eastAsia="Aptos" w:hAnsi="Aptos" w:cs="Aptos"/>
          <w:color w:val="000000" w:themeColor="text1"/>
          <w:lang w:val="en-GB"/>
        </w:rPr>
        <w:t>The following contract opportunity invites suitably experienced suppliers to work with Natural England in exploring the use of natural capital approaches to enhance Marine Protected Area (MPA) management. This exploratory project aims to provide Natural England with:</w:t>
      </w:r>
    </w:p>
    <w:p w14:paraId="2C369432" w14:textId="3CFC0380" w:rsidR="00964799" w:rsidRDefault="72AEBDB4" w:rsidP="175C0AEA">
      <w:pPr>
        <w:pStyle w:val="ListParagraph"/>
        <w:spacing w:line="276" w:lineRule="auto"/>
        <w:rPr>
          <w:rFonts w:ascii="Aptos" w:eastAsia="Aptos" w:hAnsi="Aptos" w:cs="Aptos"/>
          <w:color w:val="000000" w:themeColor="text1"/>
        </w:rPr>
      </w:pPr>
      <w:r w:rsidRPr="175C0AEA">
        <w:rPr>
          <w:rFonts w:ascii="Aptos" w:eastAsia="Aptos" w:hAnsi="Aptos" w:cs="Aptos"/>
          <w:color w:val="000000" w:themeColor="text1"/>
          <w:lang w:val="en-GB"/>
        </w:rPr>
        <w:t>A broad overview of where natural capital thinking has been applied to inform MPA management, both within the UK and internationally.</w:t>
      </w:r>
    </w:p>
    <w:p w14:paraId="3881FC0C" w14:textId="544A6C9A" w:rsidR="00964799" w:rsidRDefault="72AEBDB4" w:rsidP="175C0AEA">
      <w:pPr>
        <w:pStyle w:val="ListParagraph"/>
        <w:spacing w:line="276" w:lineRule="auto"/>
        <w:rPr>
          <w:rFonts w:ascii="Aptos" w:eastAsia="Aptos" w:hAnsi="Aptos" w:cs="Aptos"/>
          <w:color w:val="000000" w:themeColor="text1"/>
        </w:rPr>
      </w:pPr>
      <w:r w:rsidRPr="175C0AEA">
        <w:rPr>
          <w:rFonts w:ascii="Aptos" w:eastAsia="Aptos" w:hAnsi="Aptos" w:cs="Aptos"/>
          <w:color w:val="000000" w:themeColor="text1"/>
          <w:lang w:val="en-GB"/>
        </w:rPr>
        <w:t>Insights into the methods used to integrate natural capital thinking into management decision-making processes; particularly when these have led to an increase in benefits derived from the MPA.</w:t>
      </w:r>
    </w:p>
    <w:p w14:paraId="298F4A38" w14:textId="7E0646B2" w:rsidR="00964799" w:rsidRDefault="72AEBDB4" w:rsidP="175C0AEA">
      <w:pPr>
        <w:pStyle w:val="ListParagraph"/>
        <w:spacing w:line="276" w:lineRule="auto"/>
        <w:rPr>
          <w:rFonts w:ascii="Aptos" w:eastAsia="Aptos" w:hAnsi="Aptos" w:cs="Aptos"/>
          <w:color w:val="000000" w:themeColor="text1"/>
        </w:rPr>
      </w:pPr>
      <w:r w:rsidRPr="175C0AEA">
        <w:rPr>
          <w:rFonts w:ascii="Aptos" w:eastAsia="Aptos" w:hAnsi="Aptos" w:cs="Aptos"/>
          <w:color w:val="000000" w:themeColor="text1"/>
          <w:lang w:val="en-GB"/>
        </w:rPr>
        <w:t>An understanding of the benefits and challenges associated with implementing natural capital approaches to MPA management.</w:t>
      </w:r>
    </w:p>
    <w:p w14:paraId="5AC915E6" w14:textId="42EF934B" w:rsidR="00964799" w:rsidRDefault="00964799" w:rsidP="175C0AEA">
      <w:pPr>
        <w:spacing w:line="276" w:lineRule="auto"/>
        <w:rPr>
          <w:rFonts w:ascii="Aptos" w:eastAsia="Aptos" w:hAnsi="Aptos" w:cs="Aptos"/>
          <w:color w:val="000000" w:themeColor="text1"/>
        </w:rPr>
      </w:pPr>
    </w:p>
    <w:p w14:paraId="30391ED4" w14:textId="254E8EF0" w:rsidR="00964799" w:rsidRDefault="72F7D10B" w:rsidP="6F03FFC6">
      <w:pPr>
        <w:pStyle w:val="ListParagraph"/>
        <w:spacing w:line="276" w:lineRule="auto"/>
        <w:rPr>
          <w:rFonts w:ascii="Aptos" w:eastAsia="Aptos" w:hAnsi="Aptos" w:cs="Aptos"/>
          <w:color w:val="000000" w:themeColor="text1"/>
        </w:rPr>
      </w:pPr>
      <w:r w:rsidRPr="6F03FFC6">
        <w:rPr>
          <w:rFonts w:ascii="Aptos" w:eastAsia="Aptos" w:hAnsi="Aptos" w:cs="Aptos"/>
          <w:b/>
          <w:bCs/>
          <w:color w:val="000000" w:themeColor="text1"/>
          <w:lang w:val="en-GB"/>
        </w:rPr>
        <w:t xml:space="preserve">1.1. </w:t>
      </w:r>
      <w:r w:rsidR="72AEBDB4" w:rsidRPr="6F03FFC6">
        <w:rPr>
          <w:rFonts w:ascii="Aptos" w:eastAsia="Aptos" w:hAnsi="Aptos" w:cs="Aptos"/>
          <w:b/>
          <w:bCs/>
          <w:color w:val="000000" w:themeColor="text1"/>
          <w:lang w:val="en-GB"/>
        </w:rPr>
        <w:t>Background to Natural England</w:t>
      </w:r>
    </w:p>
    <w:p w14:paraId="3103E923" w14:textId="2D8713FC" w:rsidR="00964799" w:rsidRDefault="72AEBDB4" w:rsidP="175C0AEA">
      <w:pPr>
        <w:spacing w:line="276" w:lineRule="auto"/>
        <w:ind w:left="-15" w:right="270"/>
        <w:jc w:val="both"/>
        <w:rPr>
          <w:rFonts w:ascii="Aptos" w:eastAsia="Aptos" w:hAnsi="Aptos" w:cs="Aptos"/>
          <w:color w:val="000000" w:themeColor="text1"/>
        </w:rPr>
      </w:pPr>
      <w:r w:rsidRPr="175C0AEA">
        <w:rPr>
          <w:rFonts w:ascii="Aptos" w:eastAsia="Aptos" w:hAnsi="Aptos" w:cs="Aptos"/>
          <w:color w:val="000000" w:themeColor="text1"/>
          <w:lang w:val="en-GB"/>
        </w:rPr>
        <w:t xml:space="preserve">The Authority is Natural England. Natural England is the government’s adviser for the natural environment in England. We protect England’s nature and landscapes for people to enjoy and for the services they provide. Within England, we are responsible for:   </w:t>
      </w:r>
    </w:p>
    <w:p w14:paraId="2ADCC11C" w14:textId="19E944F8" w:rsidR="00964799" w:rsidRDefault="72AEBDB4" w:rsidP="175C0AEA">
      <w:pPr>
        <w:pStyle w:val="ListParagraph"/>
        <w:spacing w:line="276" w:lineRule="auto"/>
        <w:jc w:val="both"/>
        <w:rPr>
          <w:rFonts w:ascii="Aptos" w:eastAsia="Aptos" w:hAnsi="Aptos" w:cs="Aptos"/>
          <w:color w:val="000000" w:themeColor="text1"/>
        </w:rPr>
      </w:pPr>
      <w:r w:rsidRPr="175C0AEA">
        <w:rPr>
          <w:rFonts w:ascii="Aptos" w:eastAsia="Aptos" w:hAnsi="Aptos" w:cs="Aptos"/>
          <w:color w:val="000000" w:themeColor="text1"/>
          <w:lang w:val="en-GB"/>
        </w:rPr>
        <w:t xml:space="preserve">promoting nature conservation and protecting biodiversity;   </w:t>
      </w:r>
    </w:p>
    <w:p w14:paraId="3B0CFBCB" w14:textId="10A1A7DB" w:rsidR="00964799" w:rsidRDefault="72AEBDB4" w:rsidP="175C0AEA">
      <w:pPr>
        <w:pStyle w:val="ListParagraph"/>
        <w:spacing w:line="276" w:lineRule="auto"/>
        <w:jc w:val="both"/>
        <w:rPr>
          <w:rFonts w:ascii="Aptos" w:eastAsia="Aptos" w:hAnsi="Aptos" w:cs="Aptos"/>
          <w:color w:val="000000" w:themeColor="text1"/>
        </w:rPr>
      </w:pPr>
      <w:r w:rsidRPr="175C0AEA">
        <w:rPr>
          <w:rFonts w:ascii="Aptos" w:eastAsia="Aptos" w:hAnsi="Aptos" w:cs="Aptos"/>
          <w:color w:val="000000" w:themeColor="text1"/>
          <w:lang w:val="en-GB"/>
        </w:rPr>
        <w:t>conserving and enhancing the landscape;</w:t>
      </w:r>
    </w:p>
    <w:p w14:paraId="2D87EEE9" w14:textId="24038762" w:rsidR="00964799" w:rsidRDefault="72AEBDB4" w:rsidP="175C0AEA">
      <w:pPr>
        <w:pStyle w:val="ListParagraph"/>
        <w:spacing w:line="276" w:lineRule="auto"/>
        <w:jc w:val="both"/>
        <w:rPr>
          <w:rFonts w:ascii="Aptos" w:eastAsia="Aptos" w:hAnsi="Aptos" w:cs="Aptos"/>
          <w:color w:val="000000" w:themeColor="text1"/>
        </w:rPr>
      </w:pPr>
      <w:r w:rsidRPr="175C0AEA">
        <w:rPr>
          <w:rFonts w:ascii="Aptos" w:eastAsia="Aptos" w:hAnsi="Aptos" w:cs="Aptos"/>
          <w:color w:val="000000" w:themeColor="text1"/>
          <w:lang w:val="en-GB"/>
        </w:rPr>
        <w:t>securing the provision and improvement of facilities for the study, understanding and enjoyment of the natural environment;</w:t>
      </w:r>
    </w:p>
    <w:p w14:paraId="3D2968DA" w14:textId="7C2D1A70" w:rsidR="00964799" w:rsidRDefault="72AEBDB4" w:rsidP="175C0AEA">
      <w:pPr>
        <w:pStyle w:val="ListParagraph"/>
        <w:spacing w:line="276" w:lineRule="auto"/>
        <w:jc w:val="both"/>
        <w:rPr>
          <w:rFonts w:ascii="Aptos" w:eastAsia="Aptos" w:hAnsi="Aptos" w:cs="Aptos"/>
          <w:color w:val="000000" w:themeColor="text1"/>
        </w:rPr>
      </w:pPr>
      <w:r w:rsidRPr="175C0AEA">
        <w:rPr>
          <w:rFonts w:ascii="Aptos" w:eastAsia="Aptos" w:hAnsi="Aptos" w:cs="Aptos"/>
          <w:color w:val="000000" w:themeColor="text1"/>
          <w:lang w:val="en-GB"/>
        </w:rPr>
        <w:t>promoting access to the countryside and open spaces;</w:t>
      </w:r>
    </w:p>
    <w:p w14:paraId="20375604" w14:textId="3048032F" w:rsidR="00964799" w:rsidRDefault="72AEBDB4" w:rsidP="175C0AEA">
      <w:pPr>
        <w:pStyle w:val="ListParagraph"/>
        <w:spacing w:line="276" w:lineRule="auto"/>
        <w:jc w:val="both"/>
        <w:rPr>
          <w:rFonts w:ascii="Aptos" w:eastAsia="Aptos" w:hAnsi="Aptos" w:cs="Aptos"/>
          <w:color w:val="000000" w:themeColor="text1"/>
        </w:rPr>
      </w:pPr>
      <w:r w:rsidRPr="175C0AEA">
        <w:rPr>
          <w:rFonts w:ascii="Aptos" w:eastAsia="Aptos" w:hAnsi="Aptos" w:cs="Aptos"/>
          <w:color w:val="000000" w:themeColor="text1"/>
          <w:lang w:val="en-GB"/>
        </w:rPr>
        <w:t xml:space="preserve">and contributing to social and economic well-being through the sustainable management of the natural environment.   </w:t>
      </w:r>
    </w:p>
    <w:p w14:paraId="7D080431" w14:textId="24AC00C1" w:rsidR="00964799" w:rsidRDefault="72AEBDB4" w:rsidP="175C0AEA">
      <w:pPr>
        <w:spacing w:line="276" w:lineRule="auto"/>
        <w:ind w:right="270"/>
        <w:jc w:val="both"/>
        <w:rPr>
          <w:rFonts w:ascii="Aptos" w:eastAsia="Aptos" w:hAnsi="Aptos" w:cs="Aptos"/>
          <w:color w:val="000000" w:themeColor="text1"/>
        </w:rPr>
      </w:pPr>
      <w:r w:rsidRPr="175C0AEA">
        <w:rPr>
          <w:rFonts w:ascii="Aptos" w:eastAsia="Aptos" w:hAnsi="Aptos" w:cs="Aptos"/>
          <w:color w:val="000000" w:themeColor="text1"/>
          <w:lang w:val="en-GB"/>
        </w:rPr>
        <w:t xml:space="preserve">   </w:t>
      </w:r>
    </w:p>
    <w:p w14:paraId="507C919E" w14:textId="13E3EDA3" w:rsidR="00964799" w:rsidRDefault="72AEBDB4" w:rsidP="175C0AEA">
      <w:pPr>
        <w:spacing w:line="276" w:lineRule="auto"/>
        <w:ind w:left="-15" w:right="270"/>
        <w:jc w:val="both"/>
        <w:rPr>
          <w:rFonts w:ascii="Aptos" w:eastAsia="Aptos" w:hAnsi="Aptos" w:cs="Aptos"/>
          <w:color w:val="000000" w:themeColor="text1"/>
        </w:rPr>
      </w:pPr>
      <w:r w:rsidRPr="175C0AEA">
        <w:rPr>
          <w:rFonts w:ascii="Aptos" w:eastAsia="Aptos" w:hAnsi="Aptos" w:cs="Aptos"/>
          <w:color w:val="000000" w:themeColor="text1"/>
          <w:lang w:val="en-GB"/>
        </w:rPr>
        <w:t xml:space="preserve">Natural England’s priorities are to secure a healthy natural environment; a sustainable, low carbon economy; a thriving farming sector and a sustainable, healthy and secure food supply. Further information can be found at: </w:t>
      </w:r>
      <w:hyperlink r:id="rId15">
        <w:r w:rsidRPr="175C0AEA">
          <w:rPr>
            <w:rStyle w:val="Hyperlink"/>
            <w:rFonts w:ascii="Aptos" w:eastAsia="Aptos" w:hAnsi="Aptos" w:cs="Aptos"/>
            <w:lang w:val="en-GB"/>
          </w:rPr>
          <w:t>Natural England - GOV.UK (www.gov.uk)</w:t>
        </w:r>
      </w:hyperlink>
      <w:hyperlink r:id="rId16">
        <w:r w:rsidRPr="175C0AEA">
          <w:rPr>
            <w:rStyle w:val="Hyperlink"/>
            <w:rFonts w:ascii="Aptos" w:eastAsia="Aptos" w:hAnsi="Aptos" w:cs="Aptos"/>
            <w:lang w:val="en-GB"/>
          </w:rPr>
          <w:t>.</w:t>
        </w:r>
      </w:hyperlink>
      <w:r w:rsidRPr="175C0AEA">
        <w:rPr>
          <w:rFonts w:ascii="Aptos" w:eastAsia="Aptos" w:hAnsi="Aptos" w:cs="Aptos"/>
          <w:color w:val="000000" w:themeColor="text1"/>
          <w:lang w:val="en-GB"/>
        </w:rPr>
        <w:t xml:space="preserve">   </w:t>
      </w:r>
    </w:p>
    <w:p w14:paraId="4049C4B4" w14:textId="607FFF2F" w:rsidR="00964799" w:rsidRDefault="72AEBDB4" w:rsidP="175C0AEA">
      <w:pPr>
        <w:spacing w:line="276" w:lineRule="auto"/>
        <w:ind w:left="792"/>
        <w:rPr>
          <w:rFonts w:ascii="Aptos" w:eastAsia="Aptos" w:hAnsi="Aptos" w:cs="Aptos"/>
          <w:color w:val="000000" w:themeColor="text1"/>
        </w:rPr>
      </w:pPr>
      <w:r w:rsidRPr="175C0AEA">
        <w:rPr>
          <w:rFonts w:ascii="Aptos" w:eastAsia="Aptos" w:hAnsi="Aptos" w:cs="Aptos"/>
          <w:color w:val="000000" w:themeColor="text1"/>
          <w:lang w:val="en-GB"/>
        </w:rPr>
        <w:t xml:space="preserve"> </w:t>
      </w:r>
    </w:p>
    <w:p w14:paraId="5AF6D7A3" w14:textId="767B12BB" w:rsidR="00964799" w:rsidRDefault="72AEBDB4" w:rsidP="13924D32">
      <w:pPr>
        <w:pStyle w:val="ListParagraph"/>
        <w:spacing w:line="276" w:lineRule="auto"/>
        <w:rPr>
          <w:rFonts w:ascii="Aptos" w:eastAsia="Aptos" w:hAnsi="Aptos" w:cs="Aptos"/>
          <w:color w:val="000000" w:themeColor="text1"/>
        </w:rPr>
      </w:pPr>
      <w:r w:rsidRPr="13924D32">
        <w:rPr>
          <w:rFonts w:ascii="Aptos" w:eastAsia="Aptos" w:hAnsi="Aptos" w:cs="Aptos"/>
          <w:b/>
          <w:bCs/>
          <w:color w:val="000000" w:themeColor="text1"/>
          <w:lang w:val="en-GB"/>
        </w:rPr>
        <w:t xml:space="preserve"> </w:t>
      </w:r>
      <w:r w:rsidR="289B1313" w:rsidRPr="13924D32">
        <w:rPr>
          <w:rFonts w:ascii="Aptos" w:eastAsia="Aptos" w:hAnsi="Aptos" w:cs="Aptos"/>
          <w:b/>
          <w:bCs/>
          <w:color w:val="000000" w:themeColor="text1"/>
          <w:lang w:val="en-GB"/>
        </w:rPr>
        <w:t xml:space="preserve">1.2. </w:t>
      </w:r>
      <w:r w:rsidRPr="13924D32">
        <w:rPr>
          <w:rFonts w:ascii="Aptos" w:eastAsia="Aptos" w:hAnsi="Aptos" w:cs="Aptos"/>
          <w:b/>
          <w:bCs/>
          <w:color w:val="000000" w:themeColor="text1"/>
          <w:lang w:val="en-GB"/>
        </w:rPr>
        <w:t>Background to Protected Site Strategies (PSS)</w:t>
      </w:r>
    </w:p>
    <w:p w14:paraId="72F6A58D" w14:textId="6D07EAAC" w:rsidR="00964799" w:rsidRDefault="72AEBDB4" w:rsidP="175C0AEA">
      <w:pPr>
        <w:spacing w:after="160" w:line="276" w:lineRule="auto"/>
        <w:rPr>
          <w:rFonts w:ascii="Aptos" w:eastAsia="Aptos" w:hAnsi="Aptos" w:cs="Aptos"/>
          <w:color w:val="000000" w:themeColor="text1"/>
        </w:rPr>
      </w:pPr>
      <w:r w:rsidRPr="175C0AEA">
        <w:rPr>
          <w:rFonts w:ascii="Aptos" w:eastAsia="Aptos" w:hAnsi="Aptos" w:cs="Aptos"/>
          <w:color w:val="000000" w:themeColor="text1"/>
          <w:lang w:val="en-GB"/>
        </w:rPr>
        <w:t>Section 110 of the Environment Act (2021) affords Natural England the ability to prepare and publish ‘Protected Site Strategies’ (PSS) aimed at:</w:t>
      </w:r>
    </w:p>
    <w:p w14:paraId="2B8CA5C9" w14:textId="06F9C2F4" w:rsidR="00964799" w:rsidRDefault="72AEBDB4" w:rsidP="175C0AEA">
      <w:pPr>
        <w:spacing w:after="160" w:line="276" w:lineRule="auto"/>
        <w:ind w:left="720"/>
        <w:rPr>
          <w:rFonts w:ascii="Aptos" w:eastAsia="Aptos" w:hAnsi="Aptos" w:cs="Aptos"/>
          <w:color w:val="000000" w:themeColor="text1"/>
        </w:rPr>
      </w:pPr>
      <w:r w:rsidRPr="175C0AEA">
        <w:rPr>
          <w:rFonts w:ascii="Aptos" w:eastAsia="Aptos" w:hAnsi="Aptos" w:cs="Aptos"/>
          <w:color w:val="000000" w:themeColor="text1"/>
          <w:lang w:val="en-GB"/>
        </w:rPr>
        <w:t>a) Improving the conservation and management of a protected site; by</w:t>
      </w:r>
    </w:p>
    <w:p w14:paraId="6A1D352F" w14:textId="07B42137" w:rsidR="00964799" w:rsidRDefault="72AEBDB4" w:rsidP="175C0AEA">
      <w:pPr>
        <w:spacing w:after="160" w:line="276" w:lineRule="auto"/>
        <w:ind w:left="720"/>
        <w:rPr>
          <w:rFonts w:ascii="Aptos" w:eastAsia="Aptos" w:hAnsi="Aptos" w:cs="Aptos"/>
          <w:color w:val="000000" w:themeColor="text1"/>
        </w:rPr>
      </w:pPr>
      <w:r w:rsidRPr="175C0AEA">
        <w:rPr>
          <w:rFonts w:ascii="Aptos" w:eastAsia="Aptos" w:hAnsi="Aptos" w:cs="Aptos"/>
          <w:color w:val="000000" w:themeColor="text1"/>
          <w:lang w:val="en-GB"/>
        </w:rPr>
        <w:t xml:space="preserve">b) Managing the impact of plans, projects, or other activities (wherever undertaken) on the conservation and management of the protected site. </w:t>
      </w:r>
    </w:p>
    <w:p w14:paraId="622F77C0" w14:textId="148949AC" w:rsidR="00964799" w:rsidRDefault="72AEBDB4" w:rsidP="175C0AEA">
      <w:pPr>
        <w:spacing w:after="160" w:line="276" w:lineRule="auto"/>
        <w:rPr>
          <w:rFonts w:ascii="Aptos" w:eastAsia="Aptos" w:hAnsi="Aptos" w:cs="Aptos"/>
          <w:color w:val="000000" w:themeColor="text1"/>
        </w:rPr>
      </w:pPr>
      <w:r w:rsidRPr="175C0AEA">
        <w:rPr>
          <w:rFonts w:ascii="Aptos" w:eastAsia="Aptos" w:hAnsi="Aptos" w:cs="Aptos"/>
          <w:color w:val="000000" w:themeColor="text1"/>
          <w:lang w:val="en-GB"/>
        </w:rPr>
        <w:t xml:space="preserve">Guidance is needed for the development of a PSS, and five pilot projects and multiple research projects are currently underway to help develop this guidance; however, these have largely focused on terrestrial and coastal protected sites. This year, an additional marine PSS project will deliver recommendations specifically for the development of PSS for Marine Protected Areas and hence support the development of advisory guidance for PSS.  </w:t>
      </w:r>
    </w:p>
    <w:p w14:paraId="5EE6CBCE" w14:textId="6DDB71B9" w:rsidR="00964799" w:rsidRDefault="783D50A4" w:rsidP="13924D32">
      <w:pPr>
        <w:pStyle w:val="ListParagraph"/>
        <w:spacing w:after="160" w:line="276" w:lineRule="auto"/>
        <w:rPr>
          <w:rFonts w:ascii="Aptos" w:eastAsia="Aptos" w:hAnsi="Aptos" w:cs="Aptos"/>
          <w:color w:val="000000" w:themeColor="text1"/>
        </w:rPr>
      </w:pPr>
      <w:r w:rsidRPr="13924D32">
        <w:rPr>
          <w:rFonts w:ascii="Aptos" w:eastAsia="Aptos" w:hAnsi="Aptos" w:cs="Aptos"/>
          <w:b/>
          <w:bCs/>
          <w:color w:val="000000" w:themeColor="text1"/>
          <w:lang w:val="en-GB"/>
        </w:rPr>
        <w:t xml:space="preserve">1.3. </w:t>
      </w:r>
      <w:r w:rsidR="72AEBDB4" w:rsidRPr="13924D32">
        <w:rPr>
          <w:rFonts w:ascii="Aptos" w:eastAsia="Aptos" w:hAnsi="Aptos" w:cs="Aptos"/>
          <w:b/>
          <w:bCs/>
          <w:color w:val="000000" w:themeColor="text1"/>
          <w:lang w:val="en-GB"/>
        </w:rPr>
        <w:t>Opportunity Definition</w:t>
      </w:r>
    </w:p>
    <w:p w14:paraId="59D5D9E6" w14:textId="35576107" w:rsidR="00964799" w:rsidRDefault="72AEBDB4" w:rsidP="175C0AEA">
      <w:pPr>
        <w:spacing w:after="160" w:line="276" w:lineRule="auto"/>
        <w:rPr>
          <w:rFonts w:ascii="Aptos" w:eastAsia="Aptos" w:hAnsi="Aptos" w:cs="Aptos"/>
          <w:color w:val="000000" w:themeColor="text1"/>
        </w:rPr>
      </w:pPr>
      <w:r w:rsidRPr="175C0AEA">
        <w:rPr>
          <w:rFonts w:ascii="Aptos" w:eastAsia="Aptos" w:hAnsi="Aptos" w:cs="Aptos"/>
          <w:color w:val="000000" w:themeColor="text1"/>
          <w:lang w:val="en-GB"/>
        </w:rPr>
        <w:t>Sub-section 4 of section 110 of the Act, outlines four ‘limbs’ of a PSS, which are:</w:t>
      </w:r>
    </w:p>
    <w:p w14:paraId="6E343ACB" w14:textId="093F9A05" w:rsidR="00964799" w:rsidRDefault="72AEBDB4" w:rsidP="546B66E0">
      <w:pPr>
        <w:pStyle w:val="ListParagraph"/>
        <w:keepNext/>
        <w:keepLines/>
        <w:spacing w:after="160" w:line="276" w:lineRule="auto"/>
        <w:rPr>
          <w:rFonts w:ascii="Aptos" w:eastAsia="Aptos" w:hAnsi="Aptos" w:cs="Aptos"/>
          <w:color w:val="000000" w:themeColor="text1"/>
        </w:rPr>
      </w:pPr>
      <w:r w:rsidRPr="546B66E0">
        <w:rPr>
          <w:rFonts w:ascii="Aptos" w:eastAsia="Aptos" w:hAnsi="Aptos" w:cs="Aptos"/>
          <w:b/>
          <w:bCs/>
          <w:color w:val="000000" w:themeColor="text1"/>
          <w:lang w:val="en-GB"/>
        </w:rPr>
        <w:t>Evidence based</w:t>
      </w:r>
      <w:r w:rsidRPr="546B66E0">
        <w:rPr>
          <w:rFonts w:ascii="Aptos" w:eastAsia="Aptos" w:hAnsi="Aptos" w:cs="Aptos"/>
          <w:color w:val="000000" w:themeColor="text1"/>
          <w:lang w:val="en-GB"/>
        </w:rPr>
        <w:t xml:space="preserve"> - Include an assessment of the impacts and pressures. </w:t>
      </w:r>
    </w:p>
    <w:p w14:paraId="3F133D38" w14:textId="7A756A34" w:rsidR="00964799" w:rsidRDefault="72AEBDB4" w:rsidP="52DC53F3">
      <w:pPr>
        <w:pStyle w:val="ListParagraph"/>
        <w:keepLines/>
        <w:spacing w:after="160" w:line="276" w:lineRule="auto"/>
        <w:rPr>
          <w:rFonts w:ascii="Aptos" w:eastAsia="Aptos" w:hAnsi="Aptos" w:cs="Aptos"/>
          <w:color w:val="000000" w:themeColor="text1"/>
        </w:rPr>
      </w:pPr>
      <w:r w:rsidRPr="52DC53F3">
        <w:rPr>
          <w:rFonts w:ascii="Aptos" w:eastAsia="Aptos" w:hAnsi="Aptos" w:cs="Aptos"/>
          <w:b/>
          <w:bCs/>
          <w:color w:val="000000" w:themeColor="text1"/>
          <w:lang w:val="en-GB"/>
        </w:rPr>
        <w:t>Action Oriented</w:t>
      </w:r>
      <w:r w:rsidRPr="52DC53F3">
        <w:rPr>
          <w:rFonts w:ascii="Aptos" w:eastAsia="Aptos" w:hAnsi="Aptos" w:cs="Aptos"/>
          <w:color w:val="000000" w:themeColor="text1"/>
          <w:lang w:val="en-GB"/>
        </w:rPr>
        <w:t xml:space="preserve"> - Include measures to avoid, mitigate and compensate.</w:t>
      </w:r>
    </w:p>
    <w:p w14:paraId="6BA9608C" w14:textId="16843741" w:rsidR="00964799" w:rsidRDefault="72AEBDB4" w:rsidP="52DC53F3">
      <w:pPr>
        <w:pStyle w:val="ListParagraph"/>
        <w:keepLines/>
        <w:spacing w:after="160" w:line="276" w:lineRule="auto"/>
        <w:rPr>
          <w:rFonts w:ascii="Aptos" w:eastAsia="Aptos" w:hAnsi="Aptos" w:cs="Aptos"/>
          <w:color w:val="000000" w:themeColor="text1"/>
        </w:rPr>
      </w:pPr>
      <w:r w:rsidRPr="52DC53F3">
        <w:rPr>
          <w:rFonts w:ascii="Aptos" w:eastAsia="Aptos" w:hAnsi="Aptos" w:cs="Aptos"/>
          <w:b/>
          <w:bCs/>
          <w:color w:val="000000" w:themeColor="text1"/>
          <w:lang w:val="en-GB"/>
        </w:rPr>
        <w:t>Integrated</w:t>
      </w:r>
      <w:r w:rsidRPr="52DC53F3">
        <w:rPr>
          <w:rFonts w:ascii="Aptos" w:eastAsia="Aptos" w:hAnsi="Aptos" w:cs="Aptos"/>
          <w:color w:val="000000" w:themeColor="text1"/>
          <w:lang w:val="en-GB"/>
        </w:rPr>
        <w:t xml:space="preserve"> - Identify other plans, project and strategies of benefit to the site.</w:t>
      </w:r>
    </w:p>
    <w:p w14:paraId="4C78994D" w14:textId="0CA81CD7" w:rsidR="00964799" w:rsidRDefault="72AEBDB4" w:rsidP="52DC53F3">
      <w:pPr>
        <w:pStyle w:val="ListParagraph"/>
        <w:keepLines/>
        <w:spacing w:after="160" w:line="276" w:lineRule="auto"/>
        <w:rPr>
          <w:rFonts w:ascii="Aptos" w:eastAsia="Aptos" w:hAnsi="Aptos" w:cs="Aptos"/>
          <w:color w:val="000000" w:themeColor="text1"/>
        </w:rPr>
      </w:pPr>
      <w:r w:rsidRPr="52DC53F3">
        <w:rPr>
          <w:rFonts w:ascii="Aptos" w:eastAsia="Aptos" w:hAnsi="Aptos" w:cs="Aptos"/>
          <w:b/>
          <w:bCs/>
          <w:color w:val="000000" w:themeColor="text1"/>
          <w:lang w:val="en-GB"/>
        </w:rPr>
        <w:t>Ambitious</w:t>
      </w:r>
      <w:r w:rsidRPr="52DC53F3">
        <w:rPr>
          <w:rFonts w:ascii="Aptos" w:eastAsia="Aptos" w:hAnsi="Aptos" w:cs="Aptos"/>
          <w:color w:val="000000" w:themeColor="text1"/>
          <w:lang w:val="en-GB"/>
        </w:rPr>
        <w:t xml:space="preserve"> - Address any other matter of relevance.</w:t>
      </w:r>
    </w:p>
    <w:p w14:paraId="0B7835BC" w14:textId="28287C29" w:rsidR="00964799" w:rsidRDefault="72AEBDB4" w:rsidP="175C0AEA">
      <w:pPr>
        <w:spacing w:after="160" w:line="276" w:lineRule="auto"/>
        <w:rPr>
          <w:rFonts w:ascii="Aptos" w:eastAsia="Aptos" w:hAnsi="Aptos" w:cs="Aptos"/>
          <w:color w:val="000000" w:themeColor="text1"/>
        </w:rPr>
      </w:pPr>
      <w:r w:rsidRPr="175C0AEA">
        <w:rPr>
          <w:rFonts w:ascii="Aptos" w:eastAsia="Aptos" w:hAnsi="Aptos" w:cs="Aptos"/>
          <w:color w:val="000000" w:themeColor="text1"/>
          <w:lang w:val="en-GB"/>
        </w:rPr>
        <w:t xml:space="preserve">In addition, PSS legislation contains a ‘Duty of Cooperation’ (sub-section 5 &amp; 7) which will ensure that PSS development will be a collaborative, stakeholder led process. </w:t>
      </w:r>
    </w:p>
    <w:p w14:paraId="1EA40615" w14:textId="2CF0641B" w:rsidR="00964799" w:rsidRDefault="72AEBDB4" w:rsidP="175C0AEA">
      <w:pPr>
        <w:spacing w:after="160" w:line="276" w:lineRule="auto"/>
        <w:rPr>
          <w:rFonts w:ascii="Aptos" w:eastAsia="Aptos" w:hAnsi="Aptos" w:cs="Aptos"/>
          <w:color w:val="000000" w:themeColor="text1"/>
        </w:rPr>
      </w:pPr>
      <w:r w:rsidRPr="175C0AEA">
        <w:rPr>
          <w:rFonts w:ascii="Aptos" w:eastAsia="Aptos" w:hAnsi="Aptos" w:cs="Aptos"/>
          <w:color w:val="000000" w:themeColor="text1"/>
          <w:lang w:val="en-GB"/>
        </w:rPr>
        <w:t xml:space="preserve">We are interested in whether a natural capital approach can a) be used to support the stakeholder engagement aspects of PSS development and, b) help a PSS to be more </w:t>
      </w:r>
      <w:r w:rsidRPr="175C0AEA">
        <w:rPr>
          <w:rFonts w:ascii="Aptos" w:eastAsia="Aptos" w:hAnsi="Aptos" w:cs="Aptos"/>
          <w:b/>
          <w:bCs/>
          <w:color w:val="000000" w:themeColor="text1"/>
          <w:lang w:val="en-GB"/>
        </w:rPr>
        <w:t xml:space="preserve">ambitious </w:t>
      </w:r>
      <w:r w:rsidRPr="175C0AEA">
        <w:rPr>
          <w:rFonts w:ascii="Aptos" w:eastAsia="Aptos" w:hAnsi="Aptos" w:cs="Aptos"/>
          <w:color w:val="000000" w:themeColor="text1"/>
          <w:lang w:val="en-GB"/>
        </w:rPr>
        <w:t xml:space="preserve">in its scope. That is, can a PSS help achieve both feature-specific conservation targets for an MPA and also address other matters in the site not specifically related to features, which will offer additional benefits to local communities and stakeholders? This project will provide evidence to help understand how a PSS could be more </w:t>
      </w:r>
      <w:r w:rsidRPr="175C0AEA">
        <w:rPr>
          <w:rFonts w:ascii="Aptos" w:eastAsia="Aptos" w:hAnsi="Aptos" w:cs="Aptos"/>
          <w:b/>
          <w:bCs/>
          <w:color w:val="000000" w:themeColor="text1"/>
          <w:lang w:val="en-GB"/>
        </w:rPr>
        <w:t>ambitious.</w:t>
      </w:r>
    </w:p>
    <w:p w14:paraId="55D1EA8D" w14:textId="21EDCA73" w:rsidR="00964799" w:rsidRDefault="1DAE2519" w:rsidP="13924D32">
      <w:pPr>
        <w:pStyle w:val="ListParagraph"/>
        <w:spacing w:after="160" w:line="276" w:lineRule="auto"/>
        <w:rPr>
          <w:rFonts w:ascii="Aptos" w:eastAsia="Aptos" w:hAnsi="Aptos" w:cs="Aptos"/>
          <w:color w:val="000000" w:themeColor="text1"/>
        </w:rPr>
      </w:pPr>
      <w:r w:rsidRPr="13924D32">
        <w:rPr>
          <w:rFonts w:ascii="Aptos" w:eastAsia="Aptos" w:hAnsi="Aptos" w:cs="Aptos"/>
          <w:b/>
          <w:bCs/>
          <w:color w:val="000000" w:themeColor="text1"/>
          <w:lang w:val="en-GB"/>
        </w:rPr>
        <w:t xml:space="preserve">1.4. </w:t>
      </w:r>
      <w:r w:rsidR="72AEBDB4" w:rsidRPr="13924D32">
        <w:rPr>
          <w:rFonts w:ascii="Aptos" w:eastAsia="Aptos" w:hAnsi="Aptos" w:cs="Aptos"/>
          <w:b/>
          <w:bCs/>
          <w:color w:val="000000" w:themeColor="text1"/>
          <w:lang w:val="en-GB"/>
        </w:rPr>
        <w:t>The Natural Capital Approach</w:t>
      </w:r>
    </w:p>
    <w:p w14:paraId="5D6C3735" w14:textId="6A543356" w:rsidR="00964799" w:rsidRDefault="72AEBDB4" w:rsidP="175C0AEA">
      <w:pPr>
        <w:spacing w:after="160" w:line="276" w:lineRule="auto"/>
        <w:rPr>
          <w:rFonts w:ascii="Aptos" w:eastAsia="Aptos" w:hAnsi="Aptos" w:cs="Aptos"/>
          <w:color w:val="000000" w:themeColor="text1"/>
        </w:rPr>
      </w:pPr>
      <w:r w:rsidRPr="175C0AEA">
        <w:rPr>
          <w:rFonts w:ascii="Aptos" w:eastAsia="Aptos" w:hAnsi="Aptos" w:cs="Aptos"/>
          <w:color w:val="000000" w:themeColor="text1"/>
          <w:lang w:val="en-GB"/>
        </w:rPr>
        <w:t>The Natural Capital Committee defines natural capital as “the elements of nature that directly or indirectly produce value to people, including ecosystems, species, freshwater, land, minerals, the air and oceans, as well as natural processes and functions” (Natural Capital Committee 2017). One of the goals of a natural capital approach is to enable nature recovery that sustainably provides benefits central to people’s well-being. Meaningful collaboration with a wide range of partners and stakeholders throughout the entire process is critical to its success. This helps because it enables: a wide range of benefits to be identified; the sharing of knowledge and evidence; the goals of different stakeholders to be represented from the start; the development of consensus and buy-in; and the pooling of resources to deliver shared goals.</w:t>
      </w:r>
    </w:p>
    <w:p w14:paraId="5DAC0F65" w14:textId="7BF76625" w:rsidR="00964799" w:rsidRDefault="72AEBDB4" w:rsidP="175C0AEA">
      <w:pPr>
        <w:spacing w:after="160" w:line="276" w:lineRule="auto"/>
        <w:rPr>
          <w:rFonts w:ascii="Aptos" w:eastAsia="Aptos" w:hAnsi="Aptos" w:cs="Aptos"/>
          <w:color w:val="000000" w:themeColor="text1"/>
        </w:rPr>
      </w:pPr>
      <w:r w:rsidRPr="175C0AEA">
        <w:rPr>
          <w:rFonts w:ascii="Aptos" w:eastAsia="Aptos" w:hAnsi="Aptos" w:cs="Aptos"/>
          <w:b/>
          <w:bCs/>
          <w:color w:val="000000" w:themeColor="text1"/>
          <w:lang w:val="en-GB"/>
        </w:rPr>
        <w:t>Key terms and concepts relating to natural capital:</w:t>
      </w:r>
    </w:p>
    <w:p w14:paraId="48D86AB7" w14:textId="68CBB161" w:rsidR="00964799" w:rsidRDefault="72AEBDB4" w:rsidP="175C0AEA">
      <w:pPr>
        <w:spacing w:after="160" w:line="276" w:lineRule="auto"/>
        <w:rPr>
          <w:rFonts w:ascii="Aptos" w:eastAsia="Aptos" w:hAnsi="Aptos" w:cs="Aptos"/>
          <w:color w:val="000000" w:themeColor="text1"/>
        </w:rPr>
      </w:pPr>
      <w:r w:rsidRPr="175C0AEA">
        <w:rPr>
          <w:rFonts w:ascii="Aptos" w:eastAsia="Aptos" w:hAnsi="Aptos" w:cs="Aptos"/>
          <w:b/>
          <w:bCs/>
          <w:color w:val="000000" w:themeColor="text1"/>
          <w:lang w:val="en-GB"/>
        </w:rPr>
        <w:t xml:space="preserve">Ecosystem services: </w:t>
      </w:r>
      <w:r w:rsidRPr="175C0AEA">
        <w:rPr>
          <w:rFonts w:ascii="Aptos" w:eastAsia="Aptos" w:hAnsi="Aptos" w:cs="Aptos"/>
          <w:color w:val="000000" w:themeColor="text1"/>
          <w:lang w:val="en-GB"/>
        </w:rPr>
        <w:t xml:space="preserve">the components of nature that are directly enjoyed, consumed, or used in order to maintain human wellbeing (Sunderland and others 2019). A natural capital approach describes the natural environment as a stock of assets from which there is a flow of ecosystem services to people who benefit from them. </w:t>
      </w:r>
    </w:p>
    <w:p w14:paraId="7FDADE7C" w14:textId="5BC0599A" w:rsidR="00964799" w:rsidRDefault="72AEBDB4" w:rsidP="175C0AEA">
      <w:pPr>
        <w:spacing w:after="160" w:line="276" w:lineRule="auto"/>
        <w:rPr>
          <w:rFonts w:ascii="Aptos" w:eastAsia="Aptos" w:hAnsi="Aptos" w:cs="Aptos"/>
          <w:color w:val="000000" w:themeColor="text1"/>
        </w:rPr>
      </w:pPr>
      <w:r w:rsidRPr="175C0AEA">
        <w:rPr>
          <w:rFonts w:ascii="Aptos" w:eastAsia="Aptos" w:hAnsi="Aptos" w:cs="Aptos"/>
          <w:b/>
          <w:bCs/>
          <w:color w:val="000000" w:themeColor="text1"/>
          <w:lang w:val="en-GB"/>
        </w:rPr>
        <w:t>Ecosystem Approach</w:t>
      </w:r>
      <w:r w:rsidRPr="175C0AEA">
        <w:rPr>
          <w:rFonts w:ascii="Aptos" w:eastAsia="Aptos" w:hAnsi="Aptos" w:cs="Aptos"/>
          <w:color w:val="000000" w:themeColor="text1"/>
          <w:lang w:val="en-GB"/>
        </w:rPr>
        <w:t>: a framework for the sustainable management of land and sea for the benefit of both biodiversity and people in a way that integrates ecological, social and economic understanding (Waters and others 2012). The Ecosystem Approach heavily influences how we do natural capital in practice in a participatory and equitable way.</w:t>
      </w:r>
      <w:r w:rsidRPr="175C0AEA">
        <w:rPr>
          <w:rFonts w:ascii="Aptos" w:eastAsia="Aptos" w:hAnsi="Aptos" w:cs="Aptos"/>
          <w:b/>
          <w:bCs/>
          <w:color w:val="000000" w:themeColor="text1"/>
          <w:lang w:val="en-GB"/>
        </w:rPr>
        <w:t xml:space="preserve"> </w:t>
      </w:r>
    </w:p>
    <w:p w14:paraId="0D304B35" w14:textId="2E46B701" w:rsidR="00964799" w:rsidRDefault="72AEBDB4" w:rsidP="175C0AEA">
      <w:pPr>
        <w:spacing w:after="160" w:line="276" w:lineRule="auto"/>
        <w:rPr>
          <w:rFonts w:ascii="Aptos" w:eastAsia="Aptos" w:hAnsi="Aptos" w:cs="Aptos"/>
          <w:color w:val="000000" w:themeColor="text1"/>
        </w:rPr>
      </w:pPr>
      <w:r w:rsidRPr="175C0AEA">
        <w:rPr>
          <w:rFonts w:ascii="Aptos" w:eastAsia="Aptos" w:hAnsi="Aptos" w:cs="Aptos"/>
          <w:b/>
          <w:bCs/>
          <w:color w:val="000000" w:themeColor="text1"/>
          <w:lang w:val="en-GB"/>
        </w:rPr>
        <w:t>Nature-based solutions (NBS</w:t>
      </w:r>
      <w:r w:rsidRPr="175C0AEA">
        <w:rPr>
          <w:rFonts w:ascii="Aptos" w:eastAsia="Aptos" w:hAnsi="Aptos" w:cs="Aptos"/>
          <w:color w:val="000000" w:themeColor="text1"/>
          <w:lang w:val="en-GB"/>
        </w:rPr>
        <w:t>): defined by the IUCN as actions to protect, sustainably manage, and restore natural or modified ecosystems, that address societal challenges effectively and adaptively, simultaneously providing human well-being and biodiversity benefits (Cohen-Shacham and others 2016). A natural capital approach can help us make arguments in favour of NBS by demonstrating the role of nature in human wellbeing and helps us decide where the best places to put them are.</w:t>
      </w:r>
    </w:p>
    <w:p w14:paraId="3343E4AB" w14:textId="0C3ADC1C" w:rsidR="00964799" w:rsidRDefault="72AEBDB4" w:rsidP="175C0AEA">
      <w:pPr>
        <w:spacing w:after="160" w:line="276" w:lineRule="auto"/>
        <w:rPr>
          <w:rFonts w:ascii="Aptos" w:eastAsia="Aptos" w:hAnsi="Aptos" w:cs="Aptos"/>
          <w:color w:val="000000" w:themeColor="text1"/>
        </w:rPr>
      </w:pPr>
      <w:r w:rsidRPr="175C0AEA">
        <w:rPr>
          <w:rFonts w:ascii="Aptos" w:eastAsia="Aptos" w:hAnsi="Aptos" w:cs="Aptos"/>
          <w:color w:val="000000" w:themeColor="text1"/>
          <w:lang w:val="en-GB"/>
        </w:rPr>
        <w:t xml:space="preserve">More information on the natural capital approach can be found in the </w:t>
      </w:r>
      <w:hyperlink r:id="rId17">
        <w:r w:rsidRPr="175C0AEA">
          <w:rPr>
            <w:rStyle w:val="Hyperlink"/>
            <w:rFonts w:ascii="Aptos" w:eastAsia="Aptos" w:hAnsi="Aptos" w:cs="Aptos"/>
            <w:lang w:val="en-GB"/>
          </w:rPr>
          <w:t>Natural Capital Evidence Handbook: to support place-based planning and decision-making - NERR092 (naturalengland.org.uk)</w:t>
        </w:r>
      </w:hyperlink>
    </w:p>
    <w:p w14:paraId="5C37FACF" w14:textId="6FFB3ED8" w:rsidR="00964799" w:rsidRDefault="25C47DAD" w:rsidP="510D3946">
      <w:pPr>
        <w:pStyle w:val="ListParagraph"/>
        <w:keepNext/>
        <w:spacing w:line="276" w:lineRule="auto"/>
        <w:ind w:left="360"/>
        <w:rPr>
          <w:rFonts w:ascii="Aptos" w:eastAsia="Aptos" w:hAnsi="Aptos" w:cs="Aptos"/>
          <w:color w:val="000000" w:themeColor="text1"/>
          <w:sz w:val="28"/>
          <w:szCs w:val="28"/>
        </w:rPr>
      </w:pPr>
      <w:r w:rsidRPr="510D3946">
        <w:rPr>
          <w:rFonts w:ascii="Aptos" w:eastAsia="Aptos" w:hAnsi="Aptos" w:cs="Aptos"/>
          <w:b/>
          <w:bCs/>
          <w:color w:val="000000" w:themeColor="text1"/>
          <w:sz w:val="28"/>
          <w:szCs w:val="28"/>
          <w:lang w:val="en-GB"/>
        </w:rPr>
        <w:t xml:space="preserve">2. </w:t>
      </w:r>
      <w:r w:rsidR="72AEBDB4" w:rsidRPr="510D3946">
        <w:rPr>
          <w:rFonts w:ascii="Aptos" w:eastAsia="Aptos" w:hAnsi="Aptos" w:cs="Aptos"/>
          <w:b/>
          <w:bCs/>
          <w:color w:val="000000" w:themeColor="text1"/>
          <w:sz w:val="28"/>
          <w:szCs w:val="28"/>
          <w:lang w:val="en-GB"/>
        </w:rPr>
        <w:t>Main Task</w:t>
      </w:r>
    </w:p>
    <w:p w14:paraId="77147AC5" w14:textId="4C700943" w:rsidR="00964799" w:rsidRDefault="72AEBDB4" w:rsidP="175C0AEA">
      <w:pPr>
        <w:spacing w:after="160" w:line="276" w:lineRule="auto"/>
        <w:rPr>
          <w:rFonts w:ascii="Aptos" w:eastAsia="Aptos" w:hAnsi="Aptos" w:cs="Aptos"/>
          <w:color w:val="000000" w:themeColor="text1"/>
        </w:rPr>
      </w:pPr>
      <w:r w:rsidRPr="175C0AEA">
        <w:rPr>
          <w:rFonts w:ascii="Aptos" w:eastAsia="Aptos" w:hAnsi="Aptos" w:cs="Aptos"/>
          <w:color w:val="000000" w:themeColor="text1"/>
          <w:lang w:val="en-GB"/>
        </w:rPr>
        <w:t>Considering the opportunity outlined above, the main task is to undertake a literature review to explore how natural capital approaches have been used in MPA management, including relevant strategies and plans. This review should examine how natural capital approaches to MPA management can help to deliver multiple benefits for nature and people. It should also capture instances where a natural capital approach did not add value, providing details for why this was the case.</w:t>
      </w:r>
    </w:p>
    <w:p w14:paraId="7B2A8539" w14:textId="5A9642DC" w:rsidR="00964799" w:rsidRDefault="72AEBDB4" w:rsidP="175C0AEA">
      <w:pPr>
        <w:spacing w:after="160" w:line="276" w:lineRule="auto"/>
        <w:rPr>
          <w:rFonts w:ascii="Aptos" w:eastAsia="Aptos" w:hAnsi="Aptos" w:cs="Aptos"/>
          <w:color w:val="000000" w:themeColor="text1"/>
        </w:rPr>
      </w:pPr>
      <w:r w:rsidRPr="175C0AEA">
        <w:rPr>
          <w:rFonts w:ascii="Aptos" w:eastAsia="Aptos" w:hAnsi="Aptos" w:cs="Aptos"/>
          <w:color w:val="000000" w:themeColor="text1"/>
          <w:lang w:val="en-GB"/>
        </w:rPr>
        <w:t xml:space="preserve">The literature review will run alongside three marine PSS case studies and interim findings from the review will be shared with NE staff involved in these case studies via an Interim Finding presentation in late September.  These findings will inform case study leads about potential avenues to apply natural capital approaches within their case study, highlighting the benefits and challenges associated with each approach. </w:t>
      </w:r>
    </w:p>
    <w:p w14:paraId="747F41B4" w14:textId="61947E89" w:rsidR="00964799" w:rsidRDefault="72AEBDB4" w:rsidP="175C0AEA">
      <w:pPr>
        <w:spacing w:after="160" w:line="276" w:lineRule="auto"/>
        <w:rPr>
          <w:rFonts w:ascii="Aptos" w:eastAsia="Aptos" w:hAnsi="Aptos" w:cs="Aptos"/>
          <w:color w:val="000000" w:themeColor="text1"/>
        </w:rPr>
      </w:pPr>
      <w:r w:rsidRPr="175C0AEA">
        <w:rPr>
          <w:rFonts w:ascii="Aptos" w:eastAsia="Aptos" w:hAnsi="Aptos" w:cs="Aptos"/>
          <w:color w:val="000000" w:themeColor="text1"/>
          <w:lang w:val="en-GB"/>
        </w:rPr>
        <w:t>The review should focus on the use of natural capital approaches in MPA management, both within the UK and internationally. Natural capital approaches consider the elements of nature that directly or indirectly provide value to people. Therefore, we are particularly interested in examining MPAs that have used stakeholder and community engagement to develop and implement management strategies. In order to capture perspective outside of the European way of thinking, the review should not be limited to literature containing the term ‘natural capital’. Other terms such as ‘multiple benefits’, ‘ecosystem services’, ‘societal benefits’, ‘nature’s contribution to people’ and ‘community initiatives’ (among others) may be used to explore relevant international literature.</w:t>
      </w:r>
      <w:r w:rsidRPr="175C0AEA">
        <w:rPr>
          <w:rFonts w:ascii="Aptos" w:eastAsia="Aptos" w:hAnsi="Aptos" w:cs="Aptos"/>
          <w:color w:val="CC3595"/>
          <w:u w:val="single"/>
          <w:lang w:val="en-GB"/>
        </w:rPr>
        <w:t xml:space="preserve"> </w:t>
      </w:r>
    </w:p>
    <w:p w14:paraId="4340DC69" w14:textId="50FE04B6" w:rsidR="00964799" w:rsidRDefault="72AEBDB4" w:rsidP="175C0AEA">
      <w:pPr>
        <w:spacing w:line="276" w:lineRule="auto"/>
        <w:rPr>
          <w:rFonts w:ascii="Aptos" w:eastAsia="Aptos" w:hAnsi="Aptos" w:cs="Aptos"/>
          <w:color w:val="000000" w:themeColor="text1"/>
        </w:rPr>
      </w:pPr>
      <w:r w:rsidRPr="175C0AEA">
        <w:rPr>
          <w:rFonts w:ascii="Aptos" w:eastAsia="Aptos" w:hAnsi="Aptos" w:cs="Aptos"/>
          <w:b/>
          <w:bCs/>
          <w:color w:val="000000" w:themeColor="text1"/>
          <w:lang w:val="en-GB"/>
        </w:rPr>
        <w:t>Aims:</w:t>
      </w:r>
    </w:p>
    <w:p w14:paraId="7A6A8F3B" w14:textId="4660B9D2" w:rsidR="00964799" w:rsidRDefault="72AEBDB4" w:rsidP="175C0AEA">
      <w:pPr>
        <w:spacing w:line="276" w:lineRule="auto"/>
        <w:rPr>
          <w:rFonts w:ascii="Aptos" w:eastAsia="Aptos" w:hAnsi="Aptos" w:cs="Aptos"/>
          <w:color w:val="000000" w:themeColor="text1"/>
        </w:rPr>
      </w:pPr>
      <w:r w:rsidRPr="175C0AEA">
        <w:rPr>
          <w:rFonts w:ascii="Aptos" w:eastAsia="Aptos" w:hAnsi="Aptos" w:cs="Aptos"/>
          <w:color w:val="000000" w:themeColor="text1"/>
          <w:lang w:val="en-GB"/>
        </w:rPr>
        <w:t xml:space="preserve">To identify the contexts in which a natural capital approach has been beneficial or not to MPAs and their management, and to understand the underlying reasons. </w:t>
      </w:r>
    </w:p>
    <w:p w14:paraId="2FA6DCDA" w14:textId="2D9E3FF8" w:rsidR="00964799" w:rsidRDefault="72AEBDB4" w:rsidP="175C0AEA">
      <w:pPr>
        <w:spacing w:line="276" w:lineRule="auto"/>
        <w:rPr>
          <w:rFonts w:ascii="Aptos" w:eastAsia="Aptos" w:hAnsi="Aptos" w:cs="Aptos"/>
          <w:color w:val="000000" w:themeColor="text1"/>
        </w:rPr>
      </w:pPr>
      <w:r w:rsidRPr="175C0AEA">
        <w:rPr>
          <w:rFonts w:ascii="Aptos" w:eastAsia="Aptos" w:hAnsi="Aptos" w:cs="Aptos"/>
          <w:b/>
          <w:bCs/>
          <w:color w:val="000000" w:themeColor="text1"/>
          <w:lang w:val="en-GB"/>
        </w:rPr>
        <w:t xml:space="preserve"> </w:t>
      </w:r>
    </w:p>
    <w:p w14:paraId="0B74ED4B" w14:textId="3E298AD3" w:rsidR="00964799" w:rsidRDefault="72AEBDB4" w:rsidP="175C0AEA">
      <w:pPr>
        <w:spacing w:line="276" w:lineRule="auto"/>
        <w:rPr>
          <w:rFonts w:ascii="Aptos" w:eastAsia="Aptos" w:hAnsi="Aptos" w:cs="Aptos"/>
          <w:color w:val="000000" w:themeColor="text1"/>
        </w:rPr>
      </w:pPr>
      <w:r w:rsidRPr="175C0AEA">
        <w:rPr>
          <w:rFonts w:ascii="Aptos" w:eastAsia="Aptos" w:hAnsi="Aptos" w:cs="Aptos"/>
          <w:b/>
          <w:bCs/>
          <w:color w:val="000000" w:themeColor="text1"/>
          <w:lang w:val="en-GB"/>
        </w:rPr>
        <w:t>Objectives</w:t>
      </w:r>
      <w:r w:rsidRPr="175C0AEA">
        <w:rPr>
          <w:rFonts w:ascii="Aptos" w:eastAsia="Aptos" w:hAnsi="Aptos" w:cs="Aptos"/>
          <w:color w:val="000000" w:themeColor="text1"/>
          <w:lang w:val="en-GB"/>
        </w:rPr>
        <w:t>:</w:t>
      </w:r>
    </w:p>
    <w:p w14:paraId="61EF4339" w14:textId="3FF15B6E" w:rsidR="00964799" w:rsidRDefault="72AEBDB4" w:rsidP="175C0AEA">
      <w:pPr>
        <w:pStyle w:val="ListParagraph"/>
        <w:spacing w:line="276" w:lineRule="auto"/>
        <w:rPr>
          <w:rFonts w:ascii="Aptos" w:eastAsia="Aptos" w:hAnsi="Aptos" w:cs="Aptos"/>
          <w:color w:val="000000" w:themeColor="text1"/>
        </w:rPr>
      </w:pPr>
      <w:r w:rsidRPr="175C0AEA">
        <w:rPr>
          <w:rStyle w:val="Important"/>
          <w:rFonts w:ascii="Aptos" w:eastAsia="Aptos" w:hAnsi="Aptos" w:cs="Aptos"/>
          <w:b w:val="0"/>
          <w:bCs w:val="0"/>
          <w:color w:val="000000" w:themeColor="text1"/>
          <w:lang w:val="en-GB"/>
        </w:rPr>
        <w:t>Conduct a search of grey and peer-reviewed literature about MPA management, both within the UK and internationally, to assess where community or stakeholder partnerships have been involved in the management or development of an MPA.</w:t>
      </w:r>
    </w:p>
    <w:p w14:paraId="16BB4790" w14:textId="5E2E8177" w:rsidR="00964799" w:rsidRDefault="72AEBDB4" w:rsidP="175C0AEA">
      <w:pPr>
        <w:pStyle w:val="ListParagraph"/>
        <w:spacing w:line="276" w:lineRule="auto"/>
        <w:rPr>
          <w:rFonts w:ascii="Aptos" w:eastAsia="Aptos" w:hAnsi="Aptos" w:cs="Aptos"/>
          <w:color w:val="000000" w:themeColor="text1"/>
        </w:rPr>
      </w:pPr>
      <w:r w:rsidRPr="175C0AEA">
        <w:rPr>
          <w:rFonts w:ascii="Aptos" w:eastAsia="Aptos" w:hAnsi="Aptos" w:cs="Aptos"/>
          <w:color w:val="000000" w:themeColor="text1"/>
          <w:lang w:val="en-GB"/>
        </w:rPr>
        <w:t xml:space="preserve">Review the literature on these MPAs to determine: </w:t>
      </w:r>
    </w:p>
    <w:p w14:paraId="7BAAD63F" w14:textId="138E2B64" w:rsidR="00964799" w:rsidRDefault="72AEBDB4" w:rsidP="175C0AEA">
      <w:pPr>
        <w:pStyle w:val="ListParagraph"/>
        <w:spacing w:line="276" w:lineRule="auto"/>
        <w:rPr>
          <w:rFonts w:ascii="Aptos" w:eastAsia="Aptos" w:hAnsi="Aptos" w:cs="Aptos"/>
          <w:color w:val="000000" w:themeColor="text1"/>
        </w:rPr>
      </w:pPr>
      <w:r w:rsidRPr="175C0AEA">
        <w:rPr>
          <w:rFonts w:ascii="Aptos" w:eastAsia="Aptos" w:hAnsi="Aptos" w:cs="Aptos"/>
          <w:color w:val="000000" w:themeColor="text1"/>
          <w:lang w:val="en-GB"/>
        </w:rPr>
        <w:t>Who was involved in the implementation and/or management of the MPA?</w:t>
      </w:r>
    </w:p>
    <w:p w14:paraId="5C4C398E" w14:textId="26481E53" w:rsidR="00964799" w:rsidRDefault="72AEBDB4" w:rsidP="175C0AEA">
      <w:pPr>
        <w:pStyle w:val="ListParagraph"/>
        <w:spacing w:after="160" w:line="276" w:lineRule="auto"/>
        <w:rPr>
          <w:rFonts w:ascii="Aptos" w:eastAsia="Aptos" w:hAnsi="Aptos" w:cs="Aptos"/>
          <w:color w:val="000000" w:themeColor="text1"/>
        </w:rPr>
      </w:pPr>
      <w:r w:rsidRPr="175C0AEA">
        <w:rPr>
          <w:rFonts w:ascii="Aptos" w:eastAsia="Aptos" w:hAnsi="Aptos" w:cs="Aptos"/>
          <w:color w:val="000000" w:themeColor="text1"/>
          <w:lang w:val="en-GB"/>
        </w:rPr>
        <w:t>Were any methods used to assess the economic, social, and ecological value of the site, in either monetary or non-monetary terms? If so, what were they?</w:t>
      </w:r>
    </w:p>
    <w:p w14:paraId="34986EA6" w14:textId="0C73EF0E" w:rsidR="00964799" w:rsidRDefault="72AEBDB4" w:rsidP="175C0AEA">
      <w:pPr>
        <w:pStyle w:val="ListParagraph"/>
        <w:spacing w:after="160" w:line="276" w:lineRule="auto"/>
        <w:rPr>
          <w:rFonts w:ascii="Aptos" w:eastAsia="Aptos" w:hAnsi="Aptos" w:cs="Aptos"/>
          <w:color w:val="000000" w:themeColor="text1"/>
        </w:rPr>
      </w:pPr>
      <w:r w:rsidRPr="175C0AEA">
        <w:rPr>
          <w:rFonts w:ascii="Aptos" w:eastAsia="Aptos" w:hAnsi="Aptos" w:cs="Aptos"/>
          <w:color w:val="000000" w:themeColor="text1"/>
          <w:lang w:val="en-GB"/>
        </w:rPr>
        <w:t>What measures were implemented to benefit the site’s natural capital? Specifically:</w:t>
      </w:r>
    </w:p>
    <w:p w14:paraId="2D37D260" w14:textId="02A1451A" w:rsidR="00964799" w:rsidRDefault="72AEBDB4" w:rsidP="175C0AEA">
      <w:pPr>
        <w:pStyle w:val="ListParagraph"/>
        <w:spacing w:after="160" w:line="276" w:lineRule="auto"/>
        <w:rPr>
          <w:rFonts w:ascii="Aptos" w:eastAsia="Aptos" w:hAnsi="Aptos" w:cs="Aptos"/>
          <w:color w:val="000000" w:themeColor="text1"/>
        </w:rPr>
      </w:pPr>
      <w:r w:rsidRPr="175C0AEA">
        <w:rPr>
          <w:rFonts w:ascii="Aptos" w:eastAsia="Aptos" w:hAnsi="Aptos" w:cs="Aptos"/>
          <w:color w:val="000000" w:themeColor="text1"/>
          <w:lang w:val="en-GB"/>
        </w:rPr>
        <w:t>Did the measures focus on natural capital assets, or were improvements to ecosystem services and wider benefits explicitly included?</w:t>
      </w:r>
    </w:p>
    <w:p w14:paraId="0B42882B" w14:textId="26C5E7D0" w:rsidR="00964799" w:rsidRDefault="72AEBDB4" w:rsidP="175C0AEA">
      <w:pPr>
        <w:pStyle w:val="ListParagraph"/>
        <w:spacing w:after="160" w:line="276" w:lineRule="auto"/>
        <w:rPr>
          <w:rFonts w:ascii="Aptos" w:eastAsia="Aptos" w:hAnsi="Aptos" w:cs="Aptos"/>
          <w:color w:val="000000" w:themeColor="text1"/>
        </w:rPr>
      </w:pPr>
      <w:r w:rsidRPr="175C0AEA">
        <w:rPr>
          <w:rFonts w:ascii="Aptos" w:eastAsia="Aptos" w:hAnsi="Aptos" w:cs="Aptos"/>
          <w:color w:val="000000" w:themeColor="text1"/>
          <w:lang w:val="en-GB"/>
        </w:rPr>
        <w:t>How were these measures implemented?</w:t>
      </w:r>
    </w:p>
    <w:p w14:paraId="7BF75403" w14:textId="76CB6828" w:rsidR="00964799" w:rsidRDefault="72AEBDB4" w:rsidP="175C0AEA">
      <w:pPr>
        <w:pStyle w:val="ListParagraph"/>
        <w:spacing w:after="160" w:line="276" w:lineRule="auto"/>
        <w:rPr>
          <w:rFonts w:ascii="Aptos" w:eastAsia="Aptos" w:hAnsi="Aptos" w:cs="Aptos"/>
          <w:color w:val="000000" w:themeColor="text1"/>
        </w:rPr>
      </w:pPr>
      <w:r w:rsidRPr="175C0AEA">
        <w:rPr>
          <w:rFonts w:ascii="Aptos" w:eastAsia="Aptos" w:hAnsi="Aptos" w:cs="Aptos"/>
          <w:color w:val="000000" w:themeColor="text1"/>
          <w:lang w:val="en-GB"/>
        </w:rPr>
        <w:t>Were any actions taken to formalise these measures?</w:t>
      </w:r>
    </w:p>
    <w:p w14:paraId="53EBE1B0" w14:textId="55DBC8AE" w:rsidR="00964799" w:rsidRDefault="72AEBDB4" w:rsidP="175C0AEA">
      <w:pPr>
        <w:pStyle w:val="ListParagraph"/>
        <w:spacing w:after="160" w:line="276" w:lineRule="auto"/>
        <w:rPr>
          <w:rFonts w:ascii="Aptos" w:eastAsia="Aptos" w:hAnsi="Aptos" w:cs="Aptos"/>
          <w:color w:val="000000" w:themeColor="text1"/>
        </w:rPr>
      </w:pPr>
      <w:r w:rsidRPr="175C0AEA">
        <w:rPr>
          <w:rFonts w:ascii="Aptos" w:eastAsia="Aptos" w:hAnsi="Aptos" w:cs="Aptos"/>
          <w:color w:val="000000" w:themeColor="text1"/>
          <w:lang w:val="en-GB"/>
        </w:rPr>
        <w:t>Were any funding sources used to facilitate the process? If so, what were they?</w:t>
      </w:r>
    </w:p>
    <w:p w14:paraId="0B408720" w14:textId="475F4AD4" w:rsidR="00964799" w:rsidRDefault="72AEBDB4" w:rsidP="175C0AEA">
      <w:pPr>
        <w:pStyle w:val="ListParagraph"/>
        <w:spacing w:after="160" w:line="276" w:lineRule="auto"/>
        <w:rPr>
          <w:rFonts w:ascii="Aptos" w:eastAsia="Aptos" w:hAnsi="Aptos" w:cs="Aptos"/>
          <w:color w:val="000000" w:themeColor="text1"/>
        </w:rPr>
      </w:pPr>
      <w:r w:rsidRPr="175C0AEA">
        <w:rPr>
          <w:rFonts w:ascii="Aptos" w:eastAsia="Aptos" w:hAnsi="Aptos" w:cs="Aptos"/>
          <w:color w:val="000000" w:themeColor="text1"/>
          <w:lang w:val="en-GB"/>
        </w:rPr>
        <w:t>What aspects of the approach were successful, and what were not? Providing details for reasons behind these outcomes.</w:t>
      </w:r>
    </w:p>
    <w:p w14:paraId="57A65DD0" w14:textId="748D72F0" w:rsidR="00964799" w:rsidRDefault="72AEBDB4" w:rsidP="175C0AEA">
      <w:pPr>
        <w:pStyle w:val="ListParagraph"/>
        <w:spacing w:after="160" w:line="276" w:lineRule="auto"/>
        <w:rPr>
          <w:rFonts w:ascii="Aptos" w:eastAsia="Aptos" w:hAnsi="Aptos" w:cs="Aptos"/>
          <w:color w:val="000000" w:themeColor="text1"/>
        </w:rPr>
      </w:pPr>
      <w:r w:rsidRPr="175C0AEA">
        <w:rPr>
          <w:rFonts w:ascii="Aptos" w:eastAsia="Aptos" w:hAnsi="Aptos" w:cs="Aptos"/>
          <w:color w:val="000000" w:themeColor="text1"/>
          <w:lang w:val="en-GB"/>
        </w:rPr>
        <w:t>Highlight other relevant examples, if found, of where a natural capital approach to MPA management has been employed, even if not community/stakeholder led</w:t>
      </w:r>
    </w:p>
    <w:p w14:paraId="2108757E" w14:textId="5039E1B1" w:rsidR="00964799" w:rsidRDefault="72AEBDB4" w:rsidP="175C0AEA">
      <w:pPr>
        <w:pStyle w:val="ListParagraph"/>
        <w:spacing w:after="160" w:line="276" w:lineRule="auto"/>
        <w:rPr>
          <w:rFonts w:ascii="Aptos" w:eastAsia="Aptos" w:hAnsi="Aptos" w:cs="Aptos"/>
          <w:color w:val="000000" w:themeColor="text1"/>
        </w:rPr>
      </w:pPr>
      <w:r w:rsidRPr="175C0AEA">
        <w:rPr>
          <w:rFonts w:ascii="Aptos" w:eastAsia="Aptos" w:hAnsi="Aptos" w:cs="Aptos"/>
          <w:color w:val="000000" w:themeColor="text1"/>
          <w:lang w:val="en-GB"/>
        </w:rPr>
        <w:t>Communicate these findings to the NE leads of three marine PSS case studies via an interim finding presentation.</w:t>
      </w:r>
    </w:p>
    <w:p w14:paraId="532F7CBC" w14:textId="0D70AA05" w:rsidR="00964799" w:rsidRDefault="72AEBDB4" w:rsidP="175C0AEA">
      <w:pPr>
        <w:pStyle w:val="ListParagraph"/>
        <w:spacing w:after="160" w:line="276" w:lineRule="auto"/>
        <w:rPr>
          <w:rFonts w:ascii="Aptos" w:eastAsia="Aptos" w:hAnsi="Aptos" w:cs="Aptos"/>
          <w:color w:val="000000" w:themeColor="text1"/>
        </w:rPr>
      </w:pPr>
      <w:r w:rsidRPr="175C0AEA">
        <w:rPr>
          <w:rFonts w:ascii="Aptos" w:eastAsia="Aptos" w:hAnsi="Aptos" w:cs="Aptos"/>
          <w:color w:val="000000" w:themeColor="text1"/>
          <w:lang w:val="en-GB"/>
        </w:rPr>
        <w:t>Synthesise the results of the literature review in a final report, including a geographic representation of the MPAs included in the review.</w:t>
      </w:r>
    </w:p>
    <w:p w14:paraId="7077CA2A" w14:textId="02AFA370" w:rsidR="00964799" w:rsidRDefault="72AEBDB4" w:rsidP="175C0AEA">
      <w:pPr>
        <w:spacing w:line="276" w:lineRule="auto"/>
        <w:rPr>
          <w:rFonts w:ascii="Aptos" w:eastAsia="Aptos" w:hAnsi="Aptos" w:cs="Aptos"/>
          <w:color w:val="000000" w:themeColor="text1"/>
        </w:rPr>
      </w:pPr>
      <w:r w:rsidRPr="175C0AEA">
        <w:rPr>
          <w:rFonts w:ascii="Aptos" w:eastAsia="Aptos" w:hAnsi="Aptos" w:cs="Aptos"/>
          <w:color w:val="000000" w:themeColor="text1"/>
          <w:lang w:val="en-GB"/>
        </w:rPr>
        <w:t xml:space="preserve"> </w:t>
      </w:r>
    </w:p>
    <w:p w14:paraId="2DC5A233" w14:textId="03A169D1" w:rsidR="00964799" w:rsidRDefault="3DDFD9BB" w:rsidP="2084FA93">
      <w:pPr>
        <w:pStyle w:val="ListParagraph"/>
        <w:spacing w:line="276" w:lineRule="auto"/>
        <w:ind w:left="360"/>
        <w:rPr>
          <w:rFonts w:ascii="Aptos" w:eastAsia="Aptos" w:hAnsi="Aptos" w:cs="Aptos"/>
          <w:color w:val="000000" w:themeColor="text1"/>
          <w:sz w:val="28"/>
          <w:szCs w:val="28"/>
        </w:rPr>
      </w:pPr>
      <w:r w:rsidRPr="2084FA93">
        <w:rPr>
          <w:rFonts w:ascii="Aptos" w:eastAsia="Aptos" w:hAnsi="Aptos" w:cs="Aptos"/>
          <w:b/>
          <w:bCs/>
          <w:color w:val="000000" w:themeColor="text1"/>
          <w:sz w:val="28"/>
          <w:szCs w:val="28"/>
          <w:lang w:val="en-GB"/>
        </w:rPr>
        <w:t xml:space="preserve">3. </w:t>
      </w:r>
      <w:r w:rsidR="72AEBDB4" w:rsidRPr="2084FA93">
        <w:rPr>
          <w:rFonts w:ascii="Aptos" w:eastAsia="Aptos" w:hAnsi="Aptos" w:cs="Aptos"/>
          <w:b/>
          <w:bCs/>
          <w:color w:val="000000" w:themeColor="text1"/>
          <w:sz w:val="28"/>
          <w:szCs w:val="28"/>
          <w:lang w:val="en-GB"/>
        </w:rPr>
        <w:t>Methods</w:t>
      </w:r>
    </w:p>
    <w:p w14:paraId="3BC796F1" w14:textId="7FECCDFA" w:rsidR="00964799" w:rsidRDefault="72AEBDB4" w:rsidP="175C0AEA">
      <w:pPr>
        <w:spacing w:line="276" w:lineRule="auto"/>
        <w:jc w:val="both"/>
        <w:rPr>
          <w:rFonts w:ascii="Aptos" w:eastAsia="Aptos" w:hAnsi="Aptos" w:cs="Aptos"/>
          <w:color w:val="000000" w:themeColor="text1"/>
        </w:rPr>
      </w:pPr>
      <w:r w:rsidRPr="175C0AEA">
        <w:rPr>
          <w:rFonts w:ascii="Aptos" w:eastAsia="Aptos" w:hAnsi="Aptos" w:cs="Aptos"/>
          <w:color w:val="000000" w:themeColor="text1"/>
          <w:lang w:val="en-GB"/>
        </w:rPr>
        <w:t>The successful Contractor will need to apply suitable analytical methods to meet the project aims and objectives outlined above. We anticipate that a snowballing approach to the literature review may be more appropriate than structured or systematic methods to literature reviewing, such as quick scoping reviews and rapid evidence assessments. The contractor should be prepared to take a flexible approach and work closely with the NE project team to help evolve the direction of the review throughout the course of the project. The quotation should include a proposed methodology and examples of previous literature reviews conducted by the Contractor.</w:t>
      </w:r>
    </w:p>
    <w:p w14:paraId="5F5EDD1A" w14:textId="1EC89A32" w:rsidR="00964799" w:rsidRDefault="00964799" w:rsidP="175C0AEA">
      <w:pPr>
        <w:spacing w:line="276" w:lineRule="auto"/>
        <w:jc w:val="both"/>
        <w:rPr>
          <w:rFonts w:ascii="Aptos" w:eastAsia="Aptos" w:hAnsi="Aptos" w:cs="Aptos"/>
          <w:color w:val="000000" w:themeColor="text1"/>
        </w:rPr>
      </w:pPr>
    </w:p>
    <w:p w14:paraId="4ED54601" w14:textId="1BF934A8" w:rsidR="00964799" w:rsidRDefault="72AEBDB4" w:rsidP="175C0AEA">
      <w:pPr>
        <w:spacing w:line="276" w:lineRule="auto"/>
        <w:jc w:val="both"/>
        <w:rPr>
          <w:rFonts w:ascii="Aptos" w:eastAsia="Aptos" w:hAnsi="Aptos" w:cs="Aptos"/>
          <w:color w:val="000000" w:themeColor="text1"/>
        </w:rPr>
      </w:pPr>
      <w:r w:rsidRPr="175C0AEA">
        <w:rPr>
          <w:rFonts w:ascii="Aptos" w:eastAsia="Aptos" w:hAnsi="Aptos" w:cs="Aptos"/>
          <w:color w:val="000000" w:themeColor="text1"/>
          <w:lang w:val="en-GB"/>
        </w:rPr>
        <w:t>Below, we provide a preliminary framework for project delivery. However, we welcome alternative approaches in your proposed methodology, provided that a clear justification is included.</w:t>
      </w:r>
    </w:p>
    <w:p w14:paraId="13DA9755" w14:textId="1BB0A024" w:rsidR="00964799" w:rsidRDefault="72AEBDB4" w:rsidP="175C0AEA">
      <w:pPr>
        <w:spacing w:line="276" w:lineRule="auto"/>
        <w:jc w:val="both"/>
        <w:rPr>
          <w:rFonts w:ascii="Aptos" w:eastAsia="Aptos" w:hAnsi="Aptos" w:cs="Aptos"/>
          <w:color w:val="000000" w:themeColor="text1"/>
        </w:rPr>
      </w:pPr>
      <w:r w:rsidRPr="175C0AEA">
        <w:rPr>
          <w:rFonts w:ascii="Aptos" w:eastAsia="Aptos" w:hAnsi="Aptos" w:cs="Aptos"/>
          <w:color w:val="000000" w:themeColor="text1"/>
          <w:lang w:val="en-GB"/>
        </w:rPr>
        <w:t xml:space="preserve"> </w:t>
      </w:r>
    </w:p>
    <w:p w14:paraId="3DEAF550" w14:textId="5C514E28" w:rsidR="00964799" w:rsidRDefault="6D5A7675" w:rsidP="2E90EF12">
      <w:pPr>
        <w:pStyle w:val="ListParagraph"/>
        <w:spacing w:line="276" w:lineRule="auto"/>
        <w:rPr>
          <w:rFonts w:ascii="Aptos" w:eastAsia="Aptos" w:hAnsi="Aptos" w:cs="Aptos"/>
          <w:color w:val="000000" w:themeColor="text1"/>
        </w:rPr>
      </w:pPr>
      <w:r w:rsidRPr="2E90EF12">
        <w:rPr>
          <w:rFonts w:ascii="Aptos" w:eastAsia="Aptos" w:hAnsi="Aptos" w:cs="Aptos"/>
          <w:b/>
          <w:bCs/>
          <w:color w:val="000000" w:themeColor="text1"/>
          <w:lang w:val="en-GB"/>
        </w:rPr>
        <w:t xml:space="preserve">3.1. </w:t>
      </w:r>
      <w:r w:rsidR="72AEBDB4" w:rsidRPr="2E90EF12">
        <w:rPr>
          <w:rFonts w:ascii="Aptos" w:eastAsia="Aptos" w:hAnsi="Aptos" w:cs="Aptos"/>
          <w:b/>
          <w:bCs/>
          <w:color w:val="000000" w:themeColor="text1"/>
          <w:lang w:val="en-GB"/>
        </w:rPr>
        <w:t>Initial Meeting</w:t>
      </w:r>
    </w:p>
    <w:p w14:paraId="650D9668" w14:textId="1FB88CE6" w:rsidR="00964799" w:rsidRDefault="72AEBDB4" w:rsidP="175C0AEA">
      <w:pPr>
        <w:spacing w:line="276" w:lineRule="auto"/>
        <w:jc w:val="both"/>
        <w:rPr>
          <w:rFonts w:ascii="Aptos" w:eastAsia="Aptos" w:hAnsi="Aptos" w:cs="Aptos"/>
          <w:color w:val="000000" w:themeColor="text1"/>
        </w:rPr>
      </w:pPr>
      <w:r w:rsidRPr="175C0AEA">
        <w:rPr>
          <w:rFonts w:ascii="Aptos" w:eastAsia="Aptos" w:hAnsi="Aptos" w:cs="Aptos"/>
          <w:color w:val="000000" w:themeColor="text1"/>
          <w:lang w:val="en-GB"/>
        </w:rPr>
        <w:t xml:space="preserve">The contractor will attend an initial meeting with NE specialists to discuss the project, review the aims and objectives, and agree upon a general approach, milestones, and expectations. </w:t>
      </w:r>
    </w:p>
    <w:p w14:paraId="3B16A4FD" w14:textId="351D1596" w:rsidR="00964799" w:rsidRDefault="00964799" w:rsidP="175C0AEA">
      <w:pPr>
        <w:spacing w:line="276" w:lineRule="auto"/>
        <w:rPr>
          <w:rFonts w:ascii="Aptos" w:eastAsia="Aptos" w:hAnsi="Aptos" w:cs="Aptos"/>
          <w:color w:val="000000" w:themeColor="text1"/>
        </w:rPr>
      </w:pPr>
    </w:p>
    <w:p w14:paraId="042AD1F9" w14:textId="4CEEC460" w:rsidR="00964799" w:rsidRDefault="3494B467" w:rsidP="2E90EF12">
      <w:pPr>
        <w:pStyle w:val="ListParagraph"/>
        <w:spacing w:line="276" w:lineRule="auto"/>
        <w:rPr>
          <w:rFonts w:ascii="Aptos" w:eastAsia="Aptos" w:hAnsi="Aptos" w:cs="Aptos"/>
          <w:color w:val="000000" w:themeColor="text1"/>
        </w:rPr>
      </w:pPr>
      <w:r w:rsidRPr="2E90EF12">
        <w:rPr>
          <w:rFonts w:ascii="Aptos" w:eastAsia="Aptos" w:hAnsi="Aptos" w:cs="Aptos"/>
          <w:b/>
          <w:bCs/>
          <w:color w:val="000000" w:themeColor="text1"/>
          <w:lang w:val="en-GB"/>
        </w:rPr>
        <w:t xml:space="preserve">3.2. </w:t>
      </w:r>
      <w:r w:rsidR="72AEBDB4" w:rsidRPr="2E90EF12">
        <w:rPr>
          <w:rFonts w:ascii="Aptos" w:eastAsia="Aptos" w:hAnsi="Aptos" w:cs="Aptos"/>
          <w:b/>
          <w:bCs/>
          <w:color w:val="000000" w:themeColor="text1"/>
          <w:lang w:val="en-GB"/>
        </w:rPr>
        <w:t>Progress Updates</w:t>
      </w:r>
    </w:p>
    <w:p w14:paraId="1F031FAD" w14:textId="2E22A5D4" w:rsidR="00964799" w:rsidRDefault="72AEBDB4" w:rsidP="175C0AEA">
      <w:pPr>
        <w:spacing w:after="160" w:line="276" w:lineRule="auto"/>
        <w:rPr>
          <w:rFonts w:ascii="Aptos" w:eastAsia="Aptos" w:hAnsi="Aptos" w:cs="Aptos"/>
          <w:color w:val="000000" w:themeColor="text1"/>
        </w:rPr>
      </w:pPr>
      <w:r w:rsidRPr="175C0AEA">
        <w:rPr>
          <w:rFonts w:ascii="Aptos" w:eastAsia="Aptos" w:hAnsi="Aptos" w:cs="Aptos"/>
          <w:color w:val="000000" w:themeColor="text1"/>
          <w:lang w:val="en-GB"/>
        </w:rPr>
        <w:t>The contractor will attend regular progress update meetings with the NE project team. We would like the contract to be highly collaborative, delivered in an agile manner to facilitate knowledge exchange throughout project. Initially, the progress update meetings will focus on discussing the general approach to literature searching and identifying potential avenues for further investigation. They will also provide an opportunity to track the scope of the review, ensuring that a wide range of natural capital approaches and MPAs are covered by the review. Initially, the progress update meetings will be fortnightly, however the frequency of update meeting can be reviewed as the project progresses.</w:t>
      </w:r>
    </w:p>
    <w:p w14:paraId="487F60DB" w14:textId="5E4CCA83" w:rsidR="00964799" w:rsidRDefault="09E45C22" w:rsidP="2E90EF12">
      <w:pPr>
        <w:pStyle w:val="ListParagraph"/>
        <w:spacing w:line="276" w:lineRule="auto"/>
        <w:rPr>
          <w:rFonts w:ascii="Aptos" w:eastAsia="Aptos" w:hAnsi="Aptos" w:cs="Aptos"/>
          <w:color w:val="000000" w:themeColor="text1"/>
        </w:rPr>
      </w:pPr>
      <w:r w:rsidRPr="2E90EF12">
        <w:rPr>
          <w:rFonts w:ascii="Aptos" w:eastAsia="Aptos" w:hAnsi="Aptos" w:cs="Aptos"/>
          <w:b/>
          <w:bCs/>
          <w:color w:val="000000" w:themeColor="text1"/>
          <w:lang w:val="en-GB"/>
        </w:rPr>
        <w:t xml:space="preserve">3.3. </w:t>
      </w:r>
      <w:r w:rsidR="72AEBDB4" w:rsidRPr="2E90EF12">
        <w:rPr>
          <w:rFonts w:ascii="Aptos" w:eastAsia="Aptos" w:hAnsi="Aptos" w:cs="Aptos"/>
          <w:b/>
          <w:bCs/>
          <w:color w:val="000000" w:themeColor="text1"/>
          <w:lang w:val="en-GB"/>
        </w:rPr>
        <w:t>Reporting</w:t>
      </w:r>
    </w:p>
    <w:p w14:paraId="1F92679D" w14:textId="1A595DC4" w:rsidR="00964799" w:rsidRDefault="14417564" w:rsidP="2E90EF12">
      <w:pPr>
        <w:pStyle w:val="ListParagraph"/>
        <w:spacing w:line="276" w:lineRule="auto"/>
        <w:rPr>
          <w:rFonts w:ascii="Aptos" w:eastAsia="Aptos" w:hAnsi="Aptos" w:cs="Aptos"/>
          <w:color w:val="000000" w:themeColor="text1"/>
        </w:rPr>
      </w:pPr>
      <w:r w:rsidRPr="2E90EF12">
        <w:rPr>
          <w:rFonts w:ascii="Aptos" w:eastAsia="Aptos" w:hAnsi="Aptos" w:cs="Aptos"/>
          <w:i/>
          <w:iCs/>
          <w:color w:val="000000" w:themeColor="text1"/>
          <w:lang w:val="en-GB"/>
        </w:rPr>
        <w:t xml:space="preserve">3.3.1. </w:t>
      </w:r>
      <w:r w:rsidR="72AEBDB4" w:rsidRPr="2E90EF12">
        <w:rPr>
          <w:rFonts w:ascii="Aptos" w:eastAsia="Aptos" w:hAnsi="Aptos" w:cs="Aptos"/>
          <w:i/>
          <w:iCs/>
          <w:color w:val="000000" w:themeColor="text1"/>
          <w:lang w:val="en-GB"/>
        </w:rPr>
        <w:t>Interim Findings Presentation</w:t>
      </w:r>
    </w:p>
    <w:p w14:paraId="7E8E12A3" w14:textId="26D27858" w:rsidR="00964799" w:rsidRDefault="72AEBDB4" w:rsidP="175C0AEA">
      <w:pPr>
        <w:spacing w:line="276" w:lineRule="auto"/>
        <w:rPr>
          <w:rFonts w:ascii="Aptos" w:eastAsia="Aptos" w:hAnsi="Aptos" w:cs="Aptos"/>
          <w:color w:val="000000" w:themeColor="text1"/>
        </w:rPr>
      </w:pPr>
      <w:r w:rsidRPr="175C0AEA">
        <w:rPr>
          <w:rFonts w:ascii="Aptos" w:eastAsia="Aptos" w:hAnsi="Aptos" w:cs="Aptos"/>
          <w:color w:val="000000" w:themeColor="text1"/>
          <w:lang w:val="en-GB"/>
        </w:rPr>
        <w:t>The contractor will present interim findings to NE staff prior to the hand in of the final report. It will detail key findings from the literature review and provide an opportunity for findings to be considered in the context of the marine PSS case studies, ahead of receiving the finalised review.</w:t>
      </w:r>
    </w:p>
    <w:p w14:paraId="1D57A95C" w14:textId="3B4AE478" w:rsidR="00964799" w:rsidRDefault="50C3056B" w:rsidP="2E90EF12">
      <w:pPr>
        <w:pStyle w:val="ListParagraph"/>
        <w:spacing w:line="276" w:lineRule="auto"/>
        <w:rPr>
          <w:rFonts w:ascii="Aptos" w:eastAsia="Aptos" w:hAnsi="Aptos" w:cs="Aptos"/>
          <w:color w:val="000000" w:themeColor="text1"/>
        </w:rPr>
      </w:pPr>
      <w:r w:rsidRPr="2E90EF12">
        <w:rPr>
          <w:rFonts w:ascii="Aptos" w:eastAsia="Aptos" w:hAnsi="Aptos" w:cs="Aptos"/>
          <w:i/>
          <w:iCs/>
          <w:color w:val="000000" w:themeColor="text1"/>
          <w:lang w:val="en-GB"/>
        </w:rPr>
        <w:t xml:space="preserve">3.3.1. </w:t>
      </w:r>
      <w:r w:rsidR="72AEBDB4" w:rsidRPr="2E90EF12">
        <w:rPr>
          <w:rFonts w:ascii="Aptos" w:eastAsia="Aptos" w:hAnsi="Aptos" w:cs="Aptos"/>
          <w:i/>
          <w:iCs/>
          <w:color w:val="000000" w:themeColor="text1"/>
          <w:lang w:val="en-GB"/>
        </w:rPr>
        <w:t>Final Report</w:t>
      </w:r>
    </w:p>
    <w:p w14:paraId="6D55C129" w14:textId="090C568D" w:rsidR="00964799" w:rsidRDefault="72AEBDB4" w:rsidP="175C0AEA">
      <w:pPr>
        <w:spacing w:line="276" w:lineRule="auto"/>
        <w:jc w:val="both"/>
        <w:rPr>
          <w:rFonts w:ascii="Aptos" w:eastAsia="Aptos" w:hAnsi="Aptos" w:cs="Aptos"/>
          <w:color w:val="000000" w:themeColor="text1"/>
        </w:rPr>
      </w:pPr>
      <w:r w:rsidRPr="175C0AEA">
        <w:rPr>
          <w:rFonts w:ascii="Aptos" w:eastAsia="Aptos" w:hAnsi="Aptos" w:cs="Aptos"/>
          <w:color w:val="000000" w:themeColor="text1"/>
          <w:lang w:val="en-GB"/>
        </w:rPr>
        <w:t>The contractor will provide a table of results and report covering the introduction, methods, results, and discussion of findings from the literature review. The report should include an Appendix detailing all the MPAs included in the review.</w:t>
      </w:r>
    </w:p>
    <w:p w14:paraId="652AA385" w14:textId="0D25E04E" w:rsidR="00964799" w:rsidRDefault="72AEBDB4" w:rsidP="175C0AEA">
      <w:pPr>
        <w:spacing w:line="276" w:lineRule="auto"/>
        <w:jc w:val="both"/>
        <w:rPr>
          <w:rFonts w:ascii="Aptos" w:eastAsia="Aptos" w:hAnsi="Aptos" w:cs="Aptos"/>
          <w:color w:val="1D70B8"/>
        </w:rPr>
      </w:pPr>
      <w:r w:rsidRPr="175C0AEA">
        <w:rPr>
          <w:rFonts w:ascii="Aptos" w:eastAsia="Aptos" w:hAnsi="Aptos" w:cs="Aptos"/>
          <w:color w:val="000000" w:themeColor="text1"/>
          <w:lang w:val="en-GB"/>
        </w:rPr>
        <w:t>Natural England will provide a report template and guidance to be used for all reporting (</w:t>
      </w:r>
      <w:hyperlink r:id="rId18">
        <w:r w:rsidRPr="175C0AEA">
          <w:rPr>
            <w:rStyle w:val="Hyperlink"/>
            <w:rFonts w:ascii="Aptos" w:eastAsia="Aptos" w:hAnsi="Aptos" w:cs="Aptos"/>
            <w:lang w:val="en-GB"/>
          </w:rPr>
          <w:t>Natural England publishing standards for commissioned reports - NECR000</w:t>
        </w:r>
      </w:hyperlink>
      <w:r w:rsidRPr="175C0AEA">
        <w:rPr>
          <w:rFonts w:ascii="Aptos" w:eastAsia="Aptos" w:hAnsi="Aptos" w:cs="Aptos"/>
          <w:color w:val="1D70B8"/>
          <w:u w:val="single"/>
          <w:lang w:val="en-GB"/>
        </w:rPr>
        <w:t>)</w:t>
      </w:r>
    </w:p>
    <w:p w14:paraId="3A07E13D" w14:textId="7F4FFEE8" w:rsidR="00964799" w:rsidRDefault="72AEBDB4" w:rsidP="175C0AEA">
      <w:pPr>
        <w:spacing w:line="276" w:lineRule="auto"/>
        <w:jc w:val="both"/>
        <w:rPr>
          <w:rFonts w:ascii="Aptos" w:eastAsia="Aptos" w:hAnsi="Aptos" w:cs="Aptos"/>
          <w:color w:val="000000" w:themeColor="text1"/>
        </w:rPr>
      </w:pPr>
      <w:r w:rsidRPr="175C0AEA">
        <w:rPr>
          <w:rFonts w:ascii="Aptos" w:eastAsia="Aptos" w:hAnsi="Aptos" w:cs="Aptos"/>
          <w:color w:val="000000" w:themeColor="text1"/>
          <w:lang w:val="en-GB"/>
        </w:rPr>
        <w:t xml:space="preserve"> </w:t>
      </w:r>
    </w:p>
    <w:p w14:paraId="2FDC7325" w14:textId="0AE2E6A0" w:rsidR="00964799" w:rsidRDefault="3D713866" w:rsidP="1A042100">
      <w:pPr>
        <w:pStyle w:val="ListParagraph"/>
        <w:spacing w:line="276" w:lineRule="auto"/>
        <w:rPr>
          <w:rFonts w:ascii="Aptos" w:eastAsia="Aptos" w:hAnsi="Aptos" w:cs="Aptos"/>
          <w:color w:val="000000" w:themeColor="text1"/>
          <w:sz w:val="28"/>
          <w:szCs w:val="28"/>
        </w:rPr>
      </w:pPr>
      <w:r w:rsidRPr="1A042100">
        <w:rPr>
          <w:rFonts w:ascii="Aptos" w:eastAsia="Aptos" w:hAnsi="Aptos" w:cs="Aptos"/>
          <w:b/>
          <w:bCs/>
          <w:color w:val="000000" w:themeColor="text1"/>
          <w:sz w:val="28"/>
          <w:szCs w:val="28"/>
          <w:lang w:val="en-GB"/>
        </w:rPr>
        <w:t xml:space="preserve">4. </w:t>
      </w:r>
      <w:r w:rsidR="72AEBDB4" w:rsidRPr="1A042100">
        <w:rPr>
          <w:rFonts w:ascii="Aptos" w:eastAsia="Aptos" w:hAnsi="Aptos" w:cs="Aptos"/>
          <w:b/>
          <w:bCs/>
          <w:color w:val="000000" w:themeColor="text1"/>
          <w:sz w:val="28"/>
          <w:szCs w:val="28"/>
          <w:lang w:val="en-GB"/>
        </w:rPr>
        <w:t>Requirements</w:t>
      </w:r>
    </w:p>
    <w:p w14:paraId="536771AE" w14:textId="407BD3AF" w:rsidR="00964799" w:rsidRDefault="72AEBDB4" w:rsidP="175C0AEA">
      <w:pPr>
        <w:spacing w:after="160" w:line="276" w:lineRule="auto"/>
        <w:rPr>
          <w:rFonts w:ascii="Aptos" w:eastAsia="Aptos" w:hAnsi="Aptos" w:cs="Aptos"/>
          <w:color w:val="000000" w:themeColor="text1"/>
        </w:rPr>
      </w:pPr>
      <w:r w:rsidRPr="175C0AEA">
        <w:rPr>
          <w:rFonts w:ascii="Aptos" w:eastAsia="Aptos" w:hAnsi="Aptos" w:cs="Aptos"/>
          <w:color w:val="000000" w:themeColor="text1"/>
          <w:lang w:val="en-GB"/>
        </w:rPr>
        <w:t xml:space="preserve">To enable successful delivery, the successful Contractor is expected to:  </w:t>
      </w:r>
    </w:p>
    <w:p w14:paraId="6E34F648" w14:textId="328B4CDA" w:rsidR="00964799" w:rsidRDefault="72AEBDB4" w:rsidP="175C0AEA">
      <w:pPr>
        <w:spacing w:after="160" w:line="276" w:lineRule="auto"/>
        <w:rPr>
          <w:rFonts w:ascii="Aptos" w:eastAsia="Aptos" w:hAnsi="Aptos" w:cs="Aptos"/>
          <w:color w:val="000000" w:themeColor="text1"/>
        </w:rPr>
      </w:pPr>
      <w:r w:rsidRPr="175C0AEA">
        <w:rPr>
          <w:rFonts w:ascii="Aptos" w:eastAsia="Aptos" w:hAnsi="Aptos" w:cs="Aptos"/>
          <w:color w:val="000000" w:themeColor="text1"/>
          <w:lang w:val="en-GB"/>
        </w:rPr>
        <w:t>Submit an Interim Findings Presentation.</w:t>
      </w:r>
    </w:p>
    <w:p w14:paraId="6F13AD81" w14:textId="7EF1CB86" w:rsidR="00964799" w:rsidRDefault="72AEBDB4" w:rsidP="175C0AEA">
      <w:pPr>
        <w:spacing w:after="160" w:line="276" w:lineRule="auto"/>
        <w:rPr>
          <w:rFonts w:ascii="Aptos" w:eastAsia="Aptos" w:hAnsi="Aptos" w:cs="Aptos"/>
          <w:color w:val="000000" w:themeColor="text1"/>
        </w:rPr>
      </w:pPr>
      <w:r w:rsidRPr="175C0AEA">
        <w:rPr>
          <w:rFonts w:ascii="Aptos" w:eastAsia="Aptos" w:hAnsi="Aptos" w:cs="Aptos"/>
          <w:color w:val="000000" w:themeColor="text1"/>
          <w:lang w:val="en-GB"/>
        </w:rPr>
        <w:t>Submit a Final Report.</w:t>
      </w:r>
    </w:p>
    <w:p w14:paraId="73C35D28" w14:textId="2F11F938" w:rsidR="00964799" w:rsidRDefault="173B916D" w:rsidP="1A042100">
      <w:pPr>
        <w:pStyle w:val="ListParagraph"/>
        <w:spacing w:line="276" w:lineRule="auto"/>
        <w:rPr>
          <w:rFonts w:ascii="Aptos" w:eastAsia="Aptos" w:hAnsi="Aptos" w:cs="Aptos"/>
          <w:color w:val="000000" w:themeColor="text1"/>
        </w:rPr>
      </w:pPr>
      <w:r w:rsidRPr="1A042100">
        <w:rPr>
          <w:rFonts w:ascii="Aptos" w:eastAsia="Aptos" w:hAnsi="Aptos" w:cs="Aptos"/>
          <w:b/>
          <w:bCs/>
          <w:color w:val="000000" w:themeColor="text1"/>
          <w:lang w:val="en-GB"/>
        </w:rPr>
        <w:t xml:space="preserve">4.1. </w:t>
      </w:r>
      <w:r w:rsidR="72AEBDB4" w:rsidRPr="1A042100">
        <w:rPr>
          <w:rFonts w:ascii="Aptos" w:eastAsia="Aptos" w:hAnsi="Aptos" w:cs="Aptos"/>
          <w:b/>
          <w:bCs/>
          <w:color w:val="000000" w:themeColor="text1"/>
          <w:lang w:val="en-GB"/>
        </w:rPr>
        <w:t>Project deliverables</w:t>
      </w:r>
    </w:p>
    <w:p w14:paraId="21658C6C" w14:textId="6D45F0B6" w:rsidR="00964799" w:rsidRDefault="72AEBDB4" w:rsidP="175C0AEA">
      <w:pPr>
        <w:spacing w:line="276" w:lineRule="auto"/>
        <w:jc w:val="both"/>
        <w:rPr>
          <w:rFonts w:ascii="Aptos" w:eastAsia="Aptos" w:hAnsi="Aptos" w:cs="Aptos"/>
          <w:color w:val="1D70B8"/>
        </w:rPr>
      </w:pPr>
      <w:r w:rsidRPr="175C0AEA">
        <w:rPr>
          <w:rFonts w:ascii="Aptos" w:eastAsia="Aptos" w:hAnsi="Aptos" w:cs="Aptos"/>
          <w:color w:val="000000" w:themeColor="text1"/>
          <w:lang w:val="en-GB"/>
        </w:rPr>
        <w:t>The report will follow the Natural England guidance and report template to meet accessibility criteria (</w:t>
      </w:r>
      <w:hyperlink r:id="rId19">
        <w:r w:rsidRPr="175C0AEA">
          <w:rPr>
            <w:rStyle w:val="Hyperlink"/>
            <w:rFonts w:ascii="Aptos" w:eastAsia="Aptos" w:hAnsi="Aptos" w:cs="Aptos"/>
            <w:lang w:val="en-GB"/>
          </w:rPr>
          <w:t>Natural England publishing standards for commissioned reports - NECR000</w:t>
        </w:r>
      </w:hyperlink>
      <w:r w:rsidRPr="175C0AEA">
        <w:rPr>
          <w:rFonts w:ascii="Aptos" w:eastAsia="Aptos" w:hAnsi="Aptos" w:cs="Aptos"/>
          <w:color w:val="1D70B8"/>
          <w:u w:val="single"/>
          <w:lang w:val="en-GB"/>
        </w:rPr>
        <w:t>)</w:t>
      </w:r>
    </w:p>
    <w:p w14:paraId="04CC2C40" w14:textId="56720579" w:rsidR="00964799" w:rsidRDefault="72AEBDB4" w:rsidP="175C0AEA">
      <w:pPr>
        <w:spacing w:after="160" w:line="276" w:lineRule="auto"/>
        <w:rPr>
          <w:rFonts w:ascii="Aptos" w:eastAsia="Aptos" w:hAnsi="Aptos" w:cs="Aptos"/>
          <w:color w:val="000000" w:themeColor="text1"/>
        </w:rPr>
      </w:pPr>
      <w:r w:rsidRPr="175C0AEA">
        <w:rPr>
          <w:rFonts w:ascii="Aptos" w:eastAsia="Aptos" w:hAnsi="Aptos" w:cs="Aptos"/>
          <w:color w:val="000000" w:themeColor="text1"/>
          <w:lang w:val="en-GB"/>
        </w:rPr>
        <w:t>All data provided must comply with Natural England metadata standards and GIS formats as outlined at Annex 1.</w:t>
      </w:r>
    </w:p>
    <w:p w14:paraId="36FCD03E" w14:textId="4DB0219E" w:rsidR="00964799" w:rsidRDefault="6FC12E4B" w:rsidP="1A91C8FD">
      <w:pPr>
        <w:pStyle w:val="ListParagraph"/>
        <w:spacing w:line="276" w:lineRule="auto"/>
        <w:rPr>
          <w:rFonts w:ascii="Aptos" w:eastAsia="Aptos" w:hAnsi="Aptos" w:cs="Aptos"/>
          <w:color w:val="000000" w:themeColor="text1"/>
        </w:rPr>
      </w:pPr>
      <w:r w:rsidRPr="1A91C8FD">
        <w:rPr>
          <w:rFonts w:ascii="Aptos" w:eastAsia="Aptos" w:hAnsi="Aptos" w:cs="Aptos"/>
          <w:b/>
          <w:bCs/>
          <w:color w:val="000000" w:themeColor="text1"/>
          <w:lang w:val="en-GB"/>
        </w:rPr>
        <w:t xml:space="preserve">4.2. </w:t>
      </w:r>
      <w:r w:rsidR="72AEBDB4" w:rsidRPr="1A91C8FD">
        <w:rPr>
          <w:rFonts w:ascii="Aptos" w:eastAsia="Aptos" w:hAnsi="Aptos" w:cs="Aptos"/>
          <w:b/>
          <w:bCs/>
          <w:color w:val="000000" w:themeColor="text1"/>
          <w:lang w:val="en-GB"/>
        </w:rPr>
        <w:t>Data ownership, intellectual property rights and copyright</w:t>
      </w:r>
    </w:p>
    <w:p w14:paraId="095FD220" w14:textId="304DB45F" w:rsidR="00964799" w:rsidRDefault="72AEBDB4" w:rsidP="175C0AEA">
      <w:pPr>
        <w:spacing w:after="160" w:line="276" w:lineRule="auto"/>
        <w:rPr>
          <w:rFonts w:ascii="Aptos" w:eastAsia="Aptos" w:hAnsi="Aptos" w:cs="Aptos"/>
          <w:color w:val="000000" w:themeColor="text1"/>
        </w:rPr>
      </w:pPr>
      <w:r w:rsidRPr="175C0AEA">
        <w:rPr>
          <w:rFonts w:ascii="Aptos" w:eastAsia="Aptos" w:hAnsi="Aptos" w:cs="Aptos"/>
          <w:color w:val="000000" w:themeColor="text1"/>
          <w:lang w:val="en-GB"/>
        </w:rPr>
        <w:t>All data captured and produced shall be fully owned by and copyrighted to Natural England. This shall include any intellectual property rights that might otherwise impede on Natural England’s usage and data sharing of the outputs. Natural England may share any project outputs with third parties including for the purposes of additional analyses outside the final scope of any contract awarded against this statement of requirements. Any data supplied by Natural England to potential bidders and the successful contractor are for use in this project only and should not be retained once the bidding process (for unsuccessful bidders) or project (for the successful contractor) has been completed. In addition, neither bidders nor the successful contractor must pass such data on to any third parties unless with explicit prior permission from Natural England. The contractor is responsible for ensuring that all products submitted are of a satisfactory standard. The Natural England Nominated Officer may undertake a QA review of all project deliverables, including image analyses, prior to approving subsequent payment for the work.</w:t>
      </w:r>
    </w:p>
    <w:p w14:paraId="3246F048" w14:textId="6E7FCF2E" w:rsidR="00964799" w:rsidRDefault="71CA82B6" w:rsidP="1A91C8FD">
      <w:pPr>
        <w:pStyle w:val="ListParagraph"/>
        <w:spacing w:line="276" w:lineRule="auto"/>
        <w:rPr>
          <w:rFonts w:ascii="Aptos" w:eastAsia="Aptos" w:hAnsi="Aptos" w:cs="Aptos"/>
          <w:color w:val="000000" w:themeColor="text1"/>
        </w:rPr>
      </w:pPr>
      <w:r w:rsidRPr="1A91C8FD">
        <w:rPr>
          <w:rFonts w:ascii="Aptos" w:eastAsia="Aptos" w:hAnsi="Aptos" w:cs="Aptos"/>
          <w:b/>
          <w:bCs/>
          <w:color w:val="000000" w:themeColor="text1"/>
          <w:lang w:val="en-GB"/>
        </w:rPr>
        <w:t xml:space="preserve">4.3. </w:t>
      </w:r>
      <w:r w:rsidR="72AEBDB4" w:rsidRPr="1A91C8FD">
        <w:rPr>
          <w:rFonts w:ascii="Aptos" w:eastAsia="Aptos" w:hAnsi="Aptos" w:cs="Aptos"/>
          <w:b/>
          <w:bCs/>
          <w:color w:val="000000" w:themeColor="text1"/>
          <w:lang w:val="en-GB"/>
        </w:rPr>
        <w:t>Timescales, milestones, and payment schedule</w:t>
      </w:r>
    </w:p>
    <w:p w14:paraId="445FD59F" w14:textId="30C8D475" w:rsidR="00964799" w:rsidRDefault="72AEBDB4" w:rsidP="175C0AEA">
      <w:pPr>
        <w:spacing w:line="276" w:lineRule="auto"/>
        <w:jc w:val="both"/>
        <w:rPr>
          <w:rFonts w:ascii="Aptos" w:eastAsia="Aptos" w:hAnsi="Aptos" w:cs="Aptos"/>
          <w:color w:val="000000" w:themeColor="text1"/>
        </w:rPr>
      </w:pPr>
      <w:r w:rsidRPr="175C0AEA">
        <w:rPr>
          <w:rFonts w:ascii="Aptos" w:eastAsia="Aptos" w:hAnsi="Aptos" w:cs="Aptos"/>
          <w:color w:val="000000" w:themeColor="text1"/>
          <w:lang w:val="en-GB"/>
        </w:rPr>
        <w:t xml:space="preserve">The intended timetable for this tender process is: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595"/>
        <w:gridCol w:w="4020"/>
      </w:tblGrid>
      <w:tr w:rsidR="175C0AEA" w14:paraId="301480DF" w14:textId="77777777" w:rsidTr="072C6247">
        <w:trPr>
          <w:trHeight w:val="285"/>
        </w:trPr>
        <w:tc>
          <w:tcPr>
            <w:tcW w:w="5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EAAAA" w:themeFill="background2" w:themeFillShade="BF"/>
            <w:tcMar>
              <w:left w:w="105" w:type="dxa"/>
              <w:right w:w="105" w:type="dxa"/>
            </w:tcMar>
          </w:tcPr>
          <w:p w14:paraId="72E85F18" w14:textId="2126CD54" w:rsidR="175C0AEA" w:rsidRDefault="175C0AEA" w:rsidP="175C0AEA">
            <w:pPr>
              <w:spacing w:line="276" w:lineRule="auto"/>
              <w:jc w:val="both"/>
              <w:rPr>
                <w:rFonts w:ascii="Aptos" w:eastAsia="Aptos" w:hAnsi="Aptos" w:cs="Aptos"/>
                <w:color w:val="000000" w:themeColor="text1"/>
              </w:rPr>
            </w:pPr>
            <w:r w:rsidRPr="175C0AEA">
              <w:rPr>
                <w:rFonts w:ascii="Aptos" w:eastAsia="Aptos" w:hAnsi="Aptos" w:cs="Aptos"/>
                <w:b/>
                <w:bCs/>
                <w:color w:val="000000" w:themeColor="text1"/>
                <w:lang w:val="en-GB"/>
              </w:rPr>
              <w:t>Activity</w:t>
            </w:r>
            <w:r w:rsidRPr="175C0AEA">
              <w:rPr>
                <w:rFonts w:ascii="Aptos" w:eastAsia="Aptos" w:hAnsi="Aptos" w:cs="Aptos"/>
                <w:color w:val="000000" w:themeColor="text1"/>
                <w:lang w:val="en-GB"/>
              </w:rPr>
              <w:t xml:space="preserve"> </w:t>
            </w:r>
          </w:p>
        </w:tc>
        <w:tc>
          <w:tcPr>
            <w:tcW w:w="40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EAAAA" w:themeFill="background2" w:themeFillShade="BF"/>
            <w:tcMar>
              <w:left w:w="105" w:type="dxa"/>
              <w:right w:w="105" w:type="dxa"/>
            </w:tcMar>
          </w:tcPr>
          <w:p w14:paraId="6E6380F6" w14:textId="43722A48" w:rsidR="175C0AEA" w:rsidRDefault="175C0AEA" w:rsidP="175C0AEA">
            <w:pPr>
              <w:spacing w:line="276" w:lineRule="auto"/>
              <w:jc w:val="both"/>
              <w:rPr>
                <w:rFonts w:ascii="Aptos" w:eastAsia="Aptos" w:hAnsi="Aptos" w:cs="Aptos"/>
                <w:color w:val="000000" w:themeColor="text1"/>
              </w:rPr>
            </w:pPr>
            <w:r w:rsidRPr="175C0AEA">
              <w:rPr>
                <w:rFonts w:ascii="Aptos" w:eastAsia="Aptos" w:hAnsi="Aptos" w:cs="Aptos"/>
                <w:b/>
                <w:bCs/>
                <w:color w:val="000000" w:themeColor="text1"/>
                <w:lang w:val="en-GB"/>
              </w:rPr>
              <w:t>Date</w:t>
            </w:r>
            <w:r w:rsidRPr="175C0AEA">
              <w:rPr>
                <w:rFonts w:ascii="Aptos" w:eastAsia="Aptos" w:hAnsi="Aptos" w:cs="Aptos"/>
                <w:color w:val="000000" w:themeColor="text1"/>
                <w:lang w:val="en-GB"/>
              </w:rPr>
              <w:t xml:space="preserve"> </w:t>
            </w:r>
          </w:p>
        </w:tc>
      </w:tr>
      <w:tr w:rsidR="175C0AEA" w14:paraId="413811BB" w14:textId="77777777" w:rsidTr="072C6247">
        <w:trPr>
          <w:trHeight w:val="285"/>
        </w:trPr>
        <w:tc>
          <w:tcPr>
            <w:tcW w:w="5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6A0B3F" w14:textId="30F930F4" w:rsidR="175C0AEA" w:rsidRDefault="175C0AEA" w:rsidP="175C0AEA">
            <w:pPr>
              <w:spacing w:line="276" w:lineRule="auto"/>
              <w:jc w:val="both"/>
              <w:rPr>
                <w:rFonts w:ascii="Aptos" w:eastAsia="Aptos" w:hAnsi="Aptos" w:cs="Aptos"/>
              </w:rPr>
            </w:pPr>
            <w:r w:rsidRPr="175C0AEA">
              <w:rPr>
                <w:rFonts w:ascii="Aptos" w:eastAsia="Aptos" w:hAnsi="Aptos" w:cs="Aptos"/>
                <w:lang w:val="en-GB"/>
              </w:rPr>
              <w:t xml:space="preserve">Issue of Request for Quotation </w:t>
            </w:r>
          </w:p>
        </w:tc>
        <w:tc>
          <w:tcPr>
            <w:tcW w:w="40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7C7C33" w14:textId="295D1D0F" w:rsidR="175C0AEA" w:rsidRDefault="175C0AEA" w:rsidP="175C0AEA">
            <w:pPr>
              <w:spacing w:line="276" w:lineRule="auto"/>
              <w:jc w:val="both"/>
              <w:rPr>
                <w:rFonts w:ascii="Aptos" w:eastAsia="Aptos" w:hAnsi="Aptos" w:cs="Aptos"/>
              </w:rPr>
            </w:pPr>
            <w:r w:rsidRPr="175C0AEA">
              <w:rPr>
                <w:rFonts w:ascii="Aptos" w:eastAsia="Aptos" w:hAnsi="Aptos" w:cs="Aptos"/>
                <w:lang w:val="en-GB"/>
              </w:rPr>
              <w:t>Noon BST Tuesday 18</w:t>
            </w:r>
            <w:r w:rsidRPr="175C0AEA">
              <w:rPr>
                <w:rFonts w:ascii="Aptos" w:eastAsia="Aptos" w:hAnsi="Aptos" w:cs="Aptos"/>
                <w:sz w:val="19"/>
                <w:szCs w:val="19"/>
                <w:vertAlign w:val="superscript"/>
                <w:lang w:val="en-GB"/>
              </w:rPr>
              <w:t>th</w:t>
            </w:r>
            <w:r w:rsidRPr="175C0AEA">
              <w:rPr>
                <w:rFonts w:ascii="Aptos" w:eastAsia="Aptos" w:hAnsi="Aptos" w:cs="Aptos"/>
                <w:lang w:val="en-GB"/>
              </w:rPr>
              <w:t xml:space="preserve"> June 2024 </w:t>
            </w:r>
          </w:p>
        </w:tc>
      </w:tr>
      <w:tr w:rsidR="175C0AEA" w14:paraId="06A63AF0" w14:textId="77777777" w:rsidTr="072C6247">
        <w:trPr>
          <w:trHeight w:val="285"/>
        </w:trPr>
        <w:tc>
          <w:tcPr>
            <w:tcW w:w="5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59D3AF" w14:textId="7951465C" w:rsidR="175C0AEA" w:rsidRDefault="175C0AEA" w:rsidP="175C0AEA">
            <w:pPr>
              <w:spacing w:line="276" w:lineRule="auto"/>
              <w:jc w:val="both"/>
              <w:rPr>
                <w:rFonts w:ascii="Aptos" w:eastAsia="Aptos" w:hAnsi="Aptos" w:cs="Aptos"/>
              </w:rPr>
            </w:pPr>
            <w:r w:rsidRPr="175C0AEA">
              <w:rPr>
                <w:rFonts w:ascii="Aptos" w:eastAsia="Aptos" w:hAnsi="Aptos" w:cs="Aptos"/>
                <w:lang w:val="en-GB"/>
              </w:rPr>
              <w:t xml:space="preserve">Deadline for submission of clarification questions </w:t>
            </w:r>
          </w:p>
        </w:tc>
        <w:tc>
          <w:tcPr>
            <w:tcW w:w="40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8A2B49" w14:textId="7F93C407" w:rsidR="175C0AEA" w:rsidRDefault="741B2FDD" w:rsidP="072C6247">
            <w:pPr>
              <w:spacing w:line="276" w:lineRule="auto"/>
              <w:jc w:val="both"/>
              <w:rPr>
                <w:rFonts w:ascii="Aptos" w:eastAsia="Aptos" w:hAnsi="Aptos" w:cs="Aptos"/>
              </w:rPr>
            </w:pPr>
            <w:r w:rsidRPr="072C6247">
              <w:rPr>
                <w:rFonts w:ascii="Aptos" w:eastAsia="Aptos" w:hAnsi="Aptos" w:cs="Aptos"/>
                <w:lang w:val="en-GB"/>
              </w:rPr>
              <w:t>17:00</w:t>
            </w:r>
            <w:r w:rsidR="175C0AEA" w:rsidRPr="072C6247">
              <w:rPr>
                <w:rFonts w:ascii="Aptos" w:eastAsia="Aptos" w:hAnsi="Aptos" w:cs="Aptos"/>
                <w:lang w:val="en-GB"/>
              </w:rPr>
              <w:t xml:space="preserve"> BST Tuesday 2</w:t>
            </w:r>
            <w:r w:rsidR="175C0AEA" w:rsidRPr="072C6247">
              <w:rPr>
                <w:rFonts w:ascii="Aptos" w:eastAsia="Aptos" w:hAnsi="Aptos" w:cs="Aptos"/>
                <w:vertAlign w:val="superscript"/>
                <w:lang w:val="en-GB"/>
              </w:rPr>
              <w:t>nd</w:t>
            </w:r>
            <w:r w:rsidR="175C0AEA" w:rsidRPr="072C6247">
              <w:rPr>
                <w:rFonts w:ascii="Aptos" w:eastAsia="Aptos" w:hAnsi="Aptos" w:cs="Aptos"/>
                <w:lang w:val="en-GB"/>
              </w:rPr>
              <w:t xml:space="preserve"> July 2024 </w:t>
            </w:r>
          </w:p>
        </w:tc>
      </w:tr>
      <w:tr w:rsidR="175C0AEA" w14:paraId="0D7B7296" w14:textId="77777777" w:rsidTr="072C6247">
        <w:trPr>
          <w:trHeight w:val="285"/>
        </w:trPr>
        <w:tc>
          <w:tcPr>
            <w:tcW w:w="5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D8042F" w14:textId="4640F72A" w:rsidR="175C0AEA" w:rsidRDefault="175C0AEA" w:rsidP="175C0AEA">
            <w:pPr>
              <w:spacing w:line="276" w:lineRule="auto"/>
              <w:jc w:val="both"/>
              <w:rPr>
                <w:rFonts w:ascii="Aptos" w:eastAsia="Aptos" w:hAnsi="Aptos" w:cs="Aptos"/>
              </w:rPr>
            </w:pPr>
            <w:r w:rsidRPr="175C0AEA">
              <w:rPr>
                <w:rFonts w:ascii="Aptos" w:eastAsia="Aptos" w:hAnsi="Aptos" w:cs="Aptos"/>
                <w:lang w:val="en-GB"/>
              </w:rPr>
              <w:t xml:space="preserve">Deadline for submission of Quotes </w:t>
            </w:r>
          </w:p>
        </w:tc>
        <w:tc>
          <w:tcPr>
            <w:tcW w:w="40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F6519A" w14:textId="660B9917" w:rsidR="175C0AEA" w:rsidRDefault="175C0AEA" w:rsidP="175C0AEA">
            <w:pPr>
              <w:spacing w:line="276" w:lineRule="auto"/>
              <w:jc w:val="both"/>
              <w:rPr>
                <w:rFonts w:ascii="Aptos" w:eastAsia="Aptos" w:hAnsi="Aptos" w:cs="Aptos"/>
              </w:rPr>
            </w:pPr>
            <w:r w:rsidRPr="175C0AEA">
              <w:rPr>
                <w:rFonts w:ascii="Aptos" w:eastAsia="Aptos" w:hAnsi="Aptos" w:cs="Aptos"/>
                <w:lang w:val="en-GB"/>
              </w:rPr>
              <w:t>17:00 BST GMT Friday 5</w:t>
            </w:r>
            <w:r w:rsidRPr="175C0AEA">
              <w:rPr>
                <w:rFonts w:ascii="Aptos" w:eastAsia="Aptos" w:hAnsi="Aptos" w:cs="Aptos"/>
                <w:sz w:val="19"/>
                <w:szCs w:val="19"/>
                <w:vertAlign w:val="superscript"/>
                <w:lang w:val="en-GB"/>
              </w:rPr>
              <w:t>th</w:t>
            </w:r>
            <w:r w:rsidRPr="175C0AEA">
              <w:rPr>
                <w:rFonts w:ascii="Aptos" w:eastAsia="Aptos" w:hAnsi="Aptos" w:cs="Aptos"/>
                <w:lang w:val="en-GB"/>
              </w:rPr>
              <w:t xml:space="preserve"> July 2024 </w:t>
            </w:r>
          </w:p>
        </w:tc>
      </w:tr>
      <w:tr w:rsidR="175C0AEA" w14:paraId="0CC76F0F" w14:textId="77777777" w:rsidTr="072C6247">
        <w:trPr>
          <w:trHeight w:val="285"/>
        </w:trPr>
        <w:tc>
          <w:tcPr>
            <w:tcW w:w="5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E1F9674" w14:textId="66E78E7C" w:rsidR="175C0AEA" w:rsidRDefault="175C0AEA" w:rsidP="175C0AEA">
            <w:pPr>
              <w:spacing w:line="276" w:lineRule="auto"/>
              <w:jc w:val="both"/>
              <w:rPr>
                <w:rFonts w:ascii="Aptos" w:eastAsia="Aptos" w:hAnsi="Aptos" w:cs="Aptos"/>
              </w:rPr>
            </w:pPr>
            <w:r w:rsidRPr="175C0AEA">
              <w:rPr>
                <w:rFonts w:ascii="Aptos" w:eastAsia="Aptos" w:hAnsi="Aptos" w:cs="Aptos"/>
                <w:lang w:val="en-GB"/>
              </w:rPr>
              <w:t xml:space="preserve">Evaluation of Quotes </w:t>
            </w:r>
          </w:p>
        </w:tc>
        <w:tc>
          <w:tcPr>
            <w:tcW w:w="40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989909B" w14:textId="20B8F68C" w:rsidR="175C0AEA" w:rsidRDefault="175C0AEA" w:rsidP="175C0AEA">
            <w:pPr>
              <w:spacing w:line="276" w:lineRule="auto"/>
              <w:jc w:val="both"/>
              <w:rPr>
                <w:rFonts w:ascii="Aptos" w:eastAsia="Aptos" w:hAnsi="Aptos" w:cs="Aptos"/>
              </w:rPr>
            </w:pPr>
            <w:r w:rsidRPr="175C0AEA">
              <w:rPr>
                <w:rFonts w:ascii="Aptos" w:eastAsia="Aptos" w:hAnsi="Aptos" w:cs="Aptos"/>
                <w:lang w:val="en-GB"/>
              </w:rPr>
              <w:t>By Friday 12</w:t>
            </w:r>
            <w:r w:rsidRPr="175C0AEA">
              <w:rPr>
                <w:rFonts w:ascii="Aptos" w:eastAsia="Aptos" w:hAnsi="Aptos" w:cs="Aptos"/>
                <w:sz w:val="19"/>
                <w:szCs w:val="19"/>
                <w:vertAlign w:val="superscript"/>
                <w:lang w:val="en-GB"/>
              </w:rPr>
              <w:t>th</w:t>
            </w:r>
            <w:r w:rsidRPr="175C0AEA">
              <w:rPr>
                <w:rFonts w:ascii="Aptos" w:eastAsia="Aptos" w:hAnsi="Aptos" w:cs="Aptos"/>
                <w:lang w:val="en-GB"/>
              </w:rPr>
              <w:t xml:space="preserve"> July 2024 </w:t>
            </w:r>
          </w:p>
        </w:tc>
      </w:tr>
      <w:tr w:rsidR="175C0AEA" w14:paraId="410BD981" w14:textId="77777777" w:rsidTr="072C6247">
        <w:trPr>
          <w:trHeight w:val="285"/>
        </w:trPr>
        <w:tc>
          <w:tcPr>
            <w:tcW w:w="5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D7882CB" w14:textId="5275E197" w:rsidR="175C0AEA" w:rsidRDefault="175C0AEA" w:rsidP="175C0AEA">
            <w:pPr>
              <w:spacing w:line="276" w:lineRule="auto"/>
              <w:jc w:val="both"/>
              <w:rPr>
                <w:rFonts w:ascii="Aptos" w:eastAsia="Aptos" w:hAnsi="Aptos" w:cs="Aptos"/>
              </w:rPr>
            </w:pPr>
            <w:r w:rsidRPr="175C0AEA">
              <w:rPr>
                <w:rFonts w:ascii="Aptos" w:eastAsia="Aptos" w:hAnsi="Aptos" w:cs="Aptos"/>
                <w:lang w:val="en-GB"/>
              </w:rPr>
              <w:t xml:space="preserve">Contract Award </w:t>
            </w:r>
          </w:p>
        </w:tc>
        <w:tc>
          <w:tcPr>
            <w:tcW w:w="40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739A14" w14:textId="5950CEDB" w:rsidR="175C0AEA" w:rsidRDefault="175C0AEA" w:rsidP="175C0AEA">
            <w:pPr>
              <w:spacing w:line="276" w:lineRule="auto"/>
              <w:jc w:val="both"/>
              <w:rPr>
                <w:rFonts w:ascii="Aptos" w:eastAsia="Aptos" w:hAnsi="Aptos" w:cs="Aptos"/>
              </w:rPr>
            </w:pPr>
            <w:r w:rsidRPr="175C0AEA">
              <w:rPr>
                <w:rFonts w:ascii="Aptos" w:eastAsia="Aptos" w:hAnsi="Aptos" w:cs="Aptos"/>
                <w:lang w:val="en-GB"/>
              </w:rPr>
              <w:t>Friday 12</w:t>
            </w:r>
            <w:r w:rsidRPr="175C0AEA">
              <w:rPr>
                <w:rFonts w:ascii="Aptos" w:eastAsia="Aptos" w:hAnsi="Aptos" w:cs="Aptos"/>
                <w:sz w:val="19"/>
                <w:szCs w:val="19"/>
                <w:vertAlign w:val="superscript"/>
                <w:lang w:val="en-GB"/>
              </w:rPr>
              <w:t>th</w:t>
            </w:r>
            <w:r w:rsidRPr="175C0AEA">
              <w:rPr>
                <w:rFonts w:ascii="Aptos" w:eastAsia="Aptos" w:hAnsi="Aptos" w:cs="Aptos"/>
                <w:lang w:val="en-GB"/>
              </w:rPr>
              <w:t xml:space="preserve"> July 2024</w:t>
            </w:r>
          </w:p>
        </w:tc>
      </w:tr>
    </w:tbl>
    <w:p w14:paraId="28E7686E" w14:textId="58709D3F" w:rsidR="00964799" w:rsidRDefault="72AEBDB4" w:rsidP="175C0AEA">
      <w:pPr>
        <w:spacing w:line="276" w:lineRule="auto"/>
        <w:jc w:val="both"/>
        <w:rPr>
          <w:rFonts w:ascii="Aptos" w:eastAsia="Aptos" w:hAnsi="Aptos" w:cs="Aptos"/>
          <w:color w:val="000000" w:themeColor="text1"/>
        </w:rPr>
      </w:pPr>
      <w:r w:rsidRPr="175C0AEA">
        <w:rPr>
          <w:rFonts w:ascii="Aptos" w:eastAsia="Aptos" w:hAnsi="Aptos" w:cs="Aptos"/>
          <w:color w:val="000000" w:themeColor="text1"/>
          <w:lang w:val="en-GB"/>
        </w:rPr>
        <w:t xml:space="preserve">Every effort will be made to adhere to the above timescales. If this is not possible, bidders will be informed of any significant delays to the process as soon as possible. </w:t>
      </w:r>
    </w:p>
    <w:p w14:paraId="362F05DA" w14:textId="1BBD05DB" w:rsidR="00964799" w:rsidRDefault="72AEBDB4" w:rsidP="175C0AEA">
      <w:pPr>
        <w:spacing w:line="276" w:lineRule="auto"/>
        <w:jc w:val="both"/>
        <w:rPr>
          <w:rFonts w:ascii="Aptos" w:eastAsia="Aptos" w:hAnsi="Aptos" w:cs="Aptos"/>
          <w:color w:val="000000" w:themeColor="text1"/>
        </w:rPr>
      </w:pPr>
      <w:r w:rsidRPr="175C0AEA">
        <w:rPr>
          <w:rFonts w:ascii="Aptos" w:eastAsia="Aptos" w:hAnsi="Aptos" w:cs="Aptos"/>
          <w:color w:val="000000" w:themeColor="text1"/>
          <w:lang w:val="en-GB"/>
        </w:rPr>
        <w:t xml:space="preserve">  </w:t>
      </w:r>
    </w:p>
    <w:p w14:paraId="246B8ABE" w14:textId="670985C7" w:rsidR="00964799" w:rsidRDefault="72AEBDB4" w:rsidP="175C0AEA">
      <w:pPr>
        <w:spacing w:line="276" w:lineRule="auto"/>
        <w:jc w:val="both"/>
        <w:rPr>
          <w:rFonts w:ascii="Aptos" w:eastAsia="Aptos" w:hAnsi="Aptos" w:cs="Aptos"/>
          <w:color w:val="000000" w:themeColor="text1"/>
        </w:rPr>
      </w:pPr>
      <w:r w:rsidRPr="175C0AEA">
        <w:rPr>
          <w:rFonts w:ascii="Aptos" w:eastAsia="Aptos" w:hAnsi="Aptos" w:cs="Aptos"/>
          <w:color w:val="000000" w:themeColor="text1"/>
          <w:lang w:val="en-GB"/>
        </w:rPr>
        <w:t xml:space="preserve">Once let, the following are the key project milestones: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505"/>
        <w:gridCol w:w="4095"/>
      </w:tblGrid>
      <w:tr w:rsidR="175C0AEA" w14:paraId="2C378144" w14:textId="77777777" w:rsidTr="175C0AEA">
        <w:trPr>
          <w:trHeight w:val="285"/>
        </w:trPr>
        <w:tc>
          <w:tcPr>
            <w:tcW w:w="55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Mar>
              <w:left w:w="105" w:type="dxa"/>
              <w:right w:w="105" w:type="dxa"/>
            </w:tcMar>
          </w:tcPr>
          <w:p w14:paraId="230E234D" w14:textId="49F8785B" w:rsidR="175C0AEA" w:rsidRDefault="175C0AEA" w:rsidP="175C0AEA">
            <w:pPr>
              <w:spacing w:line="276" w:lineRule="auto"/>
              <w:jc w:val="both"/>
              <w:rPr>
                <w:rFonts w:ascii="Aptos" w:eastAsia="Aptos" w:hAnsi="Aptos" w:cs="Aptos"/>
                <w:color w:val="000000" w:themeColor="text1"/>
              </w:rPr>
            </w:pPr>
            <w:r w:rsidRPr="175C0AEA">
              <w:rPr>
                <w:rFonts w:ascii="Aptos" w:eastAsia="Aptos" w:hAnsi="Aptos" w:cs="Aptos"/>
                <w:b/>
                <w:bCs/>
                <w:color w:val="000000" w:themeColor="text1"/>
                <w:lang w:val="en-GB"/>
              </w:rPr>
              <w:t>Milestone</w:t>
            </w:r>
            <w:r w:rsidRPr="175C0AEA">
              <w:rPr>
                <w:rFonts w:ascii="Aptos" w:eastAsia="Aptos" w:hAnsi="Aptos" w:cs="Aptos"/>
                <w:color w:val="000000" w:themeColor="text1"/>
                <w:lang w:val="en-GB"/>
              </w:rPr>
              <w:t xml:space="preserve"> </w:t>
            </w:r>
          </w:p>
        </w:tc>
        <w:tc>
          <w:tcPr>
            <w:tcW w:w="40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Mar>
              <w:left w:w="105" w:type="dxa"/>
              <w:right w:w="105" w:type="dxa"/>
            </w:tcMar>
          </w:tcPr>
          <w:p w14:paraId="33EF2FB5" w14:textId="2C6BC577" w:rsidR="175C0AEA" w:rsidRDefault="175C0AEA" w:rsidP="175C0AEA">
            <w:pPr>
              <w:spacing w:line="276" w:lineRule="auto"/>
              <w:jc w:val="both"/>
              <w:rPr>
                <w:rFonts w:ascii="Aptos" w:eastAsia="Aptos" w:hAnsi="Aptos" w:cs="Aptos"/>
                <w:color w:val="000000" w:themeColor="text1"/>
              </w:rPr>
            </w:pPr>
            <w:r w:rsidRPr="175C0AEA">
              <w:rPr>
                <w:rFonts w:ascii="Aptos" w:eastAsia="Aptos" w:hAnsi="Aptos" w:cs="Aptos"/>
                <w:b/>
                <w:bCs/>
                <w:color w:val="000000" w:themeColor="text1"/>
                <w:lang w:val="en-GB"/>
              </w:rPr>
              <w:t>Date</w:t>
            </w:r>
            <w:r w:rsidRPr="175C0AEA">
              <w:rPr>
                <w:rFonts w:ascii="Aptos" w:eastAsia="Aptos" w:hAnsi="Aptos" w:cs="Aptos"/>
                <w:color w:val="000000" w:themeColor="text1"/>
                <w:lang w:val="en-GB"/>
              </w:rPr>
              <w:t xml:space="preserve"> </w:t>
            </w:r>
          </w:p>
        </w:tc>
      </w:tr>
      <w:tr w:rsidR="175C0AEA" w14:paraId="1981DF25" w14:textId="77777777" w:rsidTr="175C0AEA">
        <w:trPr>
          <w:trHeight w:val="285"/>
        </w:trPr>
        <w:tc>
          <w:tcPr>
            <w:tcW w:w="55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0588DF5" w14:textId="6D18191D" w:rsidR="175C0AEA" w:rsidRDefault="175C0AEA" w:rsidP="175C0AEA">
            <w:pPr>
              <w:spacing w:line="276" w:lineRule="auto"/>
              <w:jc w:val="both"/>
              <w:rPr>
                <w:rFonts w:ascii="Aptos" w:eastAsia="Aptos" w:hAnsi="Aptos" w:cs="Aptos"/>
              </w:rPr>
            </w:pPr>
            <w:r w:rsidRPr="175C0AEA">
              <w:rPr>
                <w:rFonts w:ascii="Aptos" w:eastAsia="Aptos" w:hAnsi="Aptos" w:cs="Aptos"/>
                <w:lang w:val="en-GB"/>
              </w:rPr>
              <w:t>Initial meeting</w:t>
            </w:r>
          </w:p>
        </w:tc>
        <w:tc>
          <w:tcPr>
            <w:tcW w:w="40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96C817" w14:textId="5ABC4049" w:rsidR="175C0AEA" w:rsidRDefault="175C0AEA" w:rsidP="175C0AEA">
            <w:pPr>
              <w:spacing w:line="276" w:lineRule="auto"/>
              <w:jc w:val="both"/>
              <w:rPr>
                <w:rFonts w:ascii="Aptos" w:eastAsia="Aptos" w:hAnsi="Aptos" w:cs="Aptos"/>
              </w:rPr>
            </w:pPr>
            <w:r w:rsidRPr="175C0AEA">
              <w:rPr>
                <w:rFonts w:ascii="Aptos" w:eastAsia="Aptos" w:hAnsi="Aptos" w:cs="Aptos"/>
                <w:lang w:val="en-GB"/>
              </w:rPr>
              <w:t>w/c 15</w:t>
            </w:r>
            <w:r w:rsidRPr="175C0AEA">
              <w:rPr>
                <w:rFonts w:ascii="Aptos" w:eastAsia="Aptos" w:hAnsi="Aptos" w:cs="Aptos"/>
                <w:vertAlign w:val="superscript"/>
                <w:lang w:val="en-GB"/>
              </w:rPr>
              <w:t>th</w:t>
            </w:r>
            <w:r w:rsidRPr="175C0AEA">
              <w:rPr>
                <w:rFonts w:ascii="Aptos" w:eastAsia="Aptos" w:hAnsi="Aptos" w:cs="Aptos"/>
                <w:lang w:val="en-GB"/>
              </w:rPr>
              <w:t xml:space="preserve"> July 2024</w:t>
            </w:r>
          </w:p>
        </w:tc>
      </w:tr>
      <w:tr w:rsidR="175C0AEA" w14:paraId="2F508936" w14:textId="77777777" w:rsidTr="175C0AEA">
        <w:trPr>
          <w:trHeight w:val="285"/>
        </w:trPr>
        <w:tc>
          <w:tcPr>
            <w:tcW w:w="55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6DC98CF" w14:textId="2A999CDC" w:rsidR="175C0AEA" w:rsidRDefault="175C0AEA" w:rsidP="175C0AEA">
            <w:pPr>
              <w:spacing w:line="276" w:lineRule="auto"/>
              <w:jc w:val="both"/>
              <w:rPr>
                <w:rFonts w:ascii="Aptos" w:eastAsia="Aptos" w:hAnsi="Aptos" w:cs="Aptos"/>
              </w:rPr>
            </w:pPr>
            <w:r w:rsidRPr="175C0AEA">
              <w:rPr>
                <w:rFonts w:ascii="Aptos" w:eastAsia="Aptos" w:hAnsi="Aptos" w:cs="Aptos"/>
                <w:lang w:val="en-GB"/>
              </w:rPr>
              <w:t>Progress updates</w:t>
            </w:r>
          </w:p>
        </w:tc>
        <w:tc>
          <w:tcPr>
            <w:tcW w:w="40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3979B9" w14:textId="6C73B39A" w:rsidR="175C0AEA" w:rsidRDefault="175C0AEA" w:rsidP="175C0AEA">
            <w:pPr>
              <w:spacing w:line="276" w:lineRule="auto"/>
              <w:jc w:val="both"/>
              <w:rPr>
                <w:rFonts w:ascii="Aptos" w:eastAsia="Aptos" w:hAnsi="Aptos" w:cs="Aptos"/>
              </w:rPr>
            </w:pPr>
            <w:r w:rsidRPr="175C0AEA">
              <w:rPr>
                <w:rFonts w:ascii="Aptos" w:eastAsia="Aptos" w:hAnsi="Aptos" w:cs="Aptos"/>
                <w:lang w:val="en-GB"/>
              </w:rPr>
              <w:t xml:space="preserve">Fortnightly </w:t>
            </w:r>
          </w:p>
        </w:tc>
      </w:tr>
      <w:tr w:rsidR="175C0AEA" w14:paraId="7973469F" w14:textId="77777777" w:rsidTr="175C0AEA">
        <w:trPr>
          <w:trHeight w:val="285"/>
        </w:trPr>
        <w:tc>
          <w:tcPr>
            <w:tcW w:w="55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093A79" w14:textId="1480299B" w:rsidR="175C0AEA" w:rsidRDefault="175C0AEA" w:rsidP="175C0AEA">
            <w:pPr>
              <w:spacing w:line="276" w:lineRule="auto"/>
              <w:jc w:val="both"/>
              <w:rPr>
                <w:rFonts w:ascii="Aptos" w:eastAsia="Aptos" w:hAnsi="Aptos" w:cs="Aptos"/>
              </w:rPr>
            </w:pPr>
            <w:r w:rsidRPr="175C0AEA">
              <w:rPr>
                <w:rFonts w:ascii="Aptos" w:eastAsia="Aptos" w:hAnsi="Aptos" w:cs="Aptos"/>
                <w:lang w:val="en-GB"/>
              </w:rPr>
              <w:t>Interim findings presentation</w:t>
            </w:r>
          </w:p>
        </w:tc>
        <w:tc>
          <w:tcPr>
            <w:tcW w:w="40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06014D" w14:textId="30081913" w:rsidR="175C0AEA" w:rsidRDefault="175C0AEA" w:rsidP="175C0AEA">
            <w:pPr>
              <w:spacing w:line="276" w:lineRule="auto"/>
              <w:jc w:val="both"/>
              <w:rPr>
                <w:rFonts w:ascii="Aptos" w:eastAsia="Aptos" w:hAnsi="Aptos" w:cs="Aptos"/>
              </w:rPr>
            </w:pPr>
            <w:r w:rsidRPr="175C0AEA">
              <w:rPr>
                <w:rFonts w:ascii="Aptos" w:eastAsia="Aptos" w:hAnsi="Aptos" w:cs="Aptos"/>
                <w:lang w:val="en-GB"/>
              </w:rPr>
              <w:t>September 2024</w:t>
            </w:r>
          </w:p>
        </w:tc>
      </w:tr>
      <w:tr w:rsidR="175C0AEA" w14:paraId="7B1AE35A" w14:textId="77777777" w:rsidTr="175C0AEA">
        <w:trPr>
          <w:trHeight w:val="285"/>
        </w:trPr>
        <w:tc>
          <w:tcPr>
            <w:tcW w:w="55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DBD552" w14:textId="296E765A" w:rsidR="175C0AEA" w:rsidRDefault="175C0AEA" w:rsidP="175C0AEA">
            <w:pPr>
              <w:spacing w:line="276" w:lineRule="auto"/>
              <w:jc w:val="both"/>
              <w:rPr>
                <w:rFonts w:ascii="Aptos" w:eastAsia="Aptos" w:hAnsi="Aptos" w:cs="Aptos"/>
              </w:rPr>
            </w:pPr>
            <w:r w:rsidRPr="175C0AEA">
              <w:rPr>
                <w:rFonts w:ascii="Aptos" w:eastAsia="Aptos" w:hAnsi="Aptos" w:cs="Aptos"/>
                <w:lang w:val="en-GB"/>
              </w:rPr>
              <w:t>Draft report</w:t>
            </w:r>
          </w:p>
        </w:tc>
        <w:tc>
          <w:tcPr>
            <w:tcW w:w="40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A860017" w14:textId="11A5BE21" w:rsidR="175C0AEA" w:rsidRDefault="175C0AEA" w:rsidP="175C0AEA">
            <w:pPr>
              <w:spacing w:line="276" w:lineRule="auto"/>
              <w:jc w:val="both"/>
              <w:rPr>
                <w:rFonts w:ascii="Aptos" w:eastAsia="Aptos" w:hAnsi="Aptos" w:cs="Aptos"/>
              </w:rPr>
            </w:pPr>
            <w:r w:rsidRPr="175C0AEA">
              <w:rPr>
                <w:rFonts w:ascii="Aptos" w:eastAsia="Aptos" w:hAnsi="Aptos" w:cs="Aptos"/>
                <w:lang w:val="en-GB"/>
              </w:rPr>
              <w:t>22</w:t>
            </w:r>
            <w:r w:rsidRPr="175C0AEA">
              <w:rPr>
                <w:rFonts w:ascii="Aptos" w:eastAsia="Aptos" w:hAnsi="Aptos" w:cs="Aptos"/>
                <w:vertAlign w:val="superscript"/>
                <w:lang w:val="en-GB"/>
              </w:rPr>
              <w:t>nd</w:t>
            </w:r>
            <w:r w:rsidRPr="175C0AEA">
              <w:rPr>
                <w:rFonts w:ascii="Aptos" w:eastAsia="Aptos" w:hAnsi="Aptos" w:cs="Aptos"/>
                <w:lang w:val="en-GB"/>
              </w:rPr>
              <w:t xml:space="preserve"> Nov 2024</w:t>
            </w:r>
          </w:p>
        </w:tc>
      </w:tr>
      <w:tr w:rsidR="175C0AEA" w14:paraId="2D190F5F" w14:textId="77777777" w:rsidTr="175C0AEA">
        <w:trPr>
          <w:trHeight w:val="285"/>
        </w:trPr>
        <w:tc>
          <w:tcPr>
            <w:tcW w:w="55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C4FB0BC" w14:textId="45D7E28C" w:rsidR="175C0AEA" w:rsidRDefault="175C0AEA" w:rsidP="175C0AEA">
            <w:pPr>
              <w:spacing w:line="276" w:lineRule="auto"/>
              <w:jc w:val="both"/>
              <w:rPr>
                <w:rFonts w:ascii="Aptos" w:eastAsia="Aptos" w:hAnsi="Aptos" w:cs="Aptos"/>
              </w:rPr>
            </w:pPr>
            <w:r w:rsidRPr="175C0AEA">
              <w:rPr>
                <w:rFonts w:ascii="Aptos" w:eastAsia="Aptos" w:hAnsi="Aptos" w:cs="Aptos"/>
                <w:lang w:val="en-GB"/>
              </w:rPr>
              <w:t>Final report</w:t>
            </w:r>
          </w:p>
        </w:tc>
        <w:tc>
          <w:tcPr>
            <w:tcW w:w="40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9E0318" w14:textId="76420C11" w:rsidR="175C0AEA" w:rsidRDefault="175C0AEA" w:rsidP="175C0AEA">
            <w:pPr>
              <w:spacing w:line="276" w:lineRule="auto"/>
              <w:jc w:val="both"/>
              <w:rPr>
                <w:rFonts w:ascii="Aptos" w:eastAsia="Aptos" w:hAnsi="Aptos" w:cs="Aptos"/>
              </w:rPr>
            </w:pPr>
            <w:r w:rsidRPr="175C0AEA">
              <w:rPr>
                <w:rFonts w:ascii="Aptos" w:eastAsia="Aptos" w:hAnsi="Aptos" w:cs="Aptos"/>
                <w:lang w:val="en-GB"/>
              </w:rPr>
              <w:t>6</w:t>
            </w:r>
            <w:r w:rsidRPr="175C0AEA">
              <w:rPr>
                <w:rFonts w:ascii="Aptos" w:eastAsia="Aptos" w:hAnsi="Aptos" w:cs="Aptos"/>
                <w:vertAlign w:val="superscript"/>
                <w:lang w:val="en-GB"/>
              </w:rPr>
              <w:t>th</w:t>
            </w:r>
            <w:r w:rsidRPr="175C0AEA">
              <w:rPr>
                <w:rFonts w:ascii="Aptos" w:eastAsia="Aptos" w:hAnsi="Aptos" w:cs="Aptos"/>
                <w:lang w:val="en-GB"/>
              </w:rPr>
              <w:t xml:space="preserve"> Jan 2025</w:t>
            </w:r>
          </w:p>
        </w:tc>
      </w:tr>
    </w:tbl>
    <w:p w14:paraId="57E6799F" w14:textId="42268C9B" w:rsidR="00964799" w:rsidRDefault="72AEBDB4" w:rsidP="175C0AEA">
      <w:pPr>
        <w:spacing w:line="276" w:lineRule="auto"/>
        <w:jc w:val="both"/>
        <w:rPr>
          <w:rFonts w:ascii="Aptos" w:eastAsia="Aptos" w:hAnsi="Aptos" w:cs="Aptos"/>
          <w:color w:val="000000" w:themeColor="text1"/>
        </w:rPr>
      </w:pPr>
      <w:r w:rsidRPr="175C0AEA">
        <w:rPr>
          <w:rFonts w:ascii="Aptos" w:eastAsia="Aptos" w:hAnsi="Aptos" w:cs="Aptos"/>
          <w:color w:val="000000" w:themeColor="text1"/>
          <w:lang w:val="en-GB"/>
        </w:rPr>
        <w:t>This is the envisaged contract timetable. Bidders should highlight any proposed deviation from this timeline within their bid. Any delays to this timetable during the contract should be immediately discussed with the Project Officer.</w:t>
      </w:r>
    </w:p>
    <w:p w14:paraId="7ED61877" w14:textId="333698C1" w:rsidR="00964799" w:rsidRDefault="72AEBDB4" w:rsidP="175C0AEA">
      <w:pPr>
        <w:spacing w:line="276" w:lineRule="auto"/>
        <w:rPr>
          <w:rFonts w:ascii="Aptos" w:eastAsia="Aptos" w:hAnsi="Aptos" w:cs="Aptos"/>
          <w:color w:val="000000" w:themeColor="text1"/>
        </w:rPr>
      </w:pPr>
      <w:r w:rsidRPr="175C0AEA">
        <w:rPr>
          <w:rFonts w:ascii="Aptos" w:eastAsia="Aptos" w:hAnsi="Aptos" w:cs="Aptos"/>
          <w:color w:val="000000" w:themeColor="text1"/>
          <w:lang w:val="en-GB"/>
        </w:rPr>
        <w:t xml:space="preserve"> </w:t>
      </w:r>
    </w:p>
    <w:p w14:paraId="4C33D318" w14:textId="44645C49" w:rsidR="00964799" w:rsidRDefault="72AEBDB4" w:rsidP="175C0AEA">
      <w:pPr>
        <w:spacing w:line="276" w:lineRule="auto"/>
        <w:rPr>
          <w:rFonts w:ascii="Aptos" w:eastAsia="Aptos" w:hAnsi="Aptos" w:cs="Aptos"/>
          <w:color w:val="000000" w:themeColor="text1"/>
        </w:rPr>
      </w:pPr>
      <w:r w:rsidRPr="175C0AEA">
        <w:rPr>
          <w:rFonts w:ascii="Aptos" w:eastAsia="Aptos" w:hAnsi="Aptos" w:cs="Aptos"/>
          <w:color w:val="000000" w:themeColor="text1"/>
          <w:lang w:val="en-GB"/>
        </w:rPr>
        <w:t>Prices will remain fixed for the duration of the contract award period.</w:t>
      </w:r>
    </w:p>
    <w:p w14:paraId="18AE334E" w14:textId="3E42C14F" w:rsidR="00964799" w:rsidRDefault="00964799" w:rsidP="175C0AEA">
      <w:pPr>
        <w:spacing w:line="276" w:lineRule="auto"/>
        <w:rPr>
          <w:rFonts w:ascii="Aptos" w:eastAsia="Aptos" w:hAnsi="Aptos" w:cs="Aptos"/>
          <w:color w:val="000000" w:themeColor="text1"/>
        </w:rPr>
      </w:pPr>
    </w:p>
    <w:p w14:paraId="56C7DBFF" w14:textId="41D73ADD" w:rsidR="00964799" w:rsidRDefault="72AEBDB4" w:rsidP="175C0AEA">
      <w:pPr>
        <w:spacing w:line="276" w:lineRule="auto"/>
        <w:rPr>
          <w:rFonts w:ascii="Aptos" w:eastAsia="Aptos" w:hAnsi="Aptos" w:cs="Aptos"/>
          <w:color w:val="000000" w:themeColor="text1"/>
        </w:rPr>
      </w:pPr>
      <w:r w:rsidRPr="175C0AEA">
        <w:rPr>
          <w:rStyle w:val="normaltextrun"/>
          <w:rFonts w:ascii="Aptos" w:eastAsia="Aptos" w:hAnsi="Aptos" w:cs="Aptos"/>
          <w:color w:val="000000" w:themeColor="text1"/>
          <w:lang w:val="en-GB"/>
        </w:rPr>
        <w:t>Payment of 100% of the total contract value will be made on receipt of a detailed invoice following completion (to the satisfaction of the Natural England Nominated Officer) of all the milestones detailed above, and formal acceptance of the specified outputs. </w:t>
      </w:r>
    </w:p>
    <w:p w14:paraId="6BA6AFBD" w14:textId="40D57772" w:rsidR="00964799" w:rsidRDefault="00964799" w:rsidP="175C0AEA">
      <w:pPr>
        <w:spacing w:line="276" w:lineRule="auto"/>
        <w:jc w:val="both"/>
        <w:rPr>
          <w:rFonts w:ascii="Aptos" w:eastAsia="Aptos" w:hAnsi="Aptos" w:cs="Aptos"/>
          <w:color w:val="000000" w:themeColor="text1"/>
        </w:rPr>
      </w:pPr>
    </w:p>
    <w:p w14:paraId="5C71C58C" w14:textId="5A8EC98F" w:rsidR="00964799" w:rsidRDefault="20BF842E" w:rsidP="52DC53F3">
      <w:pPr>
        <w:pStyle w:val="ListParagraph"/>
        <w:keepNext/>
        <w:keepLines/>
        <w:spacing w:line="276" w:lineRule="auto"/>
        <w:jc w:val="both"/>
        <w:rPr>
          <w:rFonts w:ascii="Aptos" w:eastAsia="Aptos" w:hAnsi="Aptos" w:cs="Aptos"/>
          <w:color w:val="000000" w:themeColor="text1"/>
          <w:sz w:val="28"/>
          <w:szCs w:val="28"/>
        </w:rPr>
      </w:pPr>
      <w:r w:rsidRPr="52DC53F3">
        <w:rPr>
          <w:rFonts w:ascii="Aptos" w:eastAsia="Aptos" w:hAnsi="Aptos" w:cs="Aptos"/>
          <w:b/>
          <w:bCs/>
          <w:color w:val="000000" w:themeColor="text1"/>
          <w:sz w:val="28"/>
          <w:szCs w:val="28"/>
          <w:lang w:val="en-GB"/>
        </w:rPr>
        <w:t xml:space="preserve">5. </w:t>
      </w:r>
      <w:r w:rsidR="72AEBDB4" w:rsidRPr="52DC53F3">
        <w:rPr>
          <w:rFonts w:ascii="Aptos" w:eastAsia="Aptos" w:hAnsi="Aptos" w:cs="Aptos"/>
          <w:b/>
          <w:bCs/>
          <w:color w:val="000000" w:themeColor="text1"/>
          <w:sz w:val="28"/>
          <w:szCs w:val="28"/>
          <w:lang w:val="en-GB"/>
        </w:rPr>
        <w:t>Other considerations</w:t>
      </w:r>
    </w:p>
    <w:p w14:paraId="0422C6C4" w14:textId="1EE8B43D" w:rsidR="00964799" w:rsidRDefault="72AEBDB4" w:rsidP="1A91C8FD">
      <w:pPr>
        <w:keepLines/>
        <w:spacing w:after="160" w:line="276" w:lineRule="auto"/>
        <w:rPr>
          <w:rFonts w:ascii="Aptos" w:eastAsia="Aptos" w:hAnsi="Aptos" w:cs="Aptos"/>
          <w:color w:val="000000" w:themeColor="text1"/>
        </w:rPr>
      </w:pPr>
      <w:r w:rsidRPr="1A91C8FD">
        <w:rPr>
          <w:rFonts w:ascii="Aptos" w:eastAsia="Aptos" w:hAnsi="Aptos" w:cs="Aptos"/>
          <w:color w:val="000000" w:themeColor="text1"/>
          <w:lang w:val="en-GB"/>
        </w:rPr>
        <w:t xml:space="preserve">In support of this contract, we will provide the successful framework supplier with:  </w:t>
      </w:r>
    </w:p>
    <w:p w14:paraId="7D4B2589" w14:textId="245F030E" w:rsidR="00964799" w:rsidRDefault="72AEBDB4" w:rsidP="1A91C8FD">
      <w:pPr>
        <w:pStyle w:val="ListParagraph"/>
        <w:keepLines/>
        <w:spacing w:line="276" w:lineRule="auto"/>
        <w:rPr>
          <w:rFonts w:ascii="Aptos" w:eastAsia="Aptos" w:hAnsi="Aptos" w:cs="Aptos"/>
          <w:color w:val="000000" w:themeColor="text1"/>
        </w:rPr>
      </w:pPr>
      <w:r w:rsidRPr="1A91C8FD">
        <w:rPr>
          <w:rFonts w:ascii="Aptos" w:eastAsia="Aptos" w:hAnsi="Aptos" w:cs="Aptos"/>
          <w:color w:val="000000" w:themeColor="text1"/>
          <w:lang w:val="en-GB"/>
        </w:rPr>
        <w:t>Project support from dedicated project lead.</w:t>
      </w:r>
    </w:p>
    <w:p w14:paraId="76261CCA" w14:textId="35B78F45" w:rsidR="00964799" w:rsidRDefault="72AEBDB4" w:rsidP="1A91C8FD">
      <w:pPr>
        <w:pStyle w:val="ListParagraph"/>
        <w:keepLines/>
        <w:spacing w:line="276" w:lineRule="auto"/>
        <w:rPr>
          <w:rFonts w:ascii="Aptos" w:eastAsia="Aptos" w:hAnsi="Aptos" w:cs="Aptos"/>
          <w:color w:val="000000" w:themeColor="text1"/>
        </w:rPr>
      </w:pPr>
      <w:r w:rsidRPr="1A91C8FD">
        <w:rPr>
          <w:rFonts w:ascii="Aptos" w:eastAsia="Aptos" w:hAnsi="Aptos" w:cs="Aptos"/>
          <w:color w:val="000000" w:themeColor="text1"/>
          <w:lang w:val="en-GB"/>
        </w:rPr>
        <w:t>Relevant available data from previous work.</w:t>
      </w:r>
    </w:p>
    <w:p w14:paraId="32AB6D72" w14:textId="2503A8C5" w:rsidR="00964799" w:rsidRDefault="72AEBDB4" w:rsidP="1A91C8FD">
      <w:pPr>
        <w:pStyle w:val="ListParagraph"/>
        <w:keepLines/>
        <w:spacing w:line="276" w:lineRule="auto"/>
        <w:rPr>
          <w:rFonts w:ascii="Aptos" w:eastAsia="Aptos" w:hAnsi="Aptos" w:cs="Aptos"/>
          <w:color w:val="000000" w:themeColor="text1"/>
        </w:rPr>
      </w:pPr>
      <w:r w:rsidRPr="1A91C8FD">
        <w:rPr>
          <w:rFonts w:ascii="Aptos" w:eastAsia="Aptos" w:hAnsi="Aptos" w:cs="Aptos"/>
          <w:color w:val="000000" w:themeColor="text1"/>
          <w:lang w:val="en-GB"/>
        </w:rPr>
        <w:t>Opportunity to feedback and discuss progress with the project lead. </w:t>
      </w:r>
    </w:p>
    <w:p w14:paraId="48E8A23F" w14:textId="4E6A3136" w:rsidR="00964799" w:rsidRDefault="00964799" w:rsidP="175C0AEA">
      <w:pPr>
        <w:spacing w:after="240" w:line="276" w:lineRule="auto"/>
        <w:rPr>
          <w:rFonts w:ascii="Arial" w:eastAsia="Arial" w:hAnsi="Arial" w:cs="Arial"/>
          <w:b/>
          <w:bCs/>
          <w:color w:val="000000" w:themeColor="text1"/>
          <w:sz w:val="26"/>
          <w:szCs w:val="26"/>
        </w:rPr>
      </w:pPr>
    </w:p>
    <w:p w14:paraId="7EA27512" w14:textId="195B62B1" w:rsidR="00964799" w:rsidRDefault="00964799">
      <w:r>
        <w:br w:type="page"/>
      </w:r>
    </w:p>
    <w:p w14:paraId="1F0A7A86" w14:textId="440907CA" w:rsidR="00964799" w:rsidRDefault="00964799" w:rsidP="175C0AEA">
      <w:pPr>
        <w:rPr>
          <w:b/>
          <w:bCs/>
        </w:rPr>
      </w:pPr>
    </w:p>
    <w:p w14:paraId="03F248C0" w14:textId="3588C4FF" w:rsidR="00DF1F5A" w:rsidRDefault="00964799" w:rsidP="00964799">
      <w:pPr>
        <w:jc w:val="center"/>
        <w:rPr>
          <w:b/>
          <w:bCs/>
        </w:rPr>
      </w:pPr>
      <w:r w:rsidRPr="00964799">
        <w:rPr>
          <w:b/>
          <w:bCs/>
        </w:rPr>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636112FE" w:rsidR="00C110C4" w:rsidRDefault="00C110C4" w:rsidP="00C110C4">
      <w:pPr>
        <w:jc w:val="center"/>
        <w:rPr>
          <w:b/>
          <w:bCs/>
        </w:rPr>
      </w:pPr>
      <w:r w:rsidRPr="0028704B">
        <w:rPr>
          <w:rFonts w:ascii="Arial" w:eastAsia="Arial" w:hAnsi="Arial" w:cs="Arial"/>
          <w:sz w:val="18"/>
          <w:szCs w:val="18"/>
          <w:highlight w:val="cyan"/>
        </w:rPr>
        <w:t>[</w:t>
      </w:r>
      <w:r w:rsidRPr="0028704B">
        <w:rPr>
          <w:rFonts w:ascii="Arial" w:eastAsia="Arial" w:hAnsi="Arial" w:cs="Arial"/>
          <w:b/>
          <w:bCs/>
          <w:i/>
          <w:iCs/>
          <w:sz w:val="18"/>
          <w:szCs w:val="18"/>
          <w:highlight w:val="cyan"/>
        </w:rPr>
        <w:t xml:space="preserve">Guidance note: </w:t>
      </w:r>
      <w:r w:rsidR="007E13D8">
        <w:rPr>
          <w:rFonts w:ascii="Arial" w:eastAsia="Arial" w:hAnsi="Arial" w:cs="Arial"/>
          <w:b/>
          <w:bCs/>
          <w:i/>
          <w:iCs/>
          <w:sz w:val="18"/>
          <w:szCs w:val="18"/>
          <w:highlight w:val="cyan"/>
        </w:rPr>
        <w:t>Include a clear breakdown of the charges in as much detail as necessary</w:t>
      </w:r>
      <w:r w:rsidRPr="0028704B">
        <w:rPr>
          <w:rFonts w:ascii="Arial" w:eastAsia="Arial" w:hAnsi="Arial" w:cs="Arial"/>
          <w:sz w:val="18"/>
          <w:szCs w:val="18"/>
          <w:highlight w:val="cyan"/>
        </w:rPr>
        <w:t>]</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20"/>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92B69" w14:textId="77777777" w:rsidR="006B1122" w:rsidRDefault="006B1122" w:rsidP="006D4D44">
      <w:r>
        <w:separator/>
      </w:r>
    </w:p>
  </w:endnote>
  <w:endnote w:type="continuationSeparator" w:id="0">
    <w:p w14:paraId="7F3F2733" w14:textId="77777777" w:rsidR="006B1122" w:rsidRDefault="006B1122" w:rsidP="006D4D44">
      <w:r>
        <w:continuationSeparator/>
      </w:r>
    </w:p>
  </w:endnote>
  <w:endnote w:type="continuationNotice" w:id="1">
    <w:p w14:paraId="22053A68" w14:textId="77777777" w:rsidR="006B1122" w:rsidRDefault="006B11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02018" w14:textId="77777777" w:rsidR="006B1122" w:rsidRDefault="006B1122" w:rsidP="006D4D44">
      <w:r>
        <w:separator/>
      </w:r>
    </w:p>
  </w:footnote>
  <w:footnote w:type="continuationSeparator" w:id="0">
    <w:p w14:paraId="7F221F8C" w14:textId="77777777" w:rsidR="006B1122" w:rsidRDefault="006B1122" w:rsidP="006D4D44">
      <w:r>
        <w:continuationSeparator/>
      </w:r>
    </w:p>
  </w:footnote>
  <w:footnote w:type="continuationNotice" w:id="1">
    <w:p w14:paraId="2417ABD7" w14:textId="77777777" w:rsidR="006B1122" w:rsidRDefault="006B11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025F9A"/>
    <w:multiLevelType w:val="multilevel"/>
    <w:tmpl w:val="FFFFFFFF"/>
    <w:lvl w:ilvl="0">
      <w:numFmt w:val="none"/>
      <w:pStyle w:val="Heading2"/>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1"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76248911">
    <w:abstractNumId w:val="7"/>
  </w:num>
  <w:num w:numId="2" w16cid:durableId="1245187806">
    <w:abstractNumId w:val="8"/>
  </w:num>
  <w:num w:numId="3" w16cid:durableId="48959668">
    <w:abstractNumId w:val="4"/>
  </w:num>
  <w:num w:numId="4" w16cid:durableId="1865634184">
    <w:abstractNumId w:val="2"/>
  </w:num>
  <w:num w:numId="5" w16cid:durableId="1817600806">
    <w:abstractNumId w:val="6"/>
  </w:num>
  <w:num w:numId="6" w16cid:durableId="1411125109">
    <w:abstractNumId w:val="1"/>
  </w:num>
  <w:num w:numId="7" w16cid:durableId="1032612986">
    <w:abstractNumId w:val="9"/>
  </w:num>
  <w:num w:numId="8" w16cid:durableId="57559465">
    <w:abstractNumId w:val="11"/>
  </w:num>
  <w:num w:numId="9" w16cid:durableId="1106075539">
    <w:abstractNumId w:val="10"/>
  </w:num>
  <w:num w:numId="10" w16cid:durableId="385764938">
    <w:abstractNumId w:val="0"/>
  </w:num>
  <w:num w:numId="11" w16cid:durableId="1917786695">
    <w:abstractNumId w:val="12"/>
  </w:num>
  <w:num w:numId="12" w16cid:durableId="2083286213">
    <w:abstractNumId w:val="3"/>
  </w:num>
  <w:num w:numId="13" w16cid:durableId="241069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32F50"/>
    <w:rsid w:val="000465D8"/>
    <w:rsid w:val="00051580"/>
    <w:rsid w:val="00060369"/>
    <w:rsid w:val="00064402"/>
    <w:rsid w:val="00067FA0"/>
    <w:rsid w:val="00072742"/>
    <w:rsid w:val="00086559"/>
    <w:rsid w:val="00087154"/>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75DCB"/>
    <w:rsid w:val="00280C77"/>
    <w:rsid w:val="0028352A"/>
    <w:rsid w:val="0028704B"/>
    <w:rsid w:val="0029726B"/>
    <w:rsid w:val="002B11D2"/>
    <w:rsid w:val="002C5FF2"/>
    <w:rsid w:val="002D71E6"/>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079F"/>
    <w:rsid w:val="004028F1"/>
    <w:rsid w:val="00417BD4"/>
    <w:rsid w:val="0042045B"/>
    <w:rsid w:val="00420833"/>
    <w:rsid w:val="00425D5F"/>
    <w:rsid w:val="00431E7C"/>
    <w:rsid w:val="00447F3F"/>
    <w:rsid w:val="0045078E"/>
    <w:rsid w:val="00460766"/>
    <w:rsid w:val="00466581"/>
    <w:rsid w:val="0047390D"/>
    <w:rsid w:val="00495AF2"/>
    <w:rsid w:val="004A3885"/>
    <w:rsid w:val="004A78E6"/>
    <w:rsid w:val="004C735C"/>
    <w:rsid w:val="004D6A40"/>
    <w:rsid w:val="004E3F6D"/>
    <w:rsid w:val="004E401D"/>
    <w:rsid w:val="00502C2A"/>
    <w:rsid w:val="005270DD"/>
    <w:rsid w:val="005331C6"/>
    <w:rsid w:val="0055332E"/>
    <w:rsid w:val="00560301"/>
    <w:rsid w:val="00561D0A"/>
    <w:rsid w:val="0056575C"/>
    <w:rsid w:val="0056680F"/>
    <w:rsid w:val="00592833"/>
    <w:rsid w:val="005954B9"/>
    <w:rsid w:val="005A06D5"/>
    <w:rsid w:val="005A6439"/>
    <w:rsid w:val="005B1BD6"/>
    <w:rsid w:val="005B7BA0"/>
    <w:rsid w:val="005D046C"/>
    <w:rsid w:val="005D7E88"/>
    <w:rsid w:val="005E3AB1"/>
    <w:rsid w:val="005F21B0"/>
    <w:rsid w:val="005F8391"/>
    <w:rsid w:val="00607C0A"/>
    <w:rsid w:val="00622BBD"/>
    <w:rsid w:val="0062693F"/>
    <w:rsid w:val="006418F8"/>
    <w:rsid w:val="00643F0F"/>
    <w:rsid w:val="00645B01"/>
    <w:rsid w:val="00650E75"/>
    <w:rsid w:val="00661567"/>
    <w:rsid w:val="00671CDA"/>
    <w:rsid w:val="00675C3D"/>
    <w:rsid w:val="0069576E"/>
    <w:rsid w:val="006B1122"/>
    <w:rsid w:val="006B1941"/>
    <w:rsid w:val="006C1774"/>
    <w:rsid w:val="006C2154"/>
    <w:rsid w:val="006C4019"/>
    <w:rsid w:val="006C46CB"/>
    <w:rsid w:val="006D3AB7"/>
    <w:rsid w:val="006D4D44"/>
    <w:rsid w:val="006F3AA3"/>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80830"/>
    <w:rsid w:val="00892A33"/>
    <w:rsid w:val="0089641B"/>
    <w:rsid w:val="00897DEE"/>
    <w:rsid w:val="008A6193"/>
    <w:rsid w:val="008B397E"/>
    <w:rsid w:val="008C06F3"/>
    <w:rsid w:val="008C0AAD"/>
    <w:rsid w:val="008C6DE8"/>
    <w:rsid w:val="008EEA9A"/>
    <w:rsid w:val="008F21B2"/>
    <w:rsid w:val="008F26D3"/>
    <w:rsid w:val="008F6523"/>
    <w:rsid w:val="00902AD3"/>
    <w:rsid w:val="0090448C"/>
    <w:rsid w:val="00904553"/>
    <w:rsid w:val="009179C1"/>
    <w:rsid w:val="00937B12"/>
    <w:rsid w:val="00946D10"/>
    <w:rsid w:val="0095605E"/>
    <w:rsid w:val="00957A9E"/>
    <w:rsid w:val="00964799"/>
    <w:rsid w:val="009661C2"/>
    <w:rsid w:val="00973FCF"/>
    <w:rsid w:val="00982134"/>
    <w:rsid w:val="00982F06"/>
    <w:rsid w:val="00983BD6"/>
    <w:rsid w:val="00987AD1"/>
    <w:rsid w:val="009A20E3"/>
    <w:rsid w:val="009C2213"/>
    <w:rsid w:val="009D51E3"/>
    <w:rsid w:val="009D6BFB"/>
    <w:rsid w:val="009E4387"/>
    <w:rsid w:val="009F6829"/>
    <w:rsid w:val="009F7160"/>
    <w:rsid w:val="00A1327E"/>
    <w:rsid w:val="00A14AE1"/>
    <w:rsid w:val="00A242C1"/>
    <w:rsid w:val="00A32B86"/>
    <w:rsid w:val="00A348D3"/>
    <w:rsid w:val="00A81221"/>
    <w:rsid w:val="00A81E57"/>
    <w:rsid w:val="00A82FE8"/>
    <w:rsid w:val="00A96A21"/>
    <w:rsid w:val="00AD73E4"/>
    <w:rsid w:val="00AE364D"/>
    <w:rsid w:val="00AE4917"/>
    <w:rsid w:val="00AE4BE3"/>
    <w:rsid w:val="00B16F5C"/>
    <w:rsid w:val="00B23851"/>
    <w:rsid w:val="00B45454"/>
    <w:rsid w:val="00B462BF"/>
    <w:rsid w:val="00B46D37"/>
    <w:rsid w:val="00B632B0"/>
    <w:rsid w:val="00B76B73"/>
    <w:rsid w:val="00B76D05"/>
    <w:rsid w:val="00BA1A16"/>
    <w:rsid w:val="00BB4E1D"/>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A4382"/>
    <w:rsid w:val="00CA4BA2"/>
    <w:rsid w:val="00CD0BC1"/>
    <w:rsid w:val="00CE4F63"/>
    <w:rsid w:val="00CF313C"/>
    <w:rsid w:val="00CF572A"/>
    <w:rsid w:val="00CF68EF"/>
    <w:rsid w:val="00D016D1"/>
    <w:rsid w:val="00D067DB"/>
    <w:rsid w:val="00D109E4"/>
    <w:rsid w:val="00D13D45"/>
    <w:rsid w:val="00D21BA4"/>
    <w:rsid w:val="00D2736E"/>
    <w:rsid w:val="00D833E2"/>
    <w:rsid w:val="00D92643"/>
    <w:rsid w:val="00D929D8"/>
    <w:rsid w:val="00DA5CAA"/>
    <w:rsid w:val="00DC3186"/>
    <w:rsid w:val="00DD176F"/>
    <w:rsid w:val="00DD5B37"/>
    <w:rsid w:val="00DE4F91"/>
    <w:rsid w:val="00DF1F5A"/>
    <w:rsid w:val="00DF7B9A"/>
    <w:rsid w:val="00E02BF7"/>
    <w:rsid w:val="00E25618"/>
    <w:rsid w:val="00E3048C"/>
    <w:rsid w:val="00E31A41"/>
    <w:rsid w:val="00E42B57"/>
    <w:rsid w:val="00E42D4F"/>
    <w:rsid w:val="00E4362A"/>
    <w:rsid w:val="00E567F8"/>
    <w:rsid w:val="00E71E78"/>
    <w:rsid w:val="00E72C17"/>
    <w:rsid w:val="00E747E2"/>
    <w:rsid w:val="00E767AE"/>
    <w:rsid w:val="00E76D6F"/>
    <w:rsid w:val="00E82DFB"/>
    <w:rsid w:val="00E82F01"/>
    <w:rsid w:val="00E96B1C"/>
    <w:rsid w:val="00EA529F"/>
    <w:rsid w:val="00EB5236"/>
    <w:rsid w:val="00EC08C6"/>
    <w:rsid w:val="00ED3EB7"/>
    <w:rsid w:val="00ED7D8D"/>
    <w:rsid w:val="00EE40F2"/>
    <w:rsid w:val="00EF562A"/>
    <w:rsid w:val="00F03C5F"/>
    <w:rsid w:val="00F315B1"/>
    <w:rsid w:val="00F32AA9"/>
    <w:rsid w:val="00F34637"/>
    <w:rsid w:val="00F41BF3"/>
    <w:rsid w:val="00F476E9"/>
    <w:rsid w:val="00F5113F"/>
    <w:rsid w:val="00F52B8D"/>
    <w:rsid w:val="00F55C82"/>
    <w:rsid w:val="00F60A5A"/>
    <w:rsid w:val="00F622CE"/>
    <w:rsid w:val="00F6633E"/>
    <w:rsid w:val="00F703C7"/>
    <w:rsid w:val="00F76444"/>
    <w:rsid w:val="00F77094"/>
    <w:rsid w:val="00F81522"/>
    <w:rsid w:val="00F8541A"/>
    <w:rsid w:val="00FA2C69"/>
    <w:rsid w:val="00FA703D"/>
    <w:rsid w:val="00FD57F2"/>
    <w:rsid w:val="00FD7AA5"/>
    <w:rsid w:val="00FF5115"/>
    <w:rsid w:val="02CB39AF"/>
    <w:rsid w:val="03EC7DFC"/>
    <w:rsid w:val="03F4C0BF"/>
    <w:rsid w:val="0439D244"/>
    <w:rsid w:val="0487DE1F"/>
    <w:rsid w:val="05306A73"/>
    <w:rsid w:val="058AABC3"/>
    <w:rsid w:val="05F0FFEE"/>
    <w:rsid w:val="06446012"/>
    <w:rsid w:val="06756C4B"/>
    <w:rsid w:val="06B51BF2"/>
    <w:rsid w:val="072C6247"/>
    <w:rsid w:val="0789593A"/>
    <w:rsid w:val="07E3EDD3"/>
    <w:rsid w:val="083E108B"/>
    <w:rsid w:val="09E45C22"/>
    <w:rsid w:val="0A115D44"/>
    <w:rsid w:val="0BC4AC51"/>
    <w:rsid w:val="0E07D99C"/>
    <w:rsid w:val="0EC34E8A"/>
    <w:rsid w:val="0F1AFE0D"/>
    <w:rsid w:val="0F5C9C7F"/>
    <w:rsid w:val="0F9040DF"/>
    <w:rsid w:val="0FD98050"/>
    <w:rsid w:val="10CF48B2"/>
    <w:rsid w:val="12373C16"/>
    <w:rsid w:val="12982BC3"/>
    <w:rsid w:val="12D32E05"/>
    <w:rsid w:val="1323D746"/>
    <w:rsid w:val="135E7DC7"/>
    <w:rsid w:val="13924D32"/>
    <w:rsid w:val="14417564"/>
    <w:rsid w:val="14E92441"/>
    <w:rsid w:val="16F7CFF6"/>
    <w:rsid w:val="173B916D"/>
    <w:rsid w:val="175C0AEA"/>
    <w:rsid w:val="17FE8394"/>
    <w:rsid w:val="18142BC0"/>
    <w:rsid w:val="1833227A"/>
    <w:rsid w:val="18E84618"/>
    <w:rsid w:val="1A042100"/>
    <w:rsid w:val="1A07F2EF"/>
    <w:rsid w:val="1A8CDF25"/>
    <w:rsid w:val="1A91C8FD"/>
    <w:rsid w:val="1B12446C"/>
    <w:rsid w:val="1B32AD73"/>
    <w:rsid w:val="1B6E4596"/>
    <w:rsid w:val="1B8E0717"/>
    <w:rsid w:val="1C75AF1B"/>
    <w:rsid w:val="1CB04BF6"/>
    <w:rsid w:val="1CD8D82D"/>
    <w:rsid w:val="1DAE2519"/>
    <w:rsid w:val="1E13F785"/>
    <w:rsid w:val="1FF00889"/>
    <w:rsid w:val="2015280F"/>
    <w:rsid w:val="2084FA93"/>
    <w:rsid w:val="20BF842E"/>
    <w:rsid w:val="22E1B13B"/>
    <w:rsid w:val="25668F32"/>
    <w:rsid w:val="25C47DAD"/>
    <w:rsid w:val="289B1313"/>
    <w:rsid w:val="2A004AB1"/>
    <w:rsid w:val="2ABB0F18"/>
    <w:rsid w:val="2AF9A7C7"/>
    <w:rsid w:val="2B689F6C"/>
    <w:rsid w:val="2D1BEAD1"/>
    <w:rsid w:val="2E90EF12"/>
    <w:rsid w:val="2EE91B72"/>
    <w:rsid w:val="3091434B"/>
    <w:rsid w:val="31355866"/>
    <w:rsid w:val="31EC6F66"/>
    <w:rsid w:val="33167CF1"/>
    <w:rsid w:val="3406EAAD"/>
    <w:rsid w:val="343E63F6"/>
    <w:rsid w:val="3494B467"/>
    <w:rsid w:val="35E43448"/>
    <w:rsid w:val="362F39FB"/>
    <w:rsid w:val="367D8368"/>
    <w:rsid w:val="3711928E"/>
    <w:rsid w:val="379C3486"/>
    <w:rsid w:val="3B5EB0A9"/>
    <w:rsid w:val="3BCA69A6"/>
    <w:rsid w:val="3D655975"/>
    <w:rsid w:val="3D713866"/>
    <w:rsid w:val="3DCF22DE"/>
    <w:rsid w:val="3DDFD9BB"/>
    <w:rsid w:val="3E73D287"/>
    <w:rsid w:val="3FB0456B"/>
    <w:rsid w:val="43BA0770"/>
    <w:rsid w:val="44196A84"/>
    <w:rsid w:val="4584192F"/>
    <w:rsid w:val="48175D73"/>
    <w:rsid w:val="48D1928A"/>
    <w:rsid w:val="49456D77"/>
    <w:rsid w:val="4BE68869"/>
    <w:rsid w:val="4DC89FE0"/>
    <w:rsid w:val="4E82A9A1"/>
    <w:rsid w:val="4F1AC1BE"/>
    <w:rsid w:val="4F9CADC2"/>
    <w:rsid w:val="508EF0FE"/>
    <w:rsid w:val="508FD3D9"/>
    <w:rsid w:val="50C3056B"/>
    <w:rsid w:val="510D3946"/>
    <w:rsid w:val="52DC53F3"/>
    <w:rsid w:val="52F7EE9F"/>
    <w:rsid w:val="546B66E0"/>
    <w:rsid w:val="54B0039E"/>
    <w:rsid w:val="54EFE67A"/>
    <w:rsid w:val="59851255"/>
    <w:rsid w:val="5AAC7B7D"/>
    <w:rsid w:val="5B3F8344"/>
    <w:rsid w:val="5B6BD693"/>
    <w:rsid w:val="5BAF898E"/>
    <w:rsid w:val="5BE67E4B"/>
    <w:rsid w:val="5C1D85C0"/>
    <w:rsid w:val="5D91A5E4"/>
    <w:rsid w:val="5E0A0A78"/>
    <w:rsid w:val="5EFF3DC6"/>
    <w:rsid w:val="5FD19188"/>
    <w:rsid w:val="602FA20C"/>
    <w:rsid w:val="60449F94"/>
    <w:rsid w:val="61CD430C"/>
    <w:rsid w:val="6313D740"/>
    <w:rsid w:val="6320F182"/>
    <w:rsid w:val="65CC82DF"/>
    <w:rsid w:val="682193CA"/>
    <w:rsid w:val="68733B5E"/>
    <w:rsid w:val="697734D2"/>
    <w:rsid w:val="6A51C07D"/>
    <w:rsid w:val="6C9108EF"/>
    <w:rsid w:val="6D5A7675"/>
    <w:rsid w:val="6F03FFC6"/>
    <w:rsid w:val="6FC12E4B"/>
    <w:rsid w:val="7137D1EC"/>
    <w:rsid w:val="7173FE94"/>
    <w:rsid w:val="71CA82B6"/>
    <w:rsid w:val="72AEBDB4"/>
    <w:rsid w:val="72AF2F70"/>
    <w:rsid w:val="72F7D10B"/>
    <w:rsid w:val="72FB1ADF"/>
    <w:rsid w:val="731496B6"/>
    <w:rsid w:val="741B2FDD"/>
    <w:rsid w:val="741D389F"/>
    <w:rsid w:val="74A101A5"/>
    <w:rsid w:val="7565CC8E"/>
    <w:rsid w:val="7575730D"/>
    <w:rsid w:val="7694F8DD"/>
    <w:rsid w:val="77ECED10"/>
    <w:rsid w:val="783D50A4"/>
    <w:rsid w:val="79D07954"/>
    <w:rsid w:val="7AA6C4ED"/>
    <w:rsid w:val="7AD6552D"/>
    <w:rsid w:val="7ADD5C59"/>
    <w:rsid w:val="7C964081"/>
    <w:rsid w:val="7D5101B4"/>
    <w:rsid w:val="7F59405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0A9B827C-4F29-41CF-9719-7500AB88A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9"/>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numId w:val="1"/>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9"/>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9"/>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9"/>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9"/>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9"/>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9"/>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9"/>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10"/>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1"/>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1"/>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paragraph" w:customStyle="1" w:styleId="Subheading">
    <w:name w:val="Sub heading"/>
    <w:basedOn w:val="Normal"/>
    <w:link w:val="SubheadingChar"/>
    <w:uiPriority w:val="1"/>
    <w:qFormat/>
    <w:rsid w:val="175C0AEA"/>
    <w:pPr>
      <w:spacing w:after="240" w:line="276" w:lineRule="auto"/>
    </w:pPr>
    <w:rPr>
      <w:rFonts w:ascii="Arial" w:eastAsia="Arial" w:hAnsi="Arial" w:cs="Times New Roman"/>
      <w:b/>
      <w:bCs/>
      <w:sz w:val="26"/>
      <w:szCs w:val="26"/>
      <w:lang w:val="en-GB" w:eastAsia="en-GB"/>
    </w:rPr>
  </w:style>
  <w:style w:type="character" w:customStyle="1" w:styleId="Text">
    <w:name w:val="Text"/>
    <w:basedOn w:val="DefaultParagraphFont"/>
    <w:uiPriority w:val="1"/>
    <w:rsid w:val="175C0AEA"/>
    <w:rPr>
      <w:rFonts w:ascii="Arial" w:eastAsia="Arial" w:hAnsi="Arial" w:cs="Times New Roman"/>
      <w:sz w:val="24"/>
      <w:szCs w:val="24"/>
    </w:rPr>
  </w:style>
  <w:style w:type="character" w:customStyle="1" w:styleId="SubheadingChar">
    <w:name w:val="Sub heading Char"/>
    <w:basedOn w:val="DefaultParagraphFont"/>
    <w:link w:val="Subheading"/>
    <w:uiPriority w:val="1"/>
    <w:rsid w:val="175C0AEA"/>
    <w:rPr>
      <w:rFonts w:ascii="Arial" w:eastAsia="Arial" w:hAnsi="Arial" w:cs="Times New Roman"/>
      <w:b/>
      <w:bCs/>
      <w:sz w:val="26"/>
      <w:szCs w:val="26"/>
      <w:lang w:val="en-GB" w:eastAsia="en-GB"/>
    </w:rPr>
  </w:style>
  <w:style w:type="character" w:customStyle="1" w:styleId="normaltextrun">
    <w:name w:val="normaltextrun"/>
    <w:basedOn w:val="DefaultParagraphFont"/>
    <w:uiPriority w:val="1"/>
    <w:rsid w:val="175C0AEA"/>
    <w:rPr>
      <w:rFonts w:ascii="Arial" w:eastAsia="Arial" w:hAnsi="Arial" w:cs="Times New Roman"/>
    </w:rPr>
  </w:style>
  <w:style w:type="character" w:customStyle="1" w:styleId="eop">
    <w:name w:val="eop"/>
    <w:basedOn w:val="DefaultParagraphFont"/>
    <w:uiPriority w:val="1"/>
    <w:rsid w:val="175C0AEA"/>
    <w:rPr>
      <w:rFonts w:ascii="Arial" w:eastAsia="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publications.naturalengland.org.uk/publication/5790636781600768"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ublications.naturalengland.org.uk/publication/4658498148499456" TargetMode="External"/><Relationship Id="rId2" Type="http://schemas.openxmlformats.org/officeDocument/2006/relationships/customXml" Target="../customXml/item2.xml"/><Relationship Id="rId16" Type="http://schemas.openxmlformats.org/officeDocument/2006/relationships/hyperlink" Target="https://www.gov.uk/government/organisations/natural-englan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organisations/natural-england" TargetMode="External"/><Relationship Id="rId10" Type="http://schemas.openxmlformats.org/officeDocument/2006/relationships/webSettings" Target="webSettings.xml"/><Relationship Id="rId19" Type="http://schemas.openxmlformats.org/officeDocument/2006/relationships/hyperlink" Target="https://publications.naturalengland.org.uk/publication/5790636781600768"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13</Value>
      <Value>21</Value>
      <Value>9</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0fd5adda-053a-40ee-914b-4206b95d786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86415FA6975AA7488AAC16A66995F676" ma:contentTypeVersion="35" ma:contentTypeDescription="Create a new document." ma:contentTypeScope="" ma:versionID="6ecd93f163b1f76dc31761bc7378ebf7">
  <xsd:schema xmlns:xsd="http://www.w3.org/2001/XMLSchema" xmlns:xs="http://www.w3.org/2001/XMLSchema" xmlns:p="http://schemas.microsoft.com/office/2006/metadata/properties" xmlns:ns1="http://schemas.microsoft.com/sharepoint/v3" xmlns:ns2="662745e8-e224-48e8-a2e3-254862b8c2f5" xmlns:ns3="0fd5adda-053a-40ee-914b-4206b95d786a" xmlns:ns4="6b785766-55eb-452d-ac9b-3055ca2a4823" targetNamespace="http://schemas.microsoft.com/office/2006/metadata/properties" ma:root="true" ma:fieldsID="4f7808825b6548e94ffae6e8bc2cb052" ns1:_="" ns2:_="" ns3:_="" ns4:_="">
    <xsd:import namespace="http://schemas.microsoft.com/sharepoint/v3"/>
    <xsd:import namespace="662745e8-e224-48e8-a2e3-254862b8c2f5"/>
    <xsd:import namespace="0fd5adda-053a-40ee-914b-4206b95d786a"/>
    <xsd:import namespace="6b785766-55eb-452d-ac9b-3055ca2a482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MediaServiceDateTaken"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41c4be7-a1fc-4187-b94b-3b399ccd2670}" ma:internalName="TaxCatchAll" ma:showField="CatchAllData"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41c4be7-a1fc-4187-b94b-3b399ccd2670}" ma:internalName="TaxCatchAllLabel" ma:readOnly="true" ma:showField="CatchAllDataLabel"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arine NCEA" ma:internalName="Team">
      <xsd:simpleType>
        <xsd:restriction base="dms:Text"/>
      </xsd:simpleType>
    </xsd:element>
    <xsd:element name="Topic" ma:index="20" nillable="true" ma:displayName="Topic" ma:default="Yr 3 PBDM"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d5adda-053a-40ee-914b-4206b95d786a"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785766-55eb-452d-ac9b-3055ca2a4823"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4.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0fd5adda-053a-40ee-914b-4206b95d786a"/>
    <ds:schemaRef ds:uri="http://schemas.microsoft.com/sharepoint/v3"/>
  </ds:schemaRefs>
</ds:datastoreItem>
</file>

<file path=customXml/itemProps2.xml><?xml version="1.0" encoding="utf-8"?>
<ds:datastoreItem xmlns:ds="http://schemas.openxmlformats.org/officeDocument/2006/customXml" ds:itemID="{98D5C116-4491-4C70-8F13-A9D5C3571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0fd5adda-053a-40ee-914b-4206b95d786a"/>
    <ds:schemaRef ds:uri="6b785766-55eb-452d-ac9b-3055ca2a4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27311E-7F60-4D51-B271-16D3281155A9}">
  <ds:schemaRefs>
    <ds:schemaRef ds:uri="Microsoft.SharePoint.Taxonomy.ContentTypeSync"/>
  </ds:schemaRefs>
</ds:datastoreItem>
</file>

<file path=customXml/itemProps4.xml><?xml version="1.0" encoding="utf-8"?>
<ds:datastoreItem xmlns:ds="http://schemas.openxmlformats.org/officeDocument/2006/customXml" ds:itemID="{606A6351-C2A9-40F8-B50A-3A655FD40671}">
  <ds:schemaRefs>
    <ds:schemaRef ds:uri="http://www.imanage.com/work/xmlschema"/>
  </ds:schemaRefs>
</ds:datastoreItem>
</file>

<file path=customXml/itemProps5.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6.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3107</Words>
  <Characters>17714</Characters>
  <Application>Microsoft Office Word</Application>
  <DocSecurity>4</DocSecurity>
  <Lines>147</Lines>
  <Paragraphs>41</Paragraphs>
  <ScaleCrop>false</ScaleCrop>
  <Company/>
  <LinksUpToDate>false</LinksUpToDate>
  <CharactersWithSpaces>20780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Samuel, Robyn</cp:lastModifiedBy>
  <cp:revision>101</cp:revision>
  <dcterms:created xsi:type="dcterms:W3CDTF">2024-06-13T19:53:00Z</dcterms:created>
  <dcterms:modified xsi:type="dcterms:W3CDTF">2024-06-18T16:59:00Z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0x010100A5BF1C78D9F64B679A5EBDE1C6598EBC010086415FA6975AA7488AAC16A66995F676</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21;#Community|144ac7d7-0b9a-42f9-9385-2935294b6de3</vt:lpwstr>
  </property>
  <property fmtid="{D5CDD505-2E9C-101B-9397-08002B2CF9AE}" pid="9" name="OrganisationalUnit">
    <vt:lpwstr>13;#Defra Group Commercial|88c065df-18f9-4530-b972-ea809b7dd96d</vt:lpwstr>
  </property>
  <property fmtid="{D5CDD505-2E9C-101B-9397-08002B2CF9AE}" pid="10" name="InformationType">
    <vt:lpwstr/>
  </property>
</Properties>
</file>