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CD94" w14:textId="77777777" w:rsidR="00976BC5" w:rsidRDefault="00976BC5" w:rsidP="00976BC5">
      <w:pPr>
        <w:pStyle w:val="BlankDocumentTitle"/>
      </w:pPr>
      <w:r>
        <w:t>MODEL AGREEMENT FOR SERVICES SCHEDULES</w:t>
      </w:r>
    </w:p>
    <w:p w14:paraId="76C98D57" w14:textId="77777777" w:rsidR="00976BC5" w:rsidRDefault="00976BC5" w:rsidP="00976BC5">
      <w:pPr>
        <w:pStyle w:val="StdBodyText"/>
      </w:pPr>
    </w:p>
    <w:p w14:paraId="2D4035FF" w14:textId="746C6F95" w:rsidR="00976BC5" w:rsidRDefault="00EE094A" w:rsidP="00EE094A">
      <w:pPr>
        <w:pStyle w:val="ScheduleHeading2"/>
        <w:numPr>
          <w:ilvl w:val="0"/>
          <w:numId w:val="0"/>
        </w:numPr>
      </w:pPr>
      <w:bookmarkStart w:id="0" w:name="_Ref_ContractCompanion_9kb9Ur039"/>
      <w:bookmarkStart w:id="1" w:name="_Ref44571798"/>
      <w:bookmarkStart w:id="2" w:name="_9kR3WTrAG8DNFZJfifw5qDQVo10v606H9DC"/>
      <w:bookmarkEnd w:id="0"/>
      <w:r>
        <w:t>SCHEDULE 7.3</w:t>
      </w:r>
    </w:p>
    <w:bookmarkEnd w:id="1"/>
    <w:p w14:paraId="136446FD" w14:textId="77777777" w:rsidR="00976BC5" w:rsidRDefault="00976BC5" w:rsidP="00976BC5">
      <w:pPr>
        <w:pStyle w:val="StdBodyText"/>
      </w:pPr>
    </w:p>
    <w:p w14:paraId="0904191A" w14:textId="77777777" w:rsidR="00976BC5" w:rsidRDefault="00976BC5" w:rsidP="00976BC5">
      <w:pPr>
        <w:pStyle w:val="ScheduleSubHeading"/>
      </w:pPr>
      <w:bookmarkStart w:id="3" w:name="SCHEDULEBENCHMARKING"/>
      <w:r>
        <w:t>BENCHMARKING</w:t>
      </w:r>
      <w:bookmarkEnd w:id="2"/>
    </w:p>
    <w:bookmarkEnd w:id="3"/>
    <w:p w14:paraId="7D43AEF7" w14:textId="77777777" w:rsidR="00976BC5" w:rsidRDefault="00976BC5" w:rsidP="00976BC5">
      <w:pPr>
        <w:rPr>
          <w:rFonts w:eastAsia="Times New Roman" w:cs="Times New Roman"/>
          <w:b/>
          <w:szCs w:val="24"/>
          <w:lang w:eastAsia="en-GB"/>
        </w:rPr>
      </w:pPr>
      <w:r>
        <w:rPr>
          <w:b/>
        </w:rPr>
        <w:br w:type="page"/>
      </w:r>
    </w:p>
    <w:p w14:paraId="289C4699" w14:textId="77777777" w:rsidR="00976BC5" w:rsidRDefault="00976BC5" w:rsidP="00976BC5">
      <w:pPr>
        <w:pStyle w:val="BlankDocumentTitle"/>
      </w:pPr>
      <w:r>
        <w:lastRenderedPageBreak/>
        <w:t>Benchmarking</w:t>
      </w:r>
    </w:p>
    <w:p w14:paraId="0E4D21A5" w14:textId="77777777" w:rsidR="00976BC5" w:rsidRDefault="00976BC5" w:rsidP="00976BC5">
      <w:pPr>
        <w:pStyle w:val="ScheduleText1"/>
        <w:numPr>
          <w:ilvl w:val="0"/>
          <w:numId w:val="7"/>
        </w:numPr>
      </w:pPr>
      <w:r>
        <w:t>DEFINITIONS</w:t>
      </w:r>
    </w:p>
    <w:p w14:paraId="4010640C" w14:textId="77777777" w:rsidR="00976BC5" w:rsidRDefault="00976BC5" w:rsidP="00976BC5">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976BC5" w14:paraId="0B7D4675" w14:textId="77777777" w:rsidTr="008A71A3">
        <w:tc>
          <w:tcPr>
            <w:tcW w:w="2790" w:type="dxa"/>
          </w:tcPr>
          <w:p w14:paraId="4FDB0789" w14:textId="77777777" w:rsidR="00976BC5" w:rsidRDefault="00976BC5" w:rsidP="008A71A3">
            <w:pPr>
              <w:pStyle w:val="StdBodyTextBold"/>
            </w:pPr>
            <w:r>
              <w:t>“Benchmarked Service”</w:t>
            </w:r>
          </w:p>
        </w:tc>
        <w:tc>
          <w:tcPr>
            <w:tcW w:w="5661" w:type="dxa"/>
          </w:tcPr>
          <w:p w14:paraId="20BCF12E" w14:textId="768FC8A4" w:rsidR="00976BC5" w:rsidRDefault="00976BC5" w:rsidP="008A71A3">
            <w:pPr>
              <w:pStyle w:val="StdBodyText"/>
            </w:pPr>
            <w:r>
              <w:t xml:space="preserve">a Service that the Authority elects to include in a Benchmark Review under </w:t>
            </w:r>
            <w:bookmarkStart w:id="4" w:name="_9kMHG5YVtCIB8EKHFhTlXSyG8qn4KAs565ADO7y"/>
            <w:r>
              <w:t xml:space="preserve">Paragraph </w:t>
            </w:r>
            <w:r>
              <w:fldChar w:fldCharType="begin"/>
            </w:r>
            <w:r>
              <w:instrText xml:space="preserve"> REF _Ref_ContractCompanion_9kb9Us28C \n \h \t \* MERGEFORMAT </w:instrText>
            </w:r>
            <w:r>
              <w:fldChar w:fldCharType="separate"/>
            </w:r>
            <w:r w:rsidR="00EE094A">
              <w:t>2.3</w:t>
            </w:r>
            <w:r>
              <w:fldChar w:fldCharType="end"/>
            </w:r>
            <w:bookmarkEnd w:id="4"/>
            <w:r>
              <w:t>;</w:t>
            </w:r>
          </w:p>
        </w:tc>
      </w:tr>
      <w:tr w:rsidR="00976BC5" w14:paraId="73978F90" w14:textId="77777777" w:rsidTr="008A71A3">
        <w:tc>
          <w:tcPr>
            <w:tcW w:w="2790" w:type="dxa"/>
          </w:tcPr>
          <w:p w14:paraId="6004BAB0" w14:textId="77777777" w:rsidR="00976BC5" w:rsidRDefault="00976BC5" w:rsidP="008A71A3">
            <w:pPr>
              <w:pStyle w:val="StdBodyTextBold"/>
            </w:pPr>
            <w:r>
              <w:t>“</w:t>
            </w:r>
            <w:proofErr w:type="spellStart"/>
            <w:r>
              <w:t>Benchmarker</w:t>
            </w:r>
            <w:proofErr w:type="spellEnd"/>
            <w:r>
              <w:t>”</w:t>
            </w:r>
          </w:p>
        </w:tc>
        <w:tc>
          <w:tcPr>
            <w:tcW w:w="5661" w:type="dxa"/>
          </w:tcPr>
          <w:p w14:paraId="307AD704" w14:textId="738A5AC1" w:rsidR="00976BC5" w:rsidRDefault="00976BC5" w:rsidP="008A71A3">
            <w:pPr>
              <w:pStyle w:val="StdBodyText"/>
            </w:pPr>
            <w:r>
              <w:t xml:space="preserve">the independent third party appointed under </w:t>
            </w:r>
            <w:bookmarkStart w:id="5" w:name="_9kR3WTr2BC6CLfEnoewrqyDL"/>
            <w:r>
              <w:t xml:space="preserve">Paragraph </w:t>
            </w:r>
            <w:r>
              <w:fldChar w:fldCharType="begin"/>
            </w:r>
            <w:r>
              <w:instrText xml:space="preserve"> REF _Ref_ContractCompanion_9kb9Us28F \n \h \t \* MERGEFORMAT </w:instrText>
            </w:r>
            <w:r>
              <w:fldChar w:fldCharType="separate"/>
            </w:r>
            <w:r w:rsidR="00EE094A">
              <w:t>3.1</w:t>
            </w:r>
            <w:r>
              <w:fldChar w:fldCharType="end"/>
            </w:r>
            <w:bookmarkEnd w:id="5"/>
            <w:r>
              <w:t>;</w:t>
            </w:r>
          </w:p>
        </w:tc>
      </w:tr>
      <w:tr w:rsidR="00976BC5" w14:paraId="0332CE63" w14:textId="77777777" w:rsidTr="008A71A3">
        <w:tc>
          <w:tcPr>
            <w:tcW w:w="2790" w:type="dxa"/>
          </w:tcPr>
          <w:p w14:paraId="186B82B9" w14:textId="77777777" w:rsidR="00976BC5" w:rsidRDefault="00976BC5" w:rsidP="008A71A3">
            <w:pPr>
              <w:pStyle w:val="StdBodyTextBold"/>
            </w:pPr>
            <w:r>
              <w:t>“Benchmark Report”</w:t>
            </w:r>
          </w:p>
        </w:tc>
        <w:tc>
          <w:tcPr>
            <w:tcW w:w="5661" w:type="dxa"/>
          </w:tcPr>
          <w:p w14:paraId="6F82ACF9" w14:textId="33FB7746" w:rsidR="00976BC5" w:rsidRDefault="00976BC5" w:rsidP="008A71A3">
            <w:pPr>
              <w:pStyle w:val="StdBodyText"/>
            </w:pPr>
            <w:r>
              <w:t xml:space="preserve">the report produced by the </w:t>
            </w:r>
            <w:proofErr w:type="spellStart"/>
            <w:r>
              <w:t>Benchmarker</w:t>
            </w:r>
            <w:proofErr w:type="spellEnd"/>
            <w:r>
              <w:t xml:space="preserve"> following the Benchmark Review as further described in </w:t>
            </w:r>
            <w:bookmarkStart w:id="6" w:name="_9kMHG5YVt4DDDLFYGpqgyts0H"/>
            <w:r>
              <w:t xml:space="preserve">Paragraph </w:t>
            </w:r>
            <w:r>
              <w:fldChar w:fldCharType="begin"/>
            </w:r>
            <w:r>
              <w:instrText xml:space="preserve"> REF _Ref_ContractCompanion_9kb9Ur7EE \w \n \h \t \* MERGEFORMAT </w:instrText>
            </w:r>
            <w:r>
              <w:fldChar w:fldCharType="separate"/>
            </w:r>
            <w:r w:rsidR="00EE094A">
              <w:t>5</w:t>
            </w:r>
            <w:r>
              <w:fldChar w:fldCharType="end"/>
            </w:r>
            <w:bookmarkEnd w:id="6"/>
            <w:r>
              <w:t>;</w:t>
            </w:r>
          </w:p>
        </w:tc>
      </w:tr>
      <w:tr w:rsidR="00976BC5" w14:paraId="59C26259" w14:textId="77777777" w:rsidTr="008A71A3">
        <w:tc>
          <w:tcPr>
            <w:tcW w:w="2790" w:type="dxa"/>
          </w:tcPr>
          <w:p w14:paraId="4F245E3E" w14:textId="77777777" w:rsidR="00976BC5" w:rsidRDefault="00976BC5" w:rsidP="008A71A3">
            <w:pPr>
              <w:pStyle w:val="StdBodyTextBold"/>
            </w:pPr>
            <w:r>
              <w:t>“Benchmark Review”</w:t>
            </w:r>
          </w:p>
        </w:tc>
        <w:tc>
          <w:tcPr>
            <w:tcW w:w="5661" w:type="dxa"/>
          </w:tcPr>
          <w:p w14:paraId="414045CB" w14:textId="2A0F0F82" w:rsidR="00976BC5" w:rsidRDefault="00976BC5" w:rsidP="008A71A3">
            <w:pPr>
              <w:pStyle w:val="StdBodyText"/>
            </w:pPr>
            <w:r>
              <w:t xml:space="preserve">a review of one or more of the Services carried out in accordance with </w:t>
            </w:r>
            <w:bookmarkStart w:id="7" w:name="_9kMML5YVt4DDCMKbGpqgyts0G"/>
            <w:r>
              <w:t xml:space="preserve">Paragraph </w:t>
            </w:r>
            <w:r>
              <w:fldChar w:fldCharType="begin"/>
            </w:r>
            <w:r>
              <w:instrText xml:space="preserve"> REF _Ref_ContractCompanion_9kb9Ur6GC \w \n \h \t \* MERGEFORMAT </w:instrText>
            </w:r>
            <w:r>
              <w:fldChar w:fldCharType="separate"/>
            </w:r>
            <w:r w:rsidR="00EE094A">
              <w:t>4</w:t>
            </w:r>
            <w:r>
              <w:fldChar w:fldCharType="end"/>
            </w:r>
            <w:bookmarkEnd w:id="7"/>
            <w:r>
              <w:t xml:space="preserve"> to determine whether those Services represent Good Value;</w:t>
            </w:r>
          </w:p>
        </w:tc>
      </w:tr>
      <w:tr w:rsidR="00976BC5" w14:paraId="560D4C5D" w14:textId="77777777" w:rsidTr="008A71A3">
        <w:tc>
          <w:tcPr>
            <w:tcW w:w="2790" w:type="dxa"/>
          </w:tcPr>
          <w:p w14:paraId="1143D5DD" w14:textId="77777777" w:rsidR="00976BC5" w:rsidRDefault="00976BC5" w:rsidP="008A71A3">
            <w:pPr>
              <w:pStyle w:val="StdBodyTextBold"/>
            </w:pPr>
            <w:r>
              <w:t>“Comparable Service”</w:t>
            </w:r>
          </w:p>
        </w:tc>
        <w:tc>
          <w:tcPr>
            <w:tcW w:w="5661" w:type="dxa"/>
          </w:tcPr>
          <w:p w14:paraId="7270377B" w14:textId="77777777" w:rsidR="00976BC5" w:rsidRDefault="00976BC5" w:rsidP="008A71A3">
            <w:pPr>
              <w:pStyle w:val="StdBodyText"/>
            </w:pPr>
            <w:r>
              <w:t xml:space="preserve">in relation to a Benchmarked Service, a service that is identical or materially </w:t>
            </w:r>
            <w:proofErr w:type="gramStart"/>
            <w:r>
              <w:t>similar to</w:t>
            </w:r>
            <w:proofErr w:type="gramEnd"/>
            <w:r>
              <w:t xml:space="preserve"> the Benchmarked Service (including in terms of scope, specification, volume and quality of performance);</w:t>
            </w:r>
          </w:p>
        </w:tc>
      </w:tr>
      <w:tr w:rsidR="00976BC5" w14:paraId="44159F09" w14:textId="77777777" w:rsidTr="008A71A3">
        <w:tc>
          <w:tcPr>
            <w:tcW w:w="2790" w:type="dxa"/>
          </w:tcPr>
          <w:p w14:paraId="57376E2A" w14:textId="77777777" w:rsidR="00976BC5" w:rsidRDefault="00976BC5" w:rsidP="008A71A3">
            <w:pPr>
              <w:pStyle w:val="StdBodyTextBold"/>
            </w:pPr>
            <w:r>
              <w:t>“Comparison Group”</w:t>
            </w:r>
          </w:p>
        </w:tc>
        <w:tc>
          <w:tcPr>
            <w:tcW w:w="5661" w:type="dxa"/>
          </w:tcPr>
          <w:p w14:paraId="048A2E0F" w14:textId="134FD405" w:rsidR="00976BC5" w:rsidRDefault="00976BC5" w:rsidP="008A71A3">
            <w:pPr>
              <w:pStyle w:val="StdBodyText"/>
            </w:pPr>
            <w:r>
              <w:t xml:space="preserve">in relation to a Comparable Service, a sample group of organisations providing the Comparable Service identified by the </w:t>
            </w:r>
            <w:proofErr w:type="spellStart"/>
            <w:r>
              <w:t>Benchmarker</w:t>
            </w:r>
            <w:proofErr w:type="spellEnd"/>
            <w:r>
              <w:t xml:space="preserve"> under </w:t>
            </w:r>
            <w:bookmarkStart w:id="8" w:name="_9kR3WTr2BC6DFYEnoewrqyET"/>
            <w:r>
              <w:t xml:space="preserve">Paragraph </w:t>
            </w:r>
            <w:r>
              <w:fldChar w:fldCharType="begin"/>
            </w:r>
            <w:r>
              <w:instrText xml:space="preserve"> REF _Ref_ContractCompanion_9kb9Us299 \n \h \t \* MERGEFORMAT </w:instrText>
            </w:r>
            <w:r>
              <w:fldChar w:fldCharType="separate"/>
            </w:r>
            <w:r w:rsidR="00EE094A">
              <w:t>4.8</w:t>
            </w:r>
            <w:r>
              <w:fldChar w:fldCharType="end"/>
            </w:r>
            <w:bookmarkEnd w:id="8"/>
            <w:r>
              <w:t xml:space="preserve"> which consists of organisations which are either of similar size to the Supplier or which are similarly structured in terms of their business and their service offering so as to be (in the </w:t>
            </w:r>
            <w:proofErr w:type="spellStart"/>
            <w:r>
              <w:t>Benchmarker's</w:t>
            </w:r>
            <w:proofErr w:type="spellEnd"/>
            <w:r>
              <w:t xml:space="preserve"> professional opinion) fair comparators with the Supplier or which, in the professional opinion of the </w:t>
            </w:r>
            <w:proofErr w:type="spellStart"/>
            <w:r>
              <w:t>Benchmarker</w:t>
            </w:r>
            <w:proofErr w:type="spellEnd"/>
            <w:r>
              <w:t>, are best practice organisations and, where there are a reasonable number of such organisations, referencing only those organisations that are carrying on at least a significant part of their business within the United Kingdom;</w:t>
            </w:r>
          </w:p>
        </w:tc>
      </w:tr>
      <w:tr w:rsidR="00976BC5" w14:paraId="3A905577" w14:textId="77777777" w:rsidTr="008A71A3">
        <w:tc>
          <w:tcPr>
            <w:tcW w:w="2790" w:type="dxa"/>
          </w:tcPr>
          <w:p w14:paraId="0C82EED8" w14:textId="77777777" w:rsidR="00976BC5" w:rsidRDefault="00976BC5" w:rsidP="008A71A3">
            <w:pPr>
              <w:pStyle w:val="StdBodyTextBold"/>
            </w:pPr>
            <w:r>
              <w:t>“Equivalent Services Data”</w:t>
            </w:r>
          </w:p>
        </w:tc>
        <w:tc>
          <w:tcPr>
            <w:tcW w:w="5661" w:type="dxa"/>
          </w:tcPr>
          <w:p w14:paraId="16118E64" w14:textId="07613B05" w:rsidR="00976BC5" w:rsidRDefault="00976BC5" w:rsidP="008A71A3">
            <w:pPr>
              <w:pStyle w:val="StdBodyText"/>
            </w:pPr>
            <w:r>
              <w:t xml:space="preserve">in relation to a Comparable Service, data derived from an analysis of the Comparable Service provided by the Comparison Group as adjusted in accordance with </w:t>
            </w:r>
            <w:bookmarkStart w:id="9" w:name="_9kR3WTr2BC6DIbEnoewrqy2QU1"/>
            <w:r>
              <w:t xml:space="preserve">Paragraphs </w:t>
            </w:r>
            <w:r>
              <w:fldChar w:fldCharType="begin"/>
            </w:r>
            <w:r>
              <w:instrText xml:space="preserve"> REF _Ref_ContractCompanion_9kb9Us29C \w \h \t \* MERGEFORMAT </w:instrText>
            </w:r>
            <w:r>
              <w:fldChar w:fldCharType="separate"/>
            </w:r>
            <w:r w:rsidR="00EE094A">
              <w:t>4.8(a)</w:t>
            </w:r>
            <w:r>
              <w:fldChar w:fldCharType="end"/>
            </w:r>
            <w:bookmarkEnd w:id="9"/>
            <w:r>
              <w:t xml:space="preserve"> and </w:t>
            </w:r>
            <w:bookmarkStart w:id="10" w:name="_9kMHG5YVtCIB8FNLNnTlGButoztzAy6LCv0C9zE"/>
            <w:r>
              <w:fldChar w:fldCharType="begin"/>
            </w:r>
            <w:r>
              <w:instrText xml:space="preserve"> REF _Ref_ContractCompanion_9kb9Us29F \n \h \t \* MERGEFORMAT </w:instrText>
            </w:r>
            <w:r>
              <w:fldChar w:fldCharType="separate"/>
            </w:r>
            <w:r w:rsidR="00EE094A">
              <w:t>4.9</w:t>
            </w:r>
            <w:r>
              <w:fldChar w:fldCharType="end"/>
            </w:r>
            <w:bookmarkEnd w:id="10"/>
            <w:r>
              <w:t xml:space="preserve"> provided that the </w:t>
            </w:r>
            <w:proofErr w:type="spellStart"/>
            <w:r>
              <w:t>Benchmarker</w:t>
            </w:r>
            <w:proofErr w:type="spellEnd"/>
            <w:r>
              <w:t xml:space="preserve"> shall not use any such data that relates to a period which ended more than 36 months prior to the date of the appointment of the </w:t>
            </w:r>
            <w:proofErr w:type="spellStart"/>
            <w:r>
              <w:t>Benchmarker</w:t>
            </w:r>
            <w:proofErr w:type="spellEnd"/>
            <w:r>
              <w:t>;</w:t>
            </w:r>
          </w:p>
        </w:tc>
      </w:tr>
      <w:tr w:rsidR="00976BC5" w14:paraId="63B35C08" w14:textId="77777777" w:rsidTr="008A71A3">
        <w:tc>
          <w:tcPr>
            <w:tcW w:w="2790" w:type="dxa"/>
          </w:tcPr>
          <w:p w14:paraId="4E2B867A" w14:textId="77777777" w:rsidR="00976BC5" w:rsidRDefault="00976BC5" w:rsidP="008A71A3">
            <w:pPr>
              <w:pStyle w:val="StdBodyTextBold"/>
            </w:pPr>
            <w:r>
              <w:lastRenderedPageBreak/>
              <w:t>“Good Value”</w:t>
            </w:r>
          </w:p>
        </w:tc>
        <w:tc>
          <w:tcPr>
            <w:tcW w:w="5661" w:type="dxa"/>
          </w:tcPr>
          <w:p w14:paraId="76D2E4C3" w14:textId="77777777" w:rsidR="00976BC5" w:rsidRDefault="00976BC5" w:rsidP="008A71A3">
            <w:pPr>
              <w:pStyle w:val="StdBodyText"/>
            </w:pPr>
            <w:r>
              <w:t>in relation to a Benchmarked Service, that:</w:t>
            </w:r>
          </w:p>
          <w:p w14:paraId="139F0301" w14:textId="77777777" w:rsidR="00976BC5" w:rsidRDefault="00976BC5" w:rsidP="00976BC5">
            <w:pPr>
              <w:pStyle w:val="DefinitionList"/>
              <w:numPr>
                <w:ilvl w:val="0"/>
                <w:numId w:val="8"/>
              </w:numPr>
            </w:pPr>
            <w:r>
              <w:t xml:space="preserve">having </w:t>
            </w:r>
            <w:proofErr w:type="gramStart"/>
            <w:r>
              <w:t>taken into account</w:t>
            </w:r>
            <w:proofErr w:type="gramEnd"/>
            <w:r>
              <w:t xml:space="preserve"> the Performance Indicators and Target Service Levels, the value for money of the Charges attributable to that Benchmarked Service is at least as good as the value for money of the Upper Quartile; and</w:t>
            </w:r>
          </w:p>
          <w:p w14:paraId="56430212" w14:textId="77777777" w:rsidR="00976BC5" w:rsidRDefault="00976BC5" w:rsidP="008A71A3">
            <w:pPr>
              <w:pStyle w:val="DefinitionList"/>
            </w:pPr>
            <w:r>
              <w:t xml:space="preserve">any Performance Indicators and Target Service Levels applicable to that Benchmarked Service are, having </w:t>
            </w:r>
            <w:proofErr w:type="gramStart"/>
            <w:r>
              <w:t>taken into account</w:t>
            </w:r>
            <w:proofErr w:type="gramEnd"/>
            <w:r>
              <w:t xml:space="preserve"> the Charges, equal to or better than the median service levels for the Comparable Service using Equivalent Services Data; and</w:t>
            </w:r>
          </w:p>
        </w:tc>
      </w:tr>
      <w:tr w:rsidR="00976BC5" w14:paraId="1EC2EE3F" w14:textId="77777777" w:rsidTr="008A71A3">
        <w:tc>
          <w:tcPr>
            <w:tcW w:w="2790" w:type="dxa"/>
          </w:tcPr>
          <w:p w14:paraId="72DE8388" w14:textId="77777777" w:rsidR="00976BC5" w:rsidRDefault="00976BC5" w:rsidP="008A71A3">
            <w:pPr>
              <w:pStyle w:val="StdBodyTextBold"/>
            </w:pPr>
            <w:r>
              <w:t>“Upper Quartile”</w:t>
            </w:r>
          </w:p>
        </w:tc>
        <w:tc>
          <w:tcPr>
            <w:tcW w:w="5661" w:type="dxa"/>
          </w:tcPr>
          <w:p w14:paraId="5D68F66F" w14:textId="77777777" w:rsidR="00976BC5" w:rsidRDefault="00976BC5" w:rsidP="008A71A3">
            <w:pPr>
              <w:pStyle w:val="StdBodyText"/>
            </w:pPr>
            <w:r>
              <w:t>the top 25% of instances of provision of a Comparable Service by members of the Comparison Group ranked by best value for money to the recipients of that Comparable Service.</w:t>
            </w:r>
          </w:p>
        </w:tc>
      </w:tr>
    </w:tbl>
    <w:p w14:paraId="373AAC45" w14:textId="77777777" w:rsidR="00976BC5" w:rsidRDefault="00976BC5" w:rsidP="00976BC5">
      <w:pPr>
        <w:pStyle w:val="ScheduleText1"/>
      </w:pPr>
      <w:r>
        <w:t>FREQUENCY, PURPOSE AND SCOPE OF BENCHMARK REVIEW</w:t>
      </w:r>
    </w:p>
    <w:p w14:paraId="60EFB48C" w14:textId="77777777" w:rsidR="00976BC5" w:rsidRDefault="00976BC5" w:rsidP="00976BC5">
      <w:pPr>
        <w:pStyle w:val="ScheduleText2"/>
      </w:pPr>
      <w:bookmarkStart w:id="11" w:name="_Ref_ContractCompanion_9kb9Us29I"/>
      <w:bookmarkStart w:id="12" w:name="_9kR3WTrAG96EFABdRjDOE2y947OIv8ABXREHTFA"/>
      <w:bookmarkStart w:id="13" w:name="_Ref_ContractCompanion_9kb9Us2AF"/>
      <w:r>
        <w:t xml:space="preserve">The Authority may, by written notice to the Supplier, require a Benchmark Review of any or </w:t>
      </w:r>
      <w:proofErr w:type="gramStart"/>
      <w:r>
        <w:t>all of</w:t>
      </w:r>
      <w:proofErr w:type="gramEnd"/>
      <w:r>
        <w:t xml:space="preserve"> the Services in order to establish whether a Benchmarked Service is, and/or the Benchmarked Services as a whole are, Good Value.</w:t>
      </w:r>
      <w:bookmarkEnd w:id="11"/>
      <w:bookmarkEnd w:id="12"/>
      <w:bookmarkEnd w:id="13"/>
    </w:p>
    <w:p w14:paraId="66EE44C3" w14:textId="77777777" w:rsidR="00976BC5" w:rsidRDefault="00976BC5" w:rsidP="00976BC5">
      <w:pPr>
        <w:pStyle w:val="ScheduleText2"/>
      </w:pPr>
      <w:r>
        <w:t xml:space="preserve">The Authority shall not be entitled to carry out a Benchmark Review of any Services during the </w:t>
      </w:r>
      <w:proofErr w:type="gramStart"/>
      <w:r>
        <w:t>12 month</w:t>
      </w:r>
      <w:proofErr w:type="gramEnd"/>
      <w:r>
        <w:t xml:space="preserve"> period from the Operational Service Commencement Date for those Services, nor at intervals of less than 12 months after any previous Benchmark Review relating to the same Services.</w:t>
      </w:r>
    </w:p>
    <w:p w14:paraId="5DD0C7E0" w14:textId="7B61376C" w:rsidR="00976BC5" w:rsidRDefault="00976BC5" w:rsidP="00976BC5">
      <w:pPr>
        <w:pStyle w:val="ScheduleText2"/>
      </w:pPr>
      <w:bookmarkStart w:id="14" w:name="_Ref_ContractCompanion_9kb9Us28C"/>
      <w:bookmarkStart w:id="15" w:name="_9kR3WTrAG96CIFDfRjVQwE6ol2I8q3438BM5wFJ"/>
      <w:r>
        <w:t xml:space="preserve">The Services that are to be the Benchmarked Services shall be identified by the Authority in the notice given under </w:t>
      </w:r>
      <w:bookmarkStart w:id="16" w:name="_9kMHG5YVtCIB8GHCDfTlFQG40B69QKxACDZTGJV"/>
      <w:r>
        <w:t xml:space="preserve">Paragraph </w:t>
      </w:r>
      <w:r>
        <w:fldChar w:fldCharType="begin"/>
      </w:r>
      <w:r>
        <w:instrText xml:space="preserve"> REF _Ref_ContractCompanion_9kb9Us29I \n \h \t \* MERGEFORMAT </w:instrText>
      </w:r>
      <w:r>
        <w:fldChar w:fldCharType="separate"/>
      </w:r>
      <w:r w:rsidR="00EE094A">
        <w:t>2.1</w:t>
      </w:r>
      <w:r>
        <w:fldChar w:fldCharType="end"/>
      </w:r>
      <w:bookmarkEnd w:id="16"/>
      <w:r>
        <w:t>.</w:t>
      </w:r>
      <w:bookmarkEnd w:id="14"/>
      <w:bookmarkEnd w:id="15"/>
    </w:p>
    <w:p w14:paraId="2D90D0D1" w14:textId="77777777" w:rsidR="00976BC5" w:rsidRDefault="00976BC5" w:rsidP="00976BC5">
      <w:pPr>
        <w:pStyle w:val="ScheduleText1"/>
      </w:pPr>
      <w:r>
        <w:t>APPOINTMENT OF BENCHMARKER</w:t>
      </w:r>
    </w:p>
    <w:p w14:paraId="27A79FBE" w14:textId="306733EF" w:rsidR="00976BC5" w:rsidRDefault="00976BC5" w:rsidP="00976BC5">
      <w:pPr>
        <w:pStyle w:val="ScheduleText2"/>
      </w:pPr>
      <w:bookmarkStart w:id="17" w:name="_Ref_ContractCompanion_9kb9Us28F"/>
      <w:r>
        <w:t xml:space="preserve">The Authority shall appoint as the </w:t>
      </w:r>
      <w:proofErr w:type="spellStart"/>
      <w:r>
        <w:t>Benchmarker</w:t>
      </w:r>
      <w:proofErr w:type="spellEnd"/>
      <w:r>
        <w:t xml:space="preserve"> to carry out the Benchmark Review either an organisation on the list of organisations set out in </w:t>
      </w:r>
      <w:r>
        <w:fldChar w:fldCharType="begin"/>
      </w:r>
      <w:r>
        <w:instrText xml:space="preserve"> REF _Ref_ContractCompanion_9kb9Ur7BD \w \n \h \* MERGEFORMAT </w:instrText>
      </w:r>
      <w:r>
        <w:fldChar w:fldCharType="separate"/>
      </w:r>
      <w:r w:rsidR="00EE094A">
        <w:t>Annex 1</w:t>
      </w:r>
      <w:r>
        <w:fldChar w:fldCharType="end"/>
      </w:r>
      <w:r>
        <w:t xml:space="preserve"> or such other organisation as may be agreed in writing between the Parties.</w:t>
      </w:r>
      <w:bookmarkEnd w:id="17"/>
    </w:p>
    <w:p w14:paraId="64A8103E" w14:textId="28FC7D48" w:rsidR="00976BC5" w:rsidRDefault="00976BC5" w:rsidP="00976BC5">
      <w:pPr>
        <w:pStyle w:val="ScheduleText2"/>
      </w:pPr>
      <w:r>
        <w:t xml:space="preserve">The Authority shall, at the written request of the Supplier, require the </w:t>
      </w:r>
      <w:proofErr w:type="spellStart"/>
      <w:r>
        <w:t>Benchmarker</w:t>
      </w:r>
      <w:proofErr w:type="spellEnd"/>
      <w:r>
        <w:t xml:space="preserve"> to enter into a confidentiality agreement with the Supplier in, or substantially in, the form set out in </w:t>
      </w:r>
      <w:bookmarkStart w:id="18" w:name="_9kR3WTr2BC6EILCwozO"/>
      <w:r>
        <w:fldChar w:fldCharType="begin"/>
      </w:r>
      <w:r>
        <w:instrText xml:space="preserve"> REF _Ref_ContractCompanion_9kb9Us2AC \w \n \h \* MERGEFORMAT </w:instrText>
      </w:r>
      <w:r>
        <w:fldChar w:fldCharType="separate"/>
      </w:r>
      <w:r w:rsidR="00EE094A">
        <w:t>Annex 2</w:t>
      </w:r>
      <w:r>
        <w:fldChar w:fldCharType="end"/>
      </w:r>
      <w:bookmarkEnd w:id="18"/>
      <w:r>
        <w:t>.</w:t>
      </w:r>
    </w:p>
    <w:p w14:paraId="1E83FAA9" w14:textId="77777777" w:rsidR="00976BC5" w:rsidRDefault="00976BC5" w:rsidP="00976BC5">
      <w:pPr>
        <w:pStyle w:val="ScheduleText2"/>
      </w:pPr>
      <w:r>
        <w:t xml:space="preserve">The costs and expenses of the </w:t>
      </w:r>
      <w:proofErr w:type="spellStart"/>
      <w:r>
        <w:t>Benchmarker</w:t>
      </w:r>
      <w:proofErr w:type="spellEnd"/>
      <w:r>
        <w:t xml:space="preserve"> and the Benchmark Review shall be shared equally between both Parties provided that each Party shall bear its own internal costs of the Benchmark Review. The </w:t>
      </w:r>
      <w:proofErr w:type="spellStart"/>
      <w:r>
        <w:t>Benchmarker</w:t>
      </w:r>
      <w:proofErr w:type="spellEnd"/>
      <w:r>
        <w:t xml:space="preserve"> shall not be compensated on a contingency fee or incentive basis.</w:t>
      </w:r>
    </w:p>
    <w:p w14:paraId="4833DA98" w14:textId="77777777" w:rsidR="00976BC5" w:rsidRDefault="00976BC5" w:rsidP="00976BC5">
      <w:pPr>
        <w:pStyle w:val="ScheduleText2"/>
      </w:pPr>
      <w:r>
        <w:lastRenderedPageBreak/>
        <w:t xml:space="preserve">The Authority shall be entitled to pay the </w:t>
      </w:r>
      <w:proofErr w:type="spellStart"/>
      <w:r>
        <w:t>Benchmarker’s</w:t>
      </w:r>
      <w:proofErr w:type="spellEnd"/>
      <w:r>
        <w:t xml:space="preserve"> costs and expenses in full and to recover the Supplier’s share from the Supplier.</w:t>
      </w:r>
    </w:p>
    <w:p w14:paraId="0855D1B6" w14:textId="77777777" w:rsidR="00976BC5" w:rsidRDefault="00976BC5" w:rsidP="00976BC5">
      <w:pPr>
        <w:pStyle w:val="ScheduleText1"/>
      </w:pPr>
      <w:bookmarkStart w:id="19" w:name="_Ref_ContractCompanion_9kb9Ur6GC"/>
      <w:bookmarkStart w:id="20" w:name="_Ref_ContractCompanion_9kb9Us2BF"/>
      <w:r>
        <w:t>BENCHMARK REVIEW</w:t>
      </w:r>
      <w:bookmarkEnd w:id="19"/>
      <w:bookmarkEnd w:id="20"/>
    </w:p>
    <w:p w14:paraId="5F5AFA73" w14:textId="77777777" w:rsidR="00976BC5" w:rsidRDefault="00976BC5" w:rsidP="00976BC5">
      <w:pPr>
        <w:pStyle w:val="ScheduleText2"/>
      </w:pPr>
      <w:bookmarkStart w:id="21" w:name="_9kR3WTrAG96FIEDdRjDOE2y947OO8rw8F99QJHE"/>
      <w:bookmarkStart w:id="22" w:name="_Ref_ContractCompanion_9kb9Us2BC"/>
      <w:r>
        <w:t xml:space="preserve">The Authority shall require the </w:t>
      </w:r>
      <w:proofErr w:type="spellStart"/>
      <w:r>
        <w:t>Benchmarker</w:t>
      </w:r>
      <w:proofErr w:type="spellEnd"/>
      <w:r>
        <w:t xml:space="preserve"> to produce, and to send to each Party for approval, a draft plan for the Benchmark Review within 10 Working Days after the date of the appointment of the </w:t>
      </w:r>
      <w:proofErr w:type="spellStart"/>
      <w:r>
        <w:t>Benchmarker</w:t>
      </w:r>
      <w:proofErr w:type="spellEnd"/>
      <w:r>
        <w:t xml:space="preserve">, or such longer period as the </w:t>
      </w:r>
      <w:proofErr w:type="spellStart"/>
      <w:r>
        <w:t>Benchmarker</w:t>
      </w:r>
      <w:proofErr w:type="spellEnd"/>
      <w:r>
        <w:t xml:space="preserve"> shall reasonably request in all the circumstances.</w:t>
      </w:r>
      <w:bookmarkEnd w:id="21"/>
      <w:r>
        <w:t xml:space="preserve">  The plan must include:</w:t>
      </w:r>
      <w:bookmarkEnd w:id="22"/>
    </w:p>
    <w:p w14:paraId="4046E49F" w14:textId="77777777" w:rsidR="00976BC5" w:rsidRDefault="00976BC5" w:rsidP="00976BC5">
      <w:pPr>
        <w:pStyle w:val="ScheduleText4"/>
      </w:pPr>
      <w:r>
        <w:t xml:space="preserve">a proposed timetable for the Benchmark </w:t>
      </w:r>
      <w:proofErr w:type="gramStart"/>
      <w:r>
        <w:t>Review;</w:t>
      </w:r>
      <w:proofErr w:type="gramEnd"/>
    </w:p>
    <w:p w14:paraId="7ABD6F3D" w14:textId="77777777" w:rsidR="00976BC5" w:rsidRDefault="00976BC5" w:rsidP="00976BC5">
      <w:pPr>
        <w:pStyle w:val="ScheduleText4"/>
      </w:pPr>
      <w:r>
        <w:t xml:space="preserve">a description of the information that the </w:t>
      </w:r>
      <w:proofErr w:type="spellStart"/>
      <w:r>
        <w:t>Benchmarker</w:t>
      </w:r>
      <w:proofErr w:type="spellEnd"/>
      <w:r>
        <w:t xml:space="preserve"> requires each Party to </w:t>
      </w:r>
      <w:proofErr w:type="gramStart"/>
      <w:r>
        <w:t>provide;</w:t>
      </w:r>
      <w:proofErr w:type="gramEnd"/>
    </w:p>
    <w:p w14:paraId="5061824D" w14:textId="77777777" w:rsidR="00976BC5" w:rsidRDefault="00976BC5" w:rsidP="00976BC5">
      <w:pPr>
        <w:pStyle w:val="ScheduleText4"/>
      </w:pPr>
      <w:r>
        <w:t xml:space="preserve">a description of the benchmarking methodology to be </w:t>
      </w:r>
      <w:proofErr w:type="gramStart"/>
      <w:r>
        <w:t>used;</w:t>
      </w:r>
      <w:proofErr w:type="gramEnd"/>
      <w:r>
        <w:t xml:space="preserve"> </w:t>
      </w:r>
    </w:p>
    <w:p w14:paraId="47D0A9A6" w14:textId="7068FBD2" w:rsidR="00976BC5" w:rsidRDefault="00976BC5" w:rsidP="00976BC5">
      <w:pPr>
        <w:pStyle w:val="ScheduleText4"/>
      </w:pPr>
      <w:r>
        <w:t xml:space="preserve">a description that clearly illustrates that the benchmarking methodology to be used </w:t>
      </w:r>
      <w:proofErr w:type="gramStart"/>
      <w:r>
        <w:t>is capable of fulfilling</w:t>
      </w:r>
      <w:proofErr w:type="gramEnd"/>
      <w:r>
        <w:t xml:space="preserve"> the benchmarking objectives under </w:t>
      </w:r>
      <w:bookmarkStart w:id="23" w:name="_9kR3WTr2BC6ELdEnoewrqyCK"/>
      <w:r>
        <w:t xml:space="preserve">Paragraph </w:t>
      </w:r>
      <w:r>
        <w:fldChar w:fldCharType="begin"/>
      </w:r>
      <w:r>
        <w:instrText xml:space="preserve"> REF _Ref_ContractCompanion_9kb9Us2AF \n \h \t \* MERGEFORMAT </w:instrText>
      </w:r>
      <w:r>
        <w:fldChar w:fldCharType="separate"/>
      </w:r>
      <w:r w:rsidR="00EE094A">
        <w:t>2.1</w:t>
      </w:r>
      <w:r>
        <w:fldChar w:fldCharType="end"/>
      </w:r>
      <w:bookmarkEnd w:id="23"/>
      <w:r>
        <w:t>;</w:t>
      </w:r>
    </w:p>
    <w:p w14:paraId="2B0931CD" w14:textId="77777777" w:rsidR="00976BC5" w:rsidRDefault="00976BC5" w:rsidP="00976BC5">
      <w:pPr>
        <w:pStyle w:val="ScheduleText4"/>
      </w:pPr>
      <w:r>
        <w:t xml:space="preserve">an estimate of the resources required from each Party to underpin the delivery of the </w:t>
      </w:r>
      <w:proofErr w:type="gramStart"/>
      <w:r>
        <w:t>plan;</w:t>
      </w:r>
      <w:proofErr w:type="gramEnd"/>
      <w:r>
        <w:t xml:space="preserve"> </w:t>
      </w:r>
    </w:p>
    <w:p w14:paraId="1AC85FEA" w14:textId="77777777" w:rsidR="00976BC5" w:rsidRDefault="00976BC5" w:rsidP="00976BC5">
      <w:pPr>
        <w:pStyle w:val="ScheduleText4"/>
      </w:pPr>
      <w:r>
        <w:t xml:space="preserve">a description of how the </w:t>
      </w:r>
      <w:proofErr w:type="spellStart"/>
      <w:r>
        <w:t>Benchmarker</w:t>
      </w:r>
      <w:proofErr w:type="spellEnd"/>
      <w:r>
        <w:t xml:space="preserve"> will scope and identify the Comparison </w:t>
      </w:r>
      <w:proofErr w:type="gramStart"/>
      <w:r>
        <w:t>Group;</w:t>
      </w:r>
      <w:proofErr w:type="gramEnd"/>
      <w:r>
        <w:t xml:space="preserve"> </w:t>
      </w:r>
    </w:p>
    <w:p w14:paraId="141450B4" w14:textId="77777777" w:rsidR="00976BC5" w:rsidRDefault="00976BC5" w:rsidP="00976BC5">
      <w:pPr>
        <w:pStyle w:val="ScheduleText4"/>
      </w:pPr>
      <w:r>
        <w:t xml:space="preserve">details of any entities which the </w:t>
      </w:r>
      <w:proofErr w:type="spellStart"/>
      <w:r>
        <w:t>Benchmarker</w:t>
      </w:r>
      <w:proofErr w:type="spellEnd"/>
      <w:r>
        <w:t xml:space="preserve"> proposes to include within the Comparison Group; and</w:t>
      </w:r>
    </w:p>
    <w:p w14:paraId="6A68C1CF" w14:textId="03EB6FE3" w:rsidR="00976BC5" w:rsidRDefault="00976BC5" w:rsidP="00976BC5">
      <w:pPr>
        <w:pStyle w:val="ScheduleText4"/>
      </w:pPr>
      <w:r>
        <w:t xml:space="preserve">if in the </w:t>
      </w:r>
      <w:proofErr w:type="spellStart"/>
      <w:r>
        <w:t>Benchmarker's</w:t>
      </w:r>
      <w:proofErr w:type="spellEnd"/>
      <w:r>
        <w:t xml:space="preserve"> professional opinion there are no Comparable Services or the number of entities carrying out Comparable Services is insufficient to create a Comparison Group, a detailed approach for meeting the relevant benchmarking objective(s) under </w:t>
      </w:r>
      <w:bookmarkStart w:id="24" w:name="_9kMHG5YVt4DE8GNfGpqgyts0EM"/>
      <w:r>
        <w:t xml:space="preserve">Paragraph </w:t>
      </w:r>
      <w:r>
        <w:fldChar w:fldCharType="begin"/>
      </w:r>
      <w:r>
        <w:instrText xml:space="preserve"> REF _Ref_ContractCompanion_9kb9Us2AF \n \h \t \* MERGEFORMAT </w:instrText>
      </w:r>
      <w:r>
        <w:fldChar w:fldCharType="separate"/>
      </w:r>
      <w:r w:rsidR="00EE094A">
        <w:t>2.1</w:t>
      </w:r>
      <w:r>
        <w:fldChar w:fldCharType="end"/>
      </w:r>
      <w:bookmarkEnd w:id="24"/>
      <w:r>
        <w:t xml:space="preserve"> using a proxy for the Comparison Services and/or Comparison Group as applicable.</w:t>
      </w:r>
    </w:p>
    <w:p w14:paraId="4FE019C9" w14:textId="77777777" w:rsidR="00976BC5" w:rsidRDefault="00976BC5" w:rsidP="00976BC5">
      <w:pPr>
        <w:pStyle w:val="ScheduleText2"/>
      </w:pPr>
      <w:r>
        <w:t xml:space="preserve">The Parties acknowledge that the selection and or use of proxies for the Comparison Group (both in terms of number and identity of entities) and Comparable Services shall be a matter for the </w:t>
      </w:r>
      <w:proofErr w:type="spellStart"/>
      <w:r>
        <w:t>Benchmarker's</w:t>
      </w:r>
      <w:proofErr w:type="spellEnd"/>
      <w:r>
        <w:t xml:space="preserve"> professional judgment.</w:t>
      </w:r>
    </w:p>
    <w:p w14:paraId="634A09F6" w14:textId="4B1BCFE7" w:rsidR="00976BC5" w:rsidRDefault="00976BC5" w:rsidP="00976BC5">
      <w:pPr>
        <w:pStyle w:val="ScheduleText2"/>
      </w:pPr>
      <w:bookmarkStart w:id="25" w:name="_9kR3WTrAG96FFBFQ5aiWKtDLL5ot51zFC5GNI2z"/>
      <w:bookmarkStart w:id="26" w:name="_Ref_ContractCompanion_9kb9Us2AI"/>
      <w:r>
        <w:t xml:space="preserve">Each Party shall give notice in writing to the </w:t>
      </w:r>
      <w:proofErr w:type="spellStart"/>
      <w:r>
        <w:t>Benchmarker</w:t>
      </w:r>
      <w:proofErr w:type="spellEnd"/>
      <w:r>
        <w:t xml:space="preserve"> and to the other Party within 10 Working Days after receiving the draft plan either approving the draft plan or suggesting amendments to that plan which must be reasonable Where a Party suggests amendments to the draft plan pursuant to this</w:t>
      </w:r>
      <w:bookmarkEnd w:id="25"/>
      <w:r>
        <w:t xml:space="preserve"> </w:t>
      </w:r>
      <w:bookmarkStart w:id="27" w:name="_9kMHG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27"/>
      <w:r>
        <w:t xml:space="preserve">, the </w:t>
      </w:r>
      <w:proofErr w:type="spellStart"/>
      <w:r>
        <w:t>Benchmarker</w:t>
      </w:r>
      <w:proofErr w:type="spellEnd"/>
      <w:r>
        <w:t xml:space="preserve"> shall, if it believes the amendments are reasonable, produce an amended draft plan.  </w:t>
      </w:r>
      <w:bookmarkStart w:id="28" w:name="_9kMHG5YVtCIB8HKGFfTlFQG40B69QQAtyAHBBSL"/>
      <w:r>
        <w:t xml:space="preserve">Paragraph </w:t>
      </w:r>
      <w:r>
        <w:fldChar w:fldCharType="begin"/>
      </w:r>
      <w:r>
        <w:instrText xml:space="preserve"> REF _Ref_ContractCompanion_9kb9Us2BC \n \h \t \* MERGEFORMAT </w:instrText>
      </w:r>
      <w:r>
        <w:fldChar w:fldCharType="separate"/>
      </w:r>
      <w:r w:rsidR="00EE094A">
        <w:t>4.1</w:t>
      </w:r>
      <w:r>
        <w:fldChar w:fldCharType="end"/>
      </w:r>
      <w:bookmarkEnd w:id="28"/>
      <w:r>
        <w:t xml:space="preserve"> and this </w:t>
      </w:r>
      <w:bookmarkStart w:id="29" w:name="_9kMIH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29"/>
      <w:r>
        <w:t xml:space="preserve"> shall apply to any amended draft plan.</w:t>
      </w:r>
      <w:bookmarkEnd w:id="26"/>
    </w:p>
    <w:p w14:paraId="2A6D0952" w14:textId="0ECBE247" w:rsidR="00976BC5" w:rsidRDefault="00976BC5" w:rsidP="00976BC5">
      <w:pPr>
        <w:pStyle w:val="ScheduleText2"/>
      </w:pPr>
      <w:r>
        <w:t xml:space="preserve">Failure by a Party to give notice under </w:t>
      </w:r>
      <w:bookmarkStart w:id="30" w:name="_9kMJI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30"/>
      <w:r>
        <w:t xml:space="preserve"> shall be treated as approval of the draft plan by that Party.  If the Parties fail to approve the draft </w:t>
      </w:r>
      <w:r>
        <w:lastRenderedPageBreak/>
        <w:t xml:space="preserve">plan within 30 Working Days of its first being sent to them pursuant to </w:t>
      </w:r>
      <w:bookmarkStart w:id="31" w:name="_9kMIH5YVtCIB8HKGFfTlFQG40B69QQAtyAHBBSL"/>
      <w:r>
        <w:t xml:space="preserve">Paragraph </w:t>
      </w:r>
      <w:r>
        <w:fldChar w:fldCharType="begin"/>
      </w:r>
      <w:r>
        <w:instrText xml:space="preserve"> REF _Ref_ContractCompanion_9kb9Us2BC \n \h \t \* MERGEFORMAT </w:instrText>
      </w:r>
      <w:r>
        <w:fldChar w:fldCharType="separate"/>
      </w:r>
      <w:r w:rsidR="00EE094A">
        <w:t>4.1</w:t>
      </w:r>
      <w:r>
        <w:fldChar w:fldCharType="end"/>
      </w:r>
      <w:bookmarkEnd w:id="31"/>
      <w:r>
        <w:t xml:space="preserve"> then the </w:t>
      </w:r>
      <w:proofErr w:type="spellStart"/>
      <w:r>
        <w:t>Benchmarker</w:t>
      </w:r>
      <w:proofErr w:type="spellEnd"/>
      <w:r>
        <w:t xml:space="preserve"> shall prescribe the plan.</w:t>
      </w:r>
    </w:p>
    <w:p w14:paraId="340B584B" w14:textId="77777777" w:rsidR="00976BC5" w:rsidRDefault="00976BC5" w:rsidP="00976BC5">
      <w:pPr>
        <w:pStyle w:val="ScheduleText2"/>
      </w:pPr>
      <w:r>
        <w:t xml:space="preserve">Once the plan is approved by both Parties </w:t>
      </w:r>
      <w:proofErr w:type="gramStart"/>
      <w:r>
        <w:t>or</w:t>
      </w:r>
      <w:proofErr w:type="gramEnd"/>
      <w:r>
        <w:t xml:space="preserve"> prescribed by the </w:t>
      </w:r>
      <w:proofErr w:type="spellStart"/>
      <w:r>
        <w:t>Benchmarker</w:t>
      </w:r>
      <w:proofErr w:type="spellEnd"/>
      <w:r>
        <w:t xml:space="preserve">, the </w:t>
      </w:r>
      <w:proofErr w:type="spellStart"/>
      <w:r>
        <w:t>Benchmarker</w:t>
      </w:r>
      <w:proofErr w:type="spellEnd"/>
      <w:r>
        <w:t xml:space="preserve"> shall carry out the Benchmark Review in accordance with the plan.  Each Party shall procure that all the information described in the plan, together with any additional information reasonably required by the </w:t>
      </w:r>
      <w:proofErr w:type="spellStart"/>
      <w:r>
        <w:t>Benchmarker</w:t>
      </w:r>
      <w:proofErr w:type="spellEnd"/>
      <w:r>
        <w:t xml:space="preserve"> is provided to the </w:t>
      </w:r>
      <w:proofErr w:type="spellStart"/>
      <w:r>
        <w:t>Benchmarker</w:t>
      </w:r>
      <w:proofErr w:type="spellEnd"/>
      <w:r>
        <w:t xml:space="preserve"> without undue delay.  If the Supplier fails to provide any information requested from it by the </w:t>
      </w:r>
      <w:proofErr w:type="spellStart"/>
      <w:r>
        <w:t>Benchmarker</w:t>
      </w:r>
      <w:proofErr w:type="spellEnd"/>
      <w:r>
        <w:t xml:space="preserve"> and described in the plan, such failure shall constitute a material Default for the purposes of </w:t>
      </w:r>
      <w:bookmarkStart w:id="32" w:name="_9kR3WTr2CC689LChrAv6NNt"/>
      <w:r>
        <w:t>Clause 27.1(c)</w:t>
      </w:r>
      <w:bookmarkEnd w:id="32"/>
      <w:r>
        <w:t xml:space="preserve"> (</w:t>
      </w:r>
      <w:r w:rsidRPr="00757018">
        <w:rPr>
          <w:i/>
        </w:rPr>
        <w:t>Rectification Plan Process</w:t>
      </w:r>
      <w:r>
        <w:t>).</w:t>
      </w:r>
    </w:p>
    <w:p w14:paraId="3247165B" w14:textId="77777777" w:rsidR="00976BC5" w:rsidRDefault="00976BC5" w:rsidP="00976BC5">
      <w:pPr>
        <w:pStyle w:val="ScheduleText2"/>
      </w:pPr>
      <w:r>
        <w:t xml:space="preserve">Each Party shall co-operate fully with the </w:t>
      </w:r>
      <w:proofErr w:type="spellStart"/>
      <w:r>
        <w:t>Benchmarker</w:t>
      </w:r>
      <w:proofErr w:type="spellEnd"/>
      <w:r>
        <w:t xml:space="preserve">, including by providing access to records, technical documentation, premises, equipment, </w:t>
      </w:r>
      <w:proofErr w:type="gramStart"/>
      <w:r>
        <w:t>systems</w:t>
      </w:r>
      <w:proofErr w:type="gramEnd"/>
      <w:r>
        <w:t xml:space="preserve"> and personnel at times reasonably requested by the </w:t>
      </w:r>
      <w:proofErr w:type="spellStart"/>
      <w:r>
        <w:t>Benchmarker</w:t>
      </w:r>
      <w:proofErr w:type="spellEnd"/>
      <w:r>
        <w:t xml:space="preserve">, provided that the </w:t>
      </w:r>
      <w:proofErr w:type="spellStart"/>
      <w:r>
        <w:t>Benchmarker</w:t>
      </w:r>
      <w:proofErr w:type="spellEnd"/>
      <w:r>
        <w:t xml:space="preserve"> shall be instructed to minimise any disruption to the Services.</w:t>
      </w:r>
    </w:p>
    <w:p w14:paraId="6C31641E" w14:textId="77777777" w:rsidR="00976BC5" w:rsidRDefault="00976BC5" w:rsidP="00976BC5">
      <w:pPr>
        <w:pStyle w:val="ScheduleText2"/>
      </w:pPr>
      <w:r>
        <w:t xml:space="preserve">Either Party may provide additional material to the </w:t>
      </w:r>
      <w:proofErr w:type="spellStart"/>
      <w:r>
        <w:t>Benchmarker</w:t>
      </w:r>
      <w:proofErr w:type="spellEnd"/>
      <w:r>
        <w:t xml:space="preserve"> to assist the </w:t>
      </w:r>
      <w:proofErr w:type="spellStart"/>
      <w:r>
        <w:t>Benchmarker</w:t>
      </w:r>
      <w:proofErr w:type="spellEnd"/>
      <w:r>
        <w:t xml:space="preserve"> in conducting the Benchmark Review.</w:t>
      </w:r>
    </w:p>
    <w:p w14:paraId="3DDAC28B" w14:textId="77777777" w:rsidR="00976BC5" w:rsidRDefault="00976BC5" w:rsidP="00976BC5">
      <w:pPr>
        <w:pStyle w:val="ScheduleText2"/>
      </w:pPr>
      <w:bookmarkStart w:id="33" w:name="_Ref_ContractCompanion_9kb9Us299"/>
      <w:r>
        <w:t xml:space="preserve">Once it has received the information it requires, the </w:t>
      </w:r>
      <w:proofErr w:type="spellStart"/>
      <w:r>
        <w:t>Benchmarker</w:t>
      </w:r>
      <w:proofErr w:type="spellEnd"/>
      <w:r>
        <w:t xml:space="preserve"> shall:</w:t>
      </w:r>
      <w:bookmarkEnd w:id="33"/>
    </w:p>
    <w:p w14:paraId="0C661ADA" w14:textId="77777777" w:rsidR="00976BC5" w:rsidRDefault="00976BC5" w:rsidP="00976BC5">
      <w:pPr>
        <w:pStyle w:val="ScheduleText4"/>
      </w:pPr>
      <w:bookmarkStart w:id="34" w:name="_Ref_ContractCompanion_9kb9Us29C"/>
      <w:r>
        <w:t xml:space="preserve">finalise the sample of entities constituting the Comparison Group and collect data relating to Comparable Services.  The final selection of the Comparison Group (both in terms of number and identity of entities) and of the Comparable Services shall be a matter for the </w:t>
      </w:r>
      <w:proofErr w:type="spellStart"/>
      <w:r>
        <w:t>Benchmarker's</w:t>
      </w:r>
      <w:proofErr w:type="spellEnd"/>
      <w:r>
        <w:t xml:space="preserve"> professional </w:t>
      </w:r>
      <w:proofErr w:type="gramStart"/>
      <w:r>
        <w:t>judgment;</w:t>
      </w:r>
      <w:bookmarkEnd w:id="34"/>
      <w:proofErr w:type="gramEnd"/>
    </w:p>
    <w:p w14:paraId="4420D431" w14:textId="45DC20A5" w:rsidR="00976BC5" w:rsidRDefault="00976BC5" w:rsidP="00976BC5">
      <w:pPr>
        <w:pStyle w:val="ScheduleText4"/>
      </w:pPr>
      <w:r>
        <w:t xml:space="preserve">derive the Equivalent Services Data by applying the adjustment factors listed in </w:t>
      </w:r>
      <w:bookmarkStart w:id="35" w:name="_9kMIH5YVtCIB8FNLNnTlGButoztzAy6LCv0C9zE"/>
      <w:r>
        <w:t xml:space="preserve">Paragraph </w:t>
      </w:r>
      <w:r>
        <w:fldChar w:fldCharType="begin"/>
      </w:r>
      <w:r>
        <w:instrText xml:space="preserve"> REF _Ref_ContractCompanion_9kb9Us29F \n \h \t \* MERGEFORMAT </w:instrText>
      </w:r>
      <w:r>
        <w:fldChar w:fldCharType="separate"/>
      </w:r>
      <w:r w:rsidR="00EE094A">
        <w:t>4.9</w:t>
      </w:r>
      <w:r>
        <w:fldChar w:fldCharType="end"/>
      </w:r>
      <w:bookmarkEnd w:id="35"/>
      <w:r>
        <w:t xml:space="preserve"> and from an analysis of the Comparable </w:t>
      </w:r>
      <w:proofErr w:type="gramStart"/>
      <w:r>
        <w:t>Services;</w:t>
      </w:r>
      <w:proofErr w:type="gramEnd"/>
    </w:p>
    <w:p w14:paraId="3A794214" w14:textId="77777777" w:rsidR="00976BC5" w:rsidRDefault="00976BC5" w:rsidP="00976BC5">
      <w:pPr>
        <w:pStyle w:val="ScheduleText4"/>
      </w:pPr>
      <w:r>
        <w:t xml:space="preserve">derive the relative value for money of the charges payable for the Comparable Services using the Equivalent Services Data and from that derive the Upper </w:t>
      </w:r>
      <w:proofErr w:type="gramStart"/>
      <w:r>
        <w:t>Quartile;</w:t>
      </w:r>
      <w:proofErr w:type="gramEnd"/>
    </w:p>
    <w:p w14:paraId="58E8D0C8" w14:textId="77777777" w:rsidR="00976BC5" w:rsidRDefault="00976BC5" w:rsidP="00976BC5">
      <w:pPr>
        <w:pStyle w:val="ScheduleText4"/>
      </w:pPr>
      <w:r>
        <w:t xml:space="preserve">derive the median service levels relating to the Comparable Services using the Equivalent Services </w:t>
      </w:r>
      <w:proofErr w:type="gramStart"/>
      <w:r>
        <w:t>Data;</w:t>
      </w:r>
      <w:proofErr w:type="gramEnd"/>
    </w:p>
    <w:p w14:paraId="769E687D" w14:textId="77777777" w:rsidR="00976BC5" w:rsidRDefault="00976BC5" w:rsidP="00976BC5">
      <w:pPr>
        <w:pStyle w:val="ScheduleText4"/>
      </w:pPr>
      <w:r>
        <w:t xml:space="preserve">compare the value for money of the Charges attributable to the Benchmarked Services (having regard in particular to the applicable Performance Indicators and Target Service Levels) to the value for money of the Upper </w:t>
      </w:r>
      <w:proofErr w:type="gramStart"/>
      <w:r>
        <w:t>Quartile;</w:t>
      </w:r>
      <w:proofErr w:type="gramEnd"/>
    </w:p>
    <w:p w14:paraId="361B6977" w14:textId="77777777" w:rsidR="00976BC5" w:rsidRDefault="00976BC5" w:rsidP="00976BC5">
      <w:pPr>
        <w:pStyle w:val="ScheduleText4"/>
      </w:pPr>
      <w:r>
        <w:t>compare the Performance Indicators and Target Service Levels attributable to the Benchmarked Services (having regard to the Charges and Service Credits) with the median service levels using the Equivalent Services Data; and</w:t>
      </w:r>
    </w:p>
    <w:p w14:paraId="54A9BCFE" w14:textId="77777777" w:rsidR="00976BC5" w:rsidRDefault="00976BC5" w:rsidP="00976BC5">
      <w:pPr>
        <w:pStyle w:val="ScheduleText4"/>
      </w:pPr>
      <w:r>
        <w:t xml:space="preserve">determine </w:t>
      </w:r>
      <w:proofErr w:type="gramStart"/>
      <w:r>
        <w:t>whether or not</w:t>
      </w:r>
      <w:proofErr w:type="gramEnd"/>
      <w:r>
        <w:t xml:space="preserve"> each Benchmarked Service is and/or the Benchmarked Services as a whole are, Good Value.</w:t>
      </w:r>
    </w:p>
    <w:p w14:paraId="0EC4300C" w14:textId="77777777" w:rsidR="00976BC5" w:rsidRDefault="00976BC5" w:rsidP="00976BC5">
      <w:pPr>
        <w:pStyle w:val="ScheduleText2"/>
      </w:pPr>
      <w:bookmarkStart w:id="36" w:name="_Ref_ContractCompanion_9kb9Us29F"/>
      <w:bookmarkStart w:id="37" w:name="_9kR3WTrAG96DLJLlRjE9srmxrx8w4JAtyA7xCHE"/>
      <w:r>
        <w:lastRenderedPageBreak/>
        <w:t xml:space="preserve">The </w:t>
      </w:r>
      <w:proofErr w:type="spellStart"/>
      <w:r>
        <w:t>Benchmarker</w:t>
      </w:r>
      <w:proofErr w:type="spellEnd"/>
      <w:r>
        <w:t xml:space="preserve"> shall have regard to the following matters when performing a comparative assessment of a Benchmarked Service and a Comparable Service </w:t>
      </w:r>
      <w:proofErr w:type="gramStart"/>
      <w:r>
        <w:t>in order to</w:t>
      </w:r>
      <w:proofErr w:type="gramEnd"/>
      <w:r>
        <w:t xml:space="preserve"> derive Equivalent Services Data:</w:t>
      </w:r>
      <w:bookmarkEnd w:id="36"/>
      <w:bookmarkEnd w:id="37"/>
    </w:p>
    <w:p w14:paraId="1773F2AF" w14:textId="77777777" w:rsidR="00976BC5" w:rsidRDefault="00976BC5" w:rsidP="00976BC5">
      <w:pPr>
        <w:pStyle w:val="ScheduleText4"/>
      </w:pPr>
      <w:r>
        <w:t>the contractual and business environment under which the Services are being provided (including the scope, scale, complexity and geographical spread of the Services</w:t>
      </w:r>
      <w:proofErr w:type="gramStart"/>
      <w:r>
        <w:t>);</w:t>
      </w:r>
      <w:proofErr w:type="gramEnd"/>
    </w:p>
    <w:p w14:paraId="5631F180" w14:textId="77777777" w:rsidR="00976BC5" w:rsidRDefault="00976BC5" w:rsidP="00976BC5">
      <w:pPr>
        <w:pStyle w:val="ScheduleText4"/>
      </w:pPr>
      <w:r>
        <w:t xml:space="preserve">any front-end investment and development costs of the </w:t>
      </w:r>
      <w:proofErr w:type="gramStart"/>
      <w:r>
        <w:t>Supplier;</w:t>
      </w:r>
      <w:proofErr w:type="gramEnd"/>
    </w:p>
    <w:p w14:paraId="550A91BE" w14:textId="77777777" w:rsidR="00976BC5" w:rsidRDefault="00976BC5" w:rsidP="00976BC5">
      <w:pPr>
        <w:pStyle w:val="ScheduleText4"/>
      </w:pPr>
      <w:r>
        <w:t xml:space="preserve">the Supplier's risk profile including the financial, performance or liability risks associated with the provision of the Services as a </w:t>
      </w:r>
      <w:proofErr w:type="gramStart"/>
      <w:r>
        <w:t>whole;</w:t>
      </w:r>
      <w:proofErr w:type="gramEnd"/>
    </w:p>
    <w:p w14:paraId="1186027D" w14:textId="77777777" w:rsidR="00976BC5" w:rsidRDefault="00976BC5" w:rsidP="00976BC5">
      <w:pPr>
        <w:pStyle w:val="ScheduleText4"/>
      </w:pPr>
      <w:r>
        <w:t xml:space="preserve">the extent of the Supplier's management and contract governance </w:t>
      </w:r>
      <w:proofErr w:type="gramStart"/>
      <w:r>
        <w:t>responsibilities;</w:t>
      </w:r>
      <w:proofErr w:type="gramEnd"/>
      <w:r>
        <w:t xml:space="preserve"> </w:t>
      </w:r>
    </w:p>
    <w:p w14:paraId="5D1A2E6E" w14:textId="77777777" w:rsidR="00976BC5" w:rsidRDefault="00976BC5" w:rsidP="00976BC5">
      <w:pPr>
        <w:pStyle w:val="ScheduleText4"/>
      </w:pPr>
      <w:r>
        <w:t>any other reasonable factors demonstrated by the Supplier, which, if not taken into consideration, could unfairly cause the Supplier's pricing to appear non-competitive (such as erroneous costing, non-sustainable behaviour including excessive consumption of energy or over-aggressive pricing).</w:t>
      </w:r>
    </w:p>
    <w:p w14:paraId="50741491" w14:textId="77777777" w:rsidR="00976BC5" w:rsidRDefault="00976BC5" w:rsidP="00976BC5">
      <w:pPr>
        <w:pStyle w:val="ScheduleText1"/>
      </w:pPr>
      <w:bookmarkStart w:id="38" w:name="_Ref_ContractCompanion_9kb9Ur7EE"/>
      <w:r>
        <w:t>BENCHMARK REPORT</w:t>
      </w:r>
      <w:bookmarkEnd w:id="38"/>
    </w:p>
    <w:p w14:paraId="1045DA04" w14:textId="3D54CB2A" w:rsidR="00976BC5" w:rsidRDefault="00976BC5" w:rsidP="00976BC5">
      <w:pPr>
        <w:pStyle w:val="ScheduleText2"/>
      </w:pPr>
      <w:r>
        <w:t xml:space="preserve">The </w:t>
      </w:r>
      <w:proofErr w:type="spellStart"/>
      <w:r>
        <w:t>Benchmarker</w:t>
      </w:r>
      <w:proofErr w:type="spellEnd"/>
      <w:r>
        <w:t xml:space="preserve"> shall be required to prepare a Benchmark Report and deliver it simultaneously to both Parties, at the time specified in the plan approved under </w:t>
      </w:r>
      <w:bookmarkStart w:id="39" w:name="_9kMHG5YVtCIB8HNPEyq1QScbJxy30v"/>
      <w:r>
        <w:t xml:space="preserve">Paragraph </w:t>
      </w:r>
      <w:r>
        <w:fldChar w:fldCharType="begin"/>
      </w:r>
      <w:r>
        <w:instrText xml:space="preserve"> REF _Ref_ContractCompanion_9kb9Us2BF \w \n \h \t \* MERGEFORMAT </w:instrText>
      </w:r>
      <w:r>
        <w:fldChar w:fldCharType="separate"/>
      </w:r>
      <w:r w:rsidR="00EE094A">
        <w:t>4</w:t>
      </w:r>
      <w:r>
        <w:fldChar w:fldCharType="end"/>
      </w:r>
      <w:bookmarkEnd w:id="39"/>
      <w:r>
        <w:t>, setting out its findings.  The Benchmark Report shall:</w:t>
      </w:r>
    </w:p>
    <w:p w14:paraId="62C98F09" w14:textId="77777777" w:rsidR="00976BC5" w:rsidRDefault="00976BC5" w:rsidP="00976BC5">
      <w:pPr>
        <w:pStyle w:val="ScheduleText4"/>
      </w:pPr>
      <w:r>
        <w:t xml:space="preserve">include a finding as to whether or not each Benchmarked Service is and/or whether the Benchmarked Services as a whole are, Good </w:t>
      </w:r>
      <w:proofErr w:type="gramStart"/>
      <w:r>
        <w:t>Value;</w:t>
      </w:r>
      <w:proofErr w:type="gramEnd"/>
    </w:p>
    <w:p w14:paraId="69814653" w14:textId="77777777" w:rsidR="00976BC5" w:rsidRDefault="00976BC5" w:rsidP="00976BC5">
      <w:pPr>
        <w:pStyle w:val="ScheduleText4"/>
      </w:pPr>
      <w:r>
        <w:t xml:space="preserve">include other findings (if any) regarding the quality and competitiveness or otherwise of those </w:t>
      </w:r>
      <w:proofErr w:type="gramStart"/>
      <w:r>
        <w:t>Services;</w:t>
      </w:r>
      <w:proofErr w:type="gramEnd"/>
      <w:r>
        <w:t xml:space="preserve"> </w:t>
      </w:r>
    </w:p>
    <w:p w14:paraId="1F73DA3C" w14:textId="77777777" w:rsidR="00976BC5" w:rsidRDefault="00976BC5" w:rsidP="00976BC5">
      <w:pPr>
        <w:pStyle w:val="ScheduleText4"/>
      </w:pPr>
      <w:r>
        <w:t xml:space="preserve">if any Benchmarked Service is not Good Value, or the Benchmarked Services </w:t>
      </w:r>
      <w:proofErr w:type="gramStart"/>
      <w:r>
        <w:t>as a whole are</w:t>
      </w:r>
      <w:proofErr w:type="gramEnd"/>
      <w:r>
        <w:t xml:space="preserve"> not Good Value, specify the changes that would be required to the Charges, Performance Indicators and/or Target Performance Levels, that would be required to make that Benchmarked Service or those Benchmarked Services as a whole Good Value; and</w:t>
      </w:r>
    </w:p>
    <w:p w14:paraId="3A8801D8" w14:textId="77777777" w:rsidR="00976BC5" w:rsidRDefault="00976BC5" w:rsidP="00976BC5">
      <w:pPr>
        <w:pStyle w:val="ScheduleText4"/>
      </w:pPr>
      <w:r>
        <w:t>illustrate the method used for any normalisation of the Equivalent Services Data</w:t>
      </w:r>
    </w:p>
    <w:p w14:paraId="0EBB9157" w14:textId="77777777" w:rsidR="00976BC5" w:rsidRDefault="00976BC5" w:rsidP="00976BC5">
      <w:pPr>
        <w:pStyle w:val="ScheduleText2"/>
      </w:pPr>
      <w:r>
        <w:t xml:space="preserve">The </w:t>
      </w:r>
      <w:proofErr w:type="spellStart"/>
      <w:r>
        <w:t>Benchmarker</w:t>
      </w:r>
      <w:proofErr w:type="spellEnd"/>
      <w:r>
        <w:t xml:space="preserve"> shall act as an expert and not as an arbitrator.</w:t>
      </w:r>
    </w:p>
    <w:p w14:paraId="4CC3703A" w14:textId="3223B8B6" w:rsidR="00976BC5" w:rsidRDefault="00976BC5" w:rsidP="00976BC5">
      <w:pPr>
        <w:pStyle w:val="ScheduleText2"/>
      </w:pPr>
      <w:bookmarkStart w:id="40" w:name="_9kR3WTrAG977BHGUEwzlGButoztzAla5GJPRSBC"/>
      <w:bookmarkStart w:id="41" w:name="_Ref_ContractCompanion_9kb9Us335"/>
      <w:r>
        <w:t xml:space="preserve">If the Benchmark Report states that any Benchmarked Service is not Good Value or that the Benchmarked Services as a whole are not Good Value, then the Supplier shall (subject to </w:t>
      </w:r>
      <w:bookmarkStart w:id="42" w:name="_9kMHG5YVtCIB8HQNKjTlXiC85zt3I9sx90uy8OK"/>
      <w:r>
        <w:t xml:space="preserve">Paragraphs </w:t>
      </w:r>
      <w:r>
        <w:fldChar w:fldCharType="begin"/>
      </w:r>
      <w:r>
        <w:instrText xml:space="preserve"> REF _Ref_ContractCompanion_9kb9Us2BI \n \h \t \* MERGEFORMAT </w:instrText>
      </w:r>
      <w:r>
        <w:fldChar w:fldCharType="separate"/>
      </w:r>
      <w:r w:rsidR="00EE094A">
        <w:t>5.5</w:t>
      </w:r>
      <w:r>
        <w:fldChar w:fldCharType="end"/>
      </w:r>
      <w:bookmarkEnd w:id="42"/>
      <w:r>
        <w:t xml:space="preserve"> and </w:t>
      </w:r>
      <w:bookmarkStart w:id="43" w:name="_9kMHG5YVtCIB99AGLkTlXiC85zt3I9sx9CGNBxB"/>
      <w:r>
        <w:fldChar w:fldCharType="begin"/>
      </w:r>
      <w:r>
        <w:instrText xml:space="preserve"> REF _Ref_ContractCompanion_9kb9Us332 \n \h \t \* MERGEFORMAT </w:instrText>
      </w:r>
      <w:r>
        <w:fldChar w:fldCharType="separate"/>
      </w:r>
      <w:r w:rsidR="00EE094A">
        <w:t>5.6</w:t>
      </w:r>
      <w:r>
        <w:fldChar w:fldCharType="end"/>
      </w:r>
      <w:bookmarkEnd w:id="43"/>
      <w:r>
        <w:t xml:space="preserve">) implement the changes set out in the Benchmark Report as soon as reasonably practicable within timescales agreed with the Authority but in any event within no more than 3 </w:t>
      </w:r>
      <w:r>
        <w:lastRenderedPageBreak/>
        <w:t>months.</w:t>
      </w:r>
      <w:bookmarkEnd w:id="40"/>
      <w:r>
        <w:t xml:space="preserve"> Any associated changes to the Charges shall take effect only from the same date and shall not be retrospective.</w:t>
      </w:r>
      <w:bookmarkEnd w:id="41"/>
    </w:p>
    <w:p w14:paraId="00B52EB3" w14:textId="77777777" w:rsidR="00976BC5" w:rsidRDefault="00976BC5" w:rsidP="00976BC5">
      <w:pPr>
        <w:pStyle w:val="ScheduleText2"/>
      </w:pPr>
      <w:r>
        <w:t>The Supplier acknowledges and agrees that Benchmark Reviews shall not result in any increase to the Charges, disapplication of the Performance Indicators or any reduction in the Target Performance Levels.</w:t>
      </w:r>
    </w:p>
    <w:p w14:paraId="41CD4366" w14:textId="77777777" w:rsidR="00976BC5" w:rsidRDefault="00976BC5" w:rsidP="00976BC5">
      <w:pPr>
        <w:pStyle w:val="ScheduleText2"/>
      </w:pPr>
      <w:bookmarkStart w:id="44" w:name="_Ref_ContractCompanion_9kb9Us2BI"/>
      <w:bookmarkStart w:id="45" w:name="_9kR3WTrAG96FOLIhRjVgA63xr1G7qv7ysw6MIJN"/>
      <w:r>
        <w:t xml:space="preserve">The Supplier shall be entitled to reject any Benchmark Report if the Supplier reasonably considers that the </w:t>
      </w:r>
      <w:proofErr w:type="spellStart"/>
      <w:r>
        <w:t>Benchmarker</w:t>
      </w:r>
      <w:proofErr w:type="spellEnd"/>
      <w:r>
        <w:t xml:space="preserve"> has not followed the procedure for the related Benchmark Review as set out in this Schedule in any material respect.</w:t>
      </w:r>
      <w:bookmarkEnd w:id="44"/>
      <w:bookmarkEnd w:id="45"/>
    </w:p>
    <w:p w14:paraId="7A9F66A3" w14:textId="77777777" w:rsidR="00976BC5" w:rsidRDefault="00976BC5" w:rsidP="00976BC5">
      <w:pPr>
        <w:pStyle w:val="ScheduleText2"/>
      </w:pPr>
      <w:bookmarkStart w:id="46" w:name="_9kR3WTrAG9778EJiRjVgA63xr1G7qv7AEL9v975"/>
      <w:bookmarkStart w:id="47" w:name="_Ref_ContractCompanion_9kb9Us332"/>
      <w:r>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46"/>
      <w:r>
        <w:t xml:space="preserve"> </w:t>
      </w:r>
      <w:bookmarkEnd w:id="47"/>
    </w:p>
    <w:p w14:paraId="50316490" w14:textId="1472D234" w:rsidR="00976BC5" w:rsidRDefault="00976BC5" w:rsidP="00976BC5">
      <w:pPr>
        <w:pStyle w:val="ScheduleText2"/>
      </w:pPr>
      <w:bookmarkStart w:id="48" w:name="_9kR3WTrAG977EKKYM4zlj12vBD0nwLmRDLOTEwA"/>
      <w:bookmarkStart w:id="49" w:name="_Ref_ContractCompanion_9kb9Us338"/>
      <w:r>
        <w:t xml:space="preserve">In the event of any Dispute arising over whether the </w:t>
      </w:r>
      <w:proofErr w:type="spellStart"/>
      <w:r>
        <w:t>Benchmarker</w:t>
      </w:r>
      <w:proofErr w:type="spellEnd"/>
      <w:r>
        <w:t xml:space="preserve"> has followed the procedure for the related Benchmark Review under </w:t>
      </w:r>
      <w:bookmarkStart w:id="50" w:name="_9kMIH5YVtCIB8HQNKjTlXiC85zt3I9sx90uy8OK"/>
      <w:r>
        <w:t xml:space="preserve">Paragraph </w:t>
      </w:r>
      <w:r>
        <w:fldChar w:fldCharType="begin"/>
      </w:r>
      <w:r>
        <w:instrText xml:space="preserve"> REF _Ref_ContractCompanion_9kb9Us2BI \n \h \t \* MERGEFORMAT </w:instrText>
      </w:r>
      <w:r>
        <w:fldChar w:fldCharType="separate"/>
      </w:r>
      <w:r w:rsidR="00EE094A">
        <w:t>5.5</w:t>
      </w:r>
      <w:r>
        <w:fldChar w:fldCharType="end"/>
      </w:r>
      <w:bookmarkEnd w:id="50"/>
      <w:r>
        <w:t xml:space="preserve"> and/or any matter referred to in </w:t>
      </w:r>
      <w:bookmarkStart w:id="51" w:name="_9kMIH5YVtCIB99AGLkTlXiC85zt3I9sx9CGNBxB"/>
      <w:r>
        <w:t xml:space="preserve">Paragraph </w:t>
      </w:r>
      <w:r>
        <w:fldChar w:fldCharType="begin"/>
      </w:r>
      <w:r>
        <w:instrText xml:space="preserve"> REF _Ref_ContractCompanion_9kb9Us332 \n \h \t \* MERGEFORMAT </w:instrText>
      </w:r>
      <w:r>
        <w:fldChar w:fldCharType="separate"/>
      </w:r>
      <w:r w:rsidR="00EE094A">
        <w:t>5.6</w:t>
      </w:r>
      <w:r>
        <w:fldChar w:fldCharType="end"/>
      </w:r>
      <w:bookmarkEnd w:id="51"/>
      <w:r>
        <w:t>, the Dispute shall be referred to Expert Determination.</w:t>
      </w:r>
      <w:bookmarkEnd w:id="48"/>
      <w:r>
        <w:t xml:space="preserve"> For the avoidance of doubt in the event of a Dispute between the Parties, the Authority shall continue to pay the Charges to the Supplier in accordance with the terms of this Agreement and the Performance Indicators and Target Performance Levels shall remain unchanged pending the conclusion of the Expert Determination.</w:t>
      </w:r>
      <w:bookmarkEnd w:id="49"/>
    </w:p>
    <w:p w14:paraId="11EBD124" w14:textId="77777777" w:rsidR="00976BC5" w:rsidRDefault="00976BC5" w:rsidP="00976BC5">
      <w:pPr>
        <w:pStyle w:val="ScheduleText2"/>
      </w:pPr>
      <w:bookmarkStart w:id="52" w:name="_Ref_ContractCompanion_9kb9Us33B"/>
      <w:bookmarkStart w:id="53" w:name="_9kR3WTrAG9788DLfSnp1qp8G528928BxVjR9CSp"/>
      <w:r>
        <w:t>On conclusion of the Expert Determination:</w:t>
      </w:r>
      <w:bookmarkEnd w:id="52"/>
      <w:bookmarkEnd w:id="53"/>
    </w:p>
    <w:p w14:paraId="1EC309FA" w14:textId="0B1FE7FA" w:rsidR="00976BC5" w:rsidRDefault="00976BC5" w:rsidP="00976BC5">
      <w:pPr>
        <w:pStyle w:val="ScheduleText4"/>
      </w:pPr>
      <w:r>
        <w:t xml:space="preserve">if the Expert determines that all or any part of the Benchmark Report recommendations regarding any reduction in the Charges shall be implemented by the Supplier, the Supplier shall immediately repay to the Authority the difference between the Charges paid by the Authority up to and including the date of the Expert's determination and the date upon which the recommended reduction in Charges should have originally taken effect pursuant to </w:t>
      </w:r>
      <w:bookmarkStart w:id="54" w:name="_9kMHG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4"/>
      <w:r>
        <w:t xml:space="preserve"> together with interest thereon at the applicable rate under the Late Payment Of Commercial Debts (Interest) Act 1998; and</w:t>
      </w:r>
    </w:p>
    <w:p w14:paraId="3B6282A1" w14:textId="77777777" w:rsidR="00976BC5" w:rsidRDefault="00976BC5" w:rsidP="00976BC5">
      <w:pPr>
        <w:pStyle w:val="ScheduleText4"/>
      </w:pPr>
      <w:r>
        <w:t>if the Expert determines that all or any part of the Benchmark Report recommendations regarding any changes to the Performance Indicators and/or Target Performance Levels shall be implemented by the Supplier:</w:t>
      </w:r>
    </w:p>
    <w:p w14:paraId="4D3A26EA" w14:textId="77777777" w:rsidR="00976BC5" w:rsidRDefault="00976BC5" w:rsidP="00976BC5">
      <w:pPr>
        <w:pStyle w:val="ScheduleText5"/>
      </w:pPr>
      <w:r>
        <w:t xml:space="preserve">the Supplier shall immediately implement the relevant </w:t>
      </w:r>
      <w:proofErr w:type="gramStart"/>
      <w:r>
        <w:t>changes;</w:t>
      </w:r>
      <w:proofErr w:type="gramEnd"/>
    </w:p>
    <w:p w14:paraId="4AF3C356" w14:textId="1A9778D2" w:rsidR="00976BC5" w:rsidRDefault="00976BC5" w:rsidP="00976BC5">
      <w:pPr>
        <w:pStyle w:val="ScheduleText5"/>
      </w:pPr>
      <w:r>
        <w:t xml:space="preserve">the Supplier shall immediately pay an amount equal to any Service Credits which would have accrued up to and including the date of the Expert’s determination if the relevant changes had taken effect on the date determined pursuant to </w:t>
      </w:r>
      <w:bookmarkStart w:id="55" w:name="_9kMIH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5"/>
      <w:r>
        <w:t xml:space="preserve"> together with interest thereon at the applicable rate under the Late Payment Of Commercial Debts (Interest) Act 1998; and</w:t>
      </w:r>
    </w:p>
    <w:p w14:paraId="04999C67" w14:textId="77777777" w:rsidR="00976BC5" w:rsidRDefault="00976BC5" w:rsidP="00976BC5">
      <w:pPr>
        <w:pStyle w:val="ScheduleText5"/>
      </w:pPr>
      <w:r>
        <w:lastRenderedPageBreak/>
        <w:t>the relevant changes shall thereafter be subject to the Change Control Procedure for the purposes of formalising and documenting the relevant change or amendment for the purposes of this Agreement.</w:t>
      </w:r>
    </w:p>
    <w:p w14:paraId="1411CCF3" w14:textId="62FD99ED" w:rsidR="00976BC5" w:rsidRDefault="00976BC5" w:rsidP="00976BC5">
      <w:pPr>
        <w:pStyle w:val="ScheduleText2"/>
      </w:pPr>
      <w:bookmarkStart w:id="56" w:name="_Ref44571810"/>
      <w:r>
        <w:t xml:space="preserve">Any failure by the Supplier to implement the changes as set out in the Benchmark Report in accordance with the relevant timescales determined in accordance with </w:t>
      </w:r>
      <w:bookmarkStart w:id="57" w:name="_9kMJI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7"/>
      <w:r>
        <w:t xml:space="preserve"> (unless the provisions of </w:t>
      </w:r>
      <w:bookmarkStart w:id="58" w:name="_9kMJI5YVtCIB99AGLkTlXiC85zt3I9sx9CGNBxB"/>
      <w:r>
        <w:t xml:space="preserve">Paragraph </w:t>
      </w:r>
      <w:r>
        <w:fldChar w:fldCharType="begin"/>
      </w:r>
      <w:r>
        <w:instrText xml:space="preserve"> REF _Ref_ContractCompanion_9kb9Us332 \n \h \t \* MERGEFORMAT </w:instrText>
      </w:r>
      <w:r>
        <w:fldChar w:fldCharType="separate"/>
      </w:r>
      <w:r w:rsidR="00EE094A">
        <w:t>5.6</w:t>
      </w:r>
      <w:r>
        <w:fldChar w:fldCharType="end"/>
      </w:r>
      <w:bookmarkEnd w:id="58"/>
      <w:r>
        <w:t xml:space="preserve"> and/or </w:t>
      </w:r>
      <w:bookmarkStart w:id="59" w:name="_9kMHG5YVtCIB99GMMaO61nl34xDF2pyNoTFNQVG"/>
      <w:r>
        <w:t xml:space="preserve">Paragraph </w:t>
      </w:r>
      <w:r>
        <w:fldChar w:fldCharType="begin"/>
      </w:r>
      <w:r>
        <w:instrText xml:space="preserve"> REF _Ref_ContractCompanion_9kb9Us338 \n \h \t \* MERGEFORMAT </w:instrText>
      </w:r>
      <w:r>
        <w:fldChar w:fldCharType="separate"/>
      </w:r>
      <w:r w:rsidR="00EE094A">
        <w:t>5.7</w:t>
      </w:r>
      <w:r>
        <w:fldChar w:fldCharType="end"/>
      </w:r>
      <w:bookmarkEnd w:id="59"/>
      <w:r>
        <w:t xml:space="preserve"> apply) or in accordance with </w:t>
      </w:r>
      <w:bookmarkStart w:id="60" w:name="_9kMHG5YVtCIB9AAFNhUpr3srAI74AB4ADzXlTBE"/>
      <w:r>
        <w:t xml:space="preserve">Paragraph </w:t>
      </w:r>
      <w:r>
        <w:fldChar w:fldCharType="begin"/>
      </w:r>
      <w:r>
        <w:instrText xml:space="preserve"> REF _Ref_ContractCompanion_9kb9Us33B \n \h \t \* MERGEFORMAT </w:instrText>
      </w:r>
      <w:r>
        <w:fldChar w:fldCharType="separate"/>
      </w:r>
      <w:r w:rsidR="00EE094A">
        <w:t>5.8</w:t>
      </w:r>
      <w:r>
        <w:fldChar w:fldCharType="end"/>
      </w:r>
      <w:bookmarkEnd w:id="60"/>
      <w:r>
        <w:t xml:space="preserve"> shall, without prejudice to any other rights or remedies of the Authority, constitute a Supplier Termination Event.</w:t>
      </w:r>
      <w:bookmarkEnd w:id="56"/>
    </w:p>
    <w:p w14:paraId="09F03C3B" w14:textId="77777777" w:rsidR="00976BC5" w:rsidRDefault="00976BC5" w:rsidP="00976BC5">
      <w:pPr>
        <w:rPr>
          <w:rFonts w:eastAsia="Times New Roman" w:cs="Times New Roman"/>
          <w:szCs w:val="24"/>
          <w:lang w:eastAsia="en-GB"/>
        </w:rPr>
        <w:sectPr w:rsidR="00976BC5"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60434E84" w14:textId="77777777" w:rsidR="00976BC5" w:rsidRDefault="00976BC5" w:rsidP="00976BC5">
      <w:pPr>
        <w:pStyle w:val="AnnexHeading"/>
        <w:numPr>
          <w:ilvl w:val="0"/>
          <w:numId w:val="9"/>
        </w:numPr>
      </w:pPr>
      <w:bookmarkStart w:id="61" w:name="_Ref_ContractCompanion_9kb9Ur7BD"/>
      <w:r>
        <w:lastRenderedPageBreak/>
        <w:t xml:space="preserve">: </w:t>
      </w:r>
      <w:bookmarkStart w:id="62" w:name="ANNEX1APPROVEDBENCHMARKERS"/>
      <w:r>
        <w:t>Approved Benchmarkers</w:t>
      </w:r>
      <w:bookmarkEnd w:id="61"/>
      <w:bookmarkEnd w:id="62"/>
    </w:p>
    <w:p w14:paraId="112808CE" w14:textId="77777777" w:rsidR="00976BC5" w:rsidRDefault="00976BC5" w:rsidP="00976BC5">
      <w:pPr>
        <w:rPr>
          <w:rFonts w:eastAsia="Times New Roman" w:cs="Times New Roman"/>
          <w:szCs w:val="24"/>
          <w:lang w:eastAsia="en-GB"/>
        </w:rPr>
      </w:pPr>
    </w:p>
    <w:p w14:paraId="47E67B10" w14:textId="77777777" w:rsidR="00976BC5" w:rsidRDefault="00976BC5" w:rsidP="00976BC5">
      <w:pPr>
        <w:rPr>
          <w:rFonts w:eastAsia="Times New Roman" w:cs="Times New Roman"/>
          <w:szCs w:val="24"/>
          <w:lang w:eastAsia="en-GB"/>
        </w:rPr>
        <w:sectPr w:rsidR="00976BC5" w:rsidSect="00C5463B">
          <w:pgSz w:w="11909" w:h="16834"/>
          <w:pgMar w:top="1418" w:right="1418" w:bottom="1418" w:left="1418" w:header="709" w:footer="709" w:gutter="0"/>
          <w:paperSrc w:first="265" w:other="265"/>
          <w:cols w:space="720"/>
          <w:docGrid w:linePitch="326"/>
        </w:sectPr>
      </w:pPr>
    </w:p>
    <w:p w14:paraId="700BDF70" w14:textId="77777777" w:rsidR="00976BC5" w:rsidRDefault="00976BC5" w:rsidP="00976BC5">
      <w:pPr>
        <w:pStyle w:val="AnnexHeading"/>
      </w:pPr>
      <w:bookmarkStart w:id="63" w:name="_Ref41633301"/>
      <w:bookmarkStart w:id="64" w:name="_Ref_ContractCompanion_9kb9Ur3BH"/>
      <w:bookmarkStart w:id="65" w:name="_Ref_ContractCompanion_9kb9Us2AC"/>
      <w:r>
        <w:lastRenderedPageBreak/>
        <w:t xml:space="preserve">: </w:t>
      </w:r>
      <w:bookmarkStart w:id="66" w:name="ANNEX2CONFIDENTIALITYAGREEMENT"/>
      <w:r>
        <w:t>Confidentiality Agreement</w:t>
      </w:r>
      <w:bookmarkEnd w:id="63"/>
      <w:bookmarkEnd w:id="64"/>
      <w:bookmarkEnd w:id="65"/>
      <w:bookmarkEnd w:id="66"/>
    </w:p>
    <w:p w14:paraId="1287C899" w14:textId="77777777" w:rsidR="00976BC5" w:rsidRDefault="00976BC5" w:rsidP="00976BC5">
      <w:pPr>
        <w:pStyle w:val="BlankDocumentTitle"/>
      </w:pPr>
      <w:r>
        <w:t>CONFIDENTIALITY AGREEMENT</w:t>
      </w:r>
    </w:p>
    <w:p w14:paraId="7E274143" w14:textId="77777777" w:rsidR="00976BC5" w:rsidRDefault="00976BC5" w:rsidP="00976BC5">
      <w:pPr>
        <w:pStyle w:val="StdBodyText"/>
      </w:pPr>
      <w:r w:rsidRPr="00B36E10">
        <w:rPr>
          <w:rStyle w:val="StdBodyTextBoldChar"/>
        </w:rPr>
        <w:t>THIS AGREEMENT</w:t>
      </w:r>
      <w:r>
        <w:t xml:space="preserve"> is made on </w:t>
      </w:r>
      <w:r w:rsidRPr="002C07B6">
        <w:rPr>
          <w:highlight w:val="yellow"/>
        </w:rPr>
        <w:t>[date]</w:t>
      </w:r>
    </w:p>
    <w:p w14:paraId="42FFA392" w14:textId="77777777" w:rsidR="00976BC5" w:rsidRDefault="00976BC5" w:rsidP="00976BC5">
      <w:pPr>
        <w:pStyle w:val="StdBodyTextBold"/>
      </w:pPr>
      <w:r>
        <w:t>BETWEEN:</w:t>
      </w:r>
    </w:p>
    <w:p w14:paraId="6432F82C" w14:textId="77777777" w:rsidR="00976BC5" w:rsidRDefault="00976BC5" w:rsidP="00976BC5">
      <w:pPr>
        <w:pStyle w:val="PartiesBodyText"/>
        <w:numPr>
          <w:ilvl w:val="0"/>
          <w:numId w:val="10"/>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Supplier</w:t>
      </w:r>
      <w:r>
        <w:t>”); and</w:t>
      </w:r>
    </w:p>
    <w:p w14:paraId="12678B8D" w14:textId="77777777" w:rsidR="00976BC5" w:rsidRDefault="00976BC5" w:rsidP="00976BC5">
      <w:pPr>
        <w:pStyle w:val="PartiesBodyText"/>
        <w:numPr>
          <w:ilvl w:val="0"/>
          <w:numId w:val="10"/>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proofErr w:type="spellStart"/>
      <w:r w:rsidRPr="00B36E10">
        <w:rPr>
          <w:rStyle w:val="StdBodyTextBoldChar"/>
        </w:rPr>
        <w:t>Benchmarker</w:t>
      </w:r>
      <w:proofErr w:type="spellEnd"/>
      <w:r>
        <w:t>” and together with the Supplier, the “</w:t>
      </w:r>
      <w:r w:rsidRPr="00B36E10">
        <w:rPr>
          <w:rStyle w:val="StdBodyTextBoldChar"/>
        </w:rPr>
        <w:t>Parties</w:t>
      </w:r>
      <w:r>
        <w:t>”).</w:t>
      </w:r>
    </w:p>
    <w:p w14:paraId="2961525A" w14:textId="77777777" w:rsidR="00976BC5" w:rsidRDefault="00976BC5" w:rsidP="00976BC5">
      <w:pPr>
        <w:pStyle w:val="StdBodyTextBold"/>
      </w:pPr>
      <w:r>
        <w:t>WHEREAS:</w:t>
      </w:r>
    </w:p>
    <w:p w14:paraId="15A10E08" w14:textId="77777777" w:rsidR="00976BC5" w:rsidRDefault="00976BC5" w:rsidP="00976BC5">
      <w:pPr>
        <w:pStyle w:val="Recitals"/>
        <w:numPr>
          <w:ilvl w:val="0"/>
          <w:numId w:val="11"/>
        </w:numPr>
      </w:pPr>
      <w:r w:rsidRPr="002C07B6">
        <w:rPr>
          <w:highlight w:val="yellow"/>
        </w:rPr>
        <w:t>[insert name of Authority]</w:t>
      </w:r>
      <w:r>
        <w:t xml:space="preserve"> (the “</w:t>
      </w:r>
      <w:r w:rsidRPr="00750CF9">
        <w:rPr>
          <w:rStyle w:val="StdBodyTextBoldChar"/>
        </w:rPr>
        <w:t>Authority</w:t>
      </w:r>
      <w:r>
        <w:t xml:space="preserve">”) and the Supplier are party to a contract dated </w:t>
      </w:r>
      <w:r w:rsidRPr="002C07B6">
        <w:rPr>
          <w:highlight w:val="yellow"/>
        </w:rPr>
        <w:t>[insert date]</w:t>
      </w:r>
      <w:r>
        <w:t xml:space="preserve"> (the “</w:t>
      </w:r>
      <w:r w:rsidRPr="00750CF9">
        <w:rPr>
          <w:rStyle w:val="StdBodyTextBoldChar"/>
        </w:rPr>
        <w:t>Contract</w:t>
      </w:r>
      <w:r>
        <w:t xml:space="preserve">”) for the provision by the Supplier of </w:t>
      </w:r>
      <w:r w:rsidRPr="002C07B6">
        <w:rPr>
          <w:highlight w:val="yellow"/>
        </w:rPr>
        <w:t>[insert brief description of services]</w:t>
      </w:r>
      <w:r>
        <w:t xml:space="preserve"> to the Authority.</w:t>
      </w:r>
    </w:p>
    <w:p w14:paraId="5EA3F962" w14:textId="77777777" w:rsidR="00976BC5" w:rsidRDefault="00976BC5" w:rsidP="00976BC5">
      <w:pPr>
        <w:pStyle w:val="Recitals"/>
      </w:pPr>
      <w:bookmarkStart w:id="67" w:name="_Ref41994841"/>
      <w:r>
        <w:t xml:space="preserve">The </w:t>
      </w:r>
      <w:proofErr w:type="spellStart"/>
      <w:r>
        <w:t>Benchmarker</w:t>
      </w:r>
      <w:proofErr w:type="spellEnd"/>
      <w:r>
        <w:t xml:space="preserve"> is to receive Confidential Information from the Supplier for the purpose of carrying out a benchmarking review for the Authority of one or more of such services pursuant to the terms of the Contract (the “</w:t>
      </w:r>
      <w:r w:rsidRPr="00750CF9">
        <w:rPr>
          <w:rStyle w:val="StdBodyTextBoldChar"/>
        </w:rPr>
        <w:t>Permitted</w:t>
      </w:r>
      <w:r>
        <w:t xml:space="preserve"> </w:t>
      </w:r>
      <w:r w:rsidRPr="00750CF9">
        <w:rPr>
          <w:rStyle w:val="StdBodyTextBoldChar"/>
        </w:rPr>
        <w:t>Purpose</w:t>
      </w:r>
      <w:r>
        <w:t>”).</w:t>
      </w:r>
      <w:bookmarkEnd w:id="67"/>
    </w:p>
    <w:p w14:paraId="53A31272" w14:textId="77777777" w:rsidR="00976BC5" w:rsidRDefault="00976BC5" w:rsidP="00976BC5">
      <w:pPr>
        <w:pStyle w:val="StdBodyTextBold"/>
      </w:pPr>
      <w:r>
        <w:t>IT IS AGREED as follows:</w:t>
      </w:r>
    </w:p>
    <w:p w14:paraId="32078432" w14:textId="77777777" w:rsidR="00976BC5" w:rsidRDefault="00976BC5" w:rsidP="00976BC5">
      <w:pPr>
        <w:pStyle w:val="AppendixText1"/>
      </w:pPr>
      <w:bookmarkStart w:id="68" w:name="_9kR3WTrAG978FPCwozOQXYSA21DE4745EAG"/>
      <w:r>
        <w:t>Interpretation</w:t>
      </w:r>
      <w:bookmarkEnd w:id="68"/>
    </w:p>
    <w:p w14:paraId="65673167" w14:textId="77777777" w:rsidR="00976BC5" w:rsidRDefault="00976BC5" w:rsidP="00976BC5">
      <w:pPr>
        <w:pStyle w:val="AppendixText2"/>
        <w:numPr>
          <w:ilvl w:val="1"/>
          <w:numId w:val="14"/>
        </w:numPr>
      </w:pPr>
      <w:r>
        <w:t xml:space="preserve">In this Agreement, unless the context otherwise requires: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976BC5" w14:paraId="6399B029" w14:textId="77777777" w:rsidTr="008A71A3">
        <w:tc>
          <w:tcPr>
            <w:tcW w:w="2790" w:type="dxa"/>
          </w:tcPr>
          <w:p w14:paraId="42DF21F2" w14:textId="77777777" w:rsidR="00976BC5" w:rsidRDefault="00976BC5" w:rsidP="008A71A3">
            <w:pPr>
              <w:pStyle w:val="StdBodyTextBold"/>
            </w:pPr>
            <w:r>
              <w:t>“Confidential Information”</w:t>
            </w:r>
          </w:p>
        </w:tc>
        <w:tc>
          <w:tcPr>
            <w:tcW w:w="5661" w:type="dxa"/>
          </w:tcPr>
          <w:p w14:paraId="05261F7A" w14:textId="77777777" w:rsidR="00976BC5" w:rsidRDefault="00976BC5" w:rsidP="008A71A3">
            <w:pPr>
              <w:pStyle w:val="StdBodyText"/>
            </w:pPr>
            <w:r>
              <w:t>means:</w:t>
            </w:r>
          </w:p>
          <w:p w14:paraId="229247A4" w14:textId="77777777" w:rsidR="00976BC5" w:rsidRDefault="00976BC5" w:rsidP="00976BC5">
            <w:pPr>
              <w:pStyle w:val="DefinitionList"/>
              <w:numPr>
                <w:ilvl w:val="0"/>
                <w:numId w:val="13"/>
              </w:numPr>
            </w:pPr>
            <w:r>
              <w:t xml:space="preserve">Information, including all personal data within the meaning of the Data Protection Act 2018, and however it is conveyed, provided by the Supplier to the </w:t>
            </w:r>
            <w:proofErr w:type="spellStart"/>
            <w:r>
              <w:t>Benchmarker</w:t>
            </w:r>
            <w:proofErr w:type="spellEnd"/>
            <w:r>
              <w:t xml:space="preserve"> pursuant to this Agreement that relates to:</w:t>
            </w:r>
          </w:p>
          <w:p w14:paraId="60D31A85" w14:textId="77777777" w:rsidR="00976BC5" w:rsidRDefault="00976BC5" w:rsidP="008A71A3">
            <w:pPr>
              <w:pStyle w:val="DefinitionListLevel1"/>
            </w:pPr>
            <w:r>
              <w:t>the Supplier; or</w:t>
            </w:r>
          </w:p>
          <w:p w14:paraId="1DAD4625" w14:textId="77777777" w:rsidR="00976BC5" w:rsidRDefault="00976BC5" w:rsidP="008A71A3">
            <w:pPr>
              <w:pStyle w:val="DefinitionListLevel1"/>
            </w:pPr>
            <w:r>
              <w:t xml:space="preserve">the operations, business, affairs, developments, intellectual property rights, trade secrets, know-how and/or personnel of the </w:t>
            </w:r>
            <w:proofErr w:type="gramStart"/>
            <w:r>
              <w:t>Supplier;</w:t>
            </w:r>
            <w:proofErr w:type="gramEnd"/>
          </w:p>
          <w:p w14:paraId="1B68CD83" w14:textId="77777777" w:rsidR="00976BC5" w:rsidRDefault="00976BC5" w:rsidP="008A71A3">
            <w:pPr>
              <w:pStyle w:val="DefinitionList"/>
            </w:pPr>
            <w:r>
              <w:t xml:space="preserve">other Information provided by the Supplier pursuant to this Agreement to the </w:t>
            </w:r>
            <w:proofErr w:type="spellStart"/>
            <w:r>
              <w:t>Benchmarker</w:t>
            </w:r>
            <w:proofErr w:type="spellEnd"/>
            <w:r>
              <w:t xml:space="preserve"> that is clearly designated as being confidential or equivalent or that ought reasonably to be considered to be confidential which comes (or has come) to the </w:t>
            </w:r>
            <w:proofErr w:type="spellStart"/>
            <w:r>
              <w:t>Benchmarker’s</w:t>
            </w:r>
            <w:proofErr w:type="spellEnd"/>
            <w:r>
              <w:t xml:space="preserve"> attention or into the </w:t>
            </w:r>
            <w:proofErr w:type="spellStart"/>
            <w:r>
              <w:lastRenderedPageBreak/>
              <w:t>Benchmarker’s</w:t>
            </w:r>
            <w:proofErr w:type="spellEnd"/>
            <w:r>
              <w:t xml:space="preserve"> possession in connection with the Permitted </w:t>
            </w:r>
            <w:proofErr w:type="gramStart"/>
            <w:r>
              <w:t>Purpose;</w:t>
            </w:r>
            <w:proofErr w:type="gramEnd"/>
            <w:r>
              <w:t xml:space="preserve"> </w:t>
            </w:r>
          </w:p>
          <w:p w14:paraId="1EA0ECCA" w14:textId="77777777" w:rsidR="00976BC5" w:rsidRDefault="00976BC5" w:rsidP="008A71A3">
            <w:pPr>
              <w:pStyle w:val="DefinitionList"/>
            </w:pPr>
            <w:r>
              <w:t xml:space="preserve">discussions, negotiations, and correspondence between the Supplier or any of its directors, officers, employees, </w:t>
            </w:r>
            <w:proofErr w:type="gramStart"/>
            <w:r>
              <w:t>consultants</w:t>
            </w:r>
            <w:proofErr w:type="gramEnd"/>
            <w:r>
              <w:t xml:space="preserve"> or professional advisers and the </w:t>
            </w:r>
            <w:proofErr w:type="spellStart"/>
            <w:r>
              <w:t>Benchmarker</w:t>
            </w:r>
            <w:proofErr w:type="spellEnd"/>
            <w:r>
              <w:t xml:space="preserve"> or any of its directors, officers, employees, consultants and professional advisers in connection with the Permitted Purpose and all matters arising therefrom; and</w:t>
            </w:r>
          </w:p>
          <w:p w14:paraId="1EA8BED4" w14:textId="77777777" w:rsidR="00976BC5" w:rsidRDefault="00976BC5" w:rsidP="008A71A3">
            <w:pPr>
              <w:pStyle w:val="DefinitionList"/>
            </w:pPr>
            <w:r>
              <w:t>Information derived from any of the above,</w:t>
            </w:r>
          </w:p>
          <w:p w14:paraId="4AAD7C65" w14:textId="77777777" w:rsidR="00976BC5" w:rsidRDefault="00976BC5" w:rsidP="008A71A3">
            <w:pPr>
              <w:pStyle w:val="StdBodyText"/>
            </w:pPr>
            <w:r>
              <w:t>but not including any Information that:</w:t>
            </w:r>
          </w:p>
          <w:p w14:paraId="7C89FD10" w14:textId="77777777" w:rsidR="00976BC5" w:rsidRDefault="00976BC5" w:rsidP="008A71A3">
            <w:pPr>
              <w:pStyle w:val="DefinitionList"/>
            </w:pPr>
            <w:r>
              <w:t xml:space="preserve">was in the possession of the </w:t>
            </w:r>
            <w:proofErr w:type="spellStart"/>
            <w:r>
              <w:t>Benchmarker</w:t>
            </w:r>
            <w:proofErr w:type="spellEnd"/>
            <w:r>
              <w:t xml:space="preserve"> without obligation of confidentiality prior to its disclosure by the </w:t>
            </w:r>
            <w:proofErr w:type="gramStart"/>
            <w:r>
              <w:t>Supplier;</w:t>
            </w:r>
            <w:proofErr w:type="gramEnd"/>
            <w:r>
              <w:t xml:space="preserve"> </w:t>
            </w:r>
          </w:p>
          <w:p w14:paraId="54BE4EDD" w14:textId="77777777" w:rsidR="00976BC5" w:rsidRDefault="00976BC5" w:rsidP="008A71A3">
            <w:pPr>
              <w:pStyle w:val="DefinitionList"/>
            </w:pPr>
            <w:r>
              <w:t xml:space="preserve">the </w:t>
            </w:r>
            <w:proofErr w:type="spellStart"/>
            <w:r>
              <w:t>Benchmarker</w:t>
            </w:r>
            <w:proofErr w:type="spellEnd"/>
            <w:r>
              <w:t xml:space="preserve"> obtained on a non-confidential basis from a third party who is not, to the </w:t>
            </w:r>
            <w:proofErr w:type="spellStart"/>
            <w:r>
              <w:t>Benchmarker’s</w:t>
            </w:r>
            <w:proofErr w:type="spellEnd"/>
            <w:r>
              <w:t xml:space="preserve"> knowledge or belief, bound by a confidentiality agreement with the Supplier or otherwise prohibited from disclosing the information to the </w:t>
            </w:r>
            <w:proofErr w:type="spellStart"/>
            <w:proofErr w:type="gramStart"/>
            <w:r>
              <w:t>Benchmarker</w:t>
            </w:r>
            <w:proofErr w:type="spellEnd"/>
            <w:r>
              <w:t>;</w:t>
            </w:r>
            <w:proofErr w:type="gramEnd"/>
          </w:p>
          <w:p w14:paraId="23E45E76" w14:textId="77777777" w:rsidR="00976BC5" w:rsidRDefault="00976BC5" w:rsidP="008A71A3">
            <w:pPr>
              <w:pStyle w:val="DefinitionList"/>
            </w:pPr>
            <w:r>
              <w:t>was already generally available and in the public domain at the time of disclosure otherwise than by a breach of this Agreement or breach of a duty of confidentiality; or</w:t>
            </w:r>
          </w:p>
          <w:p w14:paraId="0B08971B" w14:textId="77777777" w:rsidR="00976BC5" w:rsidRDefault="00976BC5" w:rsidP="008A71A3">
            <w:pPr>
              <w:pStyle w:val="DefinitionList"/>
            </w:pPr>
            <w:r>
              <w:t>was independently developed without access to the Confidential Information;</w:t>
            </w:r>
          </w:p>
        </w:tc>
      </w:tr>
      <w:tr w:rsidR="00976BC5" w14:paraId="21ECC23C" w14:textId="77777777" w:rsidTr="008A71A3">
        <w:tc>
          <w:tcPr>
            <w:tcW w:w="2790" w:type="dxa"/>
          </w:tcPr>
          <w:p w14:paraId="1A080E6E" w14:textId="77777777" w:rsidR="00976BC5" w:rsidRDefault="00976BC5" w:rsidP="008A71A3">
            <w:pPr>
              <w:pStyle w:val="StdBodyTextBold"/>
            </w:pPr>
            <w:r>
              <w:lastRenderedPageBreak/>
              <w:t>“Information”</w:t>
            </w:r>
          </w:p>
        </w:tc>
        <w:tc>
          <w:tcPr>
            <w:tcW w:w="5661" w:type="dxa"/>
          </w:tcPr>
          <w:p w14:paraId="421E5D44" w14:textId="77777777" w:rsidR="00976BC5" w:rsidRDefault="00976BC5" w:rsidP="008A71A3">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976BC5" w14:paraId="6AC69679" w14:textId="77777777" w:rsidTr="008A71A3">
        <w:tc>
          <w:tcPr>
            <w:tcW w:w="2790" w:type="dxa"/>
          </w:tcPr>
          <w:p w14:paraId="12E44B0C" w14:textId="77777777" w:rsidR="00976BC5" w:rsidRDefault="00976BC5" w:rsidP="008A71A3">
            <w:pPr>
              <w:pStyle w:val="StdBodyTextBold"/>
            </w:pPr>
            <w:r>
              <w:t>“Permitted Purpose”</w:t>
            </w:r>
          </w:p>
        </w:tc>
        <w:tc>
          <w:tcPr>
            <w:tcW w:w="5661" w:type="dxa"/>
          </w:tcPr>
          <w:p w14:paraId="5B1FB744" w14:textId="4B123941" w:rsidR="00976BC5" w:rsidRDefault="00976BC5" w:rsidP="008A71A3">
            <w:pPr>
              <w:pStyle w:val="StdBodyText"/>
            </w:pPr>
            <w:r>
              <w:t xml:space="preserve">has the meaning given to that expression in recital </w:t>
            </w:r>
            <w:r>
              <w:fldChar w:fldCharType="begin"/>
            </w:r>
            <w:r>
              <w:instrText xml:space="preserve"> REF _Ref41994841 \r \h </w:instrText>
            </w:r>
            <w:r>
              <w:fldChar w:fldCharType="separate"/>
            </w:r>
            <w:r w:rsidR="00EE094A">
              <w:t>(B)</w:t>
            </w:r>
            <w:r>
              <w:fldChar w:fldCharType="end"/>
            </w:r>
            <w:r>
              <w:t xml:space="preserve"> to this </w:t>
            </w:r>
            <w:proofErr w:type="gramStart"/>
            <w:r>
              <w:t>Agreement.</w:t>
            </w:r>
            <w:proofErr w:type="gramEnd"/>
          </w:p>
        </w:tc>
      </w:tr>
    </w:tbl>
    <w:p w14:paraId="5F8799F0" w14:textId="77777777" w:rsidR="00976BC5" w:rsidRDefault="00976BC5" w:rsidP="00976BC5">
      <w:pPr>
        <w:pStyle w:val="AppendixText2"/>
        <w:numPr>
          <w:ilvl w:val="1"/>
          <w:numId w:val="14"/>
        </w:numPr>
      </w:pPr>
      <w:r>
        <w:t>In this Agreement:</w:t>
      </w:r>
    </w:p>
    <w:p w14:paraId="7029814C" w14:textId="77777777" w:rsidR="00976BC5" w:rsidRDefault="00976BC5" w:rsidP="00976BC5">
      <w:pPr>
        <w:pStyle w:val="AppendixText4"/>
        <w:numPr>
          <w:ilvl w:val="3"/>
          <w:numId w:val="14"/>
        </w:numPr>
      </w:pPr>
      <w:r>
        <w:t xml:space="preserve">a reference to any gender includes a reference to other </w:t>
      </w:r>
      <w:proofErr w:type="gramStart"/>
      <w:r>
        <w:t>genders;</w:t>
      </w:r>
      <w:proofErr w:type="gramEnd"/>
    </w:p>
    <w:p w14:paraId="03523D25" w14:textId="77777777" w:rsidR="00976BC5" w:rsidRDefault="00976BC5" w:rsidP="00976BC5">
      <w:pPr>
        <w:pStyle w:val="AppendixText4"/>
        <w:numPr>
          <w:ilvl w:val="3"/>
          <w:numId w:val="14"/>
        </w:numPr>
      </w:pPr>
      <w:r>
        <w:lastRenderedPageBreak/>
        <w:t xml:space="preserve">the singular includes the plural and </w:t>
      </w:r>
      <w:proofErr w:type="gramStart"/>
      <w:r>
        <w:t>vice versa;</w:t>
      </w:r>
      <w:proofErr w:type="gramEnd"/>
    </w:p>
    <w:p w14:paraId="050063BA" w14:textId="77777777" w:rsidR="00976BC5" w:rsidRDefault="00976BC5" w:rsidP="00976BC5">
      <w:pPr>
        <w:pStyle w:val="AppendixText4"/>
        <w:numPr>
          <w:ilvl w:val="3"/>
          <w:numId w:val="14"/>
        </w:numPr>
      </w:pPr>
      <w:r>
        <w:t>the words “include</w:t>
      </w:r>
      <w:proofErr w:type="gramStart"/>
      <w:r>
        <w:t>”</w:t>
      </w:r>
      <w:proofErr w:type="gramEnd"/>
      <w:r>
        <w:t xml:space="preserve"> and cognate expressions shall be construed as if they were immediately followed by the words “without limitation”;</w:t>
      </w:r>
    </w:p>
    <w:p w14:paraId="7AFE7B49" w14:textId="77777777" w:rsidR="00976BC5" w:rsidRDefault="00976BC5" w:rsidP="00976BC5">
      <w:pPr>
        <w:pStyle w:val="AppendixText4"/>
        <w:numPr>
          <w:ilvl w:val="3"/>
          <w:numId w:val="14"/>
        </w:numPr>
      </w:pPr>
      <w: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t>it;</w:t>
      </w:r>
      <w:proofErr w:type="gramEnd"/>
      <w:r>
        <w:t xml:space="preserve"> </w:t>
      </w:r>
    </w:p>
    <w:p w14:paraId="0FCC9081" w14:textId="77777777" w:rsidR="00976BC5" w:rsidRDefault="00976BC5" w:rsidP="00976BC5">
      <w:pPr>
        <w:pStyle w:val="AppendixText4"/>
        <w:numPr>
          <w:ilvl w:val="3"/>
          <w:numId w:val="14"/>
        </w:numPr>
      </w:pPr>
      <w:r>
        <w:t>headings are included for ease of reference only and shall not affect the interpretation or construction of this Agreement; and</w:t>
      </w:r>
    </w:p>
    <w:p w14:paraId="35D06C45" w14:textId="77777777" w:rsidR="00976BC5" w:rsidRDefault="00976BC5" w:rsidP="00976BC5">
      <w:pPr>
        <w:pStyle w:val="AppendixText4"/>
        <w:numPr>
          <w:ilvl w:val="3"/>
          <w:numId w:val="14"/>
        </w:numPr>
      </w:pPr>
      <w:r>
        <w:t>references to Clauses are to clauses of this Agreement.</w:t>
      </w:r>
    </w:p>
    <w:p w14:paraId="17D670E1" w14:textId="77777777" w:rsidR="00976BC5" w:rsidRDefault="00976BC5" w:rsidP="00976BC5">
      <w:pPr>
        <w:pStyle w:val="AppendixText1"/>
        <w:numPr>
          <w:ilvl w:val="0"/>
          <w:numId w:val="14"/>
        </w:numPr>
      </w:pPr>
      <w:r>
        <w:t>Confidentiality Obligations</w:t>
      </w:r>
    </w:p>
    <w:p w14:paraId="18B52B1A" w14:textId="77777777" w:rsidR="00976BC5" w:rsidRDefault="00976BC5" w:rsidP="00976BC5">
      <w:pPr>
        <w:pStyle w:val="AppendixText2"/>
        <w:numPr>
          <w:ilvl w:val="1"/>
          <w:numId w:val="14"/>
        </w:numPr>
      </w:pPr>
      <w:r>
        <w:t xml:space="preserve">In consideration of the Supplier providing Confidential Information to the </w:t>
      </w:r>
      <w:proofErr w:type="spellStart"/>
      <w:r>
        <w:t>Benchmarker</w:t>
      </w:r>
      <w:proofErr w:type="spellEnd"/>
      <w:r>
        <w:t xml:space="preserve">, the </w:t>
      </w:r>
      <w:proofErr w:type="spellStart"/>
      <w:r>
        <w:t>Benchmarker</w:t>
      </w:r>
      <w:proofErr w:type="spellEnd"/>
      <w:r>
        <w:t xml:space="preserve"> shall:</w:t>
      </w:r>
    </w:p>
    <w:p w14:paraId="7943433B" w14:textId="77777777" w:rsidR="00976BC5" w:rsidRDefault="00976BC5" w:rsidP="00976BC5">
      <w:pPr>
        <w:pStyle w:val="AppendixText4"/>
        <w:numPr>
          <w:ilvl w:val="3"/>
          <w:numId w:val="14"/>
        </w:numPr>
      </w:pPr>
      <w:r>
        <w:t xml:space="preserve">treat all Confidential Information as secret and </w:t>
      </w:r>
      <w:proofErr w:type="gramStart"/>
      <w:r>
        <w:t>confidential;</w:t>
      </w:r>
      <w:proofErr w:type="gramEnd"/>
    </w:p>
    <w:p w14:paraId="247736E1" w14:textId="77777777" w:rsidR="00976BC5" w:rsidRDefault="00976BC5" w:rsidP="00976BC5">
      <w:pPr>
        <w:pStyle w:val="AppendixText4"/>
        <w:numPr>
          <w:ilvl w:val="3"/>
          <w:numId w:val="14"/>
        </w:numPr>
      </w:pPr>
      <w:r>
        <w:t>have in place and maintain proper security measures and procedures to protect the confidentiality of the Confidential Information (having regard to its form and nature</w:t>
      </w:r>
      <w:proofErr w:type="gramStart"/>
      <w:r>
        <w:t>);</w:t>
      </w:r>
      <w:proofErr w:type="gramEnd"/>
      <w:r>
        <w:t xml:space="preserve"> </w:t>
      </w:r>
    </w:p>
    <w:p w14:paraId="0C8126BD" w14:textId="77777777" w:rsidR="00976BC5" w:rsidRDefault="00976BC5" w:rsidP="00976BC5">
      <w:pPr>
        <w:pStyle w:val="AppendixText4"/>
        <w:numPr>
          <w:ilvl w:val="3"/>
          <w:numId w:val="14"/>
        </w:numPr>
      </w:pPr>
      <w:r>
        <w:t xml:space="preserve">not disclose or permit the disclosure of any of the Confidential Information to any other person without obtaining the prior written consent of the Supplier or, if relevant, other owner or except as expressly set out in this </w:t>
      </w:r>
      <w:proofErr w:type="gramStart"/>
      <w:r>
        <w:t>Agreement;</w:t>
      </w:r>
      <w:proofErr w:type="gramEnd"/>
      <w:r>
        <w:t xml:space="preserve"> </w:t>
      </w:r>
    </w:p>
    <w:p w14:paraId="51B7E1B2" w14:textId="77777777" w:rsidR="00976BC5" w:rsidRDefault="00976BC5" w:rsidP="00976BC5">
      <w:pPr>
        <w:pStyle w:val="AppendixText4"/>
        <w:numPr>
          <w:ilvl w:val="3"/>
          <w:numId w:val="14"/>
        </w:numPr>
      </w:pPr>
      <w:r>
        <w:t xml:space="preserve">not transfer any of the Confidential Information outside the United </w:t>
      </w:r>
      <w:proofErr w:type="gramStart"/>
      <w:r>
        <w:t>Kingdom;</w:t>
      </w:r>
      <w:proofErr w:type="gramEnd"/>
    </w:p>
    <w:p w14:paraId="165A5CFB" w14:textId="77777777" w:rsidR="00976BC5" w:rsidRDefault="00976BC5" w:rsidP="00976BC5">
      <w:pPr>
        <w:pStyle w:val="AppendixText4"/>
        <w:numPr>
          <w:ilvl w:val="3"/>
          <w:numId w:val="14"/>
        </w:numPr>
      </w:pPr>
      <w:r>
        <w:t xml:space="preserve">not use or exploit any of the Confidential Information for any purpose whatsoever other than the Permitted </w:t>
      </w:r>
      <w:proofErr w:type="gramStart"/>
      <w:r>
        <w:t>Purpose;</w:t>
      </w:r>
      <w:proofErr w:type="gramEnd"/>
      <w:r>
        <w:t xml:space="preserve"> </w:t>
      </w:r>
    </w:p>
    <w:p w14:paraId="23ADD191" w14:textId="77777777" w:rsidR="00976BC5" w:rsidRDefault="00976BC5" w:rsidP="00976BC5">
      <w:pPr>
        <w:pStyle w:val="AppendixText4"/>
        <w:numPr>
          <w:ilvl w:val="3"/>
          <w:numId w:val="14"/>
        </w:numPr>
      </w:pPr>
      <w:r>
        <w:t>immediately notify the Supplier in writing if it suspects or becomes aware of any unauthorised access, copying, use or disclosure in any form of any of the Confidential Information; and</w:t>
      </w:r>
    </w:p>
    <w:p w14:paraId="5E4D6CFC" w14:textId="77777777" w:rsidR="00976BC5" w:rsidRDefault="00976BC5" w:rsidP="00976BC5">
      <w:pPr>
        <w:pStyle w:val="AppendixText4"/>
        <w:numPr>
          <w:ilvl w:val="3"/>
          <w:numId w:val="14"/>
        </w:numPr>
      </w:pPr>
      <w:r>
        <w:t>once the Permitted Purpose has been fulfilled:</w:t>
      </w:r>
    </w:p>
    <w:p w14:paraId="5B5ADA0F" w14:textId="77777777" w:rsidR="00976BC5" w:rsidRDefault="00976BC5" w:rsidP="00976BC5">
      <w:pPr>
        <w:pStyle w:val="AppendixText5"/>
        <w:numPr>
          <w:ilvl w:val="4"/>
          <w:numId w:val="14"/>
        </w:numPr>
      </w:pPr>
      <w:r>
        <w:t xml:space="preserve">destroy or return to the Supplier all documents and other tangible materials that contain any of the Confidential </w:t>
      </w:r>
      <w:proofErr w:type="gramStart"/>
      <w:r>
        <w:t>Information;</w:t>
      </w:r>
      <w:proofErr w:type="gramEnd"/>
    </w:p>
    <w:p w14:paraId="476C5B79" w14:textId="77777777" w:rsidR="00976BC5" w:rsidRDefault="00976BC5" w:rsidP="00976BC5">
      <w:pPr>
        <w:pStyle w:val="AppendixText5"/>
        <w:numPr>
          <w:ilvl w:val="4"/>
          <w:numId w:val="14"/>
        </w:numPr>
      </w:pPr>
      <w:r>
        <w:t xml:space="preserve">ensure, so far as reasonably practicable, that all Confidential Information held in electronic, </w:t>
      </w:r>
      <w:proofErr w:type="gramStart"/>
      <w:r>
        <w:t>digital</w:t>
      </w:r>
      <w:proofErr w:type="gramEnd"/>
      <w:r>
        <w:t xml:space="preserve"> or other machine-readable form ceases to be readily accessible (other than by the information technology staff of the </w:t>
      </w:r>
      <w:proofErr w:type="spellStart"/>
      <w:r>
        <w:t>Benchmarker</w:t>
      </w:r>
      <w:proofErr w:type="spellEnd"/>
      <w:r>
        <w:t>) from any computer, word processor, voicemail system or any other device; and</w:t>
      </w:r>
    </w:p>
    <w:p w14:paraId="22FE0B9F" w14:textId="77777777" w:rsidR="00976BC5" w:rsidRDefault="00976BC5" w:rsidP="00976BC5">
      <w:pPr>
        <w:pStyle w:val="AppendixText5"/>
        <w:numPr>
          <w:ilvl w:val="4"/>
          <w:numId w:val="14"/>
        </w:numPr>
      </w:pPr>
      <w:r>
        <w:t xml:space="preserve">make no further use of any Confidential Information. </w:t>
      </w:r>
    </w:p>
    <w:p w14:paraId="0710A45D" w14:textId="77777777" w:rsidR="00976BC5" w:rsidRDefault="00976BC5" w:rsidP="00976BC5">
      <w:pPr>
        <w:pStyle w:val="AppendixText1"/>
        <w:numPr>
          <w:ilvl w:val="0"/>
          <w:numId w:val="14"/>
        </w:numPr>
      </w:pPr>
      <w:r>
        <w:lastRenderedPageBreak/>
        <w:t>Permitted Disclosures</w:t>
      </w:r>
    </w:p>
    <w:p w14:paraId="247E2FD8" w14:textId="77777777" w:rsidR="00976BC5" w:rsidRDefault="00976BC5" w:rsidP="00976BC5">
      <w:pPr>
        <w:pStyle w:val="AppendixText2"/>
        <w:numPr>
          <w:ilvl w:val="1"/>
          <w:numId w:val="14"/>
        </w:numPr>
      </w:pPr>
      <w:r>
        <w:t xml:space="preserve">The </w:t>
      </w:r>
      <w:proofErr w:type="spellStart"/>
      <w:r>
        <w:t>Benchmarker</w:t>
      </w:r>
      <w:proofErr w:type="spellEnd"/>
      <w:r>
        <w:t xml:space="preserve"> may disclose Confidential Information to those of its directors, officers, employees, </w:t>
      </w:r>
      <w:proofErr w:type="gramStart"/>
      <w:r>
        <w:t>consultants</w:t>
      </w:r>
      <w:proofErr w:type="gramEnd"/>
      <w:r>
        <w:t xml:space="preserve"> and professional advisers who:</w:t>
      </w:r>
    </w:p>
    <w:p w14:paraId="17FE43D1" w14:textId="77777777" w:rsidR="00976BC5" w:rsidRDefault="00976BC5" w:rsidP="00976BC5">
      <w:pPr>
        <w:pStyle w:val="AppendixText4"/>
        <w:numPr>
          <w:ilvl w:val="3"/>
          <w:numId w:val="14"/>
        </w:numPr>
      </w:pPr>
      <w:r>
        <w:t>reasonably need to receive the Confidential Information in connection with the Permitted Purpose; and</w:t>
      </w:r>
    </w:p>
    <w:p w14:paraId="107C744F" w14:textId="77777777" w:rsidR="00976BC5" w:rsidRDefault="00976BC5" w:rsidP="00976BC5">
      <w:pPr>
        <w:pStyle w:val="AppendixText4"/>
        <w:numPr>
          <w:ilvl w:val="3"/>
          <w:numId w:val="14"/>
        </w:numPr>
      </w:pPr>
      <w:r>
        <w:t xml:space="preserve">have been informed by the </w:t>
      </w:r>
      <w:proofErr w:type="spellStart"/>
      <w:r>
        <w:t>Benchmarker</w:t>
      </w:r>
      <w:proofErr w:type="spellEnd"/>
      <w:r>
        <w:t xml:space="preserve"> of the confidential nature of the Confidential Information; and</w:t>
      </w:r>
    </w:p>
    <w:p w14:paraId="1186A3D7" w14:textId="77777777" w:rsidR="00976BC5" w:rsidRDefault="00976BC5" w:rsidP="00976BC5">
      <w:pPr>
        <w:pStyle w:val="AppendixText4"/>
        <w:numPr>
          <w:ilvl w:val="3"/>
          <w:numId w:val="14"/>
        </w:numPr>
      </w:pPr>
      <w:r>
        <w:t xml:space="preserve">have agreed to terms </w:t>
      </w:r>
      <w:proofErr w:type="gramStart"/>
      <w:r>
        <w:t>similar to</w:t>
      </w:r>
      <w:proofErr w:type="gramEnd"/>
      <w:r>
        <w:t xml:space="preserve"> those in this Agreement.</w:t>
      </w:r>
    </w:p>
    <w:p w14:paraId="754817DD" w14:textId="6F114BD2" w:rsidR="00976BC5" w:rsidRDefault="00976BC5" w:rsidP="00976BC5">
      <w:pPr>
        <w:pStyle w:val="AppendixText2"/>
        <w:numPr>
          <w:ilvl w:val="1"/>
          <w:numId w:val="14"/>
        </w:numPr>
      </w:pPr>
      <w:r>
        <w:t xml:space="preserve">The </w:t>
      </w:r>
      <w:proofErr w:type="spellStart"/>
      <w:r>
        <w:t>Benchmarker</w:t>
      </w:r>
      <w:proofErr w:type="spellEnd"/>
      <w:r>
        <w:t xml:space="preserve"> shall be entitled to disclose Confidential Information to the Authority for the Permitted Purpose and to any Expert appointed in relation to a Dispute as referred to in </w:t>
      </w:r>
      <w:bookmarkStart w:id="69" w:name="_9kMIH5YVtCIB99GMMaO61nl34xDF2pyNoTFNQVG"/>
      <w:r>
        <w:t xml:space="preserve">paragraph </w:t>
      </w:r>
      <w:r>
        <w:fldChar w:fldCharType="begin"/>
      </w:r>
      <w:r>
        <w:instrText xml:space="preserve"> REF _Ref_ContractCompanion_9kb9Us338 \n \h \t \* MERGEFORMAT </w:instrText>
      </w:r>
      <w:r>
        <w:fldChar w:fldCharType="separate"/>
      </w:r>
      <w:r w:rsidR="00EE094A">
        <w:t>5.7</w:t>
      </w:r>
      <w:r>
        <w:fldChar w:fldCharType="end"/>
      </w:r>
      <w:bookmarkEnd w:id="69"/>
      <w:r>
        <w:t xml:space="preserve"> of </w:t>
      </w:r>
      <w:bookmarkStart w:id="70" w:name="_9kMIH5YVtCIAFPHbLhkhy7sFSXq32x828JBFE"/>
      <w:r>
        <w:fldChar w:fldCharType="begin"/>
      </w:r>
      <w:r>
        <w:instrText xml:space="preserve"> REF _Ref_ContractCompanion_9kb9Ur039 \n \h \* MERGEFORMAT </w:instrText>
      </w:r>
      <w:r>
        <w:fldChar w:fldCharType="separate"/>
      </w:r>
      <w:r w:rsidR="00EE094A">
        <w:t>0</w:t>
      </w:r>
      <w:r>
        <w:fldChar w:fldCharType="end"/>
      </w:r>
      <w:bookmarkEnd w:id="70"/>
      <w:r>
        <w:t xml:space="preserve"> (</w:t>
      </w:r>
      <w:r w:rsidRPr="00750CF9">
        <w:rPr>
          <w:i/>
        </w:rPr>
        <w:t>Benchmarking</w:t>
      </w:r>
      <w:r>
        <w:t>) to the Contract.</w:t>
      </w:r>
    </w:p>
    <w:p w14:paraId="69C8724B" w14:textId="77777777" w:rsidR="00976BC5" w:rsidRDefault="00976BC5" w:rsidP="00976BC5">
      <w:pPr>
        <w:pStyle w:val="AppendixText2"/>
        <w:numPr>
          <w:ilvl w:val="1"/>
          <w:numId w:val="14"/>
        </w:numPr>
      </w:pPr>
      <w:bookmarkStart w:id="71" w:name="_Ref_ContractCompanion_9kb9Us345"/>
      <w:bookmarkStart w:id="72" w:name="_9kR3WTrAG978BEEfRjE9srmxrx8w4JAtyA1vz9P"/>
      <w:r>
        <w:t xml:space="preserve">The </w:t>
      </w:r>
      <w:proofErr w:type="spellStart"/>
      <w:r>
        <w:t>Benchmarker</w:t>
      </w:r>
      <w:proofErr w:type="spellEnd"/>
      <w:r>
        <w:t xml:space="preserve"> shall be entitled to disclose Confidential Information to the extent that it is required to do so by applicable law or by order of a court or other public body that has jurisdiction over the </w:t>
      </w:r>
      <w:proofErr w:type="spellStart"/>
      <w:r>
        <w:t>Benchmarker</w:t>
      </w:r>
      <w:proofErr w:type="spellEnd"/>
      <w:r>
        <w:t>.</w:t>
      </w:r>
      <w:bookmarkEnd w:id="71"/>
      <w:bookmarkEnd w:id="72"/>
    </w:p>
    <w:p w14:paraId="49D58E92" w14:textId="62059C70" w:rsidR="00976BC5" w:rsidRDefault="00976BC5" w:rsidP="00976BC5">
      <w:pPr>
        <w:pStyle w:val="AppendixText2"/>
        <w:numPr>
          <w:ilvl w:val="1"/>
          <w:numId w:val="14"/>
        </w:numPr>
      </w:pPr>
      <w:r>
        <w:t xml:space="preserve">Before making a disclosure pursuant to </w:t>
      </w:r>
      <w:bookmarkStart w:id="73" w:name="_9kMHG5YVtCIB9ADGGhTlGButoztzAy6LCv0C3x1"/>
      <w:r>
        <w:t xml:space="preserve">Clause </w:t>
      </w:r>
      <w:r>
        <w:fldChar w:fldCharType="begin"/>
      </w:r>
      <w:r>
        <w:instrText xml:space="preserve"> REF _Ref_ContractCompanion_9kb9Us345 \n \h \t \* MERGEFORMAT </w:instrText>
      </w:r>
      <w:r>
        <w:fldChar w:fldCharType="separate"/>
      </w:r>
      <w:r w:rsidR="00EE094A">
        <w:t>.3</w:t>
      </w:r>
      <w:r>
        <w:fldChar w:fldCharType="end"/>
      </w:r>
      <w:bookmarkEnd w:id="73"/>
      <w:r>
        <w:t xml:space="preserve">, the </w:t>
      </w:r>
      <w:proofErr w:type="spellStart"/>
      <w:r>
        <w:t>Benchmarker</w:t>
      </w:r>
      <w:proofErr w:type="spellEnd"/>
      <w:r>
        <w:t xml:space="preserve"> shall, if the circumstances permit:</w:t>
      </w:r>
    </w:p>
    <w:p w14:paraId="20CB6363" w14:textId="77777777" w:rsidR="00976BC5" w:rsidRDefault="00976BC5" w:rsidP="00976BC5">
      <w:pPr>
        <w:pStyle w:val="AppendixText4"/>
        <w:numPr>
          <w:ilvl w:val="3"/>
          <w:numId w:val="14"/>
        </w:numPr>
      </w:pPr>
      <w:r>
        <w:t>notify the Supplier in writing of the proposed disclosure as soon as possible (and if possible before the court or other public body orders the disclosure of the Confidential Information); and</w:t>
      </w:r>
    </w:p>
    <w:p w14:paraId="35B09978" w14:textId="77777777" w:rsidR="00976BC5" w:rsidRDefault="00976BC5" w:rsidP="00976BC5">
      <w:pPr>
        <w:pStyle w:val="AppendixText4"/>
        <w:numPr>
          <w:ilvl w:val="3"/>
          <w:numId w:val="14"/>
        </w:numPr>
      </w:pPr>
      <w:r>
        <w:t>ask the court or other public body to treat the Confidential Information as confidential.</w:t>
      </w:r>
    </w:p>
    <w:p w14:paraId="52FC5587" w14:textId="77777777" w:rsidR="00976BC5" w:rsidRDefault="00976BC5" w:rsidP="00976BC5">
      <w:pPr>
        <w:pStyle w:val="AppendixText1"/>
        <w:numPr>
          <w:ilvl w:val="0"/>
          <w:numId w:val="14"/>
        </w:numPr>
      </w:pPr>
      <w:bookmarkStart w:id="74" w:name="_9kR3WTrAG96FLNCwozOQaZHvw1yt"/>
      <w:r>
        <w:t>General</w:t>
      </w:r>
      <w:bookmarkEnd w:id="74"/>
    </w:p>
    <w:p w14:paraId="3569FA14" w14:textId="77777777" w:rsidR="00976BC5" w:rsidRDefault="00976BC5" w:rsidP="00976BC5">
      <w:pPr>
        <w:pStyle w:val="AppendixText2"/>
        <w:numPr>
          <w:ilvl w:val="1"/>
          <w:numId w:val="14"/>
        </w:numPr>
      </w:pPr>
      <w:r>
        <w:t xml:space="preserve">The </w:t>
      </w:r>
      <w:proofErr w:type="spellStart"/>
      <w:r>
        <w:t>Benchmarker</w:t>
      </w:r>
      <w:proofErr w:type="spellEnd"/>
      <w:r>
        <w:t xml:space="preserve"> acknowledges and agrees that all property, including intellectual property rights, in Confidential Information disclosed to it by the Supplier shall remain with and be vested in the Supplier.</w:t>
      </w:r>
    </w:p>
    <w:p w14:paraId="3DABA988" w14:textId="77777777" w:rsidR="00976BC5" w:rsidRDefault="00976BC5" w:rsidP="00976BC5">
      <w:pPr>
        <w:pStyle w:val="AppendixText2"/>
        <w:numPr>
          <w:ilvl w:val="1"/>
          <w:numId w:val="14"/>
        </w:numPr>
      </w:pPr>
      <w:r>
        <w:t xml:space="preserve">This Agreement does not include, expressly or by implication, any representations, </w:t>
      </w:r>
      <w:proofErr w:type="gramStart"/>
      <w:r>
        <w:t>warranties</w:t>
      </w:r>
      <w:proofErr w:type="gramEnd"/>
      <w:r>
        <w:t xml:space="preserve"> or other obligations:</w:t>
      </w:r>
    </w:p>
    <w:p w14:paraId="7D939F31" w14:textId="77777777" w:rsidR="00976BC5" w:rsidRDefault="00976BC5" w:rsidP="00976BC5">
      <w:pPr>
        <w:pStyle w:val="AppendixText4"/>
        <w:numPr>
          <w:ilvl w:val="3"/>
          <w:numId w:val="14"/>
        </w:numPr>
      </w:pPr>
      <w:r>
        <w:t xml:space="preserve">to grant the </w:t>
      </w:r>
      <w:proofErr w:type="spellStart"/>
      <w:r>
        <w:t>Benchmarker</w:t>
      </w:r>
      <w:proofErr w:type="spellEnd"/>
      <w:r>
        <w:t xml:space="preserve"> any licence or rights other than as may be expressly stated in this </w:t>
      </w:r>
      <w:proofErr w:type="gramStart"/>
      <w:r>
        <w:t>Agreement;</w:t>
      </w:r>
      <w:proofErr w:type="gramEnd"/>
    </w:p>
    <w:p w14:paraId="234F245F" w14:textId="77777777" w:rsidR="00976BC5" w:rsidRDefault="00976BC5" w:rsidP="00976BC5">
      <w:pPr>
        <w:pStyle w:val="AppendixText4"/>
        <w:numPr>
          <w:ilvl w:val="3"/>
          <w:numId w:val="14"/>
        </w:numPr>
      </w:pPr>
      <w:r>
        <w:t>to require the Supplier to disclose, continue disclosing or update any Confidential Information; or</w:t>
      </w:r>
    </w:p>
    <w:p w14:paraId="2E3316DF" w14:textId="77777777" w:rsidR="00976BC5" w:rsidRDefault="00976BC5" w:rsidP="00976BC5">
      <w:pPr>
        <w:pStyle w:val="AppendixText4"/>
        <w:numPr>
          <w:ilvl w:val="3"/>
          <w:numId w:val="14"/>
        </w:numPr>
      </w:pPr>
      <w:r>
        <w:t xml:space="preserve">as to the accuracy, efficacy, completeness, capabilities, </w:t>
      </w:r>
      <w:proofErr w:type="gramStart"/>
      <w:r>
        <w:t>safety</w:t>
      </w:r>
      <w:proofErr w:type="gramEnd"/>
      <w:r>
        <w:t xml:space="preserve"> or any other qualities whatsoever of any Information or materials provided pursuant to or in anticipation of this Agreement.</w:t>
      </w:r>
    </w:p>
    <w:p w14:paraId="790131FD" w14:textId="77777777" w:rsidR="00976BC5" w:rsidRDefault="00976BC5" w:rsidP="00976BC5">
      <w:pPr>
        <w:pStyle w:val="AppendixText2"/>
        <w:numPr>
          <w:ilvl w:val="1"/>
          <w:numId w:val="14"/>
        </w:numPr>
      </w:pPr>
      <w: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3DE7B3F7" w14:textId="77777777" w:rsidR="00976BC5" w:rsidRDefault="00976BC5" w:rsidP="00976BC5">
      <w:pPr>
        <w:pStyle w:val="AppendixText2"/>
        <w:numPr>
          <w:ilvl w:val="1"/>
          <w:numId w:val="14"/>
        </w:numPr>
      </w:pPr>
      <w:r>
        <w:lastRenderedPageBreak/>
        <w:t xml:space="preserve">Without prejudice to any other rights or remedies that the Supplier may have, the </w:t>
      </w:r>
      <w:proofErr w:type="spellStart"/>
      <w:r>
        <w:t>Benchmarker</w:t>
      </w:r>
      <w:proofErr w:type="spellEnd"/>
      <w:r>
        <w:t xml:space="preserve"> acknowledges and agrees that damages alone may not be an adequate remedy for any breach by the </w:t>
      </w:r>
      <w:proofErr w:type="spellStart"/>
      <w:r>
        <w:t>Benchmarker</w:t>
      </w:r>
      <w:proofErr w:type="spellEnd"/>
      <w:r>
        <w:t xml:space="preserve"> of any of the provisions of this Agreement.  Accordingly, the </w:t>
      </w:r>
      <w:proofErr w:type="spellStart"/>
      <w:r>
        <w:t>Benchmarker</w:t>
      </w:r>
      <w:proofErr w:type="spellEnd"/>
      <w:r>
        <w:t xml:space="preserv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7CEFEAB6" w14:textId="77777777" w:rsidR="00976BC5" w:rsidRDefault="00976BC5" w:rsidP="00976BC5">
      <w:pPr>
        <w:pStyle w:val="AppendixText2"/>
        <w:numPr>
          <w:ilvl w:val="1"/>
          <w:numId w:val="14"/>
        </w:numPr>
      </w:pPr>
      <w:r>
        <w:t xml:space="preserve">The maximum liability of the </w:t>
      </w:r>
      <w:proofErr w:type="spellStart"/>
      <w:r>
        <w:t>Benchmarker</w:t>
      </w:r>
      <w:proofErr w:type="spellEnd"/>
      <w:r>
        <w:t xml:space="preserve"> to the Supplier for any breach of this Agreement shall be limited to ten million pounds (£10,000,000).</w:t>
      </w:r>
    </w:p>
    <w:p w14:paraId="1B0C3C1C" w14:textId="77777777" w:rsidR="00976BC5" w:rsidRDefault="00976BC5" w:rsidP="00976BC5">
      <w:pPr>
        <w:pStyle w:val="AppendixText2"/>
        <w:numPr>
          <w:ilvl w:val="1"/>
          <w:numId w:val="14"/>
        </w:numPr>
      </w:pPr>
      <w:r>
        <w:t>For the purposes of the Contracts (Rights of Third Parties) Act 1999 no one other than the Parties has the right to enforce the terms of this Agreement.</w:t>
      </w:r>
    </w:p>
    <w:p w14:paraId="3F6AB88B" w14:textId="77777777" w:rsidR="00976BC5" w:rsidRDefault="00976BC5" w:rsidP="00976BC5">
      <w:pPr>
        <w:pStyle w:val="AppendixText2"/>
        <w:numPr>
          <w:ilvl w:val="1"/>
          <w:numId w:val="14"/>
        </w:numPr>
      </w:pPr>
      <w:r>
        <w:t>Each Party shall be responsible for all costs incurred by it or on its behalf in connection with this Agreement.</w:t>
      </w:r>
    </w:p>
    <w:p w14:paraId="7C367313" w14:textId="77777777" w:rsidR="00976BC5" w:rsidRDefault="00976BC5" w:rsidP="00976BC5">
      <w:pPr>
        <w:pStyle w:val="AppendixText2"/>
        <w:numPr>
          <w:ilvl w:val="1"/>
          <w:numId w:val="14"/>
        </w:numPr>
      </w:pPr>
      <w:r>
        <w:t xml:space="preserve">This Agreement may be executed in any number of counterparts and by the Parties on separate </w:t>
      </w:r>
      <w:proofErr w:type="gramStart"/>
      <w:r>
        <w:t>counterparts, but</w:t>
      </w:r>
      <w:proofErr w:type="gramEnd"/>
      <w:r>
        <w:t xml:space="preserve"> shall not be effective until each Party has executed at least one counterpart.  Each counterpart shall constitute an original of this Agreement, but all the counterparts shall together constitute but one and the same instrument.</w:t>
      </w:r>
    </w:p>
    <w:p w14:paraId="4FE9A426" w14:textId="77777777" w:rsidR="00976BC5" w:rsidRDefault="00976BC5" w:rsidP="00976BC5">
      <w:pPr>
        <w:pStyle w:val="AppendixText1"/>
        <w:numPr>
          <w:ilvl w:val="0"/>
          <w:numId w:val="14"/>
        </w:numPr>
      </w:pPr>
      <w:r>
        <w:t>Notices</w:t>
      </w:r>
    </w:p>
    <w:p w14:paraId="514B3692" w14:textId="04F56514" w:rsidR="00976BC5" w:rsidRDefault="00976BC5" w:rsidP="00976BC5">
      <w:pPr>
        <w:pStyle w:val="AppendixText2"/>
        <w:numPr>
          <w:ilvl w:val="1"/>
          <w:numId w:val="14"/>
        </w:numPr>
      </w:pPr>
      <w:r>
        <w:t>Any notice to be given under this Agreement (each a “</w:t>
      </w:r>
      <w:r w:rsidRPr="005F31E9">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75" w:name="_9kMHG5YVtCIB9AGLHNGBmXA5pm"/>
      <w:r>
        <w:t xml:space="preserve">Clause </w:t>
      </w:r>
      <w:r>
        <w:fldChar w:fldCharType="begin"/>
      </w:r>
      <w:r>
        <w:instrText xml:space="preserve"> REF _Ref_ContractCompanion_9kb9Us348 \n \h \t \* MERGEFORMAT </w:instrText>
      </w:r>
      <w:r>
        <w:fldChar w:fldCharType="separate"/>
      </w:r>
      <w:r w:rsidR="00EE094A">
        <w:t>.2</w:t>
      </w:r>
      <w:r>
        <w:fldChar w:fldCharType="end"/>
      </w:r>
      <w:bookmarkEnd w:id="75"/>
      <w:r>
        <w:t>.</w:t>
      </w:r>
    </w:p>
    <w:p w14:paraId="4D79670A" w14:textId="77777777" w:rsidR="00976BC5" w:rsidRDefault="00976BC5" w:rsidP="00976BC5">
      <w:pPr>
        <w:pStyle w:val="AppendixText2"/>
        <w:numPr>
          <w:ilvl w:val="1"/>
          <w:numId w:val="14"/>
        </w:numPr>
      </w:pPr>
      <w:bookmarkStart w:id="76" w:name="_Ref_ContractCompanion_9kb9Us348"/>
      <w:bookmarkStart w:id="77" w:name="_9kR3WTrAG978EJFLE9kV83nk"/>
      <w:r>
        <w:t>Any Notice:</w:t>
      </w:r>
      <w:bookmarkEnd w:id="76"/>
      <w:bookmarkEnd w:id="77"/>
    </w:p>
    <w:p w14:paraId="4572C8F8" w14:textId="77777777" w:rsidR="00976BC5" w:rsidRDefault="00976BC5" w:rsidP="00976BC5">
      <w:pPr>
        <w:pStyle w:val="AppendixText4"/>
        <w:numPr>
          <w:ilvl w:val="3"/>
          <w:numId w:val="14"/>
        </w:numPr>
      </w:pPr>
      <w:r>
        <w:t>if to be given to the Supplier shall be sent to:</w:t>
      </w:r>
    </w:p>
    <w:p w14:paraId="5F949FDE" w14:textId="77777777" w:rsidR="00976BC5" w:rsidRPr="002C07B6" w:rsidRDefault="00976BC5" w:rsidP="00976BC5">
      <w:pPr>
        <w:pStyle w:val="StdBodyText4"/>
        <w:rPr>
          <w:highlight w:val="yellow"/>
        </w:rPr>
      </w:pPr>
      <w:r w:rsidRPr="002C07B6">
        <w:rPr>
          <w:highlight w:val="yellow"/>
        </w:rPr>
        <w:t>[</w:t>
      </w:r>
      <w:r w:rsidRPr="002C07B6">
        <w:rPr>
          <w:i/>
          <w:highlight w:val="yellow"/>
        </w:rPr>
        <w:t>Address</w:t>
      </w:r>
      <w:r w:rsidRPr="002C07B6">
        <w:rPr>
          <w:highlight w:val="yellow"/>
        </w:rPr>
        <w:t>]</w:t>
      </w:r>
    </w:p>
    <w:p w14:paraId="63C5F651" w14:textId="77777777" w:rsidR="00976BC5" w:rsidRPr="002C07B6" w:rsidRDefault="00976BC5" w:rsidP="00976BC5">
      <w:pPr>
        <w:pStyle w:val="StdBodyText4"/>
        <w:rPr>
          <w:highlight w:val="yellow"/>
        </w:rPr>
      </w:pPr>
      <w:r>
        <w:t>Attention</w:t>
      </w:r>
      <w:proofErr w:type="gramStart"/>
      <w:r>
        <w:t xml:space="preserve">:  </w:t>
      </w:r>
      <w:r w:rsidRPr="002C07B6">
        <w:rPr>
          <w:highlight w:val="yellow"/>
        </w:rPr>
        <w:t>[</w:t>
      </w:r>
      <w:proofErr w:type="gramEnd"/>
      <w:r w:rsidRPr="002C07B6">
        <w:rPr>
          <w:i/>
          <w:highlight w:val="yellow"/>
        </w:rPr>
        <w:t>Contact name and/or position, e.g. “The Finance Director”</w:t>
      </w:r>
      <w:r w:rsidRPr="002C07B6">
        <w:rPr>
          <w:highlight w:val="yellow"/>
        </w:rPr>
        <w:t>]</w:t>
      </w:r>
    </w:p>
    <w:p w14:paraId="3C876621" w14:textId="77777777" w:rsidR="00976BC5" w:rsidRDefault="00976BC5" w:rsidP="00976BC5">
      <w:pPr>
        <w:pStyle w:val="AppendixText4"/>
        <w:numPr>
          <w:ilvl w:val="3"/>
          <w:numId w:val="14"/>
        </w:numPr>
      </w:pPr>
      <w:r>
        <w:t xml:space="preserve">if to be given to the </w:t>
      </w:r>
      <w:proofErr w:type="spellStart"/>
      <w:r>
        <w:t>Benchmarker</w:t>
      </w:r>
      <w:proofErr w:type="spellEnd"/>
      <w:r>
        <w:t xml:space="preserve"> shall be sent to:</w:t>
      </w:r>
    </w:p>
    <w:p w14:paraId="3165DEA0" w14:textId="77777777" w:rsidR="00976BC5" w:rsidRPr="002C07B6" w:rsidRDefault="00976BC5" w:rsidP="00976BC5">
      <w:pPr>
        <w:pStyle w:val="StdBodyText4"/>
        <w:rPr>
          <w:highlight w:val="yellow"/>
        </w:rPr>
      </w:pPr>
      <w:r w:rsidRPr="002C07B6">
        <w:rPr>
          <w:highlight w:val="yellow"/>
        </w:rPr>
        <w:t>[</w:t>
      </w:r>
      <w:r w:rsidRPr="002C07B6">
        <w:rPr>
          <w:i/>
          <w:highlight w:val="yellow"/>
        </w:rPr>
        <w:t>Name of Organisation</w:t>
      </w:r>
      <w:r w:rsidRPr="002C07B6">
        <w:rPr>
          <w:highlight w:val="yellow"/>
        </w:rPr>
        <w:t>]</w:t>
      </w:r>
    </w:p>
    <w:p w14:paraId="2C1A636A" w14:textId="77777777" w:rsidR="00976BC5" w:rsidRPr="002C07B6" w:rsidRDefault="00976BC5" w:rsidP="00976BC5">
      <w:pPr>
        <w:pStyle w:val="StdBodyText4"/>
        <w:rPr>
          <w:highlight w:val="yellow"/>
        </w:rPr>
      </w:pPr>
      <w:r w:rsidRPr="002C07B6">
        <w:rPr>
          <w:highlight w:val="yellow"/>
        </w:rPr>
        <w:t>[</w:t>
      </w:r>
      <w:r w:rsidRPr="002C07B6">
        <w:rPr>
          <w:i/>
          <w:highlight w:val="yellow"/>
        </w:rPr>
        <w:t>Address</w:t>
      </w:r>
      <w:r w:rsidRPr="002C07B6">
        <w:rPr>
          <w:highlight w:val="yellow"/>
        </w:rPr>
        <w:t>]</w:t>
      </w:r>
    </w:p>
    <w:p w14:paraId="0B649155" w14:textId="77777777" w:rsidR="00976BC5" w:rsidRPr="002C07B6" w:rsidRDefault="00976BC5" w:rsidP="00976BC5">
      <w:pPr>
        <w:pStyle w:val="StdBodyText4"/>
        <w:rPr>
          <w:highlight w:val="yellow"/>
        </w:rPr>
      </w:pPr>
      <w:r>
        <w:t xml:space="preserve">Attention: </w:t>
      </w:r>
      <w:r w:rsidRPr="002C07B6">
        <w:rPr>
          <w:highlight w:val="yellow"/>
        </w:rPr>
        <w:t xml:space="preserve">[           </w:t>
      </w:r>
      <w:proofErr w:type="gramStart"/>
      <w:r w:rsidRPr="002C07B6">
        <w:rPr>
          <w:highlight w:val="yellow"/>
        </w:rPr>
        <w:t xml:space="preserve">  ]</w:t>
      </w:r>
      <w:proofErr w:type="gramEnd"/>
    </w:p>
    <w:p w14:paraId="2C2829B8" w14:textId="77777777" w:rsidR="00976BC5" w:rsidRDefault="00976BC5" w:rsidP="00976BC5">
      <w:pPr>
        <w:pStyle w:val="AppendixText1"/>
        <w:keepNext/>
        <w:numPr>
          <w:ilvl w:val="0"/>
          <w:numId w:val="14"/>
        </w:numPr>
      </w:pPr>
      <w:r>
        <w:t>Governing law</w:t>
      </w:r>
    </w:p>
    <w:p w14:paraId="1BD54865" w14:textId="77777777" w:rsidR="00976BC5" w:rsidRDefault="00976BC5" w:rsidP="00976BC5">
      <w:pPr>
        <w:pStyle w:val="AppendixText2"/>
        <w:numPr>
          <w:ilvl w:val="1"/>
          <w:numId w:val="14"/>
        </w:numPr>
      </w:pPr>
      <w:bookmarkStart w:id="78" w:name="_9kR3WTr8E845ELF"/>
      <w:bookmarkEnd w:id="78"/>
      <w: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60470848" w14:textId="77777777" w:rsidR="00976BC5" w:rsidRDefault="00976BC5" w:rsidP="00976BC5">
      <w:pPr>
        <w:pStyle w:val="AppendixText2"/>
        <w:numPr>
          <w:ilvl w:val="1"/>
          <w:numId w:val="14"/>
        </w:numPr>
      </w:pPr>
      <w:r>
        <w:lastRenderedPageBreak/>
        <w:t xml:space="preserve">Each Party hereby irrevocably submits to the exclusive jurisdiction of the English courts in respect of any claim or dispute arising out of or in connection with this Agreement.  </w:t>
      </w:r>
    </w:p>
    <w:p w14:paraId="201597D6" w14:textId="77777777" w:rsidR="00976BC5" w:rsidRDefault="00976BC5" w:rsidP="00976BC5">
      <w:pPr>
        <w:pStyle w:val="StdBodyText"/>
      </w:pPr>
    </w:p>
    <w:p w14:paraId="776EB2DF" w14:textId="77777777" w:rsidR="00976BC5" w:rsidRDefault="00976BC5" w:rsidP="00976BC5">
      <w:pPr>
        <w:pStyle w:val="StdBodyText"/>
      </w:pPr>
      <w:r w:rsidRPr="005F31E9">
        <w:rPr>
          <w:rStyle w:val="StdBodyTextBoldChar"/>
        </w:rPr>
        <w:t>IN WITNESS</w:t>
      </w:r>
      <w:r>
        <w:t xml:space="preserve"> of the above this Agreement has been signed by the duly authorised representatives of the Parties on the date which appears at the head of page </w:t>
      </w:r>
      <w:bookmarkStart w:id="79" w:name="_9kMHG5YVtCIB9AHREyq1QSZaUC43FG6967GCI"/>
      <w:r>
        <w:t>1</w:t>
      </w:r>
      <w:bookmarkEnd w:id="79"/>
      <w:r>
        <w:t>.</w:t>
      </w:r>
    </w:p>
    <w:p w14:paraId="6CD115D0" w14:textId="77777777" w:rsidR="00976BC5" w:rsidRPr="002C07B6" w:rsidRDefault="00976BC5" w:rsidP="00976BC5">
      <w:pPr>
        <w:pStyle w:val="StdBodyTextBold"/>
        <w:rPr>
          <w:highlight w:val="yellow"/>
        </w:rPr>
      </w:pPr>
      <w:r>
        <w:t xml:space="preserve">For and on behalf of </w:t>
      </w:r>
      <w:r w:rsidRPr="002C07B6">
        <w:rPr>
          <w:highlight w:val="yellow"/>
        </w:rPr>
        <w:t>[</w:t>
      </w:r>
      <w:r w:rsidRPr="002C07B6">
        <w:rPr>
          <w:i/>
          <w:highlight w:val="yellow"/>
        </w:rPr>
        <w:t>name of Supplier</w:t>
      </w:r>
      <w:r w:rsidRPr="002C07B6">
        <w:rPr>
          <w:highlight w:val="yellow"/>
        </w:rPr>
        <w:t>]</w:t>
      </w:r>
    </w:p>
    <w:p w14:paraId="2C3EAFB2" w14:textId="77777777" w:rsidR="00976BC5" w:rsidRDefault="00976BC5" w:rsidP="00976BC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976BC5" w14:paraId="5607FB7C" w14:textId="77777777" w:rsidTr="008A71A3">
        <w:tc>
          <w:tcPr>
            <w:tcW w:w="5070" w:type="dxa"/>
          </w:tcPr>
          <w:p w14:paraId="7BE6FF20" w14:textId="77777777" w:rsidR="00976BC5" w:rsidRDefault="00976BC5" w:rsidP="008A71A3">
            <w:pPr>
              <w:pStyle w:val="StdBodyText"/>
            </w:pPr>
            <w:r>
              <w:t>Signature: ___________________________</w:t>
            </w:r>
          </w:p>
          <w:p w14:paraId="67D6690E" w14:textId="77777777" w:rsidR="00976BC5" w:rsidRDefault="00976BC5" w:rsidP="008A71A3">
            <w:pPr>
              <w:pStyle w:val="StdBodyText"/>
            </w:pPr>
          </w:p>
        </w:tc>
        <w:tc>
          <w:tcPr>
            <w:tcW w:w="3993" w:type="dxa"/>
          </w:tcPr>
          <w:p w14:paraId="278936CC" w14:textId="77777777" w:rsidR="00976BC5" w:rsidRDefault="00976BC5" w:rsidP="008A71A3">
            <w:pPr>
              <w:pStyle w:val="StdBodyText"/>
            </w:pPr>
            <w:r>
              <w:t>Date:</w:t>
            </w:r>
          </w:p>
        </w:tc>
      </w:tr>
      <w:tr w:rsidR="00976BC5" w14:paraId="66DBCE36" w14:textId="77777777" w:rsidTr="008A71A3">
        <w:tc>
          <w:tcPr>
            <w:tcW w:w="5070" w:type="dxa"/>
          </w:tcPr>
          <w:p w14:paraId="0B47B9EA" w14:textId="77777777" w:rsidR="00976BC5" w:rsidRDefault="00976BC5" w:rsidP="008A71A3">
            <w:pPr>
              <w:pStyle w:val="StdBodyText"/>
            </w:pPr>
            <w:r>
              <w:t>Name:</w:t>
            </w:r>
            <w:r>
              <w:tab/>
            </w:r>
          </w:p>
        </w:tc>
        <w:tc>
          <w:tcPr>
            <w:tcW w:w="3993" w:type="dxa"/>
          </w:tcPr>
          <w:p w14:paraId="59B3EEC4" w14:textId="77777777" w:rsidR="00976BC5" w:rsidRDefault="00976BC5" w:rsidP="008A71A3">
            <w:pPr>
              <w:pStyle w:val="StdBodyText"/>
            </w:pPr>
            <w:r>
              <w:t>Position:</w:t>
            </w:r>
          </w:p>
        </w:tc>
      </w:tr>
    </w:tbl>
    <w:p w14:paraId="1982D4DF" w14:textId="77777777" w:rsidR="00976BC5" w:rsidRDefault="00976BC5" w:rsidP="00976BC5">
      <w:pPr>
        <w:pStyle w:val="StdBodyText"/>
      </w:pPr>
    </w:p>
    <w:p w14:paraId="4B2D2E07" w14:textId="77777777" w:rsidR="00976BC5" w:rsidRDefault="00976BC5" w:rsidP="00976BC5">
      <w:pPr>
        <w:pStyle w:val="StdBodyText"/>
      </w:pPr>
    </w:p>
    <w:p w14:paraId="1F4B932B" w14:textId="77777777" w:rsidR="00976BC5" w:rsidRPr="002C07B6" w:rsidRDefault="00976BC5" w:rsidP="00976BC5">
      <w:pPr>
        <w:pStyle w:val="StdBodyTextBold"/>
        <w:rPr>
          <w:highlight w:val="yellow"/>
        </w:rPr>
      </w:pPr>
      <w:r>
        <w:t xml:space="preserve">For and on behalf of </w:t>
      </w:r>
      <w:r w:rsidRPr="002C07B6">
        <w:rPr>
          <w:highlight w:val="yellow"/>
        </w:rPr>
        <w:t>[</w:t>
      </w:r>
      <w:r w:rsidRPr="002C07B6">
        <w:rPr>
          <w:i/>
          <w:highlight w:val="yellow"/>
        </w:rPr>
        <w:t xml:space="preserve">name of </w:t>
      </w:r>
      <w:proofErr w:type="spellStart"/>
      <w:r w:rsidRPr="002C07B6">
        <w:rPr>
          <w:i/>
          <w:highlight w:val="yellow"/>
        </w:rPr>
        <w:t>Benchmarker</w:t>
      </w:r>
      <w:proofErr w:type="spellEnd"/>
      <w:r w:rsidRPr="002C07B6">
        <w:rPr>
          <w:highlight w:val="yellow"/>
        </w:rPr>
        <w:t>]</w:t>
      </w:r>
    </w:p>
    <w:p w14:paraId="31599D2F" w14:textId="77777777" w:rsidR="00976BC5" w:rsidRDefault="00976BC5" w:rsidP="00976BC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976BC5" w14:paraId="40AD8E3D" w14:textId="77777777" w:rsidTr="008A71A3">
        <w:tc>
          <w:tcPr>
            <w:tcW w:w="5070" w:type="dxa"/>
          </w:tcPr>
          <w:p w14:paraId="55EFCF44" w14:textId="77777777" w:rsidR="00976BC5" w:rsidRDefault="00976BC5" w:rsidP="008A71A3">
            <w:pPr>
              <w:pStyle w:val="StdBodyText"/>
            </w:pPr>
            <w:r>
              <w:t>Signature: ___________________________</w:t>
            </w:r>
          </w:p>
          <w:p w14:paraId="6BEF5092" w14:textId="77777777" w:rsidR="00976BC5" w:rsidRDefault="00976BC5" w:rsidP="008A71A3">
            <w:pPr>
              <w:pStyle w:val="StdBodyText"/>
            </w:pPr>
          </w:p>
        </w:tc>
        <w:tc>
          <w:tcPr>
            <w:tcW w:w="3993" w:type="dxa"/>
          </w:tcPr>
          <w:p w14:paraId="56F2EE51" w14:textId="77777777" w:rsidR="00976BC5" w:rsidRDefault="00976BC5" w:rsidP="008A71A3">
            <w:pPr>
              <w:pStyle w:val="StdBodyText"/>
            </w:pPr>
            <w:r>
              <w:t>Date:</w:t>
            </w:r>
          </w:p>
        </w:tc>
      </w:tr>
      <w:tr w:rsidR="00976BC5" w14:paraId="6FFA64EC" w14:textId="77777777" w:rsidTr="008A71A3">
        <w:tc>
          <w:tcPr>
            <w:tcW w:w="5070" w:type="dxa"/>
          </w:tcPr>
          <w:p w14:paraId="5D369AD1" w14:textId="77777777" w:rsidR="00976BC5" w:rsidRDefault="00976BC5" w:rsidP="008A71A3">
            <w:pPr>
              <w:pStyle w:val="StdBodyText"/>
            </w:pPr>
            <w:r>
              <w:t>Name:</w:t>
            </w:r>
            <w:r>
              <w:tab/>
            </w:r>
          </w:p>
        </w:tc>
        <w:tc>
          <w:tcPr>
            <w:tcW w:w="3993" w:type="dxa"/>
          </w:tcPr>
          <w:p w14:paraId="12DE29E8" w14:textId="77777777" w:rsidR="00976BC5" w:rsidRDefault="00976BC5" w:rsidP="008A71A3">
            <w:pPr>
              <w:pStyle w:val="StdBodyText"/>
            </w:pPr>
            <w:r>
              <w:t>Position:</w:t>
            </w:r>
          </w:p>
        </w:tc>
      </w:tr>
    </w:tbl>
    <w:p w14:paraId="73FEA20D" w14:textId="77777777" w:rsidR="00976BC5" w:rsidRDefault="00976BC5" w:rsidP="00976BC5">
      <w:pPr>
        <w:pStyle w:val="StdBodyText"/>
        <w:sectPr w:rsidR="00976BC5" w:rsidSect="00C5463B">
          <w:pgSz w:w="11909" w:h="16834"/>
          <w:pgMar w:top="1418" w:right="1418" w:bottom="1418" w:left="1418" w:header="709" w:footer="709" w:gutter="0"/>
          <w:paperSrc w:first="265" w:other="265"/>
          <w:cols w:space="720"/>
          <w:docGrid w:linePitch="326"/>
        </w:sectPr>
      </w:pPr>
    </w:p>
    <w:p w14:paraId="626C5D1F"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57E6" w14:textId="77777777" w:rsidR="00DC64FD" w:rsidRDefault="00EE094A">
      <w:r>
        <w:separator/>
      </w:r>
    </w:p>
  </w:endnote>
  <w:endnote w:type="continuationSeparator" w:id="0">
    <w:p w14:paraId="629711B3" w14:textId="77777777" w:rsidR="00DC64FD" w:rsidRDefault="00EE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B15B" w14:textId="77777777" w:rsidR="00C2342F" w:rsidRPr="00EE0196" w:rsidRDefault="00976BC5"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1410" w14:textId="77777777" w:rsidR="00C2342F" w:rsidRPr="00EE0196" w:rsidRDefault="00976BC5" w:rsidP="00EE0196">
    <w:pPr>
      <w:pBdr>
        <w:top w:val="single" w:sz="4" w:space="10" w:color="auto"/>
      </w:pBdr>
      <w:jc w:val="center"/>
      <w:rPr>
        <w:sz w:val="16"/>
      </w:rPr>
    </w:pPr>
    <w:r w:rsidRPr="00EE0196">
      <w:rPr>
        <w:sz w:val="16"/>
      </w:rPr>
      <w:t>Model Services Contract Combined Schedules v1.09 – Schedule 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0F3A" w14:textId="77777777" w:rsidR="00DC64FD" w:rsidRDefault="00EE094A">
      <w:r>
        <w:separator/>
      </w:r>
    </w:p>
  </w:footnote>
  <w:footnote w:type="continuationSeparator" w:id="0">
    <w:p w14:paraId="16B40E26" w14:textId="77777777" w:rsidR="00DC64FD" w:rsidRDefault="00EE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5"/>
    <w:rsid w:val="002B6589"/>
    <w:rsid w:val="006B2B5A"/>
    <w:rsid w:val="00976BC5"/>
    <w:rsid w:val="00C544F3"/>
    <w:rsid w:val="00DC64FD"/>
    <w:rsid w:val="00EE094A"/>
    <w:rsid w:val="00FE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46DC"/>
  <w15:chartTrackingRefBased/>
  <w15:docId w15:val="{D58B1C31-0FCD-4187-AAA0-B75B6E6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6BC5"/>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976BC5"/>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Normal"/>
    <w:rsid w:val="00976BC5"/>
    <w:pPr>
      <w:numPr>
        <w:numId w:val="12"/>
      </w:numPr>
      <w:spacing w:before="100" w:after="200"/>
    </w:pPr>
    <w:rPr>
      <w:rFonts w:eastAsia="Times New Roman" w:cs="Times New Roman"/>
      <w:b/>
      <w:szCs w:val="24"/>
      <w:lang w:eastAsia="en-GB"/>
    </w:rPr>
  </w:style>
  <w:style w:type="paragraph" w:customStyle="1" w:styleId="AppendixText2">
    <w:name w:val="Appendix Text 2"/>
    <w:basedOn w:val="AppendixText1"/>
    <w:next w:val="Normal"/>
    <w:rsid w:val="00976BC5"/>
    <w:pPr>
      <w:numPr>
        <w:ilvl w:val="1"/>
      </w:numPr>
    </w:pPr>
    <w:rPr>
      <w:b w:val="0"/>
    </w:rPr>
  </w:style>
  <w:style w:type="paragraph" w:customStyle="1" w:styleId="AppendixText3">
    <w:name w:val="Appendix Text 3"/>
    <w:basedOn w:val="Normal"/>
    <w:next w:val="Normal"/>
    <w:rsid w:val="00976BC5"/>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976BC5"/>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976BC5"/>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976BC5"/>
    <w:pPr>
      <w:spacing w:after="200"/>
      <w:jc w:val="center"/>
    </w:pPr>
    <w:rPr>
      <w:rFonts w:eastAsia="Times New Roman" w:cs="Times New Roman"/>
      <w:b/>
      <w:szCs w:val="24"/>
      <w:lang w:eastAsia="en-GB"/>
    </w:rPr>
  </w:style>
  <w:style w:type="paragraph" w:customStyle="1" w:styleId="StdBodyText">
    <w:name w:val="Std Body Text"/>
    <w:basedOn w:val="Normal"/>
    <w:qFormat/>
    <w:rsid w:val="00976BC5"/>
    <w:pPr>
      <w:spacing w:before="100" w:after="200"/>
    </w:pPr>
    <w:rPr>
      <w:rFonts w:eastAsia="Times New Roman" w:cs="Times New Roman"/>
      <w:szCs w:val="24"/>
      <w:lang w:eastAsia="en-GB"/>
    </w:rPr>
  </w:style>
  <w:style w:type="paragraph" w:customStyle="1" w:styleId="StdBodyText4">
    <w:name w:val="Std Body Text 4"/>
    <w:basedOn w:val="Normal"/>
    <w:rsid w:val="00976BC5"/>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976BC5"/>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976BC5"/>
    <w:rPr>
      <w:rFonts w:ascii="Arial" w:eastAsia="Times New Roman" w:hAnsi="Arial" w:cs="Times New Roman"/>
      <w:b/>
      <w:sz w:val="24"/>
      <w:szCs w:val="24"/>
      <w:lang w:eastAsia="en-GB"/>
    </w:rPr>
  </w:style>
  <w:style w:type="paragraph" w:customStyle="1" w:styleId="DefinitionList">
    <w:name w:val="Definition List"/>
    <w:basedOn w:val="Normal"/>
    <w:rsid w:val="00976BC5"/>
    <w:pPr>
      <w:numPr>
        <w:numId w:val="3"/>
      </w:numPr>
      <w:spacing w:before="100" w:after="200"/>
    </w:pPr>
    <w:rPr>
      <w:rFonts w:eastAsia="Times New Roman" w:cs="Times New Roman"/>
      <w:szCs w:val="24"/>
      <w:lang w:eastAsia="en-GB"/>
    </w:rPr>
  </w:style>
  <w:style w:type="paragraph" w:customStyle="1" w:styleId="PartiesBodyText">
    <w:name w:val="Parties Body Text"/>
    <w:basedOn w:val="Normal"/>
    <w:rsid w:val="00976BC5"/>
    <w:pPr>
      <w:numPr>
        <w:numId w:val="5"/>
      </w:numPr>
      <w:spacing w:before="100" w:after="200"/>
    </w:pPr>
    <w:rPr>
      <w:rFonts w:eastAsia="Times New Roman" w:cs="Times New Roman"/>
      <w:szCs w:val="24"/>
      <w:lang w:eastAsia="en-GB"/>
    </w:rPr>
  </w:style>
  <w:style w:type="paragraph" w:customStyle="1" w:styleId="Recitals">
    <w:name w:val="Recitals"/>
    <w:basedOn w:val="Normal"/>
    <w:rsid w:val="00976BC5"/>
    <w:pPr>
      <w:numPr>
        <w:numId w:val="6"/>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976BC5"/>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976BC5"/>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976BC5"/>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76BC5"/>
    <w:pPr>
      <w:numPr>
        <w:ilvl w:val="1"/>
      </w:numPr>
    </w:pPr>
    <w:rPr>
      <w:b w:val="0"/>
    </w:rPr>
  </w:style>
  <w:style w:type="paragraph" w:customStyle="1" w:styleId="ScheduleText3">
    <w:name w:val="Schedule Text 3"/>
    <w:basedOn w:val="Normal"/>
    <w:next w:val="Normal"/>
    <w:rsid w:val="00976BC5"/>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976BC5"/>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76BC5"/>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976BC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976BC5"/>
    <w:pPr>
      <w:numPr>
        <w:ilvl w:val="1"/>
      </w:numPr>
    </w:pPr>
  </w:style>
  <w:style w:type="paragraph" w:customStyle="1" w:styleId="ScheduleText6">
    <w:name w:val="Schedule Text 6"/>
    <w:basedOn w:val="ScheduleText5"/>
    <w:rsid w:val="00976BC5"/>
    <w:pPr>
      <w:numPr>
        <w:ilvl w:val="5"/>
      </w:numPr>
    </w:pPr>
  </w:style>
  <w:style w:type="paragraph" w:customStyle="1" w:styleId="DefinitionListLevel2">
    <w:name w:val="Definition List Level 2"/>
    <w:basedOn w:val="DefinitionListLevel1"/>
    <w:rsid w:val="00976BC5"/>
    <w:pPr>
      <w:numPr>
        <w:ilvl w:val="2"/>
      </w:numPr>
    </w:pPr>
  </w:style>
  <w:style w:type="paragraph" w:customStyle="1" w:styleId="ScheduleHeading">
    <w:name w:val="Schedule Heading"/>
    <w:basedOn w:val="ScheduleHeading2"/>
    <w:rsid w:val="00976BC5"/>
    <w:pPr>
      <w:numPr>
        <w:ilvl w:val="0"/>
      </w:numPr>
    </w:pPr>
  </w:style>
  <w:style w:type="paragraph" w:customStyle="1" w:styleId="AppendixText6">
    <w:name w:val="Appendix Text 6"/>
    <w:basedOn w:val="AppendixText5"/>
    <w:rsid w:val="00976BC5"/>
    <w:pPr>
      <w:numPr>
        <w:ilvl w:val="5"/>
      </w:numPr>
    </w:pPr>
  </w:style>
  <w:style w:type="paragraph" w:customStyle="1" w:styleId="ScheduleText7">
    <w:name w:val="Schedule Text 7"/>
    <w:basedOn w:val="ScheduleText6"/>
    <w:rsid w:val="00976BC5"/>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7A16D-4156-43B5-8E34-2B0AC635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9F3EB-3871-4631-A397-08C018218760}">
  <ds:schemaRefs>
    <ds:schemaRef ds:uri="http://schemas.microsoft.com/sharepoint/v3/contenttype/forms"/>
  </ds:schemaRefs>
</ds:datastoreItem>
</file>

<file path=customXml/itemProps3.xml><?xml version="1.0" encoding="utf-8"?>
<ds:datastoreItem xmlns:ds="http://schemas.openxmlformats.org/officeDocument/2006/customXml" ds:itemID="{653F80BB-8DA1-4D8B-B9C2-8DE612DDA1AC}">
  <ds:schemaRefs>
    <ds:schemaRef ds:uri="http://schemas.microsoft.com/office/2006/documentManagement/types"/>
    <ds:schemaRef ds:uri="http://purl.org/dc/elements/1.1/"/>
    <ds:schemaRef ds:uri="http://purl.org/dc/dcmitype/"/>
    <ds:schemaRef ds:uri="http://www.w3.org/XML/1998/namespace"/>
    <ds:schemaRef ds:uri="ce06c1b5-0e50-4cbc-a9a5-cc76b116f6d1"/>
    <ds:schemaRef ds:uri="http://purl.org/dc/terms/"/>
    <ds:schemaRef ds:uri="http://schemas.microsoft.com/office/infopath/2007/PartnerControls"/>
    <ds:schemaRef ds:uri="http://schemas.openxmlformats.org/package/2006/metadata/core-properties"/>
    <ds:schemaRef ds:uri="e3e4714b-b22f-4e5b-9218-d771a01b7a7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4046</Words>
  <Characters>23065</Characters>
  <Application>Microsoft Office Word</Application>
  <DocSecurity>0</DocSecurity>
  <Lines>192</Lines>
  <Paragraphs>54</Paragraphs>
  <ScaleCrop>false</ScaleCrop>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cp:revision>
  <dcterms:created xsi:type="dcterms:W3CDTF">2021-10-25T10:34:00Z</dcterms:created>
  <dcterms:modified xsi:type="dcterms:W3CDTF">2022-02-07T09:39:00Z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