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03" w:rsidRDefault="00331903" w:rsidP="005761BF">
      <w:pPr>
        <w:jc w:val="both"/>
        <w:rPr>
          <w:b/>
        </w:rPr>
      </w:pPr>
    </w:p>
    <w:p w:rsidR="00E91DDE" w:rsidRDefault="00BA1A36" w:rsidP="005761BF">
      <w:pPr>
        <w:jc w:val="both"/>
        <w:rPr>
          <w:b/>
        </w:rPr>
      </w:pPr>
      <w:r w:rsidRPr="00BA1A36">
        <w:rPr>
          <w:b/>
        </w:rPr>
        <w:t>T</w:t>
      </w:r>
      <w:r w:rsidR="00E91DDE">
        <w:rPr>
          <w:b/>
        </w:rPr>
        <w:t>ENDER O</w:t>
      </w:r>
      <w:r w:rsidR="002B3D32">
        <w:rPr>
          <w:b/>
        </w:rPr>
        <w:t xml:space="preserve">PPORTUNITY – </w:t>
      </w:r>
      <w:r w:rsidR="00E8567E">
        <w:rPr>
          <w:b/>
        </w:rPr>
        <w:t>B2B MAGAZINE</w:t>
      </w:r>
    </w:p>
    <w:p w:rsidR="00BA1A36" w:rsidRPr="0022639F" w:rsidRDefault="00BA1A36" w:rsidP="005761BF">
      <w:pPr>
        <w:jc w:val="both"/>
        <w:rPr>
          <w:color w:val="404040" w:themeColor="text1" w:themeTint="BF"/>
        </w:rPr>
      </w:pPr>
      <w:r w:rsidRPr="0022639F">
        <w:rPr>
          <w:color w:val="404040" w:themeColor="text1" w:themeTint="BF"/>
        </w:rPr>
        <w:t>Cumbria Chamber of</w:t>
      </w:r>
      <w:r w:rsidR="002B3D32">
        <w:rPr>
          <w:color w:val="404040" w:themeColor="text1" w:themeTint="BF"/>
        </w:rPr>
        <w:t xml:space="preserve"> Commerce has a need to procure </w:t>
      </w:r>
      <w:r w:rsidR="00E8567E">
        <w:rPr>
          <w:color w:val="404040" w:themeColor="text1" w:themeTint="BF"/>
        </w:rPr>
        <w:t xml:space="preserve">a B2B magazine </w:t>
      </w:r>
      <w:r w:rsidR="00696889">
        <w:rPr>
          <w:color w:val="404040" w:themeColor="text1" w:themeTint="BF"/>
        </w:rPr>
        <w:t>to support the operation of Cumbria Business Growth Hub.</w:t>
      </w:r>
    </w:p>
    <w:p w:rsidR="00874607" w:rsidRDefault="00874607" w:rsidP="005761BF">
      <w:pPr>
        <w:jc w:val="both"/>
      </w:pPr>
      <w:r w:rsidRPr="00874607">
        <w:rPr>
          <w:b/>
        </w:rPr>
        <w:t>Cumbria Business Growth Hub</w:t>
      </w:r>
    </w:p>
    <w:p w:rsidR="00696889" w:rsidRDefault="002F341A" w:rsidP="002F341A">
      <w:pPr>
        <w:jc w:val="both"/>
        <w:rPr>
          <w:color w:val="404040"/>
        </w:rPr>
      </w:pPr>
      <w:r>
        <w:rPr>
          <w:color w:val="404040"/>
        </w:rPr>
        <w:t xml:space="preserve">Cumbria Business Growth Hub </w:t>
      </w:r>
      <w:r w:rsidR="00696889">
        <w:rPr>
          <w:color w:val="404040"/>
        </w:rPr>
        <w:t>is a one-stop-shop for business support:</w:t>
      </w:r>
    </w:p>
    <w:p w:rsidR="00696889" w:rsidRDefault="00696889" w:rsidP="00696889">
      <w:pPr>
        <w:pStyle w:val="ListParagraph"/>
        <w:numPr>
          <w:ilvl w:val="0"/>
          <w:numId w:val="12"/>
        </w:numPr>
        <w:jc w:val="both"/>
        <w:rPr>
          <w:color w:val="404040"/>
        </w:rPr>
      </w:pPr>
      <w:r w:rsidRPr="00696889">
        <w:rPr>
          <w:color w:val="404040"/>
        </w:rPr>
        <w:t xml:space="preserve">supporting the </w:t>
      </w:r>
      <w:r w:rsidR="002F341A" w:rsidRPr="00696889">
        <w:rPr>
          <w:color w:val="404040"/>
        </w:rPr>
        <w:t>growth and competitiveness of Cumbrian businesses</w:t>
      </w:r>
    </w:p>
    <w:p w:rsidR="00696889" w:rsidRDefault="002F341A" w:rsidP="00696889">
      <w:pPr>
        <w:pStyle w:val="ListParagraph"/>
        <w:numPr>
          <w:ilvl w:val="0"/>
          <w:numId w:val="12"/>
        </w:numPr>
        <w:jc w:val="both"/>
        <w:rPr>
          <w:color w:val="404040"/>
        </w:rPr>
      </w:pPr>
      <w:r w:rsidRPr="00696889">
        <w:rPr>
          <w:color w:val="404040"/>
        </w:rPr>
        <w:t>helping to unleash the</w:t>
      </w:r>
      <w:r w:rsidR="00696889" w:rsidRPr="00696889">
        <w:rPr>
          <w:color w:val="404040"/>
        </w:rPr>
        <w:t>ir</w:t>
      </w:r>
      <w:r w:rsidRPr="00696889">
        <w:rPr>
          <w:color w:val="404040"/>
        </w:rPr>
        <w:t xml:space="preserve"> potential</w:t>
      </w:r>
    </w:p>
    <w:p w:rsidR="00696889" w:rsidRDefault="002F341A" w:rsidP="00696889">
      <w:pPr>
        <w:pStyle w:val="ListParagraph"/>
        <w:numPr>
          <w:ilvl w:val="0"/>
          <w:numId w:val="12"/>
        </w:numPr>
        <w:jc w:val="both"/>
        <w:rPr>
          <w:color w:val="404040"/>
        </w:rPr>
      </w:pPr>
      <w:r w:rsidRPr="00696889">
        <w:rPr>
          <w:color w:val="404040"/>
        </w:rPr>
        <w:t>acting as a focal point for businesses that wish to be sustainable, increase</w:t>
      </w:r>
      <w:r w:rsidR="00696889">
        <w:rPr>
          <w:color w:val="404040"/>
        </w:rPr>
        <w:t xml:space="preserve"> their competitiveness and grow</w:t>
      </w:r>
    </w:p>
    <w:p w:rsidR="0051480A" w:rsidRDefault="0051480A" w:rsidP="00696889">
      <w:pPr>
        <w:pStyle w:val="ListParagraph"/>
        <w:numPr>
          <w:ilvl w:val="0"/>
          <w:numId w:val="12"/>
        </w:numPr>
        <w:jc w:val="both"/>
        <w:rPr>
          <w:color w:val="404040"/>
        </w:rPr>
      </w:pPr>
      <w:r>
        <w:rPr>
          <w:color w:val="404040"/>
        </w:rPr>
        <w:t>providing inspiration and driving activity</w:t>
      </w:r>
    </w:p>
    <w:p w:rsidR="0051480A" w:rsidRDefault="002F341A" w:rsidP="00696889">
      <w:pPr>
        <w:pStyle w:val="ListParagraph"/>
        <w:numPr>
          <w:ilvl w:val="0"/>
          <w:numId w:val="12"/>
        </w:numPr>
        <w:jc w:val="both"/>
        <w:rPr>
          <w:color w:val="404040"/>
        </w:rPr>
      </w:pPr>
      <w:r w:rsidRPr="00696889">
        <w:rPr>
          <w:color w:val="404040"/>
        </w:rPr>
        <w:t xml:space="preserve">providing a </w:t>
      </w:r>
      <w:r w:rsidR="0051480A">
        <w:rPr>
          <w:color w:val="404040"/>
        </w:rPr>
        <w:t>focus for access to support</w:t>
      </w:r>
    </w:p>
    <w:p w:rsidR="0051480A" w:rsidRDefault="002F341A" w:rsidP="00696889">
      <w:pPr>
        <w:pStyle w:val="ListParagraph"/>
        <w:numPr>
          <w:ilvl w:val="0"/>
          <w:numId w:val="12"/>
        </w:numPr>
        <w:jc w:val="both"/>
        <w:rPr>
          <w:color w:val="404040"/>
        </w:rPr>
      </w:pPr>
      <w:r w:rsidRPr="00696889">
        <w:rPr>
          <w:color w:val="404040"/>
        </w:rPr>
        <w:t xml:space="preserve">providing </w:t>
      </w:r>
      <w:r w:rsidR="00401B5D">
        <w:rPr>
          <w:color w:val="404040"/>
        </w:rPr>
        <w:t xml:space="preserve">relevant support, </w:t>
      </w:r>
      <w:r w:rsidR="0051480A">
        <w:rPr>
          <w:color w:val="404040"/>
        </w:rPr>
        <w:t>programmes</w:t>
      </w:r>
      <w:r w:rsidR="00401B5D">
        <w:rPr>
          <w:color w:val="404040"/>
        </w:rPr>
        <w:t xml:space="preserve"> and networking</w:t>
      </w:r>
    </w:p>
    <w:p w:rsidR="00401B5D" w:rsidRDefault="00401B5D" w:rsidP="00696889">
      <w:pPr>
        <w:pStyle w:val="ListParagraph"/>
        <w:numPr>
          <w:ilvl w:val="0"/>
          <w:numId w:val="12"/>
        </w:numPr>
        <w:jc w:val="both"/>
        <w:rPr>
          <w:color w:val="404040"/>
        </w:rPr>
      </w:pPr>
      <w:r>
        <w:rPr>
          <w:color w:val="404040"/>
        </w:rPr>
        <w:t xml:space="preserve">offering subsidies towards private sector consultancy </w:t>
      </w:r>
    </w:p>
    <w:p w:rsidR="002F341A" w:rsidRPr="00696889" w:rsidRDefault="002F341A" w:rsidP="00696889">
      <w:pPr>
        <w:pStyle w:val="ListParagraph"/>
        <w:numPr>
          <w:ilvl w:val="0"/>
          <w:numId w:val="12"/>
        </w:numPr>
        <w:jc w:val="both"/>
        <w:rPr>
          <w:color w:val="404040"/>
        </w:rPr>
      </w:pPr>
      <w:r w:rsidRPr="00696889">
        <w:rPr>
          <w:color w:val="404040"/>
        </w:rPr>
        <w:t>complementing and refer</w:t>
      </w:r>
      <w:r w:rsidR="0051480A">
        <w:rPr>
          <w:color w:val="404040"/>
        </w:rPr>
        <w:t>ring into other funded, subsidised and paid for support</w:t>
      </w:r>
    </w:p>
    <w:p w:rsidR="0051480A" w:rsidRDefault="0051480A" w:rsidP="0022639F">
      <w:pPr>
        <w:jc w:val="both"/>
        <w:rPr>
          <w:rFonts w:cs="Calibri"/>
          <w:color w:val="404040" w:themeColor="text1" w:themeTint="BF"/>
        </w:rPr>
      </w:pPr>
      <w:r>
        <w:rPr>
          <w:rFonts w:cs="Calibri"/>
          <w:color w:val="404040" w:themeColor="text1" w:themeTint="BF"/>
        </w:rPr>
        <w:t xml:space="preserve">Support on offer throughout Cumbria encompasses </w:t>
      </w:r>
      <w:r w:rsidR="0022639F" w:rsidRPr="00331903">
        <w:rPr>
          <w:rFonts w:cs="Calibri"/>
          <w:color w:val="404040" w:themeColor="text1" w:themeTint="BF"/>
        </w:rPr>
        <w:t>online, face</w:t>
      </w:r>
      <w:r>
        <w:rPr>
          <w:rFonts w:cs="Calibri"/>
          <w:color w:val="404040" w:themeColor="text1" w:themeTint="BF"/>
        </w:rPr>
        <w:t xml:space="preserve">-to-face and telephone activity, providing information and more intensive packages of support. </w:t>
      </w:r>
    </w:p>
    <w:p w:rsidR="0022639F" w:rsidRPr="00331903" w:rsidRDefault="0051480A" w:rsidP="0022639F">
      <w:pPr>
        <w:jc w:val="both"/>
        <w:rPr>
          <w:rFonts w:cs="Calibri"/>
          <w:color w:val="404040" w:themeColor="text1" w:themeTint="BF"/>
        </w:rPr>
      </w:pPr>
      <w:r>
        <w:rPr>
          <w:rFonts w:cs="Calibri"/>
          <w:color w:val="404040" w:themeColor="text1" w:themeTint="BF"/>
        </w:rPr>
        <w:t xml:space="preserve">Packages of </w:t>
      </w:r>
      <w:r w:rsidR="0022639F" w:rsidRPr="00331903">
        <w:rPr>
          <w:rFonts w:cs="Calibri"/>
          <w:color w:val="404040" w:themeColor="text1" w:themeTint="BF"/>
        </w:rPr>
        <w:t xml:space="preserve">support for each individual client </w:t>
      </w:r>
      <w:r>
        <w:rPr>
          <w:rFonts w:cs="Calibri"/>
          <w:color w:val="404040" w:themeColor="text1" w:themeTint="BF"/>
        </w:rPr>
        <w:t xml:space="preserve">are </w:t>
      </w:r>
      <w:r w:rsidR="0022639F" w:rsidRPr="00331903">
        <w:rPr>
          <w:rFonts w:cs="Calibri"/>
          <w:color w:val="404040" w:themeColor="text1" w:themeTint="BF"/>
        </w:rPr>
        <w:t xml:space="preserve">based on a review and action plan and built around their individual needs, drawing on a range of support available within and outwith the project. </w:t>
      </w:r>
    </w:p>
    <w:p w:rsidR="002F341A" w:rsidRPr="00F80D6E" w:rsidRDefault="002F341A" w:rsidP="002F341A">
      <w:pPr>
        <w:jc w:val="both"/>
        <w:rPr>
          <w:color w:val="404040"/>
        </w:rPr>
      </w:pPr>
      <w:r>
        <w:rPr>
          <w:color w:val="404040"/>
        </w:rPr>
        <w:t>Central to activities</w:t>
      </w:r>
      <w:r w:rsidR="0051480A">
        <w:rPr>
          <w:color w:val="404040"/>
        </w:rPr>
        <w:t xml:space="preserve"> is an interactive w</w:t>
      </w:r>
      <w:r w:rsidR="0022639F">
        <w:rPr>
          <w:color w:val="404040"/>
        </w:rPr>
        <w:t>eb portal</w:t>
      </w:r>
      <w:r w:rsidR="0051480A">
        <w:rPr>
          <w:color w:val="404040"/>
        </w:rPr>
        <w:t xml:space="preserve">, </w:t>
      </w:r>
      <w:hyperlink r:id="rId7" w:history="1">
        <w:r w:rsidR="0051480A" w:rsidRPr="00A7372C">
          <w:rPr>
            <w:rStyle w:val="Hyperlink"/>
          </w:rPr>
          <w:t>www.cumbriagrowthhub.co.uk</w:t>
        </w:r>
      </w:hyperlink>
      <w:r w:rsidR="0051480A">
        <w:rPr>
          <w:color w:val="404040"/>
        </w:rPr>
        <w:t xml:space="preserve">, </w:t>
      </w:r>
      <w:r w:rsidRPr="00F80D6E">
        <w:rPr>
          <w:color w:val="404040"/>
        </w:rPr>
        <w:t>th</w:t>
      </w:r>
      <w:r w:rsidR="0051480A">
        <w:rPr>
          <w:color w:val="404040"/>
        </w:rPr>
        <w:t xml:space="preserve">at </w:t>
      </w:r>
      <w:r w:rsidRPr="00F80D6E">
        <w:rPr>
          <w:color w:val="404040"/>
        </w:rPr>
        <w:t>bring</w:t>
      </w:r>
      <w:r w:rsidR="0051480A">
        <w:rPr>
          <w:color w:val="404040"/>
        </w:rPr>
        <w:t>s</w:t>
      </w:r>
      <w:r w:rsidRPr="00F80D6E">
        <w:rPr>
          <w:color w:val="404040"/>
        </w:rPr>
        <w:t xml:space="preserve"> together and promote</w:t>
      </w:r>
      <w:r w:rsidR="0051480A">
        <w:rPr>
          <w:color w:val="404040"/>
        </w:rPr>
        <w:t>s</w:t>
      </w:r>
      <w:r w:rsidRPr="00F80D6E">
        <w:rPr>
          <w:color w:val="404040"/>
        </w:rPr>
        <w:t xml:space="preserve"> the range of information, suppor</w:t>
      </w:r>
      <w:r w:rsidR="0051480A">
        <w:rPr>
          <w:color w:val="404040"/>
        </w:rPr>
        <w:t>t and opportunities (funded, subsidised and paid for)</w:t>
      </w:r>
      <w:r w:rsidRPr="00F80D6E">
        <w:rPr>
          <w:color w:val="404040"/>
        </w:rPr>
        <w:t xml:space="preserve"> relevant to </w:t>
      </w:r>
      <w:r w:rsidR="0022639F">
        <w:rPr>
          <w:color w:val="404040"/>
        </w:rPr>
        <w:t xml:space="preserve">business </w:t>
      </w:r>
      <w:r w:rsidRPr="00F80D6E">
        <w:rPr>
          <w:color w:val="404040"/>
        </w:rPr>
        <w:t xml:space="preserve">growth </w:t>
      </w:r>
      <w:r w:rsidR="0022639F">
        <w:rPr>
          <w:color w:val="404040"/>
        </w:rPr>
        <w:t>and incorporate</w:t>
      </w:r>
      <w:r w:rsidR="0051480A">
        <w:rPr>
          <w:color w:val="404040"/>
        </w:rPr>
        <w:t>s</w:t>
      </w:r>
      <w:r w:rsidR="0022639F">
        <w:rPr>
          <w:color w:val="404040"/>
        </w:rPr>
        <w:t xml:space="preserve"> online tools, support and forums. </w:t>
      </w:r>
      <w:r w:rsidR="0051480A">
        <w:rPr>
          <w:color w:val="404040"/>
        </w:rPr>
        <w:t>The p</w:t>
      </w:r>
      <w:r w:rsidR="0022639F">
        <w:rPr>
          <w:color w:val="404040"/>
        </w:rPr>
        <w:t>ortal</w:t>
      </w:r>
      <w:r w:rsidR="0051480A">
        <w:rPr>
          <w:color w:val="404040"/>
        </w:rPr>
        <w:t xml:space="preserve"> makes</w:t>
      </w:r>
      <w:r w:rsidR="0022639F">
        <w:rPr>
          <w:color w:val="404040"/>
        </w:rPr>
        <w:t xml:space="preserve"> innovative use of new and emerging technologies to provide a range of </w:t>
      </w:r>
      <w:r w:rsidR="00E8249F">
        <w:rPr>
          <w:color w:val="404040"/>
        </w:rPr>
        <w:t>networking</w:t>
      </w:r>
      <w:r w:rsidR="0022639F">
        <w:rPr>
          <w:color w:val="404040"/>
        </w:rPr>
        <w:t xml:space="preserve">, </w:t>
      </w:r>
      <w:r w:rsidR="00E8249F">
        <w:rPr>
          <w:color w:val="404040"/>
        </w:rPr>
        <w:t>collaboration</w:t>
      </w:r>
      <w:r w:rsidR="0022639F">
        <w:rPr>
          <w:color w:val="404040"/>
        </w:rPr>
        <w:t>, information dissemination and learning</w:t>
      </w:r>
      <w:r w:rsidR="00E8249F">
        <w:rPr>
          <w:color w:val="404040"/>
        </w:rPr>
        <w:t xml:space="preserve"> products and services utilising, for example, smartphones, iPads, Twitter, social media technologies, videoconferencing and virtual classrooms.</w:t>
      </w:r>
    </w:p>
    <w:p w:rsidR="00874607" w:rsidRPr="00924CA2" w:rsidRDefault="00E91DDE" w:rsidP="005761BF">
      <w:pPr>
        <w:jc w:val="both"/>
        <w:rPr>
          <w:b/>
          <w:color w:val="262626" w:themeColor="text1" w:themeTint="D9"/>
        </w:rPr>
      </w:pPr>
      <w:r w:rsidRPr="00924CA2">
        <w:rPr>
          <w:b/>
          <w:color w:val="262626" w:themeColor="text1" w:themeTint="D9"/>
        </w:rPr>
        <w:t>What we are looking to procure</w:t>
      </w:r>
    </w:p>
    <w:p w:rsidR="00E8567E" w:rsidRPr="00924CA2" w:rsidRDefault="00E8567E" w:rsidP="002E3E81">
      <w:pPr>
        <w:jc w:val="both"/>
        <w:rPr>
          <w:color w:val="262626" w:themeColor="text1" w:themeTint="D9"/>
        </w:rPr>
      </w:pPr>
      <w:r w:rsidRPr="00924CA2">
        <w:rPr>
          <w:color w:val="262626" w:themeColor="text1" w:themeTint="D9"/>
        </w:rPr>
        <w:t>We are looking to procure t</w:t>
      </w:r>
      <w:r w:rsidR="002E3E81" w:rsidRPr="00924CA2">
        <w:rPr>
          <w:color w:val="262626" w:themeColor="text1" w:themeTint="D9"/>
        </w:rPr>
        <w:t xml:space="preserve">he production of a </w:t>
      </w:r>
      <w:r w:rsidRPr="00924CA2">
        <w:rPr>
          <w:color w:val="262626" w:themeColor="text1" w:themeTint="D9"/>
        </w:rPr>
        <w:t xml:space="preserve">B2B magazine, </w:t>
      </w:r>
      <w:r w:rsidR="002E3E81" w:rsidRPr="00924CA2">
        <w:rPr>
          <w:color w:val="262626" w:themeColor="text1" w:themeTint="D9"/>
        </w:rPr>
        <w:t xml:space="preserve">ideally quarterly, </w:t>
      </w:r>
      <w:r w:rsidRPr="00924CA2">
        <w:rPr>
          <w:color w:val="262626" w:themeColor="text1" w:themeTint="D9"/>
        </w:rPr>
        <w:t xml:space="preserve">focussing on business growth and Cumbria Business Growth Hub </w:t>
      </w:r>
      <w:r w:rsidR="000D799C" w:rsidRPr="00924CA2">
        <w:rPr>
          <w:color w:val="262626" w:themeColor="text1" w:themeTint="D9"/>
        </w:rPr>
        <w:t>activities</w:t>
      </w:r>
      <w:r w:rsidRPr="00924CA2">
        <w:rPr>
          <w:color w:val="262626" w:themeColor="text1" w:themeTint="D9"/>
        </w:rPr>
        <w:t>. The supplier would be expected to design the magazine, produce copy (in liaison with the Growth Hub team and other stakeholders) and a</w:t>
      </w:r>
      <w:r w:rsidR="002E3E81" w:rsidRPr="00924CA2">
        <w:rPr>
          <w:color w:val="262626" w:themeColor="text1" w:themeTint="D9"/>
        </w:rPr>
        <w:t xml:space="preserve">rrange printing and potentially </w:t>
      </w:r>
      <w:r w:rsidRPr="00924CA2">
        <w:rPr>
          <w:color w:val="262626" w:themeColor="text1" w:themeTint="D9"/>
        </w:rPr>
        <w:t xml:space="preserve">distribution. </w:t>
      </w:r>
    </w:p>
    <w:p w:rsidR="002E3E81" w:rsidRPr="00924CA2" w:rsidRDefault="002E3E81" w:rsidP="002E3E81">
      <w:pPr>
        <w:jc w:val="both"/>
        <w:rPr>
          <w:color w:val="262626" w:themeColor="text1" w:themeTint="D9"/>
        </w:rPr>
      </w:pPr>
      <w:r w:rsidRPr="00924CA2">
        <w:rPr>
          <w:color w:val="262626" w:themeColor="text1" w:themeTint="D9"/>
        </w:rPr>
        <w:t xml:space="preserve">We will consider either a specific Growth Hub magazine or sponsorship of a wider magazine including specific Growth Hub </w:t>
      </w:r>
      <w:r w:rsidR="00872B8F" w:rsidRPr="00924CA2">
        <w:rPr>
          <w:color w:val="262626" w:themeColor="text1" w:themeTint="D9"/>
        </w:rPr>
        <w:t>coverage plus</w:t>
      </w:r>
      <w:r w:rsidRPr="00924CA2">
        <w:rPr>
          <w:color w:val="262626" w:themeColor="text1" w:themeTint="D9"/>
        </w:rPr>
        <w:t xml:space="preserve"> editorial and design input into the wider magazine.</w:t>
      </w:r>
    </w:p>
    <w:p w:rsidR="00872B8F" w:rsidRPr="00924CA2" w:rsidRDefault="00872B8F" w:rsidP="005761BF">
      <w:pPr>
        <w:jc w:val="both"/>
        <w:rPr>
          <w:b/>
          <w:color w:val="262626" w:themeColor="text1" w:themeTint="D9"/>
        </w:rPr>
      </w:pPr>
    </w:p>
    <w:p w:rsidR="00C22B42" w:rsidRPr="00924CA2" w:rsidRDefault="00874607" w:rsidP="005761BF">
      <w:pPr>
        <w:jc w:val="both"/>
        <w:rPr>
          <w:b/>
          <w:color w:val="262626" w:themeColor="text1" w:themeTint="D9"/>
        </w:rPr>
      </w:pPr>
      <w:r w:rsidRPr="00924CA2">
        <w:rPr>
          <w:b/>
          <w:color w:val="262626" w:themeColor="text1" w:themeTint="D9"/>
        </w:rPr>
        <w:t>Information required</w:t>
      </w:r>
    </w:p>
    <w:p w:rsidR="00E8567E" w:rsidRPr="00924CA2" w:rsidRDefault="00E8567E" w:rsidP="005761BF">
      <w:pPr>
        <w:jc w:val="both"/>
        <w:rPr>
          <w:b/>
          <w:color w:val="262626" w:themeColor="text1" w:themeTint="D9"/>
        </w:rPr>
      </w:pPr>
      <w:r w:rsidRPr="00924CA2">
        <w:rPr>
          <w:color w:val="262626" w:themeColor="text1" w:themeTint="D9"/>
        </w:rPr>
        <w:t>We require you to pro</w:t>
      </w:r>
      <w:r w:rsidR="007D5019">
        <w:rPr>
          <w:color w:val="262626" w:themeColor="text1" w:themeTint="D9"/>
        </w:rPr>
        <w:t>v</w:t>
      </w:r>
      <w:r w:rsidRPr="00924CA2">
        <w:rPr>
          <w:color w:val="262626" w:themeColor="text1" w:themeTint="D9"/>
        </w:rPr>
        <w:t xml:space="preserve">ide the </w:t>
      </w:r>
      <w:r w:rsidR="007D5019">
        <w:rPr>
          <w:color w:val="262626" w:themeColor="text1" w:themeTint="D9"/>
        </w:rPr>
        <w:t>f</w:t>
      </w:r>
      <w:r w:rsidRPr="00924CA2">
        <w:rPr>
          <w:color w:val="262626" w:themeColor="text1" w:themeTint="D9"/>
        </w:rPr>
        <w:t>ollowing information:</w:t>
      </w:r>
    </w:p>
    <w:p w:rsidR="00E8567E" w:rsidRPr="00924CA2" w:rsidRDefault="00E8567E" w:rsidP="00E8567E">
      <w:pPr>
        <w:pStyle w:val="ListParagraph"/>
        <w:numPr>
          <w:ilvl w:val="0"/>
          <w:numId w:val="2"/>
        </w:numPr>
        <w:jc w:val="both"/>
        <w:rPr>
          <w:color w:val="262626" w:themeColor="text1" w:themeTint="D9"/>
        </w:rPr>
      </w:pPr>
      <w:r w:rsidRPr="00924CA2">
        <w:rPr>
          <w:color w:val="262626" w:themeColor="text1" w:themeTint="D9"/>
        </w:rPr>
        <w:t>Track record and experience of B2B magazine design and production</w:t>
      </w:r>
      <w:r w:rsidR="000D799C" w:rsidRPr="00924CA2">
        <w:rPr>
          <w:color w:val="262626" w:themeColor="text1" w:themeTint="D9"/>
        </w:rPr>
        <w:t>, providing examples of pre</w:t>
      </w:r>
      <w:r w:rsidR="008A4342" w:rsidRPr="00924CA2">
        <w:rPr>
          <w:color w:val="262626" w:themeColor="text1" w:themeTint="D9"/>
        </w:rPr>
        <w:t>vious work which demonstrates your</w:t>
      </w:r>
      <w:r w:rsidR="000D799C" w:rsidRPr="00924CA2">
        <w:rPr>
          <w:color w:val="262626" w:themeColor="text1" w:themeTint="D9"/>
        </w:rPr>
        <w:t xml:space="preserve"> approach and rationale to developing a B2B magazine against a client brief</w:t>
      </w:r>
    </w:p>
    <w:p w:rsidR="00E8567E" w:rsidRPr="00924CA2" w:rsidRDefault="00E8567E" w:rsidP="00E8567E">
      <w:pPr>
        <w:pStyle w:val="ListParagraph"/>
        <w:numPr>
          <w:ilvl w:val="0"/>
          <w:numId w:val="2"/>
        </w:numPr>
        <w:jc w:val="both"/>
        <w:rPr>
          <w:color w:val="262626" w:themeColor="text1" w:themeTint="D9"/>
        </w:rPr>
      </w:pPr>
      <w:r w:rsidRPr="00924CA2">
        <w:rPr>
          <w:color w:val="262626" w:themeColor="text1" w:themeTint="D9"/>
        </w:rPr>
        <w:t xml:space="preserve">A minimum of two </w:t>
      </w:r>
      <w:r w:rsidR="008A4342" w:rsidRPr="00924CA2">
        <w:rPr>
          <w:color w:val="262626" w:themeColor="text1" w:themeTint="D9"/>
        </w:rPr>
        <w:t xml:space="preserve">relevant </w:t>
      </w:r>
      <w:r w:rsidRPr="00924CA2">
        <w:rPr>
          <w:color w:val="262626" w:themeColor="text1" w:themeTint="D9"/>
        </w:rPr>
        <w:t>references</w:t>
      </w:r>
    </w:p>
    <w:p w:rsidR="00E8567E" w:rsidRPr="00924CA2" w:rsidRDefault="00E8567E" w:rsidP="00E8567E">
      <w:pPr>
        <w:pStyle w:val="ListParagraph"/>
        <w:numPr>
          <w:ilvl w:val="0"/>
          <w:numId w:val="2"/>
        </w:numPr>
        <w:jc w:val="both"/>
        <w:rPr>
          <w:color w:val="262626" w:themeColor="text1" w:themeTint="D9"/>
        </w:rPr>
      </w:pPr>
      <w:r w:rsidRPr="00924CA2">
        <w:rPr>
          <w:color w:val="262626" w:themeColor="text1" w:themeTint="D9"/>
        </w:rPr>
        <w:t xml:space="preserve">An </w:t>
      </w:r>
      <w:r w:rsidR="008A4342" w:rsidRPr="00924CA2">
        <w:rPr>
          <w:color w:val="262626" w:themeColor="text1" w:themeTint="D9"/>
        </w:rPr>
        <w:t>outline of your staffing levels and relevant</w:t>
      </w:r>
      <w:r w:rsidRPr="00924CA2">
        <w:rPr>
          <w:color w:val="262626" w:themeColor="text1" w:themeTint="D9"/>
        </w:rPr>
        <w:t xml:space="preserve"> experience and skills</w:t>
      </w:r>
    </w:p>
    <w:p w:rsidR="00E8567E" w:rsidRPr="00924CA2" w:rsidRDefault="00E8567E" w:rsidP="00E8567E">
      <w:pPr>
        <w:pStyle w:val="ListParagraph"/>
        <w:numPr>
          <w:ilvl w:val="0"/>
          <w:numId w:val="2"/>
        </w:numPr>
        <w:jc w:val="both"/>
        <w:rPr>
          <w:color w:val="262626" w:themeColor="text1" w:themeTint="D9"/>
        </w:rPr>
      </w:pPr>
      <w:r w:rsidRPr="00924CA2">
        <w:rPr>
          <w:color w:val="262626" w:themeColor="text1" w:themeTint="D9"/>
        </w:rPr>
        <w:t>Confirmation of your financial stability and capacity to undertake this activity, including your last three years audited accounts</w:t>
      </w:r>
    </w:p>
    <w:p w:rsidR="00E8567E" w:rsidRDefault="00E8567E" w:rsidP="00E8567E">
      <w:pPr>
        <w:pStyle w:val="ListParagraph"/>
        <w:numPr>
          <w:ilvl w:val="0"/>
          <w:numId w:val="2"/>
        </w:numPr>
        <w:jc w:val="both"/>
        <w:rPr>
          <w:color w:val="262626" w:themeColor="text1" w:themeTint="D9"/>
        </w:rPr>
      </w:pPr>
      <w:r w:rsidRPr="00924CA2">
        <w:rPr>
          <w:color w:val="262626" w:themeColor="text1" w:themeTint="D9"/>
        </w:rPr>
        <w:t xml:space="preserve">An explanation of your project management processes, including risk management, and how you would propose to manage the </w:t>
      </w:r>
      <w:r w:rsidR="008A4342" w:rsidRPr="00924CA2">
        <w:rPr>
          <w:color w:val="262626" w:themeColor="text1" w:themeTint="D9"/>
        </w:rPr>
        <w:t xml:space="preserve">activity </w:t>
      </w:r>
      <w:r w:rsidRPr="00924CA2">
        <w:rPr>
          <w:color w:val="262626" w:themeColor="text1" w:themeTint="D9"/>
        </w:rPr>
        <w:t>for which you are bidding</w:t>
      </w:r>
    </w:p>
    <w:p w:rsidR="00FF1EE1" w:rsidRDefault="00FF1EE1" w:rsidP="00E8567E">
      <w:pPr>
        <w:pStyle w:val="ListParagraph"/>
        <w:numPr>
          <w:ilvl w:val="0"/>
          <w:numId w:val="2"/>
        </w:numPr>
        <w:jc w:val="both"/>
        <w:rPr>
          <w:color w:val="262626" w:themeColor="text1" w:themeTint="D9"/>
        </w:rPr>
      </w:pPr>
      <w:r>
        <w:rPr>
          <w:color w:val="262626" w:themeColor="text1" w:themeTint="D9"/>
        </w:rPr>
        <w:t>Cost per issue and clarification of what this would cover and proposed frequency of publication</w:t>
      </w:r>
    </w:p>
    <w:p w:rsidR="00FF1EE1" w:rsidRDefault="00FF1EE1" w:rsidP="00E8567E">
      <w:pPr>
        <w:pStyle w:val="ListParagraph"/>
        <w:numPr>
          <w:ilvl w:val="0"/>
          <w:numId w:val="2"/>
        </w:numPr>
        <w:jc w:val="both"/>
        <w:rPr>
          <w:color w:val="262626" w:themeColor="text1" w:themeTint="D9"/>
        </w:rPr>
      </w:pPr>
      <w:r>
        <w:rPr>
          <w:color w:val="262626" w:themeColor="text1" w:themeTint="D9"/>
        </w:rPr>
        <w:t>Proposals for the type of content for the Growth Hub magazine or for the Growth Hub coverage and wider magazine as appropriate, with clarification of the extent of our editorial input</w:t>
      </w:r>
    </w:p>
    <w:p w:rsidR="00B869D5" w:rsidRDefault="00B869D5" w:rsidP="00E8567E">
      <w:pPr>
        <w:pStyle w:val="ListParagraph"/>
        <w:numPr>
          <w:ilvl w:val="0"/>
          <w:numId w:val="2"/>
        </w:numPr>
        <w:jc w:val="both"/>
        <w:rPr>
          <w:color w:val="262626" w:themeColor="text1" w:themeTint="D9"/>
        </w:rPr>
      </w:pPr>
      <w:r>
        <w:rPr>
          <w:color w:val="262626" w:themeColor="text1" w:themeTint="D9"/>
        </w:rPr>
        <w:t xml:space="preserve">Any other contracts you hold or activities you undertake which involve or could lead to conflict of interest with this proposed contract or wider Chamber activities (see </w:t>
      </w:r>
      <w:hyperlink r:id="rId8" w:history="1">
        <w:r w:rsidRPr="00FB148A">
          <w:rPr>
            <w:rStyle w:val="Hyperlink"/>
          </w:rPr>
          <w:t>www.cumbriachamber.co.uk</w:t>
        </w:r>
      </w:hyperlink>
      <w:r>
        <w:rPr>
          <w:color w:val="262626" w:themeColor="text1" w:themeTint="D9"/>
        </w:rPr>
        <w:t xml:space="preserve"> and </w:t>
      </w:r>
      <w:hyperlink r:id="rId9" w:history="1">
        <w:r w:rsidRPr="00FB148A">
          <w:rPr>
            <w:rStyle w:val="Hyperlink"/>
          </w:rPr>
          <w:t>www.cumbriagrowthhub.co.uk</w:t>
        </w:r>
      </w:hyperlink>
      <w:r>
        <w:rPr>
          <w:color w:val="262626" w:themeColor="text1" w:themeTint="D9"/>
        </w:rPr>
        <w:t>)</w:t>
      </w:r>
    </w:p>
    <w:p w:rsidR="00FF1EE1" w:rsidRPr="00FF1EE1" w:rsidRDefault="00FF1EE1" w:rsidP="00FF1EE1">
      <w:pPr>
        <w:jc w:val="both"/>
        <w:rPr>
          <w:color w:val="262626" w:themeColor="text1" w:themeTint="D9"/>
        </w:rPr>
      </w:pPr>
      <w:r>
        <w:rPr>
          <w:color w:val="262626" w:themeColor="text1" w:themeTint="D9"/>
        </w:rPr>
        <w:t>Where relevant we will take into account past performance on work with us.</w:t>
      </w:r>
    </w:p>
    <w:p w:rsidR="007D5019" w:rsidRDefault="007D5019" w:rsidP="005761BF">
      <w:pPr>
        <w:jc w:val="both"/>
        <w:rPr>
          <w:b/>
          <w:color w:val="262626" w:themeColor="text1" w:themeTint="D9"/>
        </w:rPr>
      </w:pPr>
      <w:r>
        <w:rPr>
          <w:b/>
          <w:color w:val="262626" w:themeColor="text1" w:themeTint="D9"/>
        </w:rPr>
        <w:t>Criteria</w:t>
      </w:r>
    </w:p>
    <w:p w:rsidR="00FE09B7" w:rsidRPr="00FE09B7" w:rsidRDefault="00FE09B7" w:rsidP="005761BF">
      <w:pPr>
        <w:jc w:val="both"/>
      </w:pPr>
      <w:r w:rsidRPr="00FE09B7">
        <w:t>Where we believe there is a conflict of interest we reserve the right not to mark your tender and not to award the contract to you.</w:t>
      </w:r>
    </w:p>
    <w:p w:rsidR="007D5019" w:rsidRPr="00FF1EE1" w:rsidRDefault="00FF1EE1" w:rsidP="005761BF">
      <w:pPr>
        <w:jc w:val="both"/>
        <w:rPr>
          <w:b/>
        </w:rPr>
      </w:pPr>
      <w:r>
        <w:t xml:space="preserve">Tenders will be </w:t>
      </w:r>
      <w:r w:rsidRPr="00FF1EE1">
        <w:t>marked as follows:</w:t>
      </w:r>
    </w:p>
    <w:tbl>
      <w:tblPr>
        <w:tblStyle w:val="TableGrid"/>
        <w:tblW w:w="0" w:type="auto"/>
        <w:tblLook w:val="04A0" w:firstRow="1" w:lastRow="0" w:firstColumn="1" w:lastColumn="0" w:noHBand="0" w:noVBand="1"/>
      </w:tblPr>
      <w:tblGrid>
        <w:gridCol w:w="3005"/>
        <w:gridCol w:w="4787"/>
        <w:gridCol w:w="1224"/>
      </w:tblGrid>
      <w:tr w:rsidR="00FF1EE1" w:rsidRPr="00FF1EE1" w:rsidTr="00B869D5">
        <w:tc>
          <w:tcPr>
            <w:tcW w:w="3005" w:type="dxa"/>
          </w:tcPr>
          <w:p w:rsidR="00FF1EE1" w:rsidRPr="00FF1EE1" w:rsidRDefault="00FF1EE1" w:rsidP="005761BF">
            <w:pPr>
              <w:jc w:val="both"/>
              <w:rPr>
                <w:b/>
              </w:rPr>
            </w:pPr>
            <w:r w:rsidRPr="00FF1EE1">
              <w:rPr>
                <w:b/>
              </w:rPr>
              <w:t>Criteria</w:t>
            </w:r>
          </w:p>
        </w:tc>
        <w:tc>
          <w:tcPr>
            <w:tcW w:w="4787" w:type="dxa"/>
          </w:tcPr>
          <w:p w:rsidR="00FF1EE1" w:rsidRPr="00FF1EE1" w:rsidRDefault="00FF1EE1" w:rsidP="005761BF">
            <w:pPr>
              <w:jc w:val="both"/>
              <w:rPr>
                <w:b/>
              </w:rPr>
            </w:pPr>
            <w:r w:rsidRPr="00FF1EE1">
              <w:rPr>
                <w:b/>
              </w:rPr>
              <w:t>Which elements of your proposal we will look at</w:t>
            </w:r>
          </w:p>
        </w:tc>
        <w:tc>
          <w:tcPr>
            <w:tcW w:w="1224" w:type="dxa"/>
          </w:tcPr>
          <w:p w:rsidR="00FF1EE1" w:rsidRPr="00FF1EE1" w:rsidRDefault="00FF1EE1" w:rsidP="005761BF">
            <w:pPr>
              <w:jc w:val="both"/>
              <w:rPr>
                <w:b/>
              </w:rPr>
            </w:pPr>
            <w:r w:rsidRPr="00FF1EE1">
              <w:rPr>
                <w:b/>
              </w:rPr>
              <w:t>Weighting</w:t>
            </w:r>
          </w:p>
        </w:tc>
      </w:tr>
      <w:tr w:rsidR="00FF1EE1" w:rsidTr="00B869D5">
        <w:tc>
          <w:tcPr>
            <w:tcW w:w="3005" w:type="dxa"/>
          </w:tcPr>
          <w:p w:rsidR="00FF1EE1" w:rsidRDefault="00FF1EE1" w:rsidP="00B869D5">
            <w:r>
              <w:t>Relevant track record, experience and expertise</w:t>
            </w:r>
          </w:p>
        </w:tc>
        <w:tc>
          <w:tcPr>
            <w:tcW w:w="4787" w:type="dxa"/>
          </w:tcPr>
          <w:p w:rsidR="00FF1EE1" w:rsidRDefault="00FF1EE1" w:rsidP="00FE09B7">
            <w:pPr>
              <w:jc w:val="both"/>
            </w:pPr>
            <w:r>
              <w:t>Response on track record; refer</w:t>
            </w:r>
            <w:r w:rsidR="00FE09B7">
              <w:t>ences; response on staffing; any previous experience we have of working with you</w:t>
            </w:r>
          </w:p>
        </w:tc>
        <w:tc>
          <w:tcPr>
            <w:tcW w:w="1224" w:type="dxa"/>
          </w:tcPr>
          <w:p w:rsidR="00FF1EE1" w:rsidRDefault="00FE09B7" w:rsidP="005761BF">
            <w:pPr>
              <w:jc w:val="both"/>
            </w:pPr>
            <w:r>
              <w:t>40</w:t>
            </w:r>
          </w:p>
        </w:tc>
      </w:tr>
      <w:tr w:rsidR="00FF1EE1" w:rsidTr="00B869D5">
        <w:tc>
          <w:tcPr>
            <w:tcW w:w="3005" w:type="dxa"/>
          </w:tcPr>
          <w:p w:rsidR="00FF1EE1" w:rsidRDefault="00FF1EE1" w:rsidP="00B869D5">
            <w:r>
              <w:t>Staffing levels and financial stability</w:t>
            </w:r>
          </w:p>
        </w:tc>
        <w:tc>
          <w:tcPr>
            <w:tcW w:w="4787" w:type="dxa"/>
          </w:tcPr>
          <w:p w:rsidR="00FF1EE1" w:rsidRDefault="00FF1EE1" w:rsidP="005761BF">
            <w:pPr>
              <w:jc w:val="both"/>
            </w:pPr>
            <w:r>
              <w:t>Response on staffing; response on financial stability, including last 3 years’ accounts</w:t>
            </w:r>
          </w:p>
        </w:tc>
        <w:tc>
          <w:tcPr>
            <w:tcW w:w="1224" w:type="dxa"/>
          </w:tcPr>
          <w:p w:rsidR="00FF1EE1" w:rsidRDefault="00FE09B7" w:rsidP="005761BF">
            <w:pPr>
              <w:jc w:val="both"/>
            </w:pPr>
            <w:r>
              <w:t>15</w:t>
            </w:r>
          </w:p>
        </w:tc>
      </w:tr>
      <w:tr w:rsidR="00FF1EE1" w:rsidTr="00B869D5">
        <w:tc>
          <w:tcPr>
            <w:tcW w:w="3005" w:type="dxa"/>
          </w:tcPr>
          <w:p w:rsidR="00FF1EE1" w:rsidRDefault="00FE09B7" w:rsidP="005761BF">
            <w:pPr>
              <w:jc w:val="both"/>
            </w:pPr>
            <w:r>
              <w:t>Management processes</w:t>
            </w:r>
          </w:p>
        </w:tc>
        <w:tc>
          <w:tcPr>
            <w:tcW w:w="4787" w:type="dxa"/>
          </w:tcPr>
          <w:p w:rsidR="00FF1EE1" w:rsidRDefault="00FE09B7" w:rsidP="005761BF">
            <w:pPr>
              <w:jc w:val="both"/>
            </w:pPr>
            <w:r>
              <w:t>Responses on management including management of the activity; references; any previous experience we have of working with you</w:t>
            </w:r>
          </w:p>
        </w:tc>
        <w:tc>
          <w:tcPr>
            <w:tcW w:w="1224" w:type="dxa"/>
          </w:tcPr>
          <w:p w:rsidR="00FF1EE1" w:rsidRDefault="00FE09B7" w:rsidP="005761BF">
            <w:pPr>
              <w:jc w:val="both"/>
            </w:pPr>
            <w:r>
              <w:t>10</w:t>
            </w:r>
          </w:p>
        </w:tc>
      </w:tr>
      <w:tr w:rsidR="00FF1EE1" w:rsidTr="00B869D5">
        <w:tc>
          <w:tcPr>
            <w:tcW w:w="3005" w:type="dxa"/>
          </w:tcPr>
          <w:p w:rsidR="00FF1EE1" w:rsidRDefault="00FE09B7" w:rsidP="005761BF">
            <w:pPr>
              <w:jc w:val="both"/>
            </w:pPr>
            <w:r>
              <w:t>Pricing</w:t>
            </w:r>
          </w:p>
        </w:tc>
        <w:tc>
          <w:tcPr>
            <w:tcW w:w="4787" w:type="dxa"/>
          </w:tcPr>
          <w:p w:rsidR="00FF1EE1" w:rsidRDefault="00FE09B7" w:rsidP="005761BF">
            <w:pPr>
              <w:jc w:val="both"/>
            </w:pPr>
            <w:r>
              <w:t>Cost per issue; what it will cover; proposed frequency of publication</w:t>
            </w:r>
          </w:p>
        </w:tc>
        <w:tc>
          <w:tcPr>
            <w:tcW w:w="1224" w:type="dxa"/>
          </w:tcPr>
          <w:p w:rsidR="00FF1EE1" w:rsidRDefault="00FE09B7" w:rsidP="005761BF">
            <w:pPr>
              <w:jc w:val="both"/>
            </w:pPr>
            <w:r>
              <w:t>15</w:t>
            </w:r>
          </w:p>
        </w:tc>
      </w:tr>
      <w:tr w:rsidR="00FF1EE1" w:rsidTr="00B869D5">
        <w:tc>
          <w:tcPr>
            <w:tcW w:w="3005" w:type="dxa"/>
          </w:tcPr>
          <w:p w:rsidR="00FF1EE1" w:rsidRDefault="00FE09B7" w:rsidP="005761BF">
            <w:pPr>
              <w:jc w:val="both"/>
            </w:pPr>
            <w:r>
              <w:t>Proposed content</w:t>
            </w:r>
          </w:p>
        </w:tc>
        <w:tc>
          <w:tcPr>
            <w:tcW w:w="4787" w:type="dxa"/>
          </w:tcPr>
          <w:p w:rsidR="00FF1EE1" w:rsidRDefault="00FE09B7" w:rsidP="005761BF">
            <w:pPr>
              <w:jc w:val="both"/>
            </w:pPr>
            <w:r>
              <w:t>Response on proposed content, including extent of our editorial input</w:t>
            </w:r>
          </w:p>
        </w:tc>
        <w:tc>
          <w:tcPr>
            <w:tcW w:w="1224" w:type="dxa"/>
          </w:tcPr>
          <w:p w:rsidR="00FF1EE1" w:rsidRDefault="00FE09B7" w:rsidP="005761BF">
            <w:pPr>
              <w:jc w:val="both"/>
            </w:pPr>
            <w:r>
              <w:t>20</w:t>
            </w:r>
          </w:p>
        </w:tc>
      </w:tr>
      <w:tr w:rsidR="00FF1EE1" w:rsidTr="00B869D5">
        <w:tc>
          <w:tcPr>
            <w:tcW w:w="3005" w:type="dxa"/>
          </w:tcPr>
          <w:p w:rsidR="00FF1EE1" w:rsidRDefault="00FF1EE1" w:rsidP="005761BF">
            <w:pPr>
              <w:jc w:val="both"/>
            </w:pPr>
          </w:p>
        </w:tc>
        <w:tc>
          <w:tcPr>
            <w:tcW w:w="4787" w:type="dxa"/>
          </w:tcPr>
          <w:p w:rsidR="00FF1EE1" w:rsidRDefault="00FF1EE1" w:rsidP="005761BF">
            <w:pPr>
              <w:jc w:val="both"/>
            </w:pPr>
          </w:p>
        </w:tc>
        <w:tc>
          <w:tcPr>
            <w:tcW w:w="1224" w:type="dxa"/>
          </w:tcPr>
          <w:p w:rsidR="00FF1EE1" w:rsidRDefault="00FE09B7" w:rsidP="005761BF">
            <w:pPr>
              <w:jc w:val="both"/>
            </w:pPr>
            <w:r>
              <w:t>100</w:t>
            </w:r>
          </w:p>
        </w:tc>
      </w:tr>
    </w:tbl>
    <w:p w:rsidR="00FF1EE1" w:rsidRDefault="00FF1EE1" w:rsidP="005761BF">
      <w:pPr>
        <w:jc w:val="both"/>
      </w:pPr>
    </w:p>
    <w:p w:rsidR="00B869D5" w:rsidRPr="00B869D5" w:rsidRDefault="00FE09B7" w:rsidP="00B869D5">
      <w:pPr>
        <w:jc w:val="both"/>
      </w:pPr>
      <w:r>
        <w:lastRenderedPageBreak/>
        <w:t>Marks will be awarded against each as set out in the following tabl</w:t>
      </w:r>
      <w:r w:rsidR="00B869D5">
        <w:t>e, with the score multiplied by the weighting.</w:t>
      </w:r>
    </w:p>
    <w:tbl>
      <w:tblPr>
        <w:tblpPr w:leftFromText="180" w:rightFromText="180" w:vertAnchor="text" w:horzAnchor="margin" w:tblpY="142"/>
        <w:tblW w:w="8997" w:type="dxa"/>
        <w:tblCellMar>
          <w:left w:w="0" w:type="dxa"/>
          <w:right w:w="0" w:type="dxa"/>
        </w:tblCellMar>
        <w:tblLook w:val="04A0" w:firstRow="1" w:lastRow="0" w:firstColumn="1" w:lastColumn="0" w:noHBand="0" w:noVBand="1"/>
      </w:tblPr>
      <w:tblGrid>
        <w:gridCol w:w="1621"/>
        <w:gridCol w:w="1071"/>
        <w:gridCol w:w="6305"/>
      </w:tblGrid>
      <w:tr w:rsidR="00B869D5" w:rsidRPr="00B869D5" w:rsidTr="005F6DE6">
        <w:tc>
          <w:tcPr>
            <w:tcW w:w="1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br w:type="page"/>
              <w:t>Assessment</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Score</w:t>
            </w:r>
          </w:p>
        </w:tc>
        <w:tc>
          <w:tcPr>
            <w:tcW w:w="63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Interpretation</w:t>
            </w:r>
          </w:p>
        </w:tc>
      </w:tr>
      <w:tr w:rsidR="00B869D5" w:rsidRPr="00B869D5" w:rsidTr="005F6DE6">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Pr>
                <w:rFonts w:cs="Arial"/>
              </w:rPr>
              <w:t>Compliance with significant added v</w:t>
            </w:r>
            <w:r w:rsidRPr="00B869D5">
              <w:rPr>
                <w:rFonts w:cs="Arial"/>
              </w:rPr>
              <w:t xml:space="preserve">alue </w:t>
            </w:r>
          </w:p>
          <w:p w:rsidR="00B869D5" w:rsidRPr="00B869D5" w:rsidRDefault="00B869D5" w:rsidP="005F6DE6">
            <w:pPr>
              <w:jc w:val="center"/>
              <w:rPr>
                <w:rFonts w:cs="Arial"/>
              </w:rPr>
            </w:pP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5</w:t>
            </w:r>
          </w:p>
        </w:tc>
        <w:tc>
          <w:tcPr>
            <w:tcW w:w="6305"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rPr>
                <w:rFonts w:cs="Arial"/>
              </w:rPr>
            </w:pPr>
            <w:r w:rsidRPr="00B869D5">
              <w:rPr>
                <w:rFonts w:cs="Arial"/>
              </w:rPr>
              <w:t>Exceeds the requirement.  Exceptional demonstration by the applicant of the relevant ability, understanding, skills, resource and quality measures required to provide the services. Response identifies factors that will offer potential added value, with evidence to support the response.</w:t>
            </w:r>
          </w:p>
        </w:tc>
      </w:tr>
      <w:tr w:rsidR="00B869D5" w:rsidRPr="00B869D5" w:rsidTr="005F6DE6">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Compliance with partial added value</w:t>
            </w:r>
          </w:p>
          <w:p w:rsidR="00B869D5" w:rsidRPr="00B869D5" w:rsidRDefault="00B869D5" w:rsidP="005F6DE6">
            <w:pPr>
              <w:jc w:val="center"/>
              <w:rPr>
                <w:rFonts w:cs="Arial"/>
              </w:rPr>
            </w:pP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4</w:t>
            </w:r>
          </w:p>
        </w:tc>
        <w:tc>
          <w:tcPr>
            <w:tcW w:w="6305"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rPr>
                <w:rFonts w:cs="Arial"/>
              </w:rPr>
            </w:pPr>
            <w:r w:rsidRPr="00B869D5">
              <w:rPr>
                <w:rFonts w:cs="Arial"/>
              </w:rPr>
              <w:t>Satisfies the requirement with minor additional benefits. Above average demonstration by the applicant of the relevant ability, understanding, skills, resource and quality measures required to provide the services. Response identifies factors that will offer potential added value, with evidence to support the response.</w:t>
            </w:r>
          </w:p>
        </w:tc>
      </w:tr>
      <w:tr w:rsidR="00B869D5" w:rsidRPr="00B869D5" w:rsidTr="005F6DE6">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Compliance</w:t>
            </w:r>
          </w:p>
          <w:p w:rsidR="00B869D5" w:rsidRPr="00B869D5" w:rsidRDefault="00B869D5" w:rsidP="005F6DE6">
            <w:pPr>
              <w:jc w:val="center"/>
              <w:rPr>
                <w:rFonts w:cs="Arial"/>
              </w:rPr>
            </w:pP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3</w:t>
            </w:r>
          </w:p>
        </w:tc>
        <w:tc>
          <w:tcPr>
            <w:tcW w:w="6305"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rPr>
                <w:rFonts w:cs="Arial"/>
              </w:rPr>
            </w:pPr>
            <w:r w:rsidRPr="00B869D5">
              <w:rPr>
                <w:rFonts w:cs="Arial"/>
              </w:rPr>
              <w:t>Satisfies the requirement. Demonstration by the applicant of the relevant ability, understanding, skills, and resource and quality measures required to provide the services, with evidence to support the response.</w:t>
            </w:r>
          </w:p>
        </w:tc>
      </w:tr>
      <w:tr w:rsidR="00B869D5" w:rsidRPr="00B869D5" w:rsidTr="005F6DE6">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Pr>
                <w:rFonts w:cs="Arial"/>
              </w:rPr>
              <w:t>Partial c</w:t>
            </w:r>
            <w:r w:rsidRPr="00B869D5">
              <w:rPr>
                <w:rFonts w:cs="Arial"/>
              </w:rPr>
              <w:t>ompliance but conflict in detail</w:t>
            </w:r>
          </w:p>
          <w:p w:rsidR="00B869D5" w:rsidRPr="00B869D5" w:rsidRDefault="00B869D5" w:rsidP="005F6DE6">
            <w:pPr>
              <w:jc w:val="center"/>
              <w:rPr>
                <w:rFonts w:cs="Arial"/>
              </w:rPr>
            </w:pP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2</w:t>
            </w:r>
          </w:p>
        </w:tc>
        <w:tc>
          <w:tcPr>
            <w:tcW w:w="6305"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rPr>
                <w:rFonts w:cs="Arial"/>
              </w:rPr>
            </w:pPr>
            <w:r w:rsidRPr="00B869D5">
              <w:rPr>
                <w:rFonts w:cs="Arial"/>
              </w:rPr>
              <w:t>Satisfies the requirement with major reservations. Considerable reservations of the applicant’s relevant ability, understanding, skills, and resource and quality measures required to provide the services, with little or no evidence to support the response.</w:t>
            </w:r>
          </w:p>
        </w:tc>
      </w:tr>
      <w:tr w:rsidR="00B869D5" w:rsidRPr="00B869D5" w:rsidTr="005F6DE6">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Non-compliance</w:t>
            </w:r>
          </w:p>
          <w:p w:rsidR="00B869D5" w:rsidRPr="00B869D5" w:rsidRDefault="00B869D5" w:rsidP="005F6DE6">
            <w:pPr>
              <w:jc w:val="center"/>
              <w:rPr>
                <w:rFonts w:cs="Arial"/>
              </w:rPr>
            </w:pP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jc w:val="center"/>
              <w:rPr>
                <w:rFonts w:cs="Arial"/>
              </w:rPr>
            </w:pPr>
            <w:r w:rsidRPr="00B869D5">
              <w:rPr>
                <w:rFonts w:cs="Arial"/>
              </w:rPr>
              <w:t>0</w:t>
            </w:r>
          </w:p>
        </w:tc>
        <w:tc>
          <w:tcPr>
            <w:tcW w:w="6305" w:type="dxa"/>
            <w:tcBorders>
              <w:top w:val="nil"/>
              <w:left w:val="nil"/>
              <w:bottom w:val="single" w:sz="8" w:space="0" w:color="auto"/>
              <w:right w:val="single" w:sz="8" w:space="0" w:color="auto"/>
            </w:tcBorders>
            <w:tcMar>
              <w:top w:w="0" w:type="dxa"/>
              <w:left w:w="108" w:type="dxa"/>
              <w:bottom w:w="0" w:type="dxa"/>
              <w:right w:w="108" w:type="dxa"/>
            </w:tcMar>
          </w:tcPr>
          <w:p w:rsidR="00B869D5" w:rsidRPr="00B869D5" w:rsidRDefault="00B869D5" w:rsidP="005F6DE6">
            <w:pPr>
              <w:rPr>
                <w:rFonts w:cs="Arial"/>
              </w:rPr>
            </w:pPr>
            <w:r w:rsidRPr="00B869D5">
              <w:rPr>
                <w:rFonts w:cs="Arial"/>
              </w:rPr>
              <w:t>Does not meet the requirement. Does not comply and/or insufficient information provided to demonstrate that the applicant has the ability, understanding, skills, resource and quality measures required to provide the services, with little or no evidence to support the response.</w:t>
            </w:r>
          </w:p>
        </w:tc>
      </w:tr>
    </w:tbl>
    <w:p w:rsidR="00B869D5" w:rsidRDefault="00B869D5" w:rsidP="005761BF">
      <w:pPr>
        <w:jc w:val="both"/>
        <w:rPr>
          <w:b/>
          <w:color w:val="262626" w:themeColor="text1" w:themeTint="D9"/>
        </w:rPr>
      </w:pPr>
    </w:p>
    <w:p w:rsidR="005761BF" w:rsidRPr="00924CA2" w:rsidRDefault="00874607" w:rsidP="005761BF">
      <w:pPr>
        <w:jc w:val="both"/>
        <w:rPr>
          <w:b/>
          <w:color w:val="262626" w:themeColor="text1" w:themeTint="D9"/>
        </w:rPr>
      </w:pPr>
      <w:r w:rsidRPr="00924CA2">
        <w:rPr>
          <w:b/>
          <w:color w:val="262626" w:themeColor="text1" w:themeTint="D9"/>
        </w:rPr>
        <w:t xml:space="preserve">Timescales </w:t>
      </w:r>
    </w:p>
    <w:p w:rsidR="000D799C" w:rsidRDefault="008A4342" w:rsidP="008A4342">
      <w:pPr>
        <w:jc w:val="both"/>
        <w:rPr>
          <w:color w:val="262626" w:themeColor="text1" w:themeTint="D9"/>
        </w:rPr>
      </w:pPr>
      <w:r w:rsidRPr="00924CA2">
        <w:rPr>
          <w:color w:val="262626" w:themeColor="text1" w:themeTint="D9"/>
        </w:rPr>
        <w:t>Responses</w:t>
      </w:r>
      <w:r w:rsidR="000D799C" w:rsidRPr="00924CA2">
        <w:rPr>
          <w:color w:val="262626" w:themeColor="text1" w:themeTint="D9"/>
        </w:rPr>
        <w:t xml:space="preserve"> are </w:t>
      </w:r>
      <w:r w:rsidRPr="00924CA2">
        <w:rPr>
          <w:color w:val="262626" w:themeColor="text1" w:themeTint="D9"/>
        </w:rPr>
        <w:t>required by noon on</w:t>
      </w:r>
      <w:r w:rsidR="00FF1EE1">
        <w:rPr>
          <w:color w:val="262626" w:themeColor="text1" w:themeTint="D9"/>
        </w:rPr>
        <w:t xml:space="preserve"> </w:t>
      </w:r>
      <w:r w:rsidR="009E2285">
        <w:rPr>
          <w:color w:val="262626" w:themeColor="text1" w:themeTint="D9"/>
        </w:rPr>
        <w:t>10</w:t>
      </w:r>
      <w:r w:rsidR="009E2285" w:rsidRPr="009E2285">
        <w:rPr>
          <w:color w:val="262626" w:themeColor="text1" w:themeTint="D9"/>
          <w:vertAlign w:val="superscript"/>
        </w:rPr>
        <w:t>th</w:t>
      </w:r>
      <w:r w:rsidR="009E2285">
        <w:rPr>
          <w:color w:val="262626" w:themeColor="text1" w:themeTint="D9"/>
        </w:rPr>
        <w:t xml:space="preserve"> June 2016.</w:t>
      </w:r>
    </w:p>
    <w:p w:rsidR="009E2285" w:rsidRPr="00924CA2" w:rsidRDefault="009E2285" w:rsidP="008A4342">
      <w:pPr>
        <w:jc w:val="both"/>
        <w:rPr>
          <w:b/>
          <w:color w:val="262626" w:themeColor="text1" w:themeTint="D9"/>
        </w:rPr>
      </w:pPr>
      <w:bookmarkStart w:id="0" w:name="_GoBack"/>
      <w:bookmarkEnd w:id="0"/>
    </w:p>
    <w:p w:rsidR="00874607" w:rsidRPr="00924CA2" w:rsidRDefault="00874607" w:rsidP="005761BF">
      <w:pPr>
        <w:jc w:val="both"/>
        <w:rPr>
          <w:b/>
          <w:color w:val="262626" w:themeColor="text1" w:themeTint="D9"/>
        </w:rPr>
      </w:pPr>
      <w:r w:rsidRPr="00924CA2">
        <w:rPr>
          <w:b/>
          <w:color w:val="262626" w:themeColor="text1" w:themeTint="D9"/>
        </w:rPr>
        <w:t>Contact for queries</w:t>
      </w:r>
    </w:p>
    <w:p w:rsidR="00FF1EE1" w:rsidRDefault="00874607" w:rsidP="005761BF">
      <w:pPr>
        <w:jc w:val="both"/>
        <w:rPr>
          <w:color w:val="262626" w:themeColor="text1" w:themeTint="D9"/>
        </w:rPr>
      </w:pPr>
      <w:r w:rsidRPr="00924CA2">
        <w:rPr>
          <w:color w:val="262626" w:themeColor="text1" w:themeTint="D9"/>
        </w:rPr>
        <w:t>For any queries please contact</w:t>
      </w:r>
      <w:r w:rsidR="00872B8F" w:rsidRPr="00924CA2">
        <w:rPr>
          <w:color w:val="262626" w:themeColor="text1" w:themeTint="D9"/>
        </w:rPr>
        <w:t xml:space="preserve"> </w:t>
      </w:r>
      <w:hyperlink r:id="rId10" w:history="1">
        <w:r w:rsidR="00FF1EE1" w:rsidRPr="00FB148A">
          <w:rPr>
            <w:rStyle w:val="Hyperlink"/>
          </w:rPr>
          <w:t>suzanne@cumbriachamber.co.uk</w:t>
        </w:r>
      </w:hyperlink>
      <w:r w:rsidR="00FF1EE1">
        <w:rPr>
          <w:color w:val="262626" w:themeColor="text1" w:themeTint="D9"/>
        </w:rPr>
        <w:t>, 0845 226 0040.</w:t>
      </w:r>
    </w:p>
    <w:p w:rsidR="00874607" w:rsidRPr="00924CA2" w:rsidRDefault="00874607" w:rsidP="005761BF">
      <w:pPr>
        <w:jc w:val="both"/>
        <w:rPr>
          <w:b/>
          <w:color w:val="262626" w:themeColor="text1" w:themeTint="D9"/>
        </w:rPr>
      </w:pPr>
      <w:r w:rsidRPr="00924CA2">
        <w:rPr>
          <w:b/>
          <w:color w:val="262626" w:themeColor="text1" w:themeTint="D9"/>
        </w:rPr>
        <w:t>Contact for responses</w:t>
      </w:r>
    </w:p>
    <w:p w:rsidR="00874607" w:rsidRPr="00924CA2" w:rsidRDefault="00874607" w:rsidP="005761BF">
      <w:pPr>
        <w:jc w:val="both"/>
        <w:rPr>
          <w:color w:val="262626" w:themeColor="text1" w:themeTint="D9"/>
        </w:rPr>
      </w:pPr>
      <w:r w:rsidRPr="00924CA2">
        <w:rPr>
          <w:color w:val="262626" w:themeColor="text1" w:themeTint="D9"/>
        </w:rPr>
        <w:t>Please send your responses by email to</w:t>
      </w:r>
      <w:r w:rsidR="00872B8F" w:rsidRPr="00924CA2">
        <w:rPr>
          <w:color w:val="262626" w:themeColor="text1" w:themeTint="D9"/>
        </w:rPr>
        <w:t xml:space="preserve"> Lydia Winder, </w:t>
      </w:r>
      <w:hyperlink r:id="rId11" w:history="1">
        <w:r w:rsidR="00872B8F" w:rsidRPr="00A7372C">
          <w:rPr>
            <w:rStyle w:val="Hyperlink"/>
          </w:rPr>
          <w:t>lydia@cumbriachamber.co.uk</w:t>
        </w:r>
      </w:hyperlink>
      <w:r w:rsidRPr="00924CA2">
        <w:rPr>
          <w:color w:val="262626" w:themeColor="text1" w:themeTint="D9"/>
        </w:rPr>
        <w:t>. For proof of delivery please ensure you obtain and retain both a delivery and read receipt for your email.</w:t>
      </w:r>
    </w:p>
    <w:p w:rsidR="00924CA2" w:rsidRPr="00924CA2" w:rsidRDefault="00924CA2" w:rsidP="00924CA2">
      <w:pPr>
        <w:spacing w:after="0" w:line="240" w:lineRule="auto"/>
        <w:jc w:val="both"/>
        <w:rPr>
          <w:rFonts w:cs="Arial"/>
          <w:b/>
          <w:color w:val="262626" w:themeColor="text1" w:themeTint="D9"/>
        </w:rPr>
      </w:pPr>
      <w:r w:rsidRPr="00924CA2">
        <w:rPr>
          <w:rFonts w:cs="Arial"/>
          <w:b/>
          <w:color w:val="262626" w:themeColor="text1" w:themeTint="D9"/>
        </w:rPr>
        <w:t>The Chamber’s rights</w:t>
      </w:r>
    </w:p>
    <w:p w:rsidR="00924CA2" w:rsidRPr="00924CA2" w:rsidRDefault="00924CA2" w:rsidP="00924CA2">
      <w:pPr>
        <w:spacing w:after="0" w:line="240" w:lineRule="auto"/>
        <w:jc w:val="both"/>
        <w:rPr>
          <w:rFonts w:cs="Arial"/>
          <w:color w:val="262626" w:themeColor="text1" w:themeTint="D9"/>
        </w:rPr>
      </w:pPr>
    </w:p>
    <w:p w:rsidR="00924CA2" w:rsidRPr="00924CA2" w:rsidRDefault="00924CA2" w:rsidP="00924CA2">
      <w:pPr>
        <w:spacing w:after="0" w:line="240" w:lineRule="auto"/>
        <w:jc w:val="both"/>
        <w:rPr>
          <w:rFonts w:cs="Arial"/>
          <w:color w:val="262626" w:themeColor="text1" w:themeTint="D9"/>
        </w:rPr>
      </w:pPr>
      <w:r w:rsidRPr="00924CA2">
        <w:rPr>
          <w:rFonts w:cs="Arial"/>
          <w:color w:val="262626" w:themeColor="text1" w:themeTint="D9"/>
        </w:rPr>
        <w:lastRenderedPageBreak/>
        <w:t>The Chamber reserves the right to:</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Waive or change the requirements of this ITT from time to time without prior, or any notice, being given</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Seek clarification or documentation in respect of a tenderers submission</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Disqualify any tenderer that does not submit a compliant tender in accordance with the instructions in this ITT</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Disqualify any tender that is guilty of serious misrepresentation in relation to its tender or the tender process</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Withdraw this ITT at any time or re-invite tenders on the same or any alternative basis</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Choose not to award any contract or accept the lowest or any tender as a result of the current procurement process</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Choose not to award a contract to any organisation it views as a competitor or to have another conflict of interest</w:t>
      </w:r>
    </w:p>
    <w:p w:rsidR="00924CA2" w:rsidRPr="00924CA2" w:rsidRDefault="00924CA2" w:rsidP="00924CA2">
      <w:pPr>
        <w:pStyle w:val="ListParagraph"/>
        <w:numPr>
          <w:ilvl w:val="0"/>
          <w:numId w:val="13"/>
        </w:numPr>
        <w:spacing w:after="0" w:line="240" w:lineRule="auto"/>
        <w:jc w:val="both"/>
        <w:rPr>
          <w:rFonts w:cs="Arial"/>
          <w:color w:val="262626" w:themeColor="text1" w:themeTint="D9"/>
        </w:rPr>
      </w:pPr>
      <w:r w:rsidRPr="00924CA2">
        <w:rPr>
          <w:rFonts w:cs="Arial"/>
          <w:color w:val="262626" w:themeColor="text1" w:themeTint="D9"/>
        </w:rPr>
        <w:t>Make whatever changes they see fit to the timetable, structure of content of the procurement process</w:t>
      </w:r>
    </w:p>
    <w:p w:rsidR="00924CA2" w:rsidRPr="00924CA2" w:rsidRDefault="00924CA2" w:rsidP="00924CA2">
      <w:pPr>
        <w:spacing w:after="0" w:line="240" w:lineRule="auto"/>
        <w:jc w:val="both"/>
        <w:rPr>
          <w:rFonts w:cs="Arial"/>
          <w:color w:val="262626" w:themeColor="text1" w:themeTint="D9"/>
        </w:rPr>
      </w:pPr>
    </w:p>
    <w:p w:rsidR="00924CA2" w:rsidRPr="00924CA2" w:rsidRDefault="00924CA2" w:rsidP="00924CA2">
      <w:pPr>
        <w:spacing w:after="0" w:line="240" w:lineRule="auto"/>
        <w:jc w:val="both"/>
        <w:rPr>
          <w:rFonts w:cs="Arial"/>
          <w:b/>
          <w:color w:val="262626" w:themeColor="text1" w:themeTint="D9"/>
        </w:rPr>
      </w:pPr>
      <w:r w:rsidRPr="00924CA2">
        <w:rPr>
          <w:rFonts w:cs="Arial"/>
          <w:b/>
          <w:color w:val="262626" w:themeColor="text1" w:themeTint="D9"/>
        </w:rPr>
        <w:t>Bid cost</w:t>
      </w:r>
    </w:p>
    <w:p w:rsidR="00924CA2" w:rsidRPr="00924CA2" w:rsidRDefault="00924CA2" w:rsidP="00924CA2">
      <w:pPr>
        <w:spacing w:after="0" w:line="240" w:lineRule="auto"/>
        <w:jc w:val="both"/>
        <w:rPr>
          <w:rFonts w:cs="Arial"/>
          <w:color w:val="262626" w:themeColor="text1" w:themeTint="D9"/>
        </w:rPr>
      </w:pPr>
      <w:r w:rsidRPr="00924CA2">
        <w:rPr>
          <w:rFonts w:cs="Arial"/>
          <w:color w:val="262626" w:themeColor="text1" w:themeTint="D9"/>
        </w:rPr>
        <w:t>The Chamber will not be liable for any bid costs, expenditure, work or effort incurred by a tenderer in proceeding with or participating in this procurement, including if the procurement process is terminated or amended by the Chamber.</w:t>
      </w:r>
    </w:p>
    <w:p w:rsidR="00924CA2" w:rsidRPr="00924CA2" w:rsidRDefault="00924CA2" w:rsidP="00924CA2">
      <w:pPr>
        <w:spacing w:after="0" w:line="240" w:lineRule="auto"/>
        <w:jc w:val="both"/>
        <w:rPr>
          <w:rFonts w:cs="Arial"/>
          <w:color w:val="262626" w:themeColor="text1" w:themeTint="D9"/>
        </w:rPr>
      </w:pPr>
    </w:p>
    <w:p w:rsidR="00924CA2" w:rsidRPr="00924CA2" w:rsidRDefault="00924CA2" w:rsidP="00924CA2">
      <w:pPr>
        <w:spacing w:after="0" w:line="240" w:lineRule="auto"/>
        <w:jc w:val="both"/>
        <w:rPr>
          <w:rFonts w:cs="Arial"/>
          <w:b/>
          <w:color w:val="262626" w:themeColor="text1" w:themeTint="D9"/>
        </w:rPr>
      </w:pPr>
      <w:r w:rsidRPr="00924CA2">
        <w:rPr>
          <w:rFonts w:cs="Arial"/>
          <w:b/>
          <w:color w:val="262626" w:themeColor="text1" w:themeTint="D9"/>
        </w:rPr>
        <w:t>Project Funding</w:t>
      </w:r>
    </w:p>
    <w:p w:rsidR="00924CA2" w:rsidRPr="00924CA2" w:rsidRDefault="00924CA2" w:rsidP="00924CA2">
      <w:pPr>
        <w:spacing w:after="0" w:line="240" w:lineRule="auto"/>
        <w:jc w:val="both"/>
        <w:rPr>
          <w:rFonts w:cs="Arial"/>
        </w:rPr>
      </w:pPr>
      <w:r w:rsidRPr="00924CA2">
        <w:rPr>
          <w:rFonts w:cs="Arial"/>
          <w:color w:val="262626" w:themeColor="text1" w:themeTint="D9"/>
        </w:rPr>
        <w:t xml:space="preserve">It is anticipated that the Growth Hub will be supported by the European Regional Development Fund Programme 2014-2020. The Department for Communities and Local Government is the managing authority for the European Regional Development Fund Programme, which is one of the funds established by the European Commission to help local areas stimulate their economic development by investing in projects which will support local businesses and create jobs. For more information visit </w:t>
      </w:r>
      <w:hyperlink r:id="rId12" w:history="1">
        <w:r w:rsidRPr="00924CA2">
          <w:rPr>
            <w:rStyle w:val="Hyperlink"/>
            <w:rFonts w:cs="Arial"/>
          </w:rPr>
          <w:t>www.communities.gov.uk/erdf</w:t>
        </w:r>
      </w:hyperlink>
      <w:r w:rsidRPr="00924CA2">
        <w:rPr>
          <w:rFonts w:cs="Arial"/>
        </w:rPr>
        <w:t>.</w:t>
      </w:r>
    </w:p>
    <w:p w:rsidR="00924CA2" w:rsidRPr="00924CA2" w:rsidRDefault="00924CA2" w:rsidP="00924CA2">
      <w:pPr>
        <w:spacing w:after="0" w:line="240" w:lineRule="auto"/>
        <w:ind w:left="360"/>
        <w:jc w:val="both"/>
        <w:rPr>
          <w:rFonts w:cs="Arial"/>
          <w:color w:val="FF0000"/>
        </w:rPr>
      </w:pPr>
    </w:p>
    <w:p w:rsidR="00924CA2" w:rsidRPr="00924CA2" w:rsidRDefault="00924CA2" w:rsidP="005761BF">
      <w:pPr>
        <w:jc w:val="both"/>
        <w:rPr>
          <w:color w:val="FF0000"/>
        </w:rPr>
      </w:pPr>
    </w:p>
    <w:sectPr w:rsidR="00924CA2" w:rsidRPr="00924CA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3AB" w:rsidRDefault="00B113AB" w:rsidP="00966634">
      <w:pPr>
        <w:spacing w:after="0" w:line="240" w:lineRule="auto"/>
      </w:pPr>
      <w:r>
        <w:separator/>
      </w:r>
    </w:p>
  </w:endnote>
  <w:endnote w:type="continuationSeparator" w:id="0">
    <w:p w:rsidR="00B113AB" w:rsidRDefault="00B113AB" w:rsidP="0096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34" w:rsidRPr="002E3E81" w:rsidRDefault="00872B8F" w:rsidP="00872B8F">
    <w:pPr>
      <w:pStyle w:val="Footer"/>
      <w:jc w:val="center"/>
      <w:rPr>
        <w:color w:val="FF0000"/>
      </w:rPr>
    </w:pPr>
    <w:r>
      <w:rPr>
        <w:noProof/>
        <w:lang w:eastAsia="en-GB"/>
      </w:rPr>
      <w:drawing>
        <wp:inline distT="0" distB="0" distL="0" distR="0" wp14:anchorId="6E59C4BA" wp14:editId="04DCF4D5">
          <wp:extent cx="2261235" cy="515620"/>
          <wp:effectExtent l="0" t="0" r="5715" b="0"/>
          <wp:docPr id="1" name="Picture 1"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515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3AB" w:rsidRDefault="00B113AB" w:rsidP="00966634">
      <w:pPr>
        <w:spacing w:after="0" w:line="240" w:lineRule="auto"/>
      </w:pPr>
      <w:r>
        <w:separator/>
      </w:r>
    </w:p>
  </w:footnote>
  <w:footnote w:type="continuationSeparator" w:id="0">
    <w:p w:rsidR="00B113AB" w:rsidRDefault="00B113AB" w:rsidP="00966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34" w:rsidRPr="002B3D32" w:rsidRDefault="00872B8F">
    <w:pPr>
      <w:pStyle w:val="Header"/>
      <w:rPr>
        <w:color w:val="FF0000"/>
      </w:rPr>
    </w:pPr>
    <w:r>
      <w:rPr>
        <w:noProof/>
        <w:lang w:eastAsia="en-GB"/>
      </w:rPr>
      <w:drawing>
        <wp:inline distT="0" distB="0" distL="0" distR="0" wp14:anchorId="2C2938E6" wp14:editId="44789EAE">
          <wp:extent cx="731520" cy="951865"/>
          <wp:effectExtent l="0" t="0" r="0" b="635"/>
          <wp:docPr id="2" name="Picture 2"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51865"/>
                  </a:xfrm>
                  <a:prstGeom prst="rect">
                    <a:avLst/>
                  </a:prstGeom>
                  <a:noFill/>
                  <a:ln>
                    <a:noFill/>
                  </a:ln>
                </pic:spPr>
              </pic:pic>
            </a:graphicData>
          </a:graphic>
        </wp:inline>
      </w:drawing>
    </w:r>
    <w:r>
      <w:rPr>
        <w:rFonts w:ascii="Arial Black" w:hAnsi="Arial Black"/>
        <w:noProof/>
        <w:lang w:eastAsia="en-GB"/>
      </w:rPr>
      <w:tab/>
    </w:r>
    <w:r>
      <w:rPr>
        <w:rFonts w:ascii="Arial Black" w:hAnsi="Arial Black"/>
        <w:noProof/>
        <w:lang w:eastAsia="en-GB"/>
      </w:rPr>
      <w:tab/>
    </w:r>
    <w:r>
      <w:rPr>
        <w:rFonts w:ascii="Arial Black" w:hAnsi="Arial Black"/>
        <w:noProof/>
        <w:lang w:eastAsia="en-GB"/>
      </w:rPr>
      <w:drawing>
        <wp:inline distT="0" distB="0" distL="0" distR="0" wp14:anchorId="4489302F" wp14:editId="5E0A610D">
          <wp:extent cx="2270760" cy="1042728"/>
          <wp:effectExtent l="0" t="0" r="0" b="5080"/>
          <wp:docPr id="315" name="Picture 315"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p w:rsidR="00966634" w:rsidRDefault="00966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5739"/>
    <w:multiLevelType w:val="hybridMultilevel"/>
    <w:tmpl w:val="E06EA0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F11236"/>
    <w:multiLevelType w:val="hybridMultilevel"/>
    <w:tmpl w:val="C5087194"/>
    <w:lvl w:ilvl="0" w:tplc="08090003">
      <w:start w:val="1"/>
      <w:numFmt w:val="bullet"/>
      <w:lvlText w:val="o"/>
      <w:lvlJc w:val="left"/>
      <w:pPr>
        <w:ind w:left="1080" w:hanging="720"/>
      </w:pPr>
      <w:rPr>
        <w:rFonts w:ascii="Courier New" w:hAnsi="Courier New" w:cs="Courier New"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16769"/>
    <w:multiLevelType w:val="hybridMultilevel"/>
    <w:tmpl w:val="FA50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1CAA"/>
    <w:multiLevelType w:val="hybridMultilevel"/>
    <w:tmpl w:val="4D4E381C"/>
    <w:lvl w:ilvl="0" w:tplc="2DF0C7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27553"/>
    <w:multiLevelType w:val="hybridMultilevel"/>
    <w:tmpl w:val="91E0B808"/>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41B27"/>
    <w:multiLevelType w:val="hybridMultilevel"/>
    <w:tmpl w:val="D2DCEE70"/>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3E480402"/>
    <w:multiLevelType w:val="hybridMultilevel"/>
    <w:tmpl w:val="4470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5A5AC304">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17A3B"/>
    <w:multiLevelType w:val="hybridMultilevel"/>
    <w:tmpl w:val="1826CD60"/>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736F0"/>
    <w:multiLevelType w:val="hybridMultilevel"/>
    <w:tmpl w:val="AAB8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D0091"/>
    <w:multiLevelType w:val="hybridMultilevel"/>
    <w:tmpl w:val="B360FC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924F3"/>
    <w:multiLevelType w:val="hybridMultilevel"/>
    <w:tmpl w:val="F698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E046B"/>
    <w:multiLevelType w:val="hybridMultilevel"/>
    <w:tmpl w:val="43EC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C1369"/>
    <w:multiLevelType w:val="hybridMultilevel"/>
    <w:tmpl w:val="9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A570F"/>
    <w:multiLevelType w:val="hybridMultilevel"/>
    <w:tmpl w:val="3A58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9"/>
  </w:num>
  <w:num w:numId="7">
    <w:abstractNumId w:val="8"/>
  </w:num>
  <w:num w:numId="8">
    <w:abstractNumId w:val="7"/>
  </w:num>
  <w:num w:numId="9">
    <w:abstractNumId w:val="1"/>
  </w:num>
  <w:num w:numId="10">
    <w:abstractNumId w:val="11"/>
  </w:num>
  <w:num w:numId="11">
    <w:abstractNumId w:val="10"/>
  </w:num>
  <w:num w:numId="12">
    <w:abstractNumId w:val="13"/>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36"/>
    <w:rsid w:val="00006191"/>
    <w:rsid w:val="0001063A"/>
    <w:rsid w:val="00011C03"/>
    <w:rsid w:val="00013066"/>
    <w:rsid w:val="000135A8"/>
    <w:rsid w:val="00014F01"/>
    <w:rsid w:val="00020379"/>
    <w:rsid w:val="00023619"/>
    <w:rsid w:val="0002477C"/>
    <w:rsid w:val="00035D14"/>
    <w:rsid w:val="00043037"/>
    <w:rsid w:val="00055CEB"/>
    <w:rsid w:val="0006396B"/>
    <w:rsid w:val="00072655"/>
    <w:rsid w:val="00074536"/>
    <w:rsid w:val="0008740F"/>
    <w:rsid w:val="000A1D03"/>
    <w:rsid w:val="000A1E1E"/>
    <w:rsid w:val="000A6489"/>
    <w:rsid w:val="000B3293"/>
    <w:rsid w:val="000B63BE"/>
    <w:rsid w:val="000B7C8D"/>
    <w:rsid w:val="000C1778"/>
    <w:rsid w:val="000C65D3"/>
    <w:rsid w:val="000D12C2"/>
    <w:rsid w:val="000D3B3A"/>
    <w:rsid w:val="000D44BF"/>
    <w:rsid w:val="000D67C3"/>
    <w:rsid w:val="000D799C"/>
    <w:rsid w:val="000E2367"/>
    <w:rsid w:val="000E38B3"/>
    <w:rsid w:val="000E4A70"/>
    <w:rsid w:val="000E7DAD"/>
    <w:rsid w:val="000F0F7A"/>
    <w:rsid w:val="000F172C"/>
    <w:rsid w:val="000F5340"/>
    <w:rsid w:val="000F58AD"/>
    <w:rsid w:val="001005D4"/>
    <w:rsid w:val="00100F08"/>
    <w:rsid w:val="00101755"/>
    <w:rsid w:val="0011399D"/>
    <w:rsid w:val="001245CE"/>
    <w:rsid w:val="00141CF7"/>
    <w:rsid w:val="0014421C"/>
    <w:rsid w:val="001519D6"/>
    <w:rsid w:val="00155A53"/>
    <w:rsid w:val="00157A66"/>
    <w:rsid w:val="001600F3"/>
    <w:rsid w:val="00162BE7"/>
    <w:rsid w:val="00164B48"/>
    <w:rsid w:val="00166AC1"/>
    <w:rsid w:val="00167387"/>
    <w:rsid w:val="0018042B"/>
    <w:rsid w:val="0018599B"/>
    <w:rsid w:val="00195DB4"/>
    <w:rsid w:val="00196C20"/>
    <w:rsid w:val="00196CDF"/>
    <w:rsid w:val="001A1D43"/>
    <w:rsid w:val="001A532F"/>
    <w:rsid w:val="001A54C7"/>
    <w:rsid w:val="001A6DFE"/>
    <w:rsid w:val="001B4B47"/>
    <w:rsid w:val="001C6461"/>
    <w:rsid w:val="001E3E5A"/>
    <w:rsid w:val="001F05C9"/>
    <w:rsid w:val="0020490B"/>
    <w:rsid w:val="00207265"/>
    <w:rsid w:val="0021061E"/>
    <w:rsid w:val="00217751"/>
    <w:rsid w:val="0022639F"/>
    <w:rsid w:val="00226A96"/>
    <w:rsid w:val="0022773E"/>
    <w:rsid w:val="0023317E"/>
    <w:rsid w:val="00236854"/>
    <w:rsid w:val="00237EF1"/>
    <w:rsid w:val="00247623"/>
    <w:rsid w:val="002567D2"/>
    <w:rsid w:val="00265AE3"/>
    <w:rsid w:val="00272D08"/>
    <w:rsid w:val="002828A0"/>
    <w:rsid w:val="0028302C"/>
    <w:rsid w:val="00283727"/>
    <w:rsid w:val="00286297"/>
    <w:rsid w:val="00286803"/>
    <w:rsid w:val="002A71FB"/>
    <w:rsid w:val="002B3D32"/>
    <w:rsid w:val="002B7A25"/>
    <w:rsid w:val="002C2DDC"/>
    <w:rsid w:val="002E3E81"/>
    <w:rsid w:val="002F012A"/>
    <w:rsid w:val="002F341A"/>
    <w:rsid w:val="00307671"/>
    <w:rsid w:val="00314A21"/>
    <w:rsid w:val="00331903"/>
    <w:rsid w:val="00341147"/>
    <w:rsid w:val="00353187"/>
    <w:rsid w:val="00353E0E"/>
    <w:rsid w:val="00354250"/>
    <w:rsid w:val="003618C2"/>
    <w:rsid w:val="00363F6E"/>
    <w:rsid w:val="00365787"/>
    <w:rsid w:val="00382666"/>
    <w:rsid w:val="003829CA"/>
    <w:rsid w:val="00383877"/>
    <w:rsid w:val="00383B53"/>
    <w:rsid w:val="003A26CD"/>
    <w:rsid w:val="003A76F1"/>
    <w:rsid w:val="003B3D82"/>
    <w:rsid w:val="003C04E2"/>
    <w:rsid w:val="003C4B33"/>
    <w:rsid w:val="003D3135"/>
    <w:rsid w:val="003D777B"/>
    <w:rsid w:val="003E0305"/>
    <w:rsid w:val="003E2ED7"/>
    <w:rsid w:val="003E3AD0"/>
    <w:rsid w:val="003F1858"/>
    <w:rsid w:val="003F1EAD"/>
    <w:rsid w:val="003F2C32"/>
    <w:rsid w:val="003F58FC"/>
    <w:rsid w:val="003F6D11"/>
    <w:rsid w:val="003F7B7C"/>
    <w:rsid w:val="00401623"/>
    <w:rsid w:val="00401B5D"/>
    <w:rsid w:val="00405675"/>
    <w:rsid w:val="0041096E"/>
    <w:rsid w:val="00413FD4"/>
    <w:rsid w:val="00417E19"/>
    <w:rsid w:val="00430581"/>
    <w:rsid w:val="004327A4"/>
    <w:rsid w:val="00434054"/>
    <w:rsid w:val="00441AD6"/>
    <w:rsid w:val="004455FA"/>
    <w:rsid w:val="00453FA4"/>
    <w:rsid w:val="00467D5E"/>
    <w:rsid w:val="00471D68"/>
    <w:rsid w:val="0047203D"/>
    <w:rsid w:val="00475277"/>
    <w:rsid w:val="0047545B"/>
    <w:rsid w:val="00476CD6"/>
    <w:rsid w:val="00494EC7"/>
    <w:rsid w:val="004956B2"/>
    <w:rsid w:val="00497A99"/>
    <w:rsid w:val="004A0049"/>
    <w:rsid w:val="004A442C"/>
    <w:rsid w:val="004A53F8"/>
    <w:rsid w:val="004B4EFC"/>
    <w:rsid w:val="004C6077"/>
    <w:rsid w:val="004D3F6F"/>
    <w:rsid w:val="004F2D8F"/>
    <w:rsid w:val="004F3D73"/>
    <w:rsid w:val="00501D85"/>
    <w:rsid w:val="0050726E"/>
    <w:rsid w:val="00512A5E"/>
    <w:rsid w:val="00512F72"/>
    <w:rsid w:val="0051480A"/>
    <w:rsid w:val="005175DC"/>
    <w:rsid w:val="00526CCF"/>
    <w:rsid w:val="00546EFB"/>
    <w:rsid w:val="00554B53"/>
    <w:rsid w:val="0055530E"/>
    <w:rsid w:val="00561F8C"/>
    <w:rsid w:val="00564218"/>
    <w:rsid w:val="0057395D"/>
    <w:rsid w:val="005761BF"/>
    <w:rsid w:val="005854B3"/>
    <w:rsid w:val="0058720A"/>
    <w:rsid w:val="00587E9D"/>
    <w:rsid w:val="005A1654"/>
    <w:rsid w:val="005B107A"/>
    <w:rsid w:val="005B3826"/>
    <w:rsid w:val="005B77E0"/>
    <w:rsid w:val="005C62F3"/>
    <w:rsid w:val="005D1D79"/>
    <w:rsid w:val="005D5DBB"/>
    <w:rsid w:val="005D74AF"/>
    <w:rsid w:val="005D7729"/>
    <w:rsid w:val="005E1341"/>
    <w:rsid w:val="005E5080"/>
    <w:rsid w:val="005E6221"/>
    <w:rsid w:val="00600E11"/>
    <w:rsid w:val="006136E2"/>
    <w:rsid w:val="00615183"/>
    <w:rsid w:val="00634830"/>
    <w:rsid w:val="00635E04"/>
    <w:rsid w:val="006455FF"/>
    <w:rsid w:val="00651620"/>
    <w:rsid w:val="0067290F"/>
    <w:rsid w:val="00676E73"/>
    <w:rsid w:val="00687D40"/>
    <w:rsid w:val="0069356B"/>
    <w:rsid w:val="00695288"/>
    <w:rsid w:val="00695A3D"/>
    <w:rsid w:val="00696889"/>
    <w:rsid w:val="006A4665"/>
    <w:rsid w:val="006B5082"/>
    <w:rsid w:val="006C4183"/>
    <w:rsid w:val="006C61C5"/>
    <w:rsid w:val="006D497E"/>
    <w:rsid w:val="006E263C"/>
    <w:rsid w:val="006E35EB"/>
    <w:rsid w:val="006E75DB"/>
    <w:rsid w:val="006F35EC"/>
    <w:rsid w:val="006F630A"/>
    <w:rsid w:val="007030CE"/>
    <w:rsid w:val="00715A1A"/>
    <w:rsid w:val="007178FA"/>
    <w:rsid w:val="00717C05"/>
    <w:rsid w:val="00733F9B"/>
    <w:rsid w:val="00734664"/>
    <w:rsid w:val="0073513E"/>
    <w:rsid w:val="00736B86"/>
    <w:rsid w:val="007423CF"/>
    <w:rsid w:val="0076156B"/>
    <w:rsid w:val="00764C91"/>
    <w:rsid w:val="0076540C"/>
    <w:rsid w:val="00765587"/>
    <w:rsid w:val="00770A7B"/>
    <w:rsid w:val="00773DAF"/>
    <w:rsid w:val="00785CB8"/>
    <w:rsid w:val="00787AC2"/>
    <w:rsid w:val="007B31CA"/>
    <w:rsid w:val="007C6D7B"/>
    <w:rsid w:val="007D5019"/>
    <w:rsid w:val="007D702F"/>
    <w:rsid w:val="007E3403"/>
    <w:rsid w:val="007E3537"/>
    <w:rsid w:val="007F284B"/>
    <w:rsid w:val="008005E0"/>
    <w:rsid w:val="00814BC5"/>
    <w:rsid w:val="00814D60"/>
    <w:rsid w:val="00817122"/>
    <w:rsid w:val="00827716"/>
    <w:rsid w:val="00836303"/>
    <w:rsid w:val="008367A3"/>
    <w:rsid w:val="00844158"/>
    <w:rsid w:val="00845649"/>
    <w:rsid w:val="0085597B"/>
    <w:rsid w:val="00856C5F"/>
    <w:rsid w:val="00864189"/>
    <w:rsid w:val="00864299"/>
    <w:rsid w:val="0086626F"/>
    <w:rsid w:val="00867742"/>
    <w:rsid w:val="00872031"/>
    <w:rsid w:val="00872382"/>
    <w:rsid w:val="00872B8F"/>
    <w:rsid w:val="00874607"/>
    <w:rsid w:val="0087724C"/>
    <w:rsid w:val="0089013B"/>
    <w:rsid w:val="00896E62"/>
    <w:rsid w:val="008A4342"/>
    <w:rsid w:val="008A733D"/>
    <w:rsid w:val="008B2DAD"/>
    <w:rsid w:val="008B467A"/>
    <w:rsid w:val="008B5DCA"/>
    <w:rsid w:val="008C0945"/>
    <w:rsid w:val="008C3A88"/>
    <w:rsid w:val="008C3D66"/>
    <w:rsid w:val="008C578A"/>
    <w:rsid w:val="008D2C8D"/>
    <w:rsid w:val="008E4C2A"/>
    <w:rsid w:val="0091446F"/>
    <w:rsid w:val="00924CA2"/>
    <w:rsid w:val="00933350"/>
    <w:rsid w:val="00950389"/>
    <w:rsid w:val="00965CAC"/>
    <w:rsid w:val="00966634"/>
    <w:rsid w:val="0097321B"/>
    <w:rsid w:val="009745C4"/>
    <w:rsid w:val="00980860"/>
    <w:rsid w:val="0098116B"/>
    <w:rsid w:val="00981367"/>
    <w:rsid w:val="00995A21"/>
    <w:rsid w:val="009A141A"/>
    <w:rsid w:val="009A5C86"/>
    <w:rsid w:val="009B7602"/>
    <w:rsid w:val="009E2285"/>
    <w:rsid w:val="009E7884"/>
    <w:rsid w:val="00A000D3"/>
    <w:rsid w:val="00A00C14"/>
    <w:rsid w:val="00A00E58"/>
    <w:rsid w:val="00A117E0"/>
    <w:rsid w:val="00A20D68"/>
    <w:rsid w:val="00A2585A"/>
    <w:rsid w:val="00A4418C"/>
    <w:rsid w:val="00A45E4F"/>
    <w:rsid w:val="00A533D0"/>
    <w:rsid w:val="00A600A3"/>
    <w:rsid w:val="00A609FA"/>
    <w:rsid w:val="00A6552F"/>
    <w:rsid w:val="00A70546"/>
    <w:rsid w:val="00A93A6E"/>
    <w:rsid w:val="00AA2E99"/>
    <w:rsid w:val="00AA5108"/>
    <w:rsid w:val="00AA57E6"/>
    <w:rsid w:val="00AB071D"/>
    <w:rsid w:val="00AB1D15"/>
    <w:rsid w:val="00AB20C1"/>
    <w:rsid w:val="00AB5848"/>
    <w:rsid w:val="00AD1454"/>
    <w:rsid w:val="00AE4385"/>
    <w:rsid w:val="00B034F0"/>
    <w:rsid w:val="00B113AB"/>
    <w:rsid w:val="00B33C97"/>
    <w:rsid w:val="00B37E90"/>
    <w:rsid w:val="00B37F1E"/>
    <w:rsid w:val="00B41FAD"/>
    <w:rsid w:val="00B514DA"/>
    <w:rsid w:val="00B56FF8"/>
    <w:rsid w:val="00B5730C"/>
    <w:rsid w:val="00B64F14"/>
    <w:rsid w:val="00B657FA"/>
    <w:rsid w:val="00B7523E"/>
    <w:rsid w:val="00B753DB"/>
    <w:rsid w:val="00B869D5"/>
    <w:rsid w:val="00B917DD"/>
    <w:rsid w:val="00B95C5C"/>
    <w:rsid w:val="00B97734"/>
    <w:rsid w:val="00BA1A36"/>
    <w:rsid w:val="00BA5A2F"/>
    <w:rsid w:val="00BC2811"/>
    <w:rsid w:val="00BD4CC3"/>
    <w:rsid w:val="00BE0D4C"/>
    <w:rsid w:val="00BE30B5"/>
    <w:rsid w:val="00BF1D2C"/>
    <w:rsid w:val="00BF2379"/>
    <w:rsid w:val="00BF281B"/>
    <w:rsid w:val="00BF37A3"/>
    <w:rsid w:val="00BF74C5"/>
    <w:rsid w:val="00C22B42"/>
    <w:rsid w:val="00C24A49"/>
    <w:rsid w:val="00C273AF"/>
    <w:rsid w:val="00C412EE"/>
    <w:rsid w:val="00C42311"/>
    <w:rsid w:val="00C438B7"/>
    <w:rsid w:val="00C459A5"/>
    <w:rsid w:val="00C50D4D"/>
    <w:rsid w:val="00C51831"/>
    <w:rsid w:val="00C60285"/>
    <w:rsid w:val="00C841F6"/>
    <w:rsid w:val="00CC1D05"/>
    <w:rsid w:val="00CC2003"/>
    <w:rsid w:val="00CC25F2"/>
    <w:rsid w:val="00CC41F0"/>
    <w:rsid w:val="00CD1385"/>
    <w:rsid w:val="00CD455C"/>
    <w:rsid w:val="00CF03C8"/>
    <w:rsid w:val="00CF668E"/>
    <w:rsid w:val="00D0059D"/>
    <w:rsid w:val="00D02297"/>
    <w:rsid w:val="00D24644"/>
    <w:rsid w:val="00D24C42"/>
    <w:rsid w:val="00D33015"/>
    <w:rsid w:val="00D37209"/>
    <w:rsid w:val="00D45FBE"/>
    <w:rsid w:val="00D505C1"/>
    <w:rsid w:val="00D50C87"/>
    <w:rsid w:val="00D55A69"/>
    <w:rsid w:val="00D615E8"/>
    <w:rsid w:val="00D712F4"/>
    <w:rsid w:val="00D82464"/>
    <w:rsid w:val="00D86C08"/>
    <w:rsid w:val="00DB1FDA"/>
    <w:rsid w:val="00DB25DE"/>
    <w:rsid w:val="00DB497D"/>
    <w:rsid w:val="00DC2395"/>
    <w:rsid w:val="00DD2268"/>
    <w:rsid w:val="00DD254A"/>
    <w:rsid w:val="00DD591C"/>
    <w:rsid w:val="00DD6873"/>
    <w:rsid w:val="00DE7B9C"/>
    <w:rsid w:val="00DF0C93"/>
    <w:rsid w:val="00E065B0"/>
    <w:rsid w:val="00E07E8F"/>
    <w:rsid w:val="00E25D02"/>
    <w:rsid w:val="00E265FE"/>
    <w:rsid w:val="00E31B1A"/>
    <w:rsid w:val="00E345F0"/>
    <w:rsid w:val="00E42A46"/>
    <w:rsid w:val="00E51778"/>
    <w:rsid w:val="00E5647F"/>
    <w:rsid w:val="00E6234C"/>
    <w:rsid w:val="00E674E7"/>
    <w:rsid w:val="00E67E0B"/>
    <w:rsid w:val="00E70F89"/>
    <w:rsid w:val="00E77DCD"/>
    <w:rsid w:val="00E8249F"/>
    <w:rsid w:val="00E8567E"/>
    <w:rsid w:val="00E91DDE"/>
    <w:rsid w:val="00E91E00"/>
    <w:rsid w:val="00E929D5"/>
    <w:rsid w:val="00E930C5"/>
    <w:rsid w:val="00E93EB4"/>
    <w:rsid w:val="00EA4E0F"/>
    <w:rsid w:val="00EB2F7D"/>
    <w:rsid w:val="00EC6037"/>
    <w:rsid w:val="00EC661B"/>
    <w:rsid w:val="00EC7E11"/>
    <w:rsid w:val="00ED7665"/>
    <w:rsid w:val="00EE1216"/>
    <w:rsid w:val="00EE7303"/>
    <w:rsid w:val="00EF5C4A"/>
    <w:rsid w:val="00F11E2A"/>
    <w:rsid w:val="00F42D3E"/>
    <w:rsid w:val="00F4390E"/>
    <w:rsid w:val="00F713DC"/>
    <w:rsid w:val="00F716AB"/>
    <w:rsid w:val="00F8368D"/>
    <w:rsid w:val="00F9076D"/>
    <w:rsid w:val="00FA08CD"/>
    <w:rsid w:val="00FA4412"/>
    <w:rsid w:val="00FA4EF4"/>
    <w:rsid w:val="00FA580E"/>
    <w:rsid w:val="00FA7D69"/>
    <w:rsid w:val="00FC22C1"/>
    <w:rsid w:val="00FC2F66"/>
    <w:rsid w:val="00FC4437"/>
    <w:rsid w:val="00FD294F"/>
    <w:rsid w:val="00FD31B5"/>
    <w:rsid w:val="00FD6163"/>
    <w:rsid w:val="00FD6C09"/>
    <w:rsid w:val="00FD7858"/>
    <w:rsid w:val="00FE00A8"/>
    <w:rsid w:val="00FE09B7"/>
    <w:rsid w:val="00FE54BE"/>
    <w:rsid w:val="00FF05E3"/>
    <w:rsid w:val="00FF1EE1"/>
    <w:rsid w:val="00FF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0C246EC-0890-4D43-9B4E-8643224A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36"/>
    <w:pPr>
      <w:ind w:left="720"/>
      <w:contextualSpacing/>
    </w:pPr>
  </w:style>
  <w:style w:type="character" w:styleId="Hyperlink">
    <w:name w:val="Hyperlink"/>
    <w:basedOn w:val="DefaultParagraphFont"/>
    <w:uiPriority w:val="99"/>
    <w:unhideWhenUsed/>
    <w:rsid w:val="00874607"/>
    <w:rPr>
      <w:color w:val="0000FF" w:themeColor="hyperlink"/>
      <w:u w:val="single"/>
    </w:rPr>
  </w:style>
  <w:style w:type="paragraph" w:styleId="Header">
    <w:name w:val="header"/>
    <w:basedOn w:val="Normal"/>
    <w:link w:val="HeaderChar"/>
    <w:uiPriority w:val="99"/>
    <w:unhideWhenUsed/>
    <w:rsid w:val="00966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634"/>
  </w:style>
  <w:style w:type="paragraph" w:styleId="Footer">
    <w:name w:val="footer"/>
    <w:basedOn w:val="Normal"/>
    <w:link w:val="FooterChar"/>
    <w:uiPriority w:val="99"/>
    <w:unhideWhenUsed/>
    <w:rsid w:val="00966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634"/>
  </w:style>
  <w:style w:type="paragraph" w:styleId="BalloonText">
    <w:name w:val="Balloon Text"/>
    <w:basedOn w:val="Normal"/>
    <w:link w:val="BalloonTextChar"/>
    <w:uiPriority w:val="99"/>
    <w:semiHidden/>
    <w:unhideWhenUsed/>
    <w:rsid w:val="00966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634"/>
    <w:rPr>
      <w:rFonts w:ascii="Tahoma" w:hAnsi="Tahoma" w:cs="Tahoma"/>
      <w:sz w:val="16"/>
      <w:szCs w:val="16"/>
    </w:rPr>
  </w:style>
  <w:style w:type="table" w:styleId="TableGrid">
    <w:name w:val="Table Grid"/>
    <w:basedOn w:val="TableNormal"/>
    <w:uiPriority w:val="59"/>
    <w:rsid w:val="00FF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mbriachamber.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umbriagrowthhub.co.uk" TargetMode="External"/><Relationship Id="rId12" Type="http://schemas.openxmlformats.org/officeDocument/2006/relationships/hyperlink" Target="http://www.communities.gov.uk/er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dia@cumbriachamber.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zanne@cumbriachamber.co.uk" TargetMode="External"/><Relationship Id="rId4" Type="http://schemas.openxmlformats.org/officeDocument/2006/relationships/webSettings" Target="webSettings.xml"/><Relationship Id="rId9" Type="http://schemas.openxmlformats.org/officeDocument/2006/relationships/hyperlink" Target="http://www.cumbriagrowthhub.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Lydia Winder</cp:lastModifiedBy>
  <cp:revision>2</cp:revision>
  <cp:lastPrinted>2016-04-22T16:04:00Z</cp:lastPrinted>
  <dcterms:created xsi:type="dcterms:W3CDTF">2016-05-18T14:26:00Z</dcterms:created>
  <dcterms:modified xsi:type="dcterms:W3CDTF">2016-05-18T14:26:00Z</dcterms:modified>
</cp:coreProperties>
</file>