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921E" w14:textId="77777777" w:rsidR="008F3F19" w:rsidRDefault="008634F4">
      <w:pPr>
        <w:pStyle w:val="Heading1"/>
      </w:pPr>
      <w:bookmarkStart w:id="0" w:name="_hyoarxxxtef8" w:colFirst="0" w:colLast="0"/>
      <w:bookmarkEnd w:id="0"/>
      <w:r>
        <w:t>RM6242 Construction Professional Services Dynamic Procurement System</w:t>
      </w:r>
    </w:p>
    <w:p w14:paraId="1F67921F" w14:textId="77777777" w:rsidR="008F3F19" w:rsidRDefault="008634F4">
      <w:pPr>
        <w:pStyle w:val="Heading1"/>
      </w:pPr>
      <w:bookmarkStart w:id="1" w:name="_41beb3rtahpz" w:colFirst="0" w:colLast="0"/>
      <w:bookmarkEnd w:id="1"/>
      <w:r>
        <w:t>Crown Commercial Copyright</w:t>
      </w:r>
    </w:p>
    <w:p w14:paraId="1F679220" w14:textId="77777777" w:rsidR="008F3F19" w:rsidRDefault="008F3F19"/>
    <w:p w14:paraId="1F679221" w14:textId="77777777" w:rsidR="008F3F19" w:rsidRDefault="008F3F19"/>
    <w:p w14:paraId="1F679222" w14:textId="77777777" w:rsidR="008F3F19" w:rsidRDefault="008F3F19"/>
    <w:p w14:paraId="1F679223" w14:textId="77777777" w:rsidR="008F3F19" w:rsidRDefault="008F3F19"/>
    <w:p w14:paraId="1F679224" w14:textId="77777777" w:rsidR="008F3F19" w:rsidRDefault="008F3F19"/>
    <w:p w14:paraId="1F679225" w14:textId="77777777" w:rsidR="008F3F19" w:rsidRDefault="008F3F19"/>
    <w:p w14:paraId="1F679226" w14:textId="77777777" w:rsidR="008F3F19" w:rsidRDefault="008F3F19"/>
    <w:p w14:paraId="1F679227" w14:textId="77777777" w:rsidR="008F3F19" w:rsidRDefault="008F3F19"/>
    <w:p w14:paraId="1F679228" w14:textId="77777777" w:rsidR="008F3F19" w:rsidRDefault="008F3F19"/>
    <w:p w14:paraId="1F679229" w14:textId="77777777" w:rsidR="008F3F19" w:rsidRDefault="008F3F19"/>
    <w:p w14:paraId="1F67922A" w14:textId="77777777" w:rsidR="008F3F19" w:rsidRDefault="008F3F19"/>
    <w:p w14:paraId="1F67922B" w14:textId="77777777" w:rsidR="008F3F19" w:rsidRDefault="008F3F19"/>
    <w:p w14:paraId="1F67922C" w14:textId="77777777" w:rsidR="008F3F19" w:rsidRDefault="008F3F19"/>
    <w:p w14:paraId="1F67922D" w14:textId="77777777" w:rsidR="008F3F19" w:rsidRDefault="008F3F19"/>
    <w:p w14:paraId="1F67922E" w14:textId="77777777" w:rsidR="008F3F19" w:rsidRDefault="008F3F19"/>
    <w:p w14:paraId="1F67922F" w14:textId="77777777" w:rsidR="008F3F19" w:rsidRDefault="008F3F19"/>
    <w:p w14:paraId="1F679230" w14:textId="77777777" w:rsidR="008F3F19" w:rsidRDefault="008F3F19"/>
    <w:p w14:paraId="1F679231" w14:textId="77777777" w:rsidR="008F3F19" w:rsidRDefault="008F3F19"/>
    <w:p w14:paraId="1F679232" w14:textId="77777777" w:rsidR="008F3F19" w:rsidRDefault="008F3F19"/>
    <w:p w14:paraId="1F679233" w14:textId="77777777" w:rsidR="008F3F19" w:rsidRDefault="008F3F19"/>
    <w:p w14:paraId="1F679234" w14:textId="77777777" w:rsidR="008F3F19" w:rsidRDefault="008F3F19"/>
    <w:p w14:paraId="1F679235" w14:textId="77777777" w:rsidR="008F3F19" w:rsidRDefault="008F3F19"/>
    <w:p w14:paraId="1F679236" w14:textId="77777777" w:rsidR="008F3F19" w:rsidRDefault="008F3F19"/>
    <w:p w14:paraId="1F679237" w14:textId="77777777" w:rsidR="008F3F19" w:rsidRDefault="008F3F19"/>
    <w:p w14:paraId="1F679238" w14:textId="77777777" w:rsidR="008F3F19" w:rsidRDefault="008F3F19"/>
    <w:p w14:paraId="1F679239" w14:textId="77777777" w:rsidR="008F3F19" w:rsidRDefault="008F3F19"/>
    <w:p w14:paraId="1F67923A" w14:textId="77777777" w:rsidR="008F3F19" w:rsidRDefault="008F3F19"/>
    <w:p w14:paraId="1F67923B" w14:textId="77777777" w:rsidR="008F3F19" w:rsidRDefault="008F3F19"/>
    <w:p w14:paraId="1F67923C" w14:textId="77777777" w:rsidR="008F3F19" w:rsidRDefault="008F3F19"/>
    <w:p w14:paraId="1F67923D" w14:textId="77777777" w:rsidR="008F3F19" w:rsidRDefault="008F3F19"/>
    <w:p w14:paraId="1F67923E" w14:textId="77777777" w:rsidR="008F3F19" w:rsidRDefault="008F3F19"/>
    <w:p w14:paraId="1F67923F" w14:textId="77777777" w:rsidR="008F3F19" w:rsidRDefault="008F3F19"/>
    <w:p w14:paraId="1F679240" w14:textId="77777777" w:rsidR="008F3F19" w:rsidRDefault="008F3F19"/>
    <w:p w14:paraId="1F679241" w14:textId="77777777" w:rsidR="008F3F19" w:rsidRDefault="008F3F19"/>
    <w:p w14:paraId="1F679242" w14:textId="77777777" w:rsidR="008F3F19" w:rsidRDefault="008F3F19"/>
    <w:p w14:paraId="1F679243" w14:textId="77777777" w:rsidR="008F3F19" w:rsidRDefault="008F3F19"/>
    <w:p w14:paraId="1F679244" w14:textId="77777777" w:rsidR="008F3F19" w:rsidRDefault="008F3F19"/>
    <w:p w14:paraId="1F679245" w14:textId="77777777" w:rsidR="008F3F19" w:rsidRDefault="008F3F19"/>
    <w:p w14:paraId="1F679246" w14:textId="77777777" w:rsidR="008F3F19" w:rsidRDefault="008F3F19"/>
    <w:p w14:paraId="1F679249" w14:textId="77777777" w:rsidR="008F3F19" w:rsidRDefault="008634F4">
      <w:pPr>
        <w:rPr>
          <w:b/>
          <w:sz w:val="24"/>
          <w:szCs w:val="24"/>
        </w:rPr>
      </w:pPr>
      <w:r>
        <w:rPr>
          <w:b/>
          <w:sz w:val="24"/>
          <w:szCs w:val="24"/>
        </w:rPr>
        <w:t>Part A: Short Form Security Requirements</w:t>
      </w:r>
    </w:p>
    <w:p w14:paraId="1F67924A" w14:textId="77777777" w:rsidR="008F3F19" w:rsidRDefault="008F3F19">
      <w:pPr>
        <w:rPr>
          <w:sz w:val="24"/>
          <w:szCs w:val="24"/>
        </w:rPr>
      </w:pPr>
    </w:p>
    <w:p w14:paraId="1F67924B" w14:textId="77777777" w:rsidR="008F3F19" w:rsidRDefault="008634F4">
      <w:pPr>
        <w:numPr>
          <w:ilvl w:val="0"/>
          <w:numId w:val="2"/>
        </w:numPr>
        <w:rPr>
          <w:b/>
          <w:sz w:val="24"/>
          <w:szCs w:val="24"/>
        </w:rPr>
      </w:pPr>
      <w:r>
        <w:rPr>
          <w:b/>
          <w:sz w:val="24"/>
          <w:szCs w:val="24"/>
        </w:rPr>
        <w:t>Definitions</w:t>
      </w:r>
    </w:p>
    <w:p w14:paraId="1F67924C" w14:textId="77777777" w:rsidR="008F3F19" w:rsidRDefault="008F3F19">
      <w:pPr>
        <w:ind w:left="720"/>
        <w:rPr>
          <w:sz w:val="24"/>
          <w:szCs w:val="24"/>
        </w:rPr>
      </w:pPr>
    </w:p>
    <w:p w14:paraId="1F67924D" w14:textId="77777777" w:rsidR="008F3F19" w:rsidRDefault="008634F4">
      <w:pPr>
        <w:ind w:left="720"/>
        <w:rPr>
          <w:sz w:val="24"/>
          <w:szCs w:val="24"/>
        </w:rPr>
      </w:pPr>
      <w:r>
        <w:rPr>
          <w:sz w:val="24"/>
          <w:szCs w:val="24"/>
        </w:rPr>
        <w:t>1.1</w:t>
      </w:r>
      <w:r>
        <w:rPr>
          <w:sz w:val="24"/>
          <w:szCs w:val="24"/>
        </w:rPr>
        <w:tab/>
        <w:t xml:space="preserve">In this Schedule, the following words shall have the following </w:t>
      </w:r>
      <w:proofErr w:type="gramStart"/>
      <w:r>
        <w:rPr>
          <w:sz w:val="24"/>
          <w:szCs w:val="24"/>
        </w:rPr>
        <w:t>meanings</w:t>
      </w:r>
      <w:proofErr w:type="gramEnd"/>
      <w:r>
        <w:rPr>
          <w:sz w:val="24"/>
          <w:szCs w:val="24"/>
        </w:rPr>
        <w:t xml:space="preserve"> and they shall supplement Joint Schedule 1 (Definitions):</w:t>
      </w:r>
    </w:p>
    <w:p w14:paraId="1F67924E" w14:textId="77777777" w:rsidR="008F3F19" w:rsidRDefault="008F3F19">
      <w:pPr>
        <w:ind w:left="720"/>
        <w:rPr>
          <w:sz w:val="24"/>
          <w:szCs w:val="24"/>
        </w:rPr>
      </w:pPr>
    </w:p>
    <w:p w14:paraId="1F67924F" w14:textId="77777777" w:rsidR="008F3F19" w:rsidRDefault="008634F4">
      <w:pPr>
        <w:ind w:left="720"/>
        <w:rPr>
          <w:sz w:val="24"/>
          <w:szCs w:val="24"/>
        </w:rPr>
      </w:pPr>
      <w:r>
        <w:rPr>
          <w:b/>
          <w:sz w:val="24"/>
          <w:szCs w:val="24"/>
        </w:rPr>
        <w:t>"Breach of Security"</w:t>
      </w:r>
      <w:r>
        <w:rPr>
          <w:sz w:val="24"/>
          <w:szCs w:val="24"/>
        </w:rPr>
        <w:t xml:space="preserve"> - the occurrence of:</w:t>
      </w:r>
    </w:p>
    <w:p w14:paraId="1F679250" w14:textId="77777777" w:rsidR="008F3F19" w:rsidRDefault="008F3F19">
      <w:pPr>
        <w:ind w:left="720"/>
        <w:rPr>
          <w:sz w:val="24"/>
          <w:szCs w:val="24"/>
        </w:rPr>
      </w:pPr>
    </w:p>
    <w:p w14:paraId="1F679251" w14:textId="77777777" w:rsidR="008F3F19" w:rsidRDefault="008634F4">
      <w:pPr>
        <w:numPr>
          <w:ilvl w:val="0"/>
          <w:numId w:val="5"/>
        </w:numPr>
        <w:rPr>
          <w:sz w:val="24"/>
          <w:szCs w:val="24"/>
        </w:rPr>
      </w:pPr>
      <w:r>
        <w:rPr>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1F679252" w14:textId="77777777" w:rsidR="008F3F19" w:rsidRDefault="008F3F19">
      <w:pPr>
        <w:ind w:left="1440"/>
        <w:rPr>
          <w:sz w:val="24"/>
          <w:szCs w:val="24"/>
        </w:rPr>
      </w:pPr>
    </w:p>
    <w:p w14:paraId="1F679253" w14:textId="77777777" w:rsidR="008F3F19" w:rsidRDefault="008634F4">
      <w:pPr>
        <w:numPr>
          <w:ilvl w:val="0"/>
          <w:numId w:val="5"/>
        </w:numPr>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1F679254" w14:textId="77777777" w:rsidR="008F3F19" w:rsidRDefault="008634F4">
      <w:pPr>
        <w:ind w:left="1440"/>
        <w:rPr>
          <w:sz w:val="24"/>
          <w:szCs w:val="24"/>
        </w:rPr>
      </w:pPr>
      <w:r>
        <w:rPr>
          <w:sz w:val="24"/>
          <w:szCs w:val="24"/>
        </w:rPr>
        <w:t xml:space="preserve">in either case as more particularly set out in the Security Policy where the Buyer has required compliance therewith in accordance with paragraph </w:t>
      </w:r>
      <w:proofErr w:type="gramStart"/>
      <w:r>
        <w:rPr>
          <w:sz w:val="24"/>
          <w:szCs w:val="24"/>
        </w:rPr>
        <w:t>2.2;</w:t>
      </w:r>
      <w:proofErr w:type="gramEnd"/>
    </w:p>
    <w:p w14:paraId="1F679255" w14:textId="77777777" w:rsidR="008F3F19" w:rsidRDefault="008F3F19">
      <w:pPr>
        <w:ind w:left="720"/>
        <w:rPr>
          <w:sz w:val="24"/>
          <w:szCs w:val="24"/>
        </w:rPr>
      </w:pPr>
    </w:p>
    <w:p w14:paraId="1F679256" w14:textId="77777777" w:rsidR="008F3F19" w:rsidRDefault="008634F4">
      <w:pPr>
        <w:ind w:left="720"/>
        <w:rPr>
          <w:sz w:val="24"/>
          <w:szCs w:val="24"/>
        </w:rPr>
      </w:pPr>
      <w:r>
        <w:rPr>
          <w:b/>
          <w:sz w:val="24"/>
          <w:szCs w:val="24"/>
        </w:rPr>
        <w:t>"Security Management Plan</w:t>
      </w:r>
      <w:proofErr w:type="gramStart"/>
      <w:r>
        <w:rPr>
          <w:b/>
          <w:sz w:val="24"/>
          <w:szCs w:val="24"/>
        </w:rPr>
        <w:t xml:space="preserve">" </w:t>
      </w:r>
      <w:r>
        <w:rPr>
          <w:sz w:val="24"/>
          <w:szCs w:val="24"/>
        </w:rPr>
        <w:t xml:space="preserve"> -</w:t>
      </w:r>
      <w:proofErr w:type="gramEnd"/>
      <w:r>
        <w:rPr>
          <w:sz w:val="24"/>
          <w:szCs w:val="24"/>
        </w:rPr>
        <w:t xml:space="preserve"> the Supplier's security management plan prepared pursuant to this Schedule, a draft of which has been provided by the Supplier to the Buyer and as updated from time to time;</w:t>
      </w:r>
    </w:p>
    <w:p w14:paraId="1F679257" w14:textId="77777777" w:rsidR="008F3F19" w:rsidRDefault="008F3F19">
      <w:pPr>
        <w:rPr>
          <w:sz w:val="24"/>
          <w:szCs w:val="24"/>
        </w:rPr>
      </w:pPr>
    </w:p>
    <w:p w14:paraId="1F679258" w14:textId="77777777" w:rsidR="008F3F19" w:rsidRDefault="008634F4">
      <w:pPr>
        <w:rPr>
          <w:b/>
          <w:sz w:val="24"/>
          <w:szCs w:val="24"/>
        </w:rPr>
      </w:pPr>
      <w:r>
        <w:rPr>
          <w:b/>
          <w:sz w:val="24"/>
          <w:szCs w:val="24"/>
        </w:rPr>
        <w:t>2. Complying with security requirements and updates to them</w:t>
      </w:r>
    </w:p>
    <w:p w14:paraId="1F679259" w14:textId="77777777" w:rsidR="008F3F19" w:rsidRDefault="008F3F19">
      <w:pPr>
        <w:ind w:left="720"/>
        <w:rPr>
          <w:b/>
          <w:sz w:val="24"/>
          <w:szCs w:val="24"/>
        </w:rPr>
      </w:pPr>
    </w:p>
    <w:p w14:paraId="1F67925A" w14:textId="77777777" w:rsidR="008F3F19" w:rsidRDefault="008634F4">
      <w:pPr>
        <w:rPr>
          <w:sz w:val="24"/>
          <w:szCs w:val="24"/>
        </w:rPr>
      </w:pPr>
      <w:r>
        <w:rPr>
          <w:b/>
          <w:sz w:val="24"/>
          <w:szCs w:val="24"/>
        </w:rPr>
        <w:t>2.1</w:t>
      </w:r>
      <w:r>
        <w:rPr>
          <w:sz w:val="24"/>
          <w:szCs w:val="24"/>
        </w:rPr>
        <w:t xml:space="preserve"> The Buyer and the Supplier recognise that, where specified in DPS Schedule 4 (DPS Management), CCS shall have the right to enforce the Buyer's rights under this Schedule.</w:t>
      </w:r>
    </w:p>
    <w:p w14:paraId="1F67925B" w14:textId="77777777" w:rsidR="008F3F19" w:rsidRDefault="008F3F19">
      <w:pPr>
        <w:rPr>
          <w:sz w:val="24"/>
          <w:szCs w:val="24"/>
        </w:rPr>
      </w:pPr>
    </w:p>
    <w:p w14:paraId="1F67925C" w14:textId="77777777" w:rsidR="008F3F19" w:rsidRDefault="008634F4">
      <w:pPr>
        <w:rPr>
          <w:sz w:val="24"/>
          <w:szCs w:val="24"/>
        </w:rPr>
      </w:pPr>
      <w:r>
        <w:rPr>
          <w:b/>
          <w:sz w:val="24"/>
          <w:szCs w:val="24"/>
        </w:rPr>
        <w:t>2.2</w:t>
      </w:r>
      <w:r>
        <w:rPr>
          <w:sz w:val="24"/>
          <w:szCs w:val="24"/>
        </w:rPr>
        <w:t xml:space="preserve"> 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1F67925D" w14:textId="77777777" w:rsidR="008F3F19" w:rsidRDefault="008F3F19">
      <w:pPr>
        <w:rPr>
          <w:sz w:val="24"/>
          <w:szCs w:val="24"/>
        </w:rPr>
      </w:pPr>
    </w:p>
    <w:p w14:paraId="1F67925E" w14:textId="77777777" w:rsidR="008F3F19" w:rsidRDefault="008634F4">
      <w:pPr>
        <w:rPr>
          <w:sz w:val="24"/>
          <w:szCs w:val="24"/>
        </w:rPr>
      </w:pPr>
      <w:r>
        <w:rPr>
          <w:b/>
          <w:sz w:val="24"/>
          <w:szCs w:val="24"/>
        </w:rPr>
        <w:t>2.3</w:t>
      </w:r>
      <w:r>
        <w:rPr>
          <w:sz w:val="24"/>
          <w:szCs w:val="24"/>
        </w:rPr>
        <w:t xml:space="preserve"> Where the Security Policy applies the Buyer shall notify the Supplier of any changes or proposed changes to the Security Policy.</w:t>
      </w:r>
    </w:p>
    <w:p w14:paraId="1F67925F" w14:textId="77777777" w:rsidR="008F3F19" w:rsidRDefault="008F3F19">
      <w:pPr>
        <w:rPr>
          <w:sz w:val="24"/>
          <w:szCs w:val="24"/>
        </w:rPr>
      </w:pPr>
    </w:p>
    <w:p w14:paraId="1F679260" w14:textId="77777777" w:rsidR="008F3F19" w:rsidRDefault="008634F4">
      <w:pPr>
        <w:rPr>
          <w:sz w:val="24"/>
          <w:szCs w:val="24"/>
        </w:rPr>
      </w:pPr>
      <w:r>
        <w:rPr>
          <w:b/>
          <w:sz w:val="24"/>
          <w:szCs w:val="24"/>
        </w:rPr>
        <w:lastRenderedPageBreak/>
        <w:t>2.4</w:t>
      </w:r>
      <w:r>
        <w:rPr>
          <w:sz w:val="24"/>
          <w:szCs w:val="24"/>
        </w:rPr>
        <w:t xml:space="preserve"> 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F679261" w14:textId="77777777" w:rsidR="008F3F19" w:rsidRDefault="008634F4">
      <w:pPr>
        <w:rPr>
          <w:sz w:val="24"/>
          <w:szCs w:val="24"/>
        </w:rPr>
      </w:pPr>
      <w:r>
        <w:rPr>
          <w:b/>
          <w:sz w:val="24"/>
          <w:szCs w:val="24"/>
        </w:rPr>
        <w:t>2.5</w:t>
      </w:r>
      <w:r>
        <w:rPr>
          <w:sz w:val="24"/>
          <w:szCs w:val="24"/>
        </w:rPr>
        <w:t xml:space="preserve"> Until and/or unless a change to the Charges is agreed by the Buyer pursuant to the Variation Procedure the Supplier shall continue to provide the Deliverables in accordance with its existing obligations.</w:t>
      </w:r>
    </w:p>
    <w:p w14:paraId="1F679262" w14:textId="77777777" w:rsidR="008F3F19" w:rsidRDefault="008F3F19">
      <w:pPr>
        <w:rPr>
          <w:sz w:val="24"/>
          <w:szCs w:val="24"/>
        </w:rPr>
      </w:pPr>
    </w:p>
    <w:p w14:paraId="1F679263" w14:textId="77777777" w:rsidR="008F3F19" w:rsidRDefault="008F3F19">
      <w:pPr>
        <w:rPr>
          <w:sz w:val="24"/>
          <w:szCs w:val="24"/>
        </w:rPr>
      </w:pPr>
    </w:p>
    <w:p w14:paraId="1F679264" w14:textId="77777777" w:rsidR="008F3F19" w:rsidRDefault="008634F4">
      <w:pPr>
        <w:rPr>
          <w:b/>
          <w:sz w:val="24"/>
          <w:szCs w:val="24"/>
        </w:rPr>
      </w:pPr>
      <w:r>
        <w:rPr>
          <w:b/>
          <w:sz w:val="24"/>
          <w:szCs w:val="24"/>
        </w:rPr>
        <w:t>3. Security Standards</w:t>
      </w:r>
    </w:p>
    <w:p w14:paraId="1F679265" w14:textId="77777777" w:rsidR="008F3F19" w:rsidRDefault="008F3F19">
      <w:pPr>
        <w:rPr>
          <w:b/>
          <w:sz w:val="24"/>
          <w:szCs w:val="24"/>
        </w:rPr>
      </w:pPr>
    </w:p>
    <w:p w14:paraId="1F679266" w14:textId="77777777" w:rsidR="008F3F19" w:rsidRDefault="008634F4">
      <w:pPr>
        <w:ind w:left="720"/>
        <w:rPr>
          <w:sz w:val="24"/>
          <w:szCs w:val="24"/>
        </w:rPr>
      </w:pPr>
      <w:r>
        <w:rPr>
          <w:b/>
          <w:sz w:val="24"/>
          <w:szCs w:val="24"/>
        </w:rPr>
        <w:t>3.1</w:t>
      </w:r>
      <w:r>
        <w:rPr>
          <w:sz w:val="24"/>
          <w:szCs w:val="24"/>
        </w:rPr>
        <w:t xml:space="preserve"> The Supplier acknowledges that the Buyer places great emphasis on the reliability of the performance of the Deliverables, confidentiality, integrity and availability of information and consequently on security.</w:t>
      </w:r>
    </w:p>
    <w:p w14:paraId="1F679267" w14:textId="77777777" w:rsidR="008F3F19" w:rsidRDefault="008F3F19">
      <w:pPr>
        <w:ind w:left="720"/>
        <w:rPr>
          <w:sz w:val="24"/>
          <w:szCs w:val="24"/>
        </w:rPr>
      </w:pPr>
    </w:p>
    <w:p w14:paraId="1F679268" w14:textId="77777777" w:rsidR="008F3F19" w:rsidRDefault="008634F4">
      <w:pPr>
        <w:ind w:left="720"/>
        <w:rPr>
          <w:sz w:val="24"/>
          <w:szCs w:val="24"/>
        </w:rPr>
      </w:pPr>
      <w:r>
        <w:rPr>
          <w:b/>
          <w:sz w:val="24"/>
          <w:szCs w:val="24"/>
        </w:rPr>
        <w:t xml:space="preserve">3.2 </w:t>
      </w:r>
      <w:r>
        <w:rPr>
          <w:sz w:val="24"/>
          <w:szCs w:val="24"/>
        </w:rPr>
        <w:t xml:space="preserve">The Supplier shall be responsible for the effective performance of its security obligations and shall </w:t>
      </w:r>
      <w:proofErr w:type="gramStart"/>
      <w:r>
        <w:rPr>
          <w:sz w:val="24"/>
          <w:szCs w:val="24"/>
        </w:rPr>
        <w:t>at all times</w:t>
      </w:r>
      <w:proofErr w:type="gramEnd"/>
      <w:r>
        <w:rPr>
          <w:sz w:val="24"/>
          <w:szCs w:val="24"/>
        </w:rPr>
        <w:t xml:space="preserve"> provide a level of security which:</w:t>
      </w:r>
    </w:p>
    <w:p w14:paraId="1F679269" w14:textId="77777777" w:rsidR="008F3F19" w:rsidRDefault="008F3F19">
      <w:pPr>
        <w:ind w:left="720"/>
        <w:rPr>
          <w:sz w:val="24"/>
          <w:szCs w:val="24"/>
        </w:rPr>
      </w:pPr>
    </w:p>
    <w:p w14:paraId="1F67926A" w14:textId="77777777" w:rsidR="008F3F19" w:rsidRDefault="008634F4">
      <w:pPr>
        <w:ind w:left="720"/>
        <w:rPr>
          <w:sz w:val="24"/>
          <w:szCs w:val="24"/>
        </w:rPr>
      </w:pPr>
      <w:r>
        <w:rPr>
          <w:b/>
          <w:sz w:val="24"/>
          <w:szCs w:val="24"/>
        </w:rPr>
        <w:t>3.2.1</w:t>
      </w:r>
      <w:r>
        <w:rPr>
          <w:sz w:val="24"/>
          <w:szCs w:val="24"/>
        </w:rPr>
        <w:t xml:space="preserve"> is in accordance with the Law and this </w:t>
      </w:r>
      <w:proofErr w:type="gramStart"/>
      <w:r>
        <w:rPr>
          <w:sz w:val="24"/>
          <w:szCs w:val="24"/>
        </w:rPr>
        <w:t>Contract;</w:t>
      </w:r>
      <w:proofErr w:type="gramEnd"/>
      <w:r>
        <w:rPr>
          <w:sz w:val="24"/>
          <w:szCs w:val="24"/>
        </w:rPr>
        <w:t xml:space="preserve"> </w:t>
      </w:r>
    </w:p>
    <w:p w14:paraId="1F67926B" w14:textId="77777777" w:rsidR="008F3F19" w:rsidRDefault="008F3F19">
      <w:pPr>
        <w:ind w:left="720"/>
        <w:rPr>
          <w:sz w:val="24"/>
          <w:szCs w:val="24"/>
        </w:rPr>
      </w:pPr>
    </w:p>
    <w:p w14:paraId="1F67926C" w14:textId="77777777" w:rsidR="008F3F19" w:rsidRDefault="008634F4">
      <w:pPr>
        <w:ind w:left="720"/>
        <w:rPr>
          <w:sz w:val="24"/>
          <w:szCs w:val="24"/>
        </w:rPr>
      </w:pPr>
      <w:r>
        <w:rPr>
          <w:b/>
          <w:sz w:val="24"/>
          <w:szCs w:val="24"/>
        </w:rPr>
        <w:t>3.2.2</w:t>
      </w:r>
      <w:r>
        <w:rPr>
          <w:sz w:val="24"/>
          <w:szCs w:val="24"/>
        </w:rPr>
        <w:t xml:space="preserve"> as a minimum demonstrates Good Industry </w:t>
      </w:r>
      <w:proofErr w:type="gramStart"/>
      <w:r>
        <w:rPr>
          <w:sz w:val="24"/>
          <w:szCs w:val="24"/>
        </w:rPr>
        <w:t>Practice;</w:t>
      </w:r>
      <w:proofErr w:type="gramEnd"/>
    </w:p>
    <w:p w14:paraId="1F67926D" w14:textId="77777777" w:rsidR="008F3F19" w:rsidRDefault="008F3F19">
      <w:pPr>
        <w:ind w:left="720"/>
        <w:rPr>
          <w:sz w:val="24"/>
          <w:szCs w:val="24"/>
        </w:rPr>
      </w:pPr>
    </w:p>
    <w:p w14:paraId="1F67926E" w14:textId="77777777" w:rsidR="008F3F19" w:rsidRDefault="008634F4">
      <w:pPr>
        <w:ind w:left="720"/>
        <w:rPr>
          <w:sz w:val="24"/>
          <w:szCs w:val="24"/>
        </w:rPr>
      </w:pPr>
      <w:r>
        <w:rPr>
          <w:b/>
          <w:sz w:val="24"/>
          <w:szCs w:val="24"/>
        </w:rPr>
        <w:t>3.2.3</w:t>
      </w:r>
      <w:r>
        <w:rPr>
          <w:sz w:val="24"/>
          <w:szCs w:val="24"/>
        </w:rPr>
        <w:t xml:space="preserve"> meets any specific security threats of immediate relevance to the Deliverables and/or the Government Data; and</w:t>
      </w:r>
    </w:p>
    <w:p w14:paraId="1F67926F" w14:textId="77777777" w:rsidR="008F3F19" w:rsidRDefault="008F3F19">
      <w:pPr>
        <w:ind w:left="720"/>
        <w:rPr>
          <w:sz w:val="24"/>
          <w:szCs w:val="24"/>
        </w:rPr>
      </w:pPr>
    </w:p>
    <w:p w14:paraId="1F679270" w14:textId="77777777" w:rsidR="008F3F19" w:rsidRDefault="008634F4">
      <w:pPr>
        <w:ind w:left="720"/>
        <w:rPr>
          <w:sz w:val="24"/>
          <w:szCs w:val="24"/>
        </w:rPr>
      </w:pPr>
      <w:r>
        <w:rPr>
          <w:b/>
          <w:sz w:val="24"/>
          <w:szCs w:val="24"/>
        </w:rPr>
        <w:t>3.2.4</w:t>
      </w:r>
      <w:r>
        <w:rPr>
          <w:sz w:val="24"/>
          <w:szCs w:val="24"/>
        </w:rPr>
        <w:t xml:space="preserve"> where specified by the Buyer in accordance with paragraph 2.2 complies with the Security Policy and the ICT Policy.</w:t>
      </w:r>
    </w:p>
    <w:p w14:paraId="1F679271" w14:textId="77777777" w:rsidR="008F3F19" w:rsidRDefault="008F3F19">
      <w:pPr>
        <w:ind w:left="720"/>
        <w:rPr>
          <w:sz w:val="24"/>
          <w:szCs w:val="24"/>
        </w:rPr>
      </w:pPr>
    </w:p>
    <w:p w14:paraId="1F679272" w14:textId="77777777" w:rsidR="008F3F19" w:rsidRDefault="008634F4">
      <w:pPr>
        <w:ind w:left="720"/>
        <w:rPr>
          <w:sz w:val="24"/>
          <w:szCs w:val="24"/>
        </w:rPr>
      </w:pPr>
      <w:r>
        <w:rPr>
          <w:b/>
          <w:sz w:val="24"/>
          <w:szCs w:val="24"/>
        </w:rPr>
        <w:t>3.3</w:t>
      </w:r>
      <w:r>
        <w:rPr>
          <w:sz w:val="24"/>
          <w:szCs w:val="24"/>
        </w:rPr>
        <w:t xml:space="preserve"> The references to standards, guidance and policies contained or set out in Paragraph </w:t>
      </w:r>
    </w:p>
    <w:p w14:paraId="1F679273" w14:textId="77777777" w:rsidR="008F3F19" w:rsidRDefault="008F3F19">
      <w:pPr>
        <w:ind w:left="720"/>
        <w:rPr>
          <w:sz w:val="24"/>
          <w:szCs w:val="24"/>
        </w:rPr>
      </w:pPr>
    </w:p>
    <w:p w14:paraId="1F679274" w14:textId="77777777" w:rsidR="008F3F19" w:rsidRDefault="008634F4">
      <w:pPr>
        <w:ind w:left="720"/>
        <w:rPr>
          <w:sz w:val="24"/>
          <w:szCs w:val="24"/>
        </w:rPr>
      </w:pPr>
      <w:r>
        <w:rPr>
          <w:b/>
          <w:sz w:val="24"/>
          <w:szCs w:val="24"/>
        </w:rPr>
        <w:t>3.2</w:t>
      </w:r>
      <w:r>
        <w:rPr>
          <w:sz w:val="24"/>
          <w:szCs w:val="24"/>
        </w:rPr>
        <w:t xml:space="preserve"> shall be deemed to be references to such items as developed and updated and to any successor to or replacement for such standards, guidance and policies, as notified to the Supplier from time to time.</w:t>
      </w:r>
    </w:p>
    <w:p w14:paraId="1F679275" w14:textId="77777777" w:rsidR="008F3F19" w:rsidRDefault="008F3F19">
      <w:pPr>
        <w:ind w:left="720"/>
        <w:rPr>
          <w:sz w:val="24"/>
          <w:szCs w:val="24"/>
        </w:rPr>
      </w:pPr>
    </w:p>
    <w:p w14:paraId="1F679276" w14:textId="77777777" w:rsidR="008F3F19" w:rsidRDefault="008F3F19">
      <w:pPr>
        <w:ind w:left="720"/>
        <w:rPr>
          <w:b/>
          <w:sz w:val="24"/>
          <w:szCs w:val="24"/>
        </w:rPr>
      </w:pPr>
    </w:p>
    <w:p w14:paraId="1F679277" w14:textId="77777777" w:rsidR="008F3F19" w:rsidRDefault="008F3F19">
      <w:pPr>
        <w:ind w:left="720"/>
        <w:rPr>
          <w:b/>
          <w:sz w:val="24"/>
          <w:szCs w:val="24"/>
        </w:rPr>
      </w:pPr>
    </w:p>
    <w:p w14:paraId="1F679278" w14:textId="77777777" w:rsidR="008F3F19" w:rsidRDefault="008F3F19">
      <w:pPr>
        <w:ind w:left="720"/>
        <w:rPr>
          <w:b/>
          <w:sz w:val="24"/>
          <w:szCs w:val="24"/>
        </w:rPr>
      </w:pPr>
    </w:p>
    <w:p w14:paraId="1F679279" w14:textId="77777777" w:rsidR="008F3F19" w:rsidRDefault="008634F4">
      <w:pPr>
        <w:ind w:left="720"/>
        <w:rPr>
          <w:sz w:val="24"/>
          <w:szCs w:val="24"/>
        </w:rPr>
      </w:pPr>
      <w:r>
        <w:rPr>
          <w:b/>
          <w:sz w:val="24"/>
          <w:szCs w:val="24"/>
        </w:rPr>
        <w:t>3.4</w:t>
      </w:r>
      <w:r>
        <w:rPr>
          <w:sz w:val="24"/>
          <w:szCs w:val="24"/>
        </w:rPr>
        <w:t xml:space="preserve"> In the event of any inconsistency in the provisions of the above standards, guidance and policies, the Supplier should notify the Buyer's Representative of such inconsistency immediately upon becoming aware of the same, and </w:t>
      </w:r>
      <w:r>
        <w:rPr>
          <w:sz w:val="24"/>
          <w:szCs w:val="24"/>
        </w:rPr>
        <w:lastRenderedPageBreak/>
        <w:t>the Buyer's Representative shall, as soon as practicable, advise the Supplier which provision the Supplier shall be required to comply with.</w:t>
      </w:r>
    </w:p>
    <w:p w14:paraId="1F67927A" w14:textId="77777777" w:rsidR="008F3F19" w:rsidRDefault="008F3F19">
      <w:pPr>
        <w:rPr>
          <w:sz w:val="24"/>
          <w:szCs w:val="24"/>
        </w:rPr>
      </w:pPr>
    </w:p>
    <w:p w14:paraId="1F67927B" w14:textId="77777777" w:rsidR="008F3F19" w:rsidRDefault="008634F4">
      <w:pPr>
        <w:rPr>
          <w:b/>
          <w:sz w:val="24"/>
          <w:szCs w:val="24"/>
        </w:rPr>
      </w:pPr>
      <w:r>
        <w:rPr>
          <w:b/>
          <w:sz w:val="24"/>
          <w:szCs w:val="24"/>
        </w:rPr>
        <w:t>4.</w:t>
      </w:r>
      <w:r>
        <w:rPr>
          <w:b/>
          <w:sz w:val="24"/>
          <w:szCs w:val="24"/>
        </w:rPr>
        <w:tab/>
        <w:t>Security Management Plan</w:t>
      </w:r>
    </w:p>
    <w:p w14:paraId="1F67927C" w14:textId="77777777" w:rsidR="008F3F19" w:rsidRDefault="008F3F19">
      <w:pPr>
        <w:rPr>
          <w:b/>
          <w:sz w:val="24"/>
          <w:szCs w:val="24"/>
        </w:rPr>
      </w:pPr>
    </w:p>
    <w:p w14:paraId="1F67927D" w14:textId="77777777" w:rsidR="008F3F19" w:rsidRDefault="008634F4">
      <w:pPr>
        <w:ind w:left="720"/>
        <w:rPr>
          <w:sz w:val="24"/>
          <w:szCs w:val="24"/>
        </w:rPr>
      </w:pPr>
      <w:r>
        <w:rPr>
          <w:b/>
          <w:sz w:val="24"/>
          <w:szCs w:val="24"/>
        </w:rPr>
        <w:t>4.1</w:t>
      </w:r>
      <w:r>
        <w:rPr>
          <w:sz w:val="24"/>
          <w:szCs w:val="24"/>
        </w:rPr>
        <w:t xml:space="preserve"> Introduction</w:t>
      </w:r>
    </w:p>
    <w:p w14:paraId="1F67927E" w14:textId="77777777" w:rsidR="008F3F19" w:rsidRDefault="008F3F19">
      <w:pPr>
        <w:ind w:left="720"/>
        <w:rPr>
          <w:sz w:val="24"/>
          <w:szCs w:val="24"/>
        </w:rPr>
      </w:pPr>
    </w:p>
    <w:p w14:paraId="1F67927F" w14:textId="77777777" w:rsidR="008F3F19" w:rsidRDefault="008634F4">
      <w:pPr>
        <w:ind w:left="720"/>
        <w:rPr>
          <w:sz w:val="24"/>
          <w:szCs w:val="24"/>
        </w:rPr>
      </w:pPr>
      <w:r>
        <w:rPr>
          <w:b/>
          <w:sz w:val="24"/>
          <w:szCs w:val="24"/>
        </w:rPr>
        <w:t>4.1.1</w:t>
      </w:r>
      <w:r>
        <w:rPr>
          <w:sz w:val="24"/>
          <w:szCs w:val="24"/>
        </w:rPr>
        <w:t xml:space="preserve"> The Supplier shall develop and maintain a Security Management Plan in accordance with this Schedule. The Supplier shall thereafter comply with its obligations set out in the Security Management Plan.</w:t>
      </w:r>
    </w:p>
    <w:p w14:paraId="1F679280" w14:textId="77777777" w:rsidR="008F3F19" w:rsidRDefault="008F3F19">
      <w:pPr>
        <w:ind w:left="720"/>
        <w:rPr>
          <w:sz w:val="24"/>
          <w:szCs w:val="24"/>
        </w:rPr>
      </w:pPr>
    </w:p>
    <w:p w14:paraId="1F679281" w14:textId="77777777" w:rsidR="008F3F19" w:rsidRDefault="008634F4">
      <w:pPr>
        <w:ind w:left="720"/>
        <w:rPr>
          <w:sz w:val="24"/>
          <w:szCs w:val="24"/>
        </w:rPr>
      </w:pPr>
      <w:r>
        <w:rPr>
          <w:b/>
          <w:sz w:val="24"/>
          <w:szCs w:val="24"/>
        </w:rPr>
        <w:t>4.2</w:t>
      </w:r>
      <w:r>
        <w:rPr>
          <w:sz w:val="24"/>
          <w:szCs w:val="24"/>
        </w:rPr>
        <w:t xml:space="preserve"> Content of the Security Management Plan</w:t>
      </w:r>
    </w:p>
    <w:p w14:paraId="1F679282" w14:textId="77777777" w:rsidR="008F3F19" w:rsidRDefault="008F3F19">
      <w:pPr>
        <w:ind w:left="720"/>
        <w:rPr>
          <w:sz w:val="24"/>
          <w:szCs w:val="24"/>
        </w:rPr>
      </w:pPr>
    </w:p>
    <w:p w14:paraId="1F679283" w14:textId="77777777" w:rsidR="008F3F19" w:rsidRDefault="008634F4">
      <w:pPr>
        <w:ind w:left="720"/>
        <w:rPr>
          <w:sz w:val="24"/>
          <w:szCs w:val="24"/>
        </w:rPr>
      </w:pPr>
      <w:r>
        <w:rPr>
          <w:b/>
          <w:sz w:val="24"/>
          <w:szCs w:val="24"/>
        </w:rPr>
        <w:t>4.2.1</w:t>
      </w:r>
      <w:r>
        <w:rPr>
          <w:sz w:val="24"/>
          <w:szCs w:val="24"/>
        </w:rPr>
        <w:t xml:space="preserve"> The Security Management Plan shall:</w:t>
      </w:r>
    </w:p>
    <w:p w14:paraId="1F679284" w14:textId="77777777" w:rsidR="008F3F19" w:rsidRDefault="008634F4">
      <w:pPr>
        <w:ind w:left="720"/>
        <w:rPr>
          <w:sz w:val="24"/>
          <w:szCs w:val="24"/>
        </w:rPr>
      </w:pPr>
      <w:r>
        <w:rPr>
          <w:sz w:val="24"/>
          <w:szCs w:val="24"/>
        </w:rPr>
        <w:t xml:space="preserve">(a) comply with the principles of security set out in Paragraph 3 and any other provisions of this Contract relevant to </w:t>
      </w:r>
      <w:proofErr w:type="gramStart"/>
      <w:r>
        <w:rPr>
          <w:sz w:val="24"/>
          <w:szCs w:val="24"/>
        </w:rPr>
        <w:t>security;</w:t>
      </w:r>
      <w:proofErr w:type="gramEnd"/>
    </w:p>
    <w:p w14:paraId="1F679285" w14:textId="77777777" w:rsidR="008F3F19" w:rsidRDefault="008F3F19">
      <w:pPr>
        <w:ind w:left="720"/>
        <w:rPr>
          <w:sz w:val="24"/>
          <w:szCs w:val="24"/>
        </w:rPr>
      </w:pPr>
    </w:p>
    <w:p w14:paraId="1F679286" w14:textId="77777777" w:rsidR="008F3F19" w:rsidRDefault="008634F4">
      <w:pPr>
        <w:ind w:left="720"/>
        <w:rPr>
          <w:sz w:val="24"/>
          <w:szCs w:val="24"/>
        </w:rPr>
      </w:pPr>
      <w:r>
        <w:rPr>
          <w:sz w:val="24"/>
          <w:szCs w:val="24"/>
        </w:rPr>
        <w:t xml:space="preserve">(b) identify the necessary delegated organisational roles for those responsible for ensuring it is complied with by the </w:t>
      </w:r>
      <w:proofErr w:type="gramStart"/>
      <w:r>
        <w:rPr>
          <w:sz w:val="24"/>
          <w:szCs w:val="24"/>
        </w:rPr>
        <w:t>Supplier;</w:t>
      </w:r>
      <w:proofErr w:type="gramEnd"/>
    </w:p>
    <w:p w14:paraId="1F679287" w14:textId="77777777" w:rsidR="008F3F19" w:rsidRDefault="008F3F19">
      <w:pPr>
        <w:ind w:left="720"/>
        <w:rPr>
          <w:sz w:val="24"/>
          <w:szCs w:val="24"/>
        </w:rPr>
      </w:pPr>
    </w:p>
    <w:p w14:paraId="1F679288" w14:textId="77777777" w:rsidR="008F3F19" w:rsidRDefault="008634F4">
      <w:pPr>
        <w:ind w:left="720"/>
        <w:rPr>
          <w:sz w:val="24"/>
          <w:szCs w:val="24"/>
        </w:rPr>
      </w:pPr>
      <w:r>
        <w:rPr>
          <w:sz w:val="24"/>
          <w:szCs w:val="24"/>
        </w:rPr>
        <w:t>(c) 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F679289" w14:textId="77777777" w:rsidR="008F3F19" w:rsidRDefault="008F3F19">
      <w:pPr>
        <w:ind w:left="720"/>
        <w:rPr>
          <w:sz w:val="24"/>
          <w:szCs w:val="24"/>
        </w:rPr>
      </w:pPr>
    </w:p>
    <w:p w14:paraId="1F67928A" w14:textId="77777777" w:rsidR="008F3F19" w:rsidRDefault="008634F4">
      <w:pPr>
        <w:ind w:left="720"/>
        <w:rPr>
          <w:sz w:val="24"/>
          <w:szCs w:val="24"/>
        </w:rPr>
      </w:pPr>
      <w:r>
        <w:rPr>
          <w:sz w:val="24"/>
          <w:szCs w:val="24"/>
        </w:rPr>
        <w:t>(d) 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1F67928B" w14:textId="77777777" w:rsidR="008F3F19" w:rsidRDefault="008F3F19">
      <w:pPr>
        <w:ind w:left="720"/>
        <w:rPr>
          <w:sz w:val="24"/>
          <w:szCs w:val="24"/>
        </w:rPr>
      </w:pPr>
    </w:p>
    <w:p w14:paraId="1F67928C" w14:textId="77777777" w:rsidR="008F3F19" w:rsidRDefault="008634F4">
      <w:pPr>
        <w:ind w:left="720"/>
        <w:rPr>
          <w:sz w:val="24"/>
          <w:szCs w:val="24"/>
        </w:rPr>
      </w:pPr>
      <w:r>
        <w:rPr>
          <w:sz w:val="24"/>
          <w:szCs w:val="24"/>
        </w:rPr>
        <w:t xml:space="preserve">(e) 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Pr>
          <w:sz w:val="24"/>
          <w:szCs w:val="24"/>
        </w:rPr>
        <w:t>Contract;</w:t>
      </w:r>
      <w:proofErr w:type="gramEnd"/>
    </w:p>
    <w:p w14:paraId="1F67928D" w14:textId="77777777" w:rsidR="008F3F19" w:rsidRDefault="008F3F19">
      <w:pPr>
        <w:ind w:left="720"/>
        <w:rPr>
          <w:sz w:val="24"/>
          <w:szCs w:val="24"/>
        </w:rPr>
      </w:pPr>
    </w:p>
    <w:p w14:paraId="1F67928E" w14:textId="77777777" w:rsidR="008F3F19" w:rsidRDefault="008634F4">
      <w:pPr>
        <w:ind w:left="720"/>
        <w:rPr>
          <w:sz w:val="24"/>
          <w:szCs w:val="24"/>
        </w:rPr>
      </w:pPr>
      <w:r>
        <w:rPr>
          <w:sz w:val="24"/>
          <w:szCs w:val="24"/>
        </w:rPr>
        <w:lastRenderedPageBreak/>
        <w:t>(f) set out the plans for transitioning all security arrangements and responsibilities for the Supplier to meet the full obligations of the security requirements set out in this Contract and, where necessary in accordance with paragraph 2.2 the Security Policy; and</w:t>
      </w:r>
    </w:p>
    <w:p w14:paraId="1F67928F" w14:textId="77777777" w:rsidR="008F3F19" w:rsidRDefault="008F3F19">
      <w:pPr>
        <w:ind w:left="720"/>
        <w:rPr>
          <w:sz w:val="24"/>
          <w:szCs w:val="24"/>
        </w:rPr>
      </w:pPr>
    </w:p>
    <w:p w14:paraId="1F679290" w14:textId="77777777" w:rsidR="008F3F19" w:rsidRDefault="008634F4">
      <w:pPr>
        <w:ind w:left="720"/>
        <w:rPr>
          <w:sz w:val="24"/>
          <w:szCs w:val="24"/>
        </w:rPr>
      </w:pPr>
      <w:r>
        <w:rPr>
          <w:sz w:val="24"/>
          <w:szCs w:val="24"/>
        </w:rPr>
        <w:t>(g) 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1F679291" w14:textId="77777777" w:rsidR="008F3F19" w:rsidRDefault="008F3F19">
      <w:pPr>
        <w:ind w:left="720"/>
        <w:rPr>
          <w:sz w:val="24"/>
          <w:szCs w:val="24"/>
        </w:rPr>
      </w:pPr>
    </w:p>
    <w:p w14:paraId="1F679292" w14:textId="77777777" w:rsidR="008F3F19" w:rsidRDefault="008634F4">
      <w:pPr>
        <w:rPr>
          <w:b/>
          <w:sz w:val="24"/>
          <w:szCs w:val="24"/>
        </w:rPr>
      </w:pPr>
      <w:r>
        <w:rPr>
          <w:b/>
          <w:sz w:val="24"/>
          <w:szCs w:val="24"/>
        </w:rPr>
        <w:t>5.</w:t>
      </w:r>
      <w:r>
        <w:rPr>
          <w:b/>
          <w:sz w:val="24"/>
          <w:szCs w:val="24"/>
        </w:rPr>
        <w:tab/>
        <w:t>Security breach</w:t>
      </w:r>
    </w:p>
    <w:p w14:paraId="1F679293" w14:textId="77777777" w:rsidR="008F3F19" w:rsidRDefault="008F3F19">
      <w:pPr>
        <w:rPr>
          <w:b/>
          <w:sz w:val="24"/>
          <w:szCs w:val="24"/>
        </w:rPr>
      </w:pPr>
    </w:p>
    <w:p w14:paraId="1F679294" w14:textId="77777777" w:rsidR="008F3F19" w:rsidRDefault="008634F4">
      <w:pPr>
        <w:ind w:left="720"/>
        <w:rPr>
          <w:sz w:val="24"/>
          <w:szCs w:val="24"/>
        </w:rPr>
      </w:pPr>
      <w:r>
        <w:rPr>
          <w:b/>
          <w:sz w:val="24"/>
          <w:szCs w:val="24"/>
        </w:rPr>
        <w:t>5.1</w:t>
      </w:r>
      <w:r>
        <w:rPr>
          <w:sz w:val="24"/>
          <w:szCs w:val="24"/>
        </w:rPr>
        <w:t xml:space="preserve"> Either Party shall notify the other in accordance with the agreed security incident management process (as detailed in the Security Management Plan) upon becoming aware of any Breach of Security or any potential or attempted Breach of Security.</w:t>
      </w:r>
    </w:p>
    <w:p w14:paraId="1F679295" w14:textId="77777777" w:rsidR="008F3F19" w:rsidRDefault="008F3F19">
      <w:pPr>
        <w:ind w:left="720"/>
        <w:rPr>
          <w:sz w:val="24"/>
          <w:szCs w:val="24"/>
        </w:rPr>
      </w:pPr>
    </w:p>
    <w:p w14:paraId="1F679296" w14:textId="77777777" w:rsidR="008F3F19" w:rsidRDefault="008634F4">
      <w:pPr>
        <w:ind w:left="720"/>
        <w:rPr>
          <w:sz w:val="24"/>
          <w:szCs w:val="24"/>
        </w:rPr>
      </w:pPr>
      <w:r>
        <w:rPr>
          <w:b/>
          <w:sz w:val="24"/>
          <w:szCs w:val="24"/>
        </w:rPr>
        <w:t>5.2</w:t>
      </w:r>
      <w:r>
        <w:rPr>
          <w:sz w:val="24"/>
          <w:szCs w:val="24"/>
        </w:rPr>
        <w:t xml:space="preserve"> Without prejudice to the security incident management process, upon becoming aware of any of the circumstances referred to in Paragraph 5.1, the Supplier shall:</w:t>
      </w:r>
    </w:p>
    <w:p w14:paraId="1F679297" w14:textId="77777777" w:rsidR="008F3F19" w:rsidRDefault="008F3F19">
      <w:pPr>
        <w:ind w:left="720"/>
        <w:rPr>
          <w:sz w:val="24"/>
          <w:szCs w:val="24"/>
        </w:rPr>
      </w:pPr>
    </w:p>
    <w:p w14:paraId="1F679298" w14:textId="77777777" w:rsidR="008F3F19" w:rsidRDefault="008634F4">
      <w:pPr>
        <w:ind w:left="720"/>
        <w:rPr>
          <w:sz w:val="24"/>
          <w:szCs w:val="24"/>
        </w:rPr>
      </w:pPr>
      <w:r>
        <w:rPr>
          <w:b/>
          <w:sz w:val="24"/>
          <w:szCs w:val="24"/>
        </w:rPr>
        <w:t>5.2.1</w:t>
      </w:r>
      <w:r>
        <w:rPr>
          <w:sz w:val="24"/>
          <w:szCs w:val="24"/>
        </w:rPr>
        <w:t xml:space="preserve"> immediately take all reasonable steps (which shall include any action or changes reasonably required by the Buyer) necessary to:</w:t>
      </w:r>
    </w:p>
    <w:p w14:paraId="1F679299" w14:textId="77777777" w:rsidR="008F3F19" w:rsidRDefault="008F3F19">
      <w:pPr>
        <w:ind w:left="720"/>
        <w:rPr>
          <w:sz w:val="24"/>
          <w:szCs w:val="24"/>
        </w:rPr>
      </w:pPr>
    </w:p>
    <w:p w14:paraId="1F67929A" w14:textId="77777777" w:rsidR="008F3F19" w:rsidRDefault="008634F4">
      <w:pPr>
        <w:numPr>
          <w:ilvl w:val="0"/>
          <w:numId w:val="1"/>
        </w:numPr>
        <w:rPr>
          <w:sz w:val="24"/>
          <w:szCs w:val="24"/>
        </w:rPr>
      </w:pPr>
      <w:r>
        <w:rPr>
          <w:sz w:val="24"/>
          <w:szCs w:val="24"/>
        </w:rPr>
        <w:t xml:space="preserve">minimise the extent of actual or potential harm caused by any Breach of </w:t>
      </w:r>
      <w:proofErr w:type="gramStart"/>
      <w:r>
        <w:rPr>
          <w:sz w:val="24"/>
          <w:szCs w:val="24"/>
        </w:rPr>
        <w:t>Security;</w:t>
      </w:r>
      <w:proofErr w:type="gramEnd"/>
    </w:p>
    <w:p w14:paraId="1F67929B" w14:textId="77777777" w:rsidR="008F3F19" w:rsidRDefault="008F3F19">
      <w:pPr>
        <w:ind w:left="720"/>
        <w:rPr>
          <w:sz w:val="24"/>
          <w:szCs w:val="24"/>
        </w:rPr>
      </w:pPr>
    </w:p>
    <w:p w14:paraId="1F67929C" w14:textId="77777777" w:rsidR="008F3F19" w:rsidRDefault="008634F4">
      <w:pPr>
        <w:numPr>
          <w:ilvl w:val="0"/>
          <w:numId w:val="1"/>
        </w:numPr>
        <w:rPr>
          <w:sz w:val="24"/>
          <w:szCs w:val="24"/>
        </w:rPr>
      </w:pPr>
      <w:r>
        <w:rPr>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Pr>
          <w:sz w:val="24"/>
          <w:szCs w:val="24"/>
        </w:rPr>
        <w:t>Security;</w:t>
      </w:r>
      <w:proofErr w:type="gramEnd"/>
      <w:r>
        <w:rPr>
          <w:sz w:val="24"/>
          <w:szCs w:val="24"/>
        </w:rPr>
        <w:t xml:space="preserve"> </w:t>
      </w:r>
    </w:p>
    <w:p w14:paraId="1F67929D" w14:textId="77777777" w:rsidR="008F3F19" w:rsidRDefault="008F3F19">
      <w:pPr>
        <w:ind w:left="1440"/>
        <w:rPr>
          <w:sz w:val="24"/>
          <w:szCs w:val="24"/>
        </w:rPr>
      </w:pPr>
    </w:p>
    <w:p w14:paraId="1F67929E" w14:textId="77777777" w:rsidR="008F3F19" w:rsidRDefault="008634F4">
      <w:pPr>
        <w:numPr>
          <w:ilvl w:val="0"/>
          <w:numId w:val="1"/>
        </w:numPr>
        <w:rPr>
          <w:sz w:val="24"/>
          <w:szCs w:val="24"/>
        </w:rPr>
      </w:pPr>
      <w:r>
        <w:rPr>
          <w:sz w:val="24"/>
          <w:szCs w:val="24"/>
        </w:rPr>
        <w:t>prevent an equivalent breach in the future exploiting the same cause failure; and</w:t>
      </w:r>
    </w:p>
    <w:p w14:paraId="1F67929F" w14:textId="77777777" w:rsidR="008F3F19" w:rsidRDefault="008F3F19">
      <w:pPr>
        <w:ind w:left="1440"/>
        <w:rPr>
          <w:sz w:val="24"/>
          <w:szCs w:val="24"/>
        </w:rPr>
      </w:pPr>
    </w:p>
    <w:p w14:paraId="1F6792A0" w14:textId="77777777" w:rsidR="008F3F19" w:rsidRDefault="008634F4">
      <w:pPr>
        <w:numPr>
          <w:ilvl w:val="0"/>
          <w:numId w:val="1"/>
        </w:numPr>
        <w:rPr>
          <w:sz w:val="24"/>
          <w:szCs w:val="24"/>
        </w:rPr>
      </w:pPr>
      <w:r>
        <w:rPr>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F6792A1" w14:textId="77777777" w:rsidR="008F3F19" w:rsidRDefault="008F3F19">
      <w:pPr>
        <w:ind w:left="720"/>
        <w:rPr>
          <w:sz w:val="24"/>
          <w:szCs w:val="24"/>
        </w:rPr>
      </w:pPr>
    </w:p>
    <w:p w14:paraId="1F6792A2" w14:textId="77777777" w:rsidR="008F3F19" w:rsidRDefault="008634F4">
      <w:pPr>
        <w:ind w:left="720"/>
        <w:rPr>
          <w:sz w:val="24"/>
          <w:szCs w:val="24"/>
        </w:rPr>
      </w:pPr>
      <w:r>
        <w:rPr>
          <w:b/>
          <w:sz w:val="24"/>
          <w:szCs w:val="24"/>
        </w:rPr>
        <w:t>5.3</w:t>
      </w:r>
      <w:r>
        <w:rPr>
          <w:sz w:val="24"/>
          <w:szCs w:val="24"/>
        </w:rPr>
        <w:t xml:space="preserve"> In the event that any action is taken in response to a Breach of Security or potential or attempted Breach of Security that demonstrates non-compliance </w:t>
      </w:r>
      <w:r>
        <w:rPr>
          <w:sz w:val="24"/>
          <w:szCs w:val="24"/>
        </w:rPr>
        <w:lastRenderedPageBreak/>
        <w:t xml:space="preserve">of the Security Management Plan with the Security Policy (where relevant in accordance with paragraph 2.2) or the requirements of this Schedule, then any required change to the Security Management Plan shall be at no cost to the Buyer. </w:t>
      </w:r>
    </w:p>
    <w:p w14:paraId="750984D7" w14:textId="77777777" w:rsidR="009D61C8" w:rsidRDefault="009D61C8">
      <w:pPr>
        <w:ind w:left="720"/>
        <w:rPr>
          <w:sz w:val="24"/>
          <w:szCs w:val="24"/>
        </w:rPr>
      </w:pPr>
    </w:p>
    <w:p w14:paraId="62B7AD77" w14:textId="2113C54E" w:rsidR="009D61C8" w:rsidRDefault="009D61C8" w:rsidP="009D61C8">
      <w:pPr>
        <w:pStyle w:val="Standard"/>
        <w:numPr>
          <w:ilvl w:val="0"/>
          <w:numId w:val="8"/>
        </w:numPr>
        <w:tabs>
          <w:tab w:val="left" w:pos="3894"/>
        </w:tabs>
        <w:spacing w:before="120" w:after="120"/>
        <w:jc w:val="left"/>
        <w:rPr>
          <w:b/>
          <w:bCs/>
        </w:rPr>
      </w:pPr>
      <w:r>
        <w:rPr>
          <w:b/>
          <w:bCs/>
        </w:rPr>
        <w:t>Departmental security clauses</w:t>
      </w:r>
    </w:p>
    <w:p w14:paraId="3B86A2E5" w14:textId="70302E9C" w:rsidR="009D61C8" w:rsidRDefault="009D61C8" w:rsidP="00E00C5F">
      <w:pPr>
        <w:pStyle w:val="Standard"/>
        <w:numPr>
          <w:ilvl w:val="1"/>
          <w:numId w:val="8"/>
        </w:numPr>
        <w:tabs>
          <w:tab w:val="left" w:pos="3178"/>
        </w:tabs>
        <w:spacing w:before="120" w:after="120"/>
        <w:jc w:val="left"/>
      </w:pPr>
      <w:r>
        <w:t>The Department’s standard security clauses are included below in Annex A and take precedent over the above material</w:t>
      </w:r>
    </w:p>
    <w:p w14:paraId="14502C14" w14:textId="77777777" w:rsidR="009D61C8" w:rsidRDefault="009D61C8">
      <w:pPr>
        <w:ind w:left="720"/>
        <w:rPr>
          <w:sz w:val="24"/>
          <w:szCs w:val="24"/>
        </w:rPr>
      </w:pPr>
    </w:p>
    <w:p w14:paraId="4492FDD4" w14:textId="77777777" w:rsidR="00AB4CBF" w:rsidRDefault="00AB4CBF" w:rsidP="00AB4CBF">
      <w:pPr>
        <w:pStyle w:val="Heading1"/>
      </w:pPr>
      <w:r>
        <w:t>Annex A:</w:t>
      </w:r>
      <w:r>
        <w:tab/>
        <w:t>Departmental security clauses</w:t>
      </w:r>
    </w:p>
    <w:p w14:paraId="56208A07" w14:textId="77777777" w:rsidR="00AB4CBF" w:rsidRDefault="00AB4CBF" w:rsidP="00AB4CBF">
      <w:pPr>
        <w:overflowPunct w:val="0"/>
        <w:autoSpaceDE w:val="0"/>
        <w:spacing w:after="240"/>
        <w:rPr>
          <w:rFonts w:eastAsia="Times New Roman"/>
          <w:sz w:val="24"/>
          <w:szCs w:val="24"/>
          <w:lang w:eastAsia="en-US"/>
        </w:rPr>
      </w:pPr>
    </w:p>
    <w:p w14:paraId="395C0A7B" w14:textId="77777777" w:rsidR="00AB4CBF" w:rsidRDefault="00AB4CBF" w:rsidP="00AB4CBF">
      <w:pPr>
        <w:keepNext/>
        <w:keepLines/>
        <w:numPr>
          <w:ilvl w:val="0"/>
          <w:numId w:val="9"/>
        </w:numPr>
        <w:overflowPunct w:val="0"/>
        <w:autoSpaceDE w:val="0"/>
        <w:autoSpaceDN w:val="0"/>
        <w:spacing w:after="160" w:line="260" w:lineRule="atLeast"/>
        <w:rPr>
          <w:rFonts w:eastAsia="MS Gothic"/>
          <w:b/>
          <w:sz w:val="24"/>
          <w:szCs w:val="24"/>
          <w:lang w:eastAsia="en-US"/>
        </w:rPr>
      </w:pPr>
      <w:bookmarkStart w:id="2" w:name="_Toc144217871"/>
      <w:bookmarkStart w:id="3" w:name="_Toc144217927"/>
      <w:bookmarkStart w:id="4" w:name="_Toc144218246"/>
      <w:bookmarkStart w:id="5" w:name="_Toc144218618"/>
      <w:bookmarkStart w:id="6" w:name="_Toc144217872"/>
      <w:bookmarkStart w:id="7" w:name="_Toc144217928"/>
      <w:bookmarkStart w:id="8" w:name="_Toc144218247"/>
      <w:bookmarkStart w:id="9" w:name="_Toc144218619"/>
      <w:bookmarkStart w:id="10" w:name="_Toc144217873"/>
      <w:bookmarkStart w:id="11" w:name="_Toc144217929"/>
      <w:bookmarkStart w:id="12" w:name="_Toc144218248"/>
      <w:bookmarkStart w:id="13" w:name="_Toc144218620"/>
      <w:bookmarkStart w:id="14" w:name="_Toc115103885"/>
      <w:bookmarkStart w:id="15" w:name="_Toc115103886"/>
      <w:bookmarkStart w:id="16" w:name="_Toc115103887"/>
      <w:bookmarkStart w:id="17" w:name="_Toc115103888"/>
      <w:bookmarkStart w:id="18" w:name="_Toc115103889"/>
      <w:bookmarkStart w:id="19" w:name="_Toc115103890"/>
      <w:bookmarkStart w:id="20" w:name="_Toc115103891"/>
      <w:bookmarkStart w:id="21" w:name="_Toc115103892"/>
      <w:bookmarkStart w:id="22" w:name="_Toc115103893"/>
      <w:bookmarkStart w:id="23" w:name="_Toc115103895"/>
      <w:bookmarkStart w:id="24" w:name="_Toc115103896"/>
      <w:bookmarkStart w:id="25" w:name="_Toc115103897"/>
      <w:bookmarkStart w:id="26" w:name="_Toc115103898"/>
      <w:bookmarkStart w:id="27" w:name="_Toc115103900"/>
      <w:bookmarkStart w:id="28" w:name="_Toc115103901"/>
      <w:bookmarkStart w:id="29" w:name="_Toc115103902"/>
      <w:bookmarkStart w:id="30" w:name="_Toc115103903"/>
      <w:bookmarkStart w:id="31" w:name="_Toc115103905"/>
      <w:bookmarkStart w:id="32" w:name="_Toc115103906"/>
      <w:bookmarkStart w:id="33" w:name="_Toc115103907"/>
      <w:bookmarkStart w:id="34" w:name="_Toc115103908"/>
      <w:bookmarkStart w:id="35" w:name="_Toc115103910"/>
      <w:bookmarkStart w:id="36" w:name="_Toc115103911"/>
      <w:bookmarkStart w:id="37" w:name="_Toc115103912"/>
      <w:bookmarkStart w:id="38" w:name="_Toc115103913"/>
      <w:bookmarkStart w:id="39" w:name="_Toc115103915"/>
      <w:bookmarkStart w:id="40" w:name="_Toc115103916"/>
      <w:bookmarkStart w:id="41" w:name="_Toc115103917"/>
      <w:bookmarkStart w:id="42" w:name="_Toc115103918"/>
      <w:bookmarkStart w:id="43" w:name="_Toc115103919"/>
      <w:bookmarkStart w:id="44" w:name="_Toc115103920"/>
      <w:bookmarkStart w:id="45" w:name="_Toc115103921"/>
      <w:bookmarkStart w:id="46" w:name="_Toc115103922"/>
      <w:bookmarkStart w:id="47" w:name="_Toc115103923"/>
      <w:bookmarkStart w:id="48" w:name="_Toc115103924"/>
      <w:bookmarkStart w:id="49" w:name="_Toc115103925"/>
      <w:bookmarkStart w:id="50" w:name="_Toc115103926"/>
      <w:bookmarkStart w:id="51" w:name="_Toc115103927"/>
      <w:bookmarkStart w:id="52" w:name="_Toc115103928"/>
      <w:bookmarkStart w:id="53" w:name="_Toc115103929"/>
      <w:bookmarkStart w:id="54" w:name="_Toc115103930"/>
      <w:bookmarkStart w:id="55" w:name="_Toc115103932"/>
      <w:bookmarkStart w:id="56" w:name="_Toc115103933"/>
      <w:bookmarkStart w:id="57" w:name="_Toc115103934"/>
      <w:bookmarkStart w:id="58" w:name="_Toc115103935"/>
      <w:bookmarkStart w:id="59" w:name="_Toc115103936"/>
      <w:bookmarkStart w:id="60" w:name="_Toc115103938"/>
      <w:bookmarkStart w:id="61" w:name="_Toc115103939"/>
      <w:bookmarkStart w:id="62" w:name="_Toc115103940"/>
      <w:bookmarkStart w:id="63" w:name="_Toc115103941"/>
      <w:bookmarkStart w:id="64" w:name="_Toc115103942"/>
      <w:bookmarkStart w:id="65" w:name="_Toc115103944"/>
      <w:bookmarkStart w:id="66" w:name="_Toc115103945"/>
      <w:bookmarkStart w:id="67" w:name="_Toc115103946"/>
      <w:bookmarkStart w:id="68" w:name="_Toc115103947"/>
      <w:bookmarkStart w:id="69" w:name="_Toc115103948"/>
      <w:bookmarkStart w:id="70" w:name="_Toc115103950"/>
      <w:bookmarkStart w:id="71" w:name="_Toc115103951"/>
      <w:bookmarkStart w:id="72" w:name="_Toc115103952"/>
      <w:bookmarkStart w:id="73" w:name="_Toc115103953"/>
      <w:bookmarkStart w:id="74" w:name="_Toc115103954"/>
      <w:bookmarkStart w:id="75" w:name="_Toc115103956"/>
      <w:bookmarkStart w:id="76" w:name="_Toc115103957"/>
      <w:bookmarkStart w:id="77" w:name="_Toc115103958"/>
      <w:bookmarkStart w:id="78" w:name="_Toc115103959"/>
      <w:bookmarkStart w:id="79" w:name="_Toc115103961"/>
      <w:bookmarkStart w:id="80" w:name="_Toc115103962"/>
      <w:bookmarkStart w:id="81" w:name="_Toc115103963"/>
      <w:bookmarkStart w:id="82" w:name="_Toc115103964"/>
      <w:bookmarkStart w:id="83" w:name="_Toc115103966"/>
      <w:bookmarkStart w:id="84" w:name="_Toc115103967"/>
      <w:bookmarkStart w:id="85" w:name="_Toc115103968"/>
      <w:bookmarkStart w:id="86" w:name="_Toc115103969"/>
      <w:bookmarkStart w:id="87" w:name="_Toc115103971"/>
      <w:bookmarkStart w:id="88" w:name="_Toc115103972"/>
      <w:bookmarkStart w:id="89" w:name="_Toc115103973"/>
      <w:bookmarkStart w:id="90" w:name="_Toc115103974"/>
      <w:bookmarkStart w:id="91" w:name="_Toc115103976"/>
      <w:bookmarkStart w:id="92" w:name="_Toc115103977"/>
      <w:bookmarkStart w:id="93" w:name="_Toc115103978"/>
      <w:bookmarkStart w:id="94" w:name="_Toc115103979"/>
      <w:bookmarkStart w:id="95" w:name="_Toc115103981"/>
      <w:bookmarkStart w:id="96" w:name="_Toc115103982"/>
      <w:bookmarkStart w:id="97" w:name="_Toc115103983"/>
      <w:bookmarkStart w:id="98" w:name="_Toc115103984"/>
      <w:bookmarkStart w:id="99" w:name="_Toc115103986"/>
      <w:bookmarkStart w:id="100" w:name="_Toc115103987"/>
      <w:bookmarkStart w:id="101" w:name="_Toc115103988"/>
      <w:bookmarkStart w:id="102" w:name="_Toc115103989"/>
      <w:bookmarkStart w:id="103" w:name="_Toc115103990"/>
      <w:bookmarkStart w:id="104" w:name="_Toc115103991"/>
      <w:bookmarkStart w:id="105" w:name="_Toc115103992"/>
      <w:bookmarkStart w:id="106" w:name="_Toc115103993"/>
      <w:bookmarkStart w:id="107" w:name="_Toc115103994"/>
      <w:bookmarkStart w:id="108" w:name="_Toc115103995"/>
      <w:bookmarkStart w:id="109" w:name="_Toc115103996"/>
      <w:bookmarkStart w:id="110" w:name="_Toc115103997"/>
      <w:bookmarkStart w:id="111" w:name="_Toc115103998"/>
      <w:bookmarkStart w:id="112" w:name="_Toc115103999"/>
      <w:bookmarkStart w:id="113" w:name="_Toc115104000"/>
      <w:bookmarkStart w:id="114" w:name="_Toc115104001"/>
      <w:bookmarkStart w:id="115" w:name="_Toc115104002"/>
      <w:bookmarkStart w:id="116" w:name="_Toc115104003"/>
      <w:bookmarkStart w:id="117" w:name="_Toc115104004"/>
      <w:bookmarkStart w:id="118" w:name="_Toc115104005"/>
      <w:bookmarkStart w:id="119" w:name="_Toc115104006"/>
      <w:bookmarkStart w:id="120" w:name="_Toc115104007"/>
      <w:bookmarkStart w:id="121" w:name="_Toc115104008"/>
      <w:bookmarkStart w:id="122" w:name="_Toc115104009"/>
      <w:bookmarkStart w:id="123" w:name="_Toc115104010"/>
      <w:bookmarkStart w:id="124" w:name="_Toc115104011"/>
      <w:bookmarkStart w:id="125" w:name="_Toc115104012"/>
      <w:bookmarkStart w:id="126" w:name="_Toc115104013"/>
      <w:bookmarkStart w:id="127" w:name="_Toc115104015"/>
      <w:bookmarkStart w:id="128" w:name="_Toc115104016"/>
      <w:bookmarkStart w:id="129" w:name="_Toc115104018"/>
      <w:bookmarkStart w:id="130" w:name="_Toc115104019"/>
      <w:bookmarkStart w:id="131" w:name="_Toc115104021"/>
      <w:bookmarkStart w:id="132" w:name="_Toc115104022"/>
      <w:bookmarkStart w:id="133" w:name="_Toc115104024"/>
      <w:bookmarkStart w:id="134" w:name="_Toc115104025"/>
      <w:bookmarkStart w:id="135" w:name="_Toc115104027"/>
      <w:bookmarkStart w:id="136" w:name="_Toc115104028"/>
      <w:bookmarkStart w:id="137" w:name="_Toc115104030"/>
      <w:bookmarkStart w:id="138" w:name="_Toc115104031"/>
      <w:bookmarkStart w:id="139" w:name="_Toc115104033"/>
      <w:bookmarkStart w:id="140" w:name="_Toc115104034"/>
      <w:bookmarkStart w:id="141" w:name="_Toc115104036"/>
      <w:bookmarkStart w:id="142" w:name="_Toc115104037"/>
      <w:bookmarkStart w:id="143" w:name="_Toc115104038"/>
      <w:bookmarkStart w:id="144" w:name="_Toc115104039"/>
      <w:bookmarkStart w:id="145" w:name="_Toc115104040"/>
      <w:bookmarkStart w:id="146" w:name="_Toc115104041"/>
      <w:bookmarkStart w:id="147" w:name="_Toc115104042"/>
      <w:bookmarkStart w:id="148" w:name="_Toc115104043"/>
      <w:bookmarkStart w:id="149" w:name="_Toc115104044"/>
      <w:bookmarkStart w:id="150" w:name="_Toc115104045"/>
      <w:bookmarkStart w:id="151" w:name="_Toc115104046"/>
      <w:bookmarkStart w:id="152" w:name="_Toc115104047"/>
      <w:bookmarkStart w:id="153" w:name="_Toc115104048"/>
      <w:bookmarkStart w:id="154" w:name="_Toc115104049"/>
      <w:bookmarkStart w:id="155" w:name="_Toc103163130"/>
      <w:bookmarkStart w:id="156" w:name="_Toc103167626"/>
      <w:bookmarkStart w:id="157" w:name="_Toc15395923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eastAsia="MS Gothic"/>
          <w:b/>
          <w:sz w:val="24"/>
          <w:szCs w:val="24"/>
          <w:lang w:eastAsia="en-US"/>
        </w:rPr>
        <w:t>Capital Assets</w:t>
      </w:r>
      <w:bookmarkEnd w:id="155"/>
      <w:bookmarkEnd w:id="156"/>
      <w:bookmarkEnd w:id="157"/>
    </w:p>
    <w:p w14:paraId="1B0AE5A8" w14:textId="77777777" w:rsidR="00AB4CBF" w:rsidRDefault="00AB4CBF" w:rsidP="00AB4CBF">
      <w:pPr>
        <w:spacing w:line="260" w:lineRule="atLeast"/>
        <w:rPr>
          <w:rFonts w:eastAsia="Calibri"/>
          <w:sz w:val="24"/>
          <w:szCs w:val="24"/>
          <w:lang w:eastAsia="en-US"/>
        </w:rPr>
      </w:pPr>
    </w:p>
    <w:p w14:paraId="0C1910C3" w14:textId="77777777" w:rsidR="00AB4CBF" w:rsidRDefault="00AB4CBF" w:rsidP="00AB4CBF">
      <w:pPr>
        <w:widowControl w:val="0"/>
        <w:numPr>
          <w:ilvl w:val="1"/>
          <w:numId w:val="9"/>
        </w:numPr>
        <w:tabs>
          <w:tab w:val="left" w:pos="-720"/>
          <w:tab w:val="left" w:pos="0"/>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The Supplier shall not, without the prior written consent of the Buyer, use funds paid under this Contract wholly or partly to finance the purchase of any capital asset with a purchase price of £2,500 or more (exclusive of VAT) and with an expected life of more than one year.</w:t>
      </w:r>
    </w:p>
    <w:p w14:paraId="38A4BB31" w14:textId="77777777" w:rsidR="00AB4CBF" w:rsidRDefault="00AB4CBF" w:rsidP="00AB4CBF">
      <w:pPr>
        <w:widowControl w:val="0"/>
        <w:numPr>
          <w:ilvl w:val="1"/>
          <w:numId w:val="9"/>
        </w:numPr>
        <w:tabs>
          <w:tab w:val="left" w:pos="-720"/>
          <w:tab w:val="left" w:pos="0"/>
        </w:tabs>
        <w:overflowPunct w:val="0"/>
        <w:autoSpaceDE w:val="0"/>
        <w:autoSpaceDN w:val="0"/>
        <w:spacing w:after="240" w:line="254" w:lineRule="auto"/>
      </w:pPr>
      <w:r>
        <w:rPr>
          <w:rFonts w:eastAsia="Times New Roman"/>
          <w:sz w:val="24"/>
          <w:szCs w:val="24"/>
          <w:lang w:eastAsia="en-US"/>
        </w:rPr>
        <w:t xml:space="preserve">The Supplier shall maintain an inventory of such items and shall provide </w:t>
      </w:r>
      <w:r>
        <w:rPr>
          <w:rFonts w:eastAsia="Times New Roman"/>
          <w:color w:val="000000"/>
          <w:sz w:val="24"/>
          <w:szCs w:val="24"/>
          <w:lang w:eastAsia="en-US"/>
        </w:rPr>
        <w:t>the</w:t>
      </w:r>
      <w:r>
        <w:rPr>
          <w:rFonts w:eastAsia="Times New Roman"/>
          <w:sz w:val="24"/>
          <w:szCs w:val="24"/>
          <w:lang w:eastAsia="en-US"/>
        </w:rPr>
        <w:t xml:space="preserve"> Buyer with a copy of such inventory if requested.</w:t>
      </w:r>
    </w:p>
    <w:p w14:paraId="22AE230A" w14:textId="77777777" w:rsidR="00AB4CBF" w:rsidRDefault="00AB4CBF" w:rsidP="00AB4CBF">
      <w:pPr>
        <w:widowControl w:val="0"/>
        <w:numPr>
          <w:ilvl w:val="1"/>
          <w:numId w:val="9"/>
        </w:numPr>
        <w:tabs>
          <w:tab w:val="left" w:pos="-720"/>
          <w:tab w:val="left" w:pos="0"/>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If the Supplier proposes to dispose of any asset falling within paragraph 1.1 during the currency of this Contract:</w:t>
      </w:r>
    </w:p>
    <w:p w14:paraId="0D83011D" w14:textId="77777777" w:rsidR="00AB4CBF" w:rsidRDefault="00AB4CBF" w:rsidP="00AB4CBF">
      <w:pPr>
        <w:widowControl w:val="0"/>
        <w:numPr>
          <w:ilvl w:val="2"/>
          <w:numId w:val="9"/>
        </w:numPr>
        <w:tabs>
          <w:tab w:val="left" w:pos="-1287"/>
          <w:tab w:val="left" w:pos="-414"/>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they shall consult the Buyer before doing so; and</w:t>
      </w:r>
    </w:p>
    <w:p w14:paraId="75CE7E23" w14:textId="77777777" w:rsidR="00AB4CBF" w:rsidRDefault="00AB4CBF" w:rsidP="00AB4CBF">
      <w:pPr>
        <w:widowControl w:val="0"/>
        <w:numPr>
          <w:ilvl w:val="2"/>
          <w:numId w:val="9"/>
        </w:numPr>
        <w:tabs>
          <w:tab w:val="left" w:pos="-1287"/>
          <w:tab w:val="left" w:pos="-414"/>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on disposal they shall pay to the Buyer the Buyer's share of the value of that asset (as specified in paragraph 1.5).</w:t>
      </w:r>
    </w:p>
    <w:p w14:paraId="0DCA054C" w14:textId="77777777" w:rsidR="00AB4CBF" w:rsidRDefault="00AB4CBF" w:rsidP="00AB4CBF">
      <w:pPr>
        <w:widowControl w:val="0"/>
        <w:numPr>
          <w:ilvl w:val="1"/>
          <w:numId w:val="9"/>
        </w:numPr>
        <w:tabs>
          <w:tab w:val="left" w:pos="-720"/>
          <w:tab w:val="left" w:pos="0"/>
        </w:tabs>
        <w:overflowPunct w:val="0"/>
        <w:autoSpaceDE w:val="0"/>
        <w:autoSpaceDN w:val="0"/>
        <w:spacing w:after="240" w:line="254" w:lineRule="auto"/>
      </w:pPr>
      <w:r>
        <w:rPr>
          <w:rFonts w:eastAsia="Times New Roman"/>
          <w:sz w:val="24"/>
          <w:szCs w:val="24"/>
          <w:lang w:eastAsia="en-US"/>
        </w:rPr>
        <w:t xml:space="preserve">On </w:t>
      </w:r>
      <w:r>
        <w:rPr>
          <w:rFonts w:eastAsia="Times New Roman"/>
          <w:color w:val="000000"/>
          <w:sz w:val="24"/>
          <w:szCs w:val="24"/>
          <w:lang w:eastAsia="en-US"/>
        </w:rPr>
        <w:t>termination</w:t>
      </w:r>
      <w:r>
        <w:rPr>
          <w:rFonts w:eastAsia="Times New Roman"/>
          <w:sz w:val="24"/>
          <w:szCs w:val="24"/>
          <w:lang w:eastAsia="en-US"/>
        </w:rPr>
        <w:t xml:space="preserve"> of this Contract, for whatever reason, the Supplier shall:</w:t>
      </w:r>
    </w:p>
    <w:p w14:paraId="1A39DC66" w14:textId="77777777" w:rsidR="00AB4CBF" w:rsidRDefault="00AB4CBF" w:rsidP="00AB4CBF">
      <w:pPr>
        <w:widowControl w:val="0"/>
        <w:numPr>
          <w:ilvl w:val="2"/>
          <w:numId w:val="9"/>
        </w:numPr>
        <w:tabs>
          <w:tab w:val="left" w:pos="-1287"/>
          <w:tab w:val="left" w:pos="-414"/>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consult the Buyer over the proposals for disposal or retention of all assets; and</w:t>
      </w:r>
    </w:p>
    <w:p w14:paraId="38C8F9D7" w14:textId="77777777" w:rsidR="00AB4CBF" w:rsidRDefault="00AB4CBF" w:rsidP="00AB4CBF">
      <w:pPr>
        <w:widowControl w:val="0"/>
        <w:numPr>
          <w:ilvl w:val="2"/>
          <w:numId w:val="9"/>
        </w:numPr>
        <w:tabs>
          <w:tab w:val="left" w:pos="-1287"/>
          <w:tab w:val="left" w:pos="-414"/>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 xml:space="preserve">unless the Buyer agrees to some other arrangement, pay to the Buyer the Buyer's share of the value of each of those assets. </w:t>
      </w:r>
    </w:p>
    <w:p w14:paraId="11257D35" w14:textId="77777777" w:rsidR="00AB4CBF" w:rsidRDefault="00AB4CBF" w:rsidP="00AB4CBF">
      <w:pPr>
        <w:widowControl w:val="0"/>
        <w:numPr>
          <w:ilvl w:val="1"/>
          <w:numId w:val="9"/>
        </w:numPr>
        <w:tabs>
          <w:tab w:val="left" w:pos="-720"/>
          <w:tab w:val="left" w:pos="0"/>
        </w:tabs>
        <w:overflowPunct w:val="0"/>
        <w:autoSpaceDE w:val="0"/>
        <w:autoSpaceDN w:val="0"/>
        <w:spacing w:after="240" w:line="254" w:lineRule="auto"/>
      </w:pPr>
      <w:r>
        <w:rPr>
          <w:rFonts w:eastAsia="Times New Roman"/>
          <w:sz w:val="24"/>
          <w:szCs w:val="24"/>
          <w:lang w:eastAsia="en-US"/>
        </w:rPr>
        <w:t xml:space="preserve">In Clauses 1.3 and 1.4, the Buyer's share of the value of an asset shall be calculated as follows.  If the asset is disposed of during the currency of the Contract or within 3 months of termination of the Contract, at the best price reasonably available, the value shall be the proceeds of sale after deduction of necessary expenses of sale.  Otherwise, the value of the asset shall be its open market value agreed between the Parties.  In the absence of agreement </w:t>
      </w:r>
      <w:r>
        <w:rPr>
          <w:rFonts w:eastAsia="Times New Roman"/>
          <w:sz w:val="24"/>
          <w:szCs w:val="24"/>
          <w:lang w:eastAsia="en-US"/>
        </w:rPr>
        <w:lastRenderedPageBreak/>
        <w:t>on the value the Buyer may require the Supplier to have the asset valued at his or her own cost.  In either such event, the Buyer's share of the value shall be the whole or a proportionate part of the value of the asset concerned according to the extent to which the cost of its purchase was met out of Buyer's funds.</w:t>
      </w:r>
    </w:p>
    <w:p w14:paraId="66411465" w14:textId="77777777" w:rsidR="00AB4CBF" w:rsidRDefault="00AB4CBF" w:rsidP="00AB4CBF">
      <w:pPr>
        <w:keepNext/>
        <w:keepLines/>
        <w:numPr>
          <w:ilvl w:val="0"/>
          <w:numId w:val="9"/>
        </w:numPr>
        <w:overflowPunct w:val="0"/>
        <w:autoSpaceDE w:val="0"/>
        <w:autoSpaceDN w:val="0"/>
        <w:spacing w:before="240" w:after="160" w:line="260" w:lineRule="atLeast"/>
        <w:rPr>
          <w:rFonts w:eastAsia="MS Gothic"/>
          <w:b/>
          <w:sz w:val="24"/>
          <w:szCs w:val="24"/>
          <w:lang w:eastAsia="en-US"/>
        </w:rPr>
      </w:pPr>
      <w:bookmarkStart w:id="158" w:name="_Toc103163133"/>
      <w:bookmarkStart w:id="159" w:name="_Toc103167629"/>
      <w:bookmarkStart w:id="160" w:name="_Toc153959235"/>
      <w:r>
        <w:rPr>
          <w:rFonts w:eastAsia="MS Gothic"/>
          <w:b/>
          <w:sz w:val="24"/>
          <w:szCs w:val="24"/>
          <w:lang w:eastAsia="en-US"/>
        </w:rPr>
        <w:t>Publicity and Branding</w:t>
      </w:r>
      <w:bookmarkEnd w:id="158"/>
      <w:bookmarkEnd w:id="159"/>
      <w:bookmarkEnd w:id="160"/>
    </w:p>
    <w:p w14:paraId="69B86518" w14:textId="77777777" w:rsidR="00AB4CBF" w:rsidRDefault="00AB4CBF" w:rsidP="00AB4CBF">
      <w:pPr>
        <w:spacing w:line="260" w:lineRule="atLeast"/>
        <w:rPr>
          <w:rFonts w:eastAsia="Calibri"/>
          <w:sz w:val="24"/>
          <w:szCs w:val="24"/>
          <w:lang w:eastAsia="en-US"/>
        </w:rPr>
      </w:pPr>
    </w:p>
    <w:p w14:paraId="620B33F7" w14:textId="77777777" w:rsidR="00AB4CBF" w:rsidRDefault="00AB4CBF" w:rsidP="00AB4CBF">
      <w:pPr>
        <w:widowControl w:val="0"/>
        <w:numPr>
          <w:ilvl w:val="1"/>
          <w:numId w:val="9"/>
        </w:numPr>
        <w:tabs>
          <w:tab w:val="left" w:pos="-720"/>
          <w:tab w:val="left" w:pos="0"/>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Each Party acknowledges to the other that nothing in this Contract either expressly or by implication constitutes an endorsement of any products or services of the other Party (including the Deliverables) and each Party agrees not to conduct itself in such a way as to imply or express any such approval or endorsement.</w:t>
      </w:r>
    </w:p>
    <w:p w14:paraId="62D57A4C" w14:textId="77777777" w:rsidR="00AB4CBF" w:rsidRDefault="00AB4CBF" w:rsidP="00AB4CBF">
      <w:pPr>
        <w:widowControl w:val="0"/>
        <w:numPr>
          <w:ilvl w:val="1"/>
          <w:numId w:val="9"/>
        </w:numPr>
        <w:tabs>
          <w:tab w:val="left" w:pos="-720"/>
          <w:tab w:val="left" w:pos="0"/>
        </w:tabs>
        <w:overflowPunct w:val="0"/>
        <w:autoSpaceDE w:val="0"/>
        <w:autoSpaceDN w:val="0"/>
        <w:spacing w:after="240" w:line="254" w:lineRule="auto"/>
        <w:rPr>
          <w:rFonts w:eastAsia="Times New Roman"/>
          <w:sz w:val="24"/>
          <w:szCs w:val="24"/>
          <w:lang w:eastAsia="en-US"/>
        </w:rPr>
      </w:pPr>
      <w:r>
        <w:rPr>
          <w:rFonts w:eastAsia="Times New Roman"/>
          <w:sz w:val="24"/>
          <w:szCs w:val="24"/>
          <w:lang w:eastAsia="en-US"/>
        </w:rPr>
        <w:t>The Buyer may disclose, copy, and otherwise distribute to the public, including but not limited to, by way of the Open Government Licence, any information arising out of the Deliverables or comprised in any work relating to the Deliverables.</w:t>
      </w:r>
    </w:p>
    <w:p w14:paraId="32C1A135" w14:textId="77777777" w:rsidR="00AB4CBF" w:rsidRDefault="00AB4CBF" w:rsidP="00AB4CBF">
      <w:pPr>
        <w:keepNext/>
        <w:keepLines/>
        <w:numPr>
          <w:ilvl w:val="0"/>
          <w:numId w:val="9"/>
        </w:numPr>
        <w:overflowPunct w:val="0"/>
        <w:autoSpaceDE w:val="0"/>
        <w:autoSpaceDN w:val="0"/>
        <w:spacing w:after="160" w:line="260" w:lineRule="atLeast"/>
        <w:rPr>
          <w:rFonts w:eastAsia="MS Gothic"/>
          <w:b/>
          <w:sz w:val="24"/>
          <w:szCs w:val="24"/>
          <w:lang w:eastAsia="en-US"/>
        </w:rPr>
      </w:pPr>
      <w:bookmarkStart w:id="161" w:name="_Toc153959237"/>
      <w:r>
        <w:rPr>
          <w:rFonts w:eastAsia="MS Gothic"/>
          <w:b/>
          <w:sz w:val="24"/>
          <w:szCs w:val="24"/>
          <w:lang w:eastAsia="en-US"/>
        </w:rPr>
        <w:t>Security Terms</w:t>
      </w:r>
      <w:bookmarkEnd w:id="161"/>
    </w:p>
    <w:tbl>
      <w:tblPr>
        <w:tblW w:w="9588" w:type="dxa"/>
        <w:tblInd w:w="-572" w:type="dxa"/>
        <w:tblCellMar>
          <w:left w:w="10" w:type="dxa"/>
          <w:right w:w="10" w:type="dxa"/>
        </w:tblCellMar>
        <w:tblLook w:val="04A0" w:firstRow="1" w:lastRow="0" w:firstColumn="1" w:lastColumn="0" w:noHBand="0" w:noVBand="1"/>
      </w:tblPr>
      <w:tblGrid>
        <w:gridCol w:w="2977"/>
        <w:gridCol w:w="6611"/>
      </w:tblGrid>
      <w:tr w:rsidR="00AB4CBF" w14:paraId="03D9131E" w14:textId="77777777" w:rsidTr="001608EA">
        <w:trPr>
          <w:trHeight w:val="85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241CC"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ind w:left="720" w:hanging="720"/>
              <w:rPr>
                <w:rFonts w:eastAsia="Times New Roman"/>
                <w:sz w:val="24"/>
                <w:szCs w:val="24"/>
              </w:rPr>
            </w:pPr>
            <w:r>
              <w:rPr>
                <w:rFonts w:eastAsia="Times New Roman"/>
                <w:sz w:val="24"/>
                <w:szCs w:val="24"/>
              </w:rPr>
              <w:t>“BPSS”</w:t>
            </w:r>
          </w:p>
          <w:p w14:paraId="73B31D40"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ind w:left="720" w:hanging="720"/>
              <w:rPr>
                <w:rFonts w:eastAsia="Times New Roman"/>
                <w:sz w:val="24"/>
                <w:szCs w:val="24"/>
              </w:rPr>
            </w:pPr>
            <w:r>
              <w:rPr>
                <w:rFonts w:eastAsia="Times New Roman"/>
                <w:sz w:val="24"/>
                <w:szCs w:val="24"/>
              </w:rPr>
              <w:t>“Baseline Personnel Security Standard”</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20E7" w14:textId="77777777" w:rsidR="00AB4CBF" w:rsidRDefault="00AB4CBF" w:rsidP="001608EA">
            <w:pPr>
              <w:overflowPunct w:val="0"/>
              <w:autoSpaceDE w:val="0"/>
              <w:spacing w:after="240"/>
            </w:pPr>
            <w:r>
              <w:rPr>
                <w:rFonts w:eastAsia="Times New Roman"/>
                <w:sz w:val="24"/>
                <w:szCs w:val="24"/>
              </w:rPr>
              <w:t xml:space="preserve">the Government’s HMG Baseline Personal Security Standard. Further information can be found at: </w:t>
            </w:r>
            <w:hyperlink r:id="rId10" w:history="1">
              <w:r>
                <w:rPr>
                  <w:rFonts w:eastAsia="Times New Roman"/>
                  <w:color w:val="0000FF"/>
                  <w:sz w:val="24"/>
                  <w:szCs w:val="24"/>
                  <w:u w:val="single"/>
                </w:rPr>
                <w:t>https://www.gov.uk/government/publications/government-baseline-personnel-security-standard</w:t>
              </w:r>
            </w:hyperlink>
          </w:p>
        </w:tc>
      </w:tr>
      <w:tr w:rsidR="00AB4CBF" w14:paraId="6CA44465" w14:textId="77777777" w:rsidTr="001608EA">
        <w:trPr>
          <w:trHeight w:val="2268"/>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F072B" w14:textId="77777777" w:rsidR="00AB4CBF" w:rsidRDefault="00AB4CBF" w:rsidP="001608EA">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“CCSC”</w:t>
            </w:r>
          </w:p>
          <w:p w14:paraId="7082C8F8" w14:textId="77777777" w:rsidR="00AB4CBF" w:rsidRDefault="00AB4CBF" w:rsidP="001608EA">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“Certified Cyber Security Consultancy”</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D5D1"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is the National Cyber Security Centre’s (NCSC) approach to assessing the services provided by consultancies and confirming that they meet NCSC's standards. </w:t>
            </w:r>
          </w:p>
          <w:p w14:paraId="0B6B995B"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See website:</w:t>
            </w:r>
          </w:p>
          <w:p w14:paraId="39E6F726"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pPr>
            <w:hyperlink r:id="rId11" w:history="1">
              <w:r>
                <w:rPr>
                  <w:rFonts w:eastAsia="Times New Roman"/>
                  <w:color w:val="0000FF"/>
                  <w:sz w:val="24"/>
                  <w:szCs w:val="24"/>
                  <w:u w:val="single"/>
                </w:rPr>
                <w:t>https://www.ncsc.gov.uk/scheme/certified-cyber-consultancy</w:t>
              </w:r>
            </w:hyperlink>
            <w:r>
              <w:rPr>
                <w:rFonts w:eastAsia="Times New Roman"/>
                <w:sz w:val="24"/>
                <w:szCs w:val="24"/>
                <w:u w:val="single"/>
              </w:rPr>
              <w:t xml:space="preserve"> </w:t>
            </w:r>
          </w:p>
        </w:tc>
      </w:tr>
      <w:tr w:rsidR="00AB4CBF" w14:paraId="762133D1" w14:textId="77777777" w:rsidTr="001608EA">
        <w:trPr>
          <w:trHeight w:val="164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D7D" w14:textId="77777777" w:rsidR="00AB4CBF" w:rsidRDefault="00AB4CBF" w:rsidP="001608EA">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“CCP”</w:t>
            </w:r>
          </w:p>
          <w:p w14:paraId="6CD26CB4" w14:textId="77777777" w:rsidR="00AB4CBF" w:rsidRDefault="00AB4CBF" w:rsidP="001608EA">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“Certified Professional”</w:t>
            </w:r>
          </w:p>
          <w:p w14:paraId="5FA11ED0" w14:textId="77777777" w:rsidR="00AB4CBF" w:rsidRDefault="00AB4CBF" w:rsidP="001608EA">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ind w:left="1418"/>
              <w:rPr>
                <w:rFonts w:eastAsia="Times New Roman"/>
                <w:sz w:val="24"/>
                <w:szCs w:val="24"/>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0148"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is a NCSC scheme in consultation with government, industry, and academia to address the growing need for specialists in the cyber security profession. See website:</w:t>
            </w:r>
          </w:p>
          <w:p w14:paraId="70C5FA53"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pPr>
            <w:hyperlink r:id="rId12" w:history="1">
              <w:r>
                <w:rPr>
                  <w:rFonts w:eastAsia="STZhongsong"/>
                  <w:color w:val="0000FF"/>
                  <w:sz w:val="24"/>
                  <w:szCs w:val="24"/>
                  <w:u w:val="single"/>
                </w:rPr>
                <w:t>https://www.ncsc.gov.uk/information/about-certified-professional-scheme</w:t>
              </w:r>
            </w:hyperlink>
            <w:r>
              <w:rPr>
                <w:rFonts w:eastAsia="Times New Roman"/>
                <w:sz w:val="24"/>
                <w:szCs w:val="24"/>
              </w:rPr>
              <w:t xml:space="preserve"> </w:t>
            </w:r>
          </w:p>
        </w:tc>
      </w:tr>
      <w:tr w:rsidR="00AB4CBF" w14:paraId="44DD3FA5" w14:textId="77777777" w:rsidTr="001608EA">
        <w:trPr>
          <w:trHeight w:val="170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C7E4"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“Cyber Essentials”</w:t>
            </w:r>
          </w:p>
          <w:p w14:paraId="5B7A767B"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“Cyber Essentials Plus”</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21E2"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 xml:space="preserve">Cyber Essentials is the government backed; industry supported scheme to help organisations protect themselves against common cyber-attacks. Cyber Essentials and Cyber Essentials Plus are levels within the scheme. </w:t>
            </w:r>
          </w:p>
          <w:p w14:paraId="5FC07C5E"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lastRenderedPageBreak/>
              <w:t xml:space="preserve">There are </w:t>
            </w:r>
            <w:proofErr w:type="gramStart"/>
            <w:r>
              <w:rPr>
                <w:rFonts w:eastAsia="Times New Roman"/>
                <w:sz w:val="24"/>
                <w:szCs w:val="24"/>
              </w:rPr>
              <w:t>a number of</w:t>
            </w:r>
            <w:proofErr w:type="gramEnd"/>
            <w:r>
              <w:rPr>
                <w:rFonts w:eastAsia="Times New Roman"/>
                <w:sz w:val="24"/>
                <w:szCs w:val="24"/>
              </w:rPr>
              <w:t xml:space="preserve"> certification bodies that can be approached for further advice on the scheme, the link below points to these providers: </w:t>
            </w:r>
          </w:p>
          <w:p w14:paraId="767014DC"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pPr>
            <w:hyperlink r:id="rId13" w:anchor="what-is-an-accreditation-body" w:history="1">
              <w:r>
                <w:rPr>
                  <w:rFonts w:eastAsia="STZhongsong"/>
                  <w:color w:val="0000FF"/>
                  <w:sz w:val="24"/>
                  <w:szCs w:val="24"/>
                  <w:u w:val="single"/>
                </w:rPr>
                <w:t>https://www.cyberessentials.ncsc.gov.uk/getting-certified/#what-is-an-accreditation-body</w:t>
              </w:r>
            </w:hyperlink>
            <w:r>
              <w:rPr>
                <w:rFonts w:eastAsia="Times New Roman"/>
                <w:sz w:val="24"/>
                <w:szCs w:val="24"/>
              </w:rPr>
              <w:t xml:space="preserve"> </w:t>
            </w:r>
          </w:p>
        </w:tc>
      </w:tr>
      <w:tr w:rsidR="00AB4CBF" w14:paraId="3B842A6A" w14:textId="77777777" w:rsidTr="001608EA">
        <w:trPr>
          <w:trHeight w:val="215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F835E"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lastRenderedPageBreak/>
              <w:t>“Data”</w:t>
            </w:r>
          </w:p>
          <w:p w14:paraId="77BF9299"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“Data Controller”</w:t>
            </w:r>
          </w:p>
          <w:p w14:paraId="0B67F5B1"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“Data Protection Officer”</w:t>
            </w:r>
          </w:p>
          <w:p w14:paraId="2E492F64"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“Data Processor”</w:t>
            </w:r>
          </w:p>
          <w:p w14:paraId="48ABC99F"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“Personal Data”</w:t>
            </w:r>
          </w:p>
          <w:p w14:paraId="0162BEBE"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 xml:space="preserve">“Personal Data requiring Sensitive  </w:t>
            </w:r>
          </w:p>
          <w:p w14:paraId="443C3AAB"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 xml:space="preserve"> Processing” </w:t>
            </w:r>
          </w:p>
          <w:p w14:paraId="55A37C13"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“Data Subject”, “Process” and “Processing”</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BD4EB"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 xml:space="preserve">shall have the meanings given to those terms by the Data Protection Legislation </w:t>
            </w:r>
          </w:p>
        </w:tc>
      </w:tr>
      <w:tr w:rsidR="00AB4CBF" w14:paraId="3C990E18" w14:textId="77777777" w:rsidTr="001608EA">
        <w:trPr>
          <w:trHeight w:val="90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05D7"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"Buyer’s Data"</w:t>
            </w:r>
          </w:p>
          <w:p w14:paraId="5D58E112"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“Buyer’s Information”</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52D2" w14:textId="77777777" w:rsidR="00AB4CBF" w:rsidRDefault="00AB4CBF" w:rsidP="001608EA">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is any data or information owned or retained to meet departmental business objectives and tasks, including:</w:t>
            </w:r>
          </w:p>
          <w:p w14:paraId="07D90F9E"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34"/>
              <w:rPr>
                <w:rFonts w:eastAsia="Times New Roman"/>
                <w:sz w:val="24"/>
                <w:szCs w:val="24"/>
              </w:rPr>
            </w:pPr>
            <w:r>
              <w:rPr>
                <w:rFonts w:eastAsia="Times New Roman"/>
                <w:sz w:val="24"/>
                <w:szCs w:val="24"/>
              </w:rPr>
              <w:t>(a) any data, text, drawings, diagrams, images, or sounds (together with any repository or database made up of any of these components) which are embodied in any electronic, magnetic, optical, or tangible media, and which are:</w:t>
            </w:r>
          </w:p>
          <w:p w14:paraId="2D38E542" w14:textId="77777777" w:rsidR="00AB4CBF" w:rsidRDefault="00AB4CBF" w:rsidP="001608EA">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318"/>
              <w:rPr>
                <w:rFonts w:eastAsia="Times New Roman"/>
                <w:sz w:val="24"/>
                <w:szCs w:val="24"/>
              </w:rPr>
            </w:pPr>
            <w:r>
              <w:rPr>
                <w:rFonts w:eastAsia="Times New Roman"/>
                <w:sz w:val="24"/>
                <w:szCs w:val="24"/>
              </w:rPr>
              <w:t>(</w:t>
            </w:r>
            <w:proofErr w:type="spellStart"/>
            <w:r>
              <w:rPr>
                <w:rFonts w:eastAsia="Times New Roman"/>
                <w:sz w:val="24"/>
                <w:szCs w:val="24"/>
              </w:rPr>
              <w:t>i</w:t>
            </w:r>
            <w:proofErr w:type="spellEnd"/>
            <w:r>
              <w:rPr>
                <w:rFonts w:eastAsia="Times New Roman"/>
                <w:sz w:val="24"/>
                <w:szCs w:val="24"/>
              </w:rPr>
              <w:t xml:space="preserve">) supplied to the Supplier by or on behalf of the Buyer; or </w:t>
            </w:r>
          </w:p>
          <w:p w14:paraId="7ABFEC0A" w14:textId="77777777" w:rsidR="00AB4CBF" w:rsidRDefault="00AB4CBF" w:rsidP="001608EA">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318"/>
              <w:rPr>
                <w:rFonts w:eastAsia="Times New Roman"/>
                <w:sz w:val="24"/>
                <w:szCs w:val="24"/>
              </w:rPr>
            </w:pPr>
            <w:r>
              <w:rPr>
                <w:rFonts w:eastAsia="Times New Roman"/>
                <w:sz w:val="24"/>
                <w:szCs w:val="24"/>
              </w:rPr>
              <w:t>(ii) which the Supplier is required to generate, process, store or transmit pursuant to this Contract; or</w:t>
            </w:r>
          </w:p>
          <w:p w14:paraId="2FCF3E62"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34"/>
              <w:rPr>
                <w:rFonts w:eastAsia="Times New Roman"/>
                <w:sz w:val="24"/>
                <w:szCs w:val="24"/>
              </w:rPr>
            </w:pPr>
            <w:r>
              <w:rPr>
                <w:rFonts w:eastAsia="Times New Roman"/>
                <w:sz w:val="24"/>
                <w:szCs w:val="24"/>
              </w:rPr>
              <w:t>(b) any Personal Data for which the Buyer is the Data Controller;</w:t>
            </w:r>
          </w:p>
        </w:tc>
      </w:tr>
      <w:tr w:rsidR="00AB4CBF" w14:paraId="64002D28" w14:textId="77777777" w:rsidTr="001608EA">
        <w:trPr>
          <w:trHeight w:val="107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760D"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“Departmental Security Requirements”</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A790"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the Buyer’s security policy or any standards, procedures, process, or specification for security that the Supplier is required to deliver.</w:t>
            </w:r>
          </w:p>
        </w:tc>
      </w:tr>
      <w:tr w:rsidR="00AB4CBF" w14:paraId="5D90D780" w14:textId="77777777" w:rsidTr="001608EA">
        <w:trPr>
          <w:trHeight w:val="136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3C4F"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“Digital Marketplace / G-Cloud”</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884D"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 xml:space="preserve">the Digital Marketplace is the online framework for identifying and procuring cloud technology and people for digital projects. </w:t>
            </w:r>
          </w:p>
        </w:tc>
      </w:tr>
      <w:tr w:rsidR="00AB4CBF" w14:paraId="7673002F" w14:textId="77777777" w:rsidTr="001608EA">
        <w:trPr>
          <w:trHeight w:val="136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82823"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pPr>
            <w:r>
              <w:rPr>
                <w:rFonts w:eastAsia="Times New Roman"/>
                <w:kern w:val="3"/>
                <w:sz w:val="24"/>
                <w:szCs w:val="24"/>
              </w:rPr>
              <w:t>“End User Devices”</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88A01"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the personal computer or consumer devices that store or process information.</w:t>
            </w:r>
          </w:p>
        </w:tc>
      </w:tr>
      <w:tr w:rsidR="00AB4CBF" w14:paraId="265835A1" w14:textId="77777777" w:rsidTr="001608EA">
        <w:trPr>
          <w:trHeight w:val="141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AF147"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lastRenderedPageBreak/>
              <w:t>“Good Industry Standard”</w:t>
            </w:r>
          </w:p>
          <w:p w14:paraId="4E670157"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“Industry Good Standard”</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4A8F"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the implementation of products and solutions, and the exercise of that degree of skill, care, prudence, efficiency, foresight, and timeliness as would be expected from a leading company within the relevant industry or business sector.</w:t>
            </w:r>
          </w:p>
        </w:tc>
      </w:tr>
      <w:tr w:rsidR="00AB4CBF" w14:paraId="7C14483A" w14:textId="77777777" w:rsidTr="001608EA">
        <w:trPr>
          <w:trHeight w:val="136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27A0"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“GSC”</w:t>
            </w:r>
          </w:p>
          <w:p w14:paraId="3712D933"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“GSCP”</w:t>
            </w:r>
          </w:p>
          <w:p w14:paraId="69235C95"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9EEB"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pPr>
            <w:r>
              <w:rPr>
                <w:rFonts w:eastAsia="Times New Roman"/>
                <w:sz w:val="24"/>
                <w:szCs w:val="24"/>
              </w:rPr>
              <w:t xml:space="preserve">the Government Security Classification Policy which establishes the rules for classifying HMG information. The policy is available at: </w:t>
            </w:r>
            <w:hyperlink r:id="rId14" w:history="1">
              <w:r>
                <w:rPr>
                  <w:rFonts w:eastAsia="Times New Roman"/>
                  <w:color w:val="0000FF"/>
                  <w:sz w:val="24"/>
                  <w:szCs w:val="24"/>
                  <w:u w:val="single"/>
                </w:rPr>
                <w:t>https://www.gov.uk/government/publications/government-security-classifications</w:t>
              </w:r>
            </w:hyperlink>
            <w:r>
              <w:rPr>
                <w:rFonts w:eastAsia="Times New Roman"/>
                <w:color w:val="0000FF"/>
                <w:sz w:val="24"/>
                <w:szCs w:val="24"/>
              </w:rPr>
              <w:t xml:space="preserve"> </w:t>
            </w:r>
          </w:p>
        </w:tc>
      </w:tr>
      <w:tr w:rsidR="00AB4CBF" w14:paraId="75523063" w14:textId="77777777" w:rsidTr="001608EA">
        <w:trPr>
          <w:trHeight w:val="62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3D561"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“HMG”</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DAAE7"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Her Majesty’s Government</w:t>
            </w:r>
          </w:p>
        </w:tc>
      </w:tr>
      <w:tr w:rsidR="00AB4CBF" w14:paraId="748DA2FC" w14:textId="77777777" w:rsidTr="001608E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74950"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“ICT”</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6BF0"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Information and Communications Technology (ICT) and is used as an extended synonym for information technology (IT), used to describe the bringing together of enabling technologies used to deliver the end-to-end solution</w:t>
            </w:r>
          </w:p>
        </w:tc>
      </w:tr>
      <w:tr w:rsidR="00AB4CBF" w14:paraId="7A5DA087" w14:textId="77777777" w:rsidTr="001608EA">
        <w:trPr>
          <w:trHeight w:val="73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A4B7"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“ISO/IEC 27001” “ISO 27001”</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F464"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is the International Standard for Information Security Management Systems Requirements</w:t>
            </w:r>
          </w:p>
        </w:tc>
      </w:tr>
      <w:tr w:rsidR="00AB4CBF" w14:paraId="7DCCE817"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45326"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“ISO/IEC 27002” “ISO 27002”</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DF99"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is the International Standard describing the Code of Practice for Information Security Controls.</w:t>
            </w:r>
          </w:p>
        </w:tc>
      </w:tr>
      <w:tr w:rsidR="00AB4CBF" w14:paraId="38AAE9C4" w14:textId="77777777" w:rsidTr="001608EA">
        <w:trPr>
          <w:trHeight w:val="62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0AFC5"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“ISO 22301”</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E453"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is the International Standard describing for Business Continuity</w:t>
            </w:r>
          </w:p>
        </w:tc>
      </w:tr>
      <w:tr w:rsidR="00AB4CBF" w14:paraId="4005175D"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E517"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“IT Security Health Check (ITSHC)”</w:t>
            </w:r>
          </w:p>
          <w:p w14:paraId="421F5183"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“IT Health Check (ITHC)”</w:t>
            </w:r>
          </w:p>
          <w:p w14:paraId="4686E43C"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“Penetration Testing”</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9CE0"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an assessment to identify risks and vulnerabilities in systems, applications and networks which may compromise the confidentiality, integrity or availability of information held on that ICT system.</w:t>
            </w:r>
          </w:p>
        </w:tc>
      </w:tr>
      <w:tr w:rsidR="00AB4CBF" w14:paraId="4D574814"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2A65"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“Need-to-Know”</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35D7"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 xml:space="preserve">the Need-to-Know principle employed within HMG to limit the distribution of classified information to those people with a clear ‘need to know’ </w:t>
            </w:r>
            <w:proofErr w:type="gramStart"/>
            <w:r>
              <w:rPr>
                <w:rFonts w:eastAsia="Times New Roman"/>
                <w:sz w:val="24"/>
                <w:szCs w:val="24"/>
              </w:rPr>
              <w:t>in order to</w:t>
            </w:r>
            <w:proofErr w:type="gramEnd"/>
            <w:r>
              <w:rPr>
                <w:rFonts w:eastAsia="Times New Roman"/>
                <w:sz w:val="24"/>
                <w:szCs w:val="24"/>
              </w:rPr>
              <w:t xml:space="preserve"> carry out their duties.</w:t>
            </w:r>
          </w:p>
        </w:tc>
      </w:tr>
      <w:tr w:rsidR="00AB4CBF" w14:paraId="68EB7CEC"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51257"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720" w:hanging="720"/>
              <w:rPr>
                <w:rFonts w:eastAsia="Times New Roman"/>
                <w:sz w:val="24"/>
                <w:szCs w:val="24"/>
              </w:rPr>
            </w:pPr>
            <w:r>
              <w:rPr>
                <w:rFonts w:eastAsia="Times New Roman"/>
                <w:sz w:val="24"/>
                <w:szCs w:val="24"/>
              </w:rPr>
              <w:t>“NCSC”</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D5CBD"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pPr>
            <w:r>
              <w:rPr>
                <w:rFonts w:eastAsia="Times New Roman"/>
                <w:sz w:val="24"/>
                <w:szCs w:val="24"/>
              </w:rPr>
              <w:t xml:space="preserve">the National Cyber Security Centre (NCSC) is the UK government’s National Technical Authority for Information Assurance. The NCSC website is </w:t>
            </w:r>
            <w:hyperlink r:id="rId15" w:history="1">
              <w:r>
                <w:rPr>
                  <w:rFonts w:eastAsia="Times New Roman"/>
                  <w:color w:val="0000FF"/>
                  <w:sz w:val="24"/>
                  <w:szCs w:val="24"/>
                  <w:u w:val="single"/>
                </w:rPr>
                <w:t>https://www.ncsc.gov.uk</w:t>
              </w:r>
            </w:hyperlink>
            <w:r>
              <w:rPr>
                <w:rFonts w:eastAsia="Times New Roman"/>
                <w:color w:val="0000FF"/>
                <w:sz w:val="24"/>
                <w:szCs w:val="24"/>
              </w:rPr>
              <w:t xml:space="preserve"> </w:t>
            </w:r>
          </w:p>
        </w:tc>
      </w:tr>
      <w:tr w:rsidR="00AB4CBF" w14:paraId="2D3DDC3B" w14:textId="77777777" w:rsidTr="001608EA">
        <w:trPr>
          <w:trHeight w:val="3118"/>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467C4"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lastRenderedPageBreak/>
              <w:t>“OFFICIAL”</w:t>
            </w:r>
          </w:p>
          <w:p w14:paraId="68AD919C"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p>
          <w:p w14:paraId="65B7EB7B"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p>
          <w:p w14:paraId="5BD1B768"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p>
          <w:p w14:paraId="1775F5F0"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 xml:space="preserve">“OFFICIAL-SENSITIVE”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8B3E8" w14:textId="77777777" w:rsidR="00AB4CBF" w:rsidRDefault="00AB4CBF" w:rsidP="001608EA">
            <w:pPr>
              <w:autoSpaceDE w:val="0"/>
              <w:spacing w:before="40" w:after="40"/>
              <w:rPr>
                <w:rFonts w:eastAsia="Times New Roman"/>
                <w:sz w:val="24"/>
                <w:szCs w:val="24"/>
              </w:rPr>
            </w:pPr>
            <w:r>
              <w:rPr>
                <w:rFonts w:eastAsia="Times New Roman"/>
                <w:sz w:val="24"/>
                <w:szCs w:val="24"/>
              </w:rPr>
              <w:t>the term ‘OFFICIAL’ is used to describe the baseline level of ‘security classification’ described within the Government Security Classification Policy (GSCP).</w:t>
            </w:r>
          </w:p>
          <w:p w14:paraId="02CA9C35" w14:textId="77777777" w:rsidR="00AB4CBF" w:rsidRDefault="00AB4CBF" w:rsidP="001608EA">
            <w:pPr>
              <w:autoSpaceDE w:val="0"/>
              <w:spacing w:before="40" w:after="40"/>
              <w:ind w:left="1418"/>
              <w:rPr>
                <w:rFonts w:eastAsia="Times New Roman"/>
                <w:sz w:val="24"/>
                <w:szCs w:val="24"/>
              </w:rPr>
            </w:pPr>
            <w:r>
              <w:rPr>
                <w:rFonts w:eastAsia="Times New Roman"/>
                <w:sz w:val="24"/>
                <w:szCs w:val="24"/>
              </w:rPr>
              <w:t xml:space="preserve"> </w:t>
            </w:r>
          </w:p>
          <w:p w14:paraId="31D75753"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AB4CBF" w14:paraId="52C0344A" w14:textId="77777777" w:rsidTr="001608EA">
        <w:trPr>
          <w:trHeight w:val="102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7C15"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kern w:val="3"/>
                <w:sz w:val="24"/>
                <w:szCs w:val="24"/>
              </w:rPr>
            </w:pPr>
            <w:r>
              <w:rPr>
                <w:rFonts w:eastAsia="Times New Roman"/>
                <w:kern w:val="3"/>
                <w:sz w:val="24"/>
                <w:szCs w:val="24"/>
              </w:rPr>
              <w:t>“RBAC”</w:t>
            </w:r>
          </w:p>
          <w:p w14:paraId="7A42F164"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pPr>
            <w:r>
              <w:rPr>
                <w:rFonts w:eastAsia="Times New Roman"/>
                <w:kern w:val="3"/>
                <w:sz w:val="24"/>
                <w:szCs w:val="24"/>
              </w:rPr>
              <w:t>“Role Based Access Control”</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37945" w14:textId="77777777" w:rsidR="00AB4CBF" w:rsidRDefault="00AB4CBF" w:rsidP="001608EA">
            <w:pPr>
              <w:autoSpaceDE w:val="0"/>
              <w:spacing w:before="40" w:after="40"/>
              <w:rPr>
                <w:rFonts w:eastAsia="Times New Roman"/>
                <w:sz w:val="24"/>
                <w:szCs w:val="24"/>
              </w:rPr>
            </w:pPr>
            <w:r>
              <w:rPr>
                <w:rFonts w:eastAsia="Times New Roman"/>
                <w:sz w:val="24"/>
                <w:szCs w:val="24"/>
              </w:rPr>
              <w:t>Role Based Access Control, a method of restricting a person’s or process’ access to information depending on the role or functions assigned to them.</w:t>
            </w:r>
          </w:p>
        </w:tc>
      </w:tr>
      <w:tr w:rsidR="00AB4CBF" w14:paraId="6B617027" w14:textId="77777777" w:rsidTr="001608EA">
        <w:trPr>
          <w:trHeight w:val="1361"/>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2EE33"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kern w:val="3"/>
                <w:sz w:val="24"/>
                <w:szCs w:val="24"/>
              </w:rPr>
            </w:pPr>
            <w:r>
              <w:rPr>
                <w:rFonts w:eastAsia="Times New Roman"/>
                <w:kern w:val="3"/>
                <w:sz w:val="24"/>
                <w:szCs w:val="24"/>
              </w:rPr>
              <w:t xml:space="preserve">“Storage Area Network” </w:t>
            </w:r>
          </w:p>
          <w:p w14:paraId="2F98E2E9"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kern w:val="3"/>
                <w:sz w:val="24"/>
                <w:szCs w:val="24"/>
              </w:rPr>
            </w:pPr>
            <w:r>
              <w:rPr>
                <w:rFonts w:eastAsia="Times New Roman"/>
                <w:kern w:val="3"/>
                <w:sz w:val="24"/>
                <w:szCs w:val="24"/>
              </w:rPr>
              <w:t>“SAN”</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C9F5" w14:textId="77777777" w:rsidR="00AB4CBF" w:rsidRDefault="00AB4CBF" w:rsidP="001608EA">
            <w:pPr>
              <w:autoSpaceDE w:val="0"/>
              <w:spacing w:before="40" w:after="40"/>
              <w:rPr>
                <w:rFonts w:eastAsia="Times New Roman"/>
                <w:sz w:val="24"/>
                <w:szCs w:val="24"/>
              </w:rPr>
            </w:pPr>
            <w:r>
              <w:rPr>
                <w:rFonts w:eastAsia="Times New Roman"/>
                <w:sz w:val="24"/>
                <w:szCs w:val="24"/>
              </w:rPr>
              <w:t xml:space="preserve">an information storage system typically presenting block-based storage (i.e. disks or virtual disks) over a network interface rather than using physically connected storage. </w:t>
            </w:r>
          </w:p>
        </w:tc>
      </w:tr>
      <w:tr w:rsidR="00AB4CBF" w14:paraId="4E35A8F0" w14:textId="77777777" w:rsidTr="001608EA">
        <w:trPr>
          <w:trHeight w:val="1124"/>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87232"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rPr>
                <w:rFonts w:eastAsia="Times New Roman"/>
                <w:sz w:val="24"/>
                <w:szCs w:val="24"/>
              </w:rPr>
            </w:pPr>
            <w:r>
              <w:rPr>
                <w:rFonts w:eastAsia="Times New Roman"/>
                <w:sz w:val="24"/>
                <w:szCs w:val="24"/>
              </w:rPr>
              <w:t>“Secure Sanitisation”</w:t>
            </w:r>
          </w:p>
          <w:p w14:paraId="08E19C8B"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1418"/>
              <w:rPr>
                <w:rFonts w:eastAsia="Times New Roman"/>
                <w:sz w:val="24"/>
                <w:szCs w:val="24"/>
              </w:rPr>
            </w:pPr>
          </w:p>
          <w:p w14:paraId="523F32B3" w14:textId="77777777" w:rsidR="00AB4CBF" w:rsidRDefault="00AB4CBF" w:rsidP="00160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40" w:after="40"/>
              <w:ind w:left="1418"/>
              <w:rPr>
                <w:rFonts w:eastAsia="Times New Roman"/>
                <w:sz w:val="24"/>
                <w:szCs w:val="24"/>
              </w:rPr>
            </w:pP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CB53" w14:textId="77777777" w:rsidR="00AB4CBF" w:rsidRDefault="00AB4CBF" w:rsidP="001608EA">
            <w:pPr>
              <w:autoSpaceDE w:val="0"/>
              <w:spacing w:before="40" w:after="40"/>
              <w:rPr>
                <w:rFonts w:eastAsia="Times New Roman"/>
                <w:sz w:val="24"/>
                <w:szCs w:val="24"/>
              </w:rPr>
            </w:pPr>
            <w:r>
              <w:rPr>
                <w:rFonts w:eastAsia="Times New Roman"/>
                <w:sz w:val="24"/>
                <w:szCs w:val="24"/>
              </w:rPr>
              <w:t xml:space="preserve">the process of treating data held on storage media to reduce the likelihood of retrieval and reconstruction to an acceptable level. </w:t>
            </w:r>
          </w:p>
          <w:p w14:paraId="63ED283C" w14:textId="77777777" w:rsidR="00AB4CBF" w:rsidRDefault="00AB4CBF" w:rsidP="001608EA">
            <w:pPr>
              <w:autoSpaceDE w:val="0"/>
              <w:spacing w:before="40" w:after="40"/>
              <w:ind w:left="1418"/>
              <w:rPr>
                <w:rFonts w:eastAsia="Times New Roman"/>
                <w:sz w:val="24"/>
                <w:szCs w:val="24"/>
              </w:rPr>
            </w:pPr>
          </w:p>
          <w:p w14:paraId="1C2D7405" w14:textId="77777777" w:rsidR="00AB4CBF" w:rsidRDefault="00AB4CBF" w:rsidP="001608EA">
            <w:pPr>
              <w:autoSpaceDE w:val="0"/>
              <w:spacing w:before="40" w:after="40"/>
            </w:pPr>
            <w:r>
              <w:rPr>
                <w:rFonts w:eastAsia="Times New Roman"/>
                <w:sz w:val="24"/>
                <w:szCs w:val="24"/>
              </w:rPr>
              <w:t xml:space="preserve">NCSC Guidance can be found at: </w:t>
            </w:r>
            <w:hyperlink r:id="rId16" w:history="1">
              <w:r>
                <w:rPr>
                  <w:rFonts w:eastAsia="Times New Roman"/>
                  <w:color w:val="0000FF"/>
                  <w:sz w:val="24"/>
                  <w:szCs w:val="24"/>
                  <w:u w:val="single"/>
                </w:rPr>
                <w:t>https://www.ncsc.gov.uk/guidance/secure-sanitisation-storage-media</w:t>
              </w:r>
            </w:hyperlink>
            <w:r>
              <w:rPr>
                <w:rFonts w:eastAsia="Times New Roman"/>
                <w:color w:val="0000FF"/>
                <w:sz w:val="24"/>
                <w:szCs w:val="24"/>
              </w:rPr>
              <w:t xml:space="preserve"> </w:t>
            </w:r>
          </w:p>
          <w:p w14:paraId="16C89EB6" w14:textId="77777777" w:rsidR="00AB4CBF" w:rsidRDefault="00AB4CBF" w:rsidP="001608EA">
            <w:pPr>
              <w:autoSpaceDE w:val="0"/>
              <w:spacing w:before="40" w:after="40"/>
              <w:ind w:left="1418"/>
              <w:rPr>
                <w:rFonts w:eastAsia="Times New Roman"/>
                <w:sz w:val="24"/>
                <w:szCs w:val="24"/>
              </w:rPr>
            </w:pPr>
          </w:p>
          <w:p w14:paraId="297D7D1E" w14:textId="77777777" w:rsidR="00AB4CBF" w:rsidRDefault="00AB4CBF" w:rsidP="001608EA">
            <w:pPr>
              <w:autoSpaceDE w:val="0"/>
              <w:spacing w:before="40" w:after="40"/>
            </w:pPr>
            <w:r>
              <w:rPr>
                <w:rFonts w:eastAsia="Times New Roman"/>
                <w:sz w:val="24"/>
                <w:szCs w:val="24"/>
              </w:rPr>
              <w:t xml:space="preserve">The disposal of physical documents and hardcopy materials advice can be found at: </w:t>
            </w:r>
            <w:hyperlink r:id="rId17" w:history="1">
              <w:r>
                <w:rPr>
                  <w:rFonts w:eastAsia="Times New Roman"/>
                  <w:color w:val="0000FF"/>
                  <w:sz w:val="24"/>
                  <w:szCs w:val="24"/>
                  <w:u w:val="single"/>
                </w:rPr>
                <w:t>https://www.cpni.gov.uk/secure-destruction-0</w:t>
              </w:r>
            </w:hyperlink>
          </w:p>
        </w:tc>
      </w:tr>
      <w:tr w:rsidR="00AB4CBF" w14:paraId="2271B0FC"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C23"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 xml:space="preserve">“Security and Information Risk Advisor” </w:t>
            </w:r>
          </w:p>
          <w:p w14:paraId="160A4976"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“CCP SIRA”</w:t>
            </w:r>
          </w:p>
          <w:p w14:paraId="23B0F954"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“SIRA”</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9CD9A"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the Security and Information Risk Advisor (SIRA) is a role defined under the NCSC Certified Professional (CCP) Scheme. See also:</w:t>
            </w:r>
          </w:p>
          <w:p w14:paraId="2B316EBA"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ind w:left="1418"/>
            </w:pPr>
            <w:hyperlink r:id="rId18" w:history="1">
              <w:r>
                <w:rPr>
                  <w:rFonts w:eastAsia="Times New Roman"/>
                  <w:color w:val="0000FF"/>
                  <w:sz w:val="24"/>
                  <w:szCs w:val="24"/>
                  <w:u w:val="single"/>
                </w:rPr>
                <w:t>https://www.ncsc.gov.uk/articles/about-certified-professional-scheme</w:t>
              </w:r>
            </w:hyperlink>
            <w:r>
              <w:rPr>
                <w:rFonts w:eastAsia="Times New Roman"/>
                <w:sz w:val="24"/>
                <w:szCs w:val="24"/>
                <w:u w:val="single"/>
              </w:rPr>
              <w:t xml:space="preserve"> </w:t>
            </w:r>
          </w:p>
        </w:tc>
      </w:tr>
      <w:tr w:rsidR="00AB4CBF" w14:paraId="6CBAC607"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7E19"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“Senior Information Risk Owner”</w:t>
            </w:r>
          </w:p>
          <w:p w14:paraId="47B57B05"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pPr>
            <w:r>
              <w:rPr>
                <w:rFonts w:eastAsia="Times New Roman"/>
                <w:sz w:val="24"/>
                <w:szCs w:val="24"/>
              </w:rPr>
              <w:t xml:space="preserve"> “SIRO”</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D4510"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018F2CEA"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ind w:left="1418"/>
              <w:rPr>
                <w:rFonts w:eastAsia="Times New Roman"/>
                <w:sz w:val="24"/>
                <w:szCs w:val="24"/>
              </w:rPr>
            </w:pPr>
            <w:r>
              <w:rPr>
                <w:rFonts w:eastAsia="Times New Roman"/>
                <w:sz w:val="24"/>
                <w:szCs w:val="24"/>
              </w:rPr>
              <w:t xml:space="preserve"> </w:t>
            </w:r>
          </w:p>
        </w:tc>
      </w:tr>
      <w:tr w:rsidR="00AB4CBF" w14:paraId="36974C67"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BDD26"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lastRenderedPageBreak/>
              <w:t>“SPF”</w:t>
            </w:r>
          </w:p>
          <w:p w14:paraId="7D6FE1AE"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“HMG Security Policy Framework”</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1B91C"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pPr>
            <w:r>
              <w:rPr>
                <w:rFonts w:eastAsia="Times New Roman"/>
                <w:sz w:val="24"/>
                <w:szCs w:val="24"/>
              </w:rPr>
              <w:t xml:space="preserve">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19" w:history="1">
              <w:r>
                <w:rPr>
                  <w:rFonts w:eastAsia="Times New Roman"/>
                  <w:color w:val="0000FF"/>
                  <w:sz w:val="24"/>
                  <w:szCs w:val="24"/>
                  <w:u w:val="single"/>
                </w:rPr>
                <w:t>https://www.gov.uk/government/publications/security-policy-framework</w:t>
              </w:r>
            </w:hyperlink>
            <w:r>
              <w:rPr>
                <w:rFonts w:eastAsia="Times New Roman"/>
                <w:color w:val="0000FF"/>
                <w:sz w:val="24"/>
                <w:szCs w:val="24"/>
              </w:rPr>
              <w:t xml:space="preserve"> </w:t>
            </w:r>
          </w:p>
        </w:tc>
      </w:tr>
      <w:tr w:rsidR="00AB4CBF" w14:paraId="6658773B" w14:textId="77777777" w:rsidTr="001608EA">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ACE1A"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bookmarkStart w:id="162" w:name="Supplier_Staff"/>
            <w:r>
              <w:rPr>
                <w:rFonts w:eastAsia="Times New Roman"/>
                <w:sz w:val="24"/>
                <w:szCs w:val="24"/>
              </w:rPr>
              <w:t>"Supplier Staff"</w:t>
            </w:r>
            <w:bookmarkEnd w:id="162"/>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AE9C"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r>
              <w:rPr>
                <w:rFonts w:eastAsia="Times New Roman"/>
                <w:sz w:val="24"/>
                <w:szCs w:val="24"/>
              </w:rPr>
              <w:t>all directors, officers, employees, agents, consultants, and contractors of the Supplier and/or of any Subcontractor engaged in the performance of the Supplier’s obligations under the Contract.</w:t>
            </w:r>
          </w:p>
          <w:p w14:paraId="40B4777B" w14:textId="77777777" w:rsidR="00AB4CBF" w:rsidRDefault="00AB4CBF" w:rsidP="001608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before="60" w:after="60"/>
              <w:rPr>
                <w:rFonts w:eastAsia="Times New Roman"/>
                <w:sz w:val="24"/>
                <w:szCs w:val="24"/>
              </w:rPr>
            </w:pPr>
          </w:p>
        </w:tc>
      </w:tr>
    </w:tbl>
    <w:p w14:paraId="6AE3128F"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244BE905"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0F371C0B"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503B8073"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15BBAD4C"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5BF3F734"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395F6161"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1B2797C3"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58F5DF4B"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6B8416B6"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4568357C"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49D8A924" w14:textId="77777777" w:rsidR="00AB4CBF" w:rsidRDefault="00AB4CBF" w:rsidP="00AB4CBF">
      <w:pPr>
        <w:keepNext/>
        <w:keepLines/>
        <w:numPr>
          <w:ilvl w:val="0"/>
          <w:numId w:val="10"/>
        </w:numPr>
        <w:overflowPunct w:val="0"/>
        <w:autoSpaceDE w:val="0"/>
        <w:autoSpaceDN w:val="0"/>
        <w:spacing w:before="120" w:after="120" w:line="254" w:lineRule="auto"/>
        <w:rPr>
          <w:rFonts w:eastAsia="Calibri"/>
          <w:vanish/>
          <w:kern w:val="3"/>
          <w:sz w:val="24"/>
          <w:szCs w:val="24"/>
          <w:shd w:val="clear" w:color="auto" w:fill="00FF00"/>
          <w:lang w:eastAsia="en-US"/>
        </w:rPr>
      </w:pPr>
    </w:p>
    <w:p w14:paraId="17DDB4C7" w14:textId="77777777" w:rsidR="00AB4CBF" w:rsidRDefault="00AB4CBF" w:rsidP="00AB4CBF">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spacing w:after="240"/>
        <w:ind w:left="1418"/>
        <w:rPr>
          <w:rFonts w:eastAsia="Times New Roman"/>
          <w:b/>
          <w:sz w:val="24"/>
          <w:szCs w:val="24"/>
          <w:lang w:eastAsia="en-US"/>
        </w:rPr>
      </w:pPr>
    </w:p>
    <w:p w14:paraId="2F6D02F2" w14:textId="77777777" w:rsidR="00AB4CBF" w:rsidRDefault="00AB4CBF" w:rsidP="00AB4CBF">
      <w:pPr>
        <w:spacing w:before="240" w:line="260" w:lineRule="atLeast"/>
        <w:ind w:left="794" w:hanging="794"/>
        <w:rPr>
          <w:rFonts w:eastAsia="Calibri"/>
          <w:b/>
          <w:bCs/>
          <w:sz w:val="24"/>
          <w:szCs w:val="24"/>
          <w:lang w:eastAsia="en-US"/>
        </w:rPr>
      </w:pPr>
      <w:r>
        <w:rPr>
          <w:rFonts w:eastAsia="Calibri"/>
          <w:b/>
          <w:bCs/>
          <w:sz w:val="24"/>
          <w:szCs w:val="24"/>
          <w:lang w:eastAsia="en-US"/>
        </w:rPr>
        <w:t xml:space="preserve">Operative Provisions </w:t>
      </w:r>
    </w:p>
    <w:p w14:paraId="0416D0CA"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pPr>
      <w:r>
        <w:rPr>
          <w:rFonts w:eastAsia="Calibri"/>
          <w:kern w:val="3"/>
          <w:sz w:val="24"/>
          <w:szCs w:val="24"/>
          <w:lang w:eastAsia="en-US"/>
        </w:rPr>
        <w:t xml:space="preserve">The Supplier shall be aware of and comply with the relevant </w:t>
      </w:r>
      <w:hyperlink r:id="rId20" w:history="1">
        <w:r>
          <w:rPr>
            <w:rFonts w:eastAsia="STZhongsong"/>
            <w:color w:val="0000FF"/>
            <w:kern w:val="3"/>
            <w:sz w:val="24"/>
            <w:szCs w:val="24"/>
            <w:u w:val="single"/>
            <w:lang w:eastAsia="en-US"/>
          </w:rPr>
          <w:t>HMG security policy framework</w:t>
        </w:r>
      </w:hyperlink>
      <w:r>
        <w:rPr>
          <w:rFonts w:eastAsia="Calibri"/>
          <w:kern w:val="3"/>
          <w:sz w:val="24"/>
          <w:szCs w:val="24"/>
          <w:lang w:eastAsia="en-US"/>
        </w:rPr>
        <w:t xml:space="preserve">, </w:t>
      </w:r>
      <w:hyperlink r:id="rId21" w:history="1">
        <w:r>
          <w:rPr>
            <w:rFonts w:eastAsia="STZhongsong"/>
            <w:color w:val="0000FF"/>
            <w:kern w:val="3"/>
            <w:sz w:val="24"/>
            <w:szCs w:val="24"/>
            <w:u w:val="single"/>
            <w:lang w:eastAsia="en-US"/>
          </w:rPr>
          <w:t>NCSC guidelines</w:t>
        </w:r>
      </w:hyperlink>
      <w:r>
        <w:rPr>
          <w:rFonts w:eastAsia="Calibri"/>
          <w:kern w:val="3"/>
          <w:sz w:val="24"/>
          <w:szCs w:val="24"/>
          <w:lang w:eastAsia="en-US"/>
        </w:rPr>
        <w:t xml:space="preserve"> and where applicable these Departmental Security Requirements which include but are not constrained to the following paragraphs. </w:t>
      </w:r>
    </w:p>
    <w:p w14:paraId="7A5484CF"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pPr>
      <w:r>
        <w:rPr>
          <w:rFonts w:eastAsia="Calibri"/>
          <w:kern w:val="3"/>
          <w:sz w:val="24"/>
          <w:szCs w:val="24"/>
          <w:lang w:eastAsia="en-US"/>
        </w:rPr>
        <w:t xml:space="preserve">Where the Supplier will provide products or Services or otherwise handle information at OFFICIAL for the Buyer, the requirements of  </w:t>
      </w:r>
      <w:hyperlink r:id="rId22" w:history="1">
        <w:r>
          <w:rPr>
            <w:rFonts w:eastAsia="Calibri"/>
            <w:color w:val="0000FF"/>
            <w:kern w:val="3"/>
            <w:sz w:val="24"/>
            <w:szCs w:val="24"/>
            <w:u w:val="single"/>
            <w:lang w:eastAsia="en-US"/>
          </w:rPr>
          <w:t>Procurement Policy Note: Updates to the Cyber Essentials Scheme (PDF)</w:t>
        </w:r>
      </w:hyperlink>
      <w:r>
        <w:rPr>
          <w:rFonts w:eastAsia="Calibri"/>
          <w:kern w:val="3"/>
          <w:sz w:val="24"/>
          <w:szCs w:val="24"/>
          <w:lang w:eastAsia="en-US"/>
        </w:rPr>
        <w:t xml:space="preserve"> - </w:t>
      </w:r>
      <w:hyperlink r:id="rId23" w:history="1">
        <w:r>
          <w:rPr>
            <w:rFonts w:eastAsia="Calibri"/>
            <w:kern w:val="3"/>
            <w:sz w:val="24"/>
            <w:szCs w:val="24"/>
            <w:u w:val="single"/>
            <w:lang w:eastAsia="en-US"/>
          </w:rPr>
          <w:t>Action Note 09/23</w:t>
        </w:r>
      </w:hyperlink>
      <w:r>
        <w:rPr>
          <w:rFonts w:eastAsia="Calibri"/>
          <w:kern w:val="3"/>
          <w:sz w:val="24"/>
          <w:szCs w:val="24"/>
          <w:lang w:eastAsia="en-US"/>
        </w:rPr>
        <w:t xml:space="preserve"> dated September 2023, or any subsequent updated document, are mandated, namely that contractors supplying products or services to HMG shall have achieved and will retain Cyber Essentials certification at the appropriate level for the duration of the contract. The certification scope shall be relevant to the Services supplied to, or on behalf of, the Buyer.</w:t>
      </w:r>
    </w:p>
    <w:p w14:paraId="1777F895"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pPr>
      <w:r>
        <w:rPr>
          <w:rFonts w:eastAsia="Calibri"/>
          <w:kern w:val="3"/>
          <w:sz w:val="24"/>
          <w:szCs w:val="24"/>
          <w:lang w:eastAsia="en-US"/>
        </w:rPr>
        <w:t xml:space="preserve">Where paragraph 3.2 above has not been met, the Supplier shall have achieved, and be able to maintain, independent certification to ISO/IEC 27001 (Information Security Management Systems Requirements). The ISO/IEC 27001 certification must have a scope relevant to the </w:t>
      </w:r>
      <w:r>
        <w:rPr>
          <w:rFonts w:eastAsia="Calibri"/>
          <w:sz w:val="24"/>
          <w:szCs w:val="24"/>
          <w:lang w:eastAsia="en-US"/>
        </w:rPr>
        <w:t>Services</w:t>
      </w:r>
      <w:r>
        <w:rPr>
          <w:rFonts w:eastAsia="Calibri"/>
          <w:kern w:val="3"/>
          <w:sz w:val="24"/>
          <w:szCs w:val="24"/>
          <w:lang w:eastAsia="en-US"/>
        </w:rPr>
        <w:t xml:space="preserve"> supplied to, or on behalf of, the </w:t>
      </w:r>
      <w:r>
        <w:rPr>
          <w:rFonts w:eastAsia="Calibri"/>
          <w:sz w:val="24"/>
          <w:szCs w:val="24"/>
          <w:lang w:eastAsia="en-US"/>
        </w:rPr>
        <w:t>Buyer</w:t>
      </w:r>
      <w:r>
        <w:rPr>
          <w:rFonts w:eastAsia="Calibri"/>
          <w:kern w:val="3"/>
          <w:sz w:val="24"/>
          <w:szCs w:val="24"/>
          <w:lang w:eastAsia="en-US"/>
        </w:rPr>
        <w:t xml:space="preserve">. The scope of certification and the statement of applicability must be acceptable, following review, to the </w:t>
      </w:r>
      <w:r>
        <w:rPr>
          <w:rFonts w:eastAsia="Calibri"/>
          <w:sz w:val="24"/>
          <w:szCs w:val="24"/>
          <w:lang w:eastAsia="en-US"/>
        </w:rPr>
        <w:t>Buyer</w:t>
      </w:r>
      <w:r>
        <w:rPr>
          <w:rFonts w:eastAsia="Calibri"/>
          <w:kern w:val="3"/>
          <w:sz w:val="24"/>
          <w:szCs w:val="24"/>
          <w:lang w:eastAsia="en-US"/>
        </w:rPr>
        <w:t>, including the application of controls from ISO/IEC 27002 (Code of Practice for Information Security Controls).</w:t>
      </w:r>
    </w:p>
    <w:p w14:paraId="70881782"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The Supplier shall follow the UK Government Security Classification Policy (GSCP) in respect of any Buyer’s Data being handled </w:t>
      </w:r>
      <w:proofErr w:type="gramStart"/>
      <w:r>
        <w:rPr>
          <w:rFonts w:eastAsia="Calibri"/>
          <w:kern w:val="3"/>
          <w:sz w:val="24"/>
          <w:szCs w:val="24"/>
          <w:lang w:eastAsia="en-US"/>
        </w:rPr>
        <w:t>in the course of</w:t>
      </w:r>
      <w:proofErr w:type="gramEnd"/>
      <w:r>
        <w:rPr>
          <w:rFonts w:eastAsia="Calibri"/>
          <w:kern w:val="3"/>
          <w:sz w:val="24"/>
          <w:szCs w:val="24"/>
          <w:lang w:eastAsia="en-US"/>
        </w:rPr>
        <w:t xml:space="preserve">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w:t>
      </w:r>
    </w:p>
    <w:p w14:paraId="2FFADCF3"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pPr>
      <w:r>
        <w:rPr>
          <w:rFonts w:eastAsia="Calibri"/>
          <w:kern w:val="3"/>
          <w:sz w:val="24"/>
          <w:szCs w:val="24"/>
          <w:lang w:eastAsia="en-US"/>
        </w:rPr>
        <w:lastRenderedPageBreak/>
        <w:t xml:space="preserve">Buyer’s Data being handled while providing an ICT solution or </w:t>
      </w:r>
      <w:r>
        <w:rPr>
          <w:rFonts w:eastAsia="Calibri" w:cs="Times New Roman"/>
          <w:kern w:val="3"/>
          <w:sz w:val="24"/>
          <w:szCs w:val="24"/>
          <w:lang w:eastAsia="en-US"/>
        </w:rPr>
        <w:t>service</w:t>
      </w:r>
      <w:r>
        <w:rPr>
          <w:rFonts w:eastAsia="Calibri"/>
          <w:kern w:val="3"/>
          <w:sz w:val="24"/>
          <w:szCs w:val="24"/>
          <w:lang w:eastAsia="en-US"/>
        </w:rPr>
        <w:t xml:space="preserve"> must be separated from all other data on the Supplier’s or sub-contractor’s own IT equipment to protect the Buyer’s Data and enable the data to be identified and securely deleted when required in line with paragraph 3.14. For information stored digitally, this must be at a minimum logically separated. Physical information (e.g., paper) must be physically separated.</w:t>
      </w:r>
    </w:p>
    <w:p w14:paraId="45FB2088"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The Supplier shall have in place and maintain physical security to premises and sensitive areas used in relation to the delivery of the products or Services, and that store or process Buyer’s Data, in line with ISO/IEC 27002 including, but not limited to, entry control mechanisms (e.g., door access), CCTV, alarm systems, etc.  </w:t>
      </w:r>
    </w:p>
    <w:p w14:paraId="4E1BDB78" w14:textId="77777777" w:rsidR="00AB4CBF" w:rsidRDefault="00AB4CBF" w:rsidP="00AB4CBF">
      <w:pPr>
        <w:numPr>
          <w:ilvl w:val="2"/>
          <w:numId w:val="9"/>
        </w:numPr>
        <w:tabs>
          <w:tab w:val="left" w:pos="-1287"/>
          <w:tab w:val="left" w:pos="-414"/>
        </w:tabs>
        <w:overflowPunct w:val="0"/>
        <w:autoSpaceDE w:val="0"/>
        <w:autoSpaceDN w:val="0"/>
        <w:spacing w:before="120" w:after="120" w:line="260" w:lineRule="atLeast"/>
        <w:rPr>
          <w:rFonts w:eastAsia="Calibri" w:cs="Times New Roman"/>
          <w:bCs/>
          <w:sz w:val="24"/>
          <w:szCs w:val="24"/>
          <w:lang w:eastAsia="en-US"/>
        </w:rPr>
      </w:pPr>
      <w:r>
        <w:rPr>
          <w:rFonts w:eastAsia="Calibri" w:cs="Times New Roman"/>
          <w:bCs/>
          <w:sz w:val="24"/>
          <w:szCs w:val="24"/>
          <w:lang w:eastAsia="en-US"/>
        </w:rPr>
        <w:t>Where remote working is allowed, the Supplier shall have an appropriate remote working policy in place for any Supplier staff that will have access to the Buyer’s data and/or systems.</w:t>
      </w:r>
    </w:p>
    <w:p w14:paraId="1DBF712C" w14:textId="77777777" w:rsidR="00AB4CBF" w:rsidRDefault="00AB4CBF" w:rsidP="00AB4CBF">
      <w:pPr>
        <w:numPr>
          <w:ilvl w:val="1"/>
          <w:numId w:val="9"/>
        </w:numPr>
        <w:tabs>
          <w:tab w:val="left" w:pos="-720"/>
          <w:tab w:val="left" w:pos="0"/>
        </w:tabs>
        <w:overflowPunct w:val="0"/>
        <w:autoSpaceDE w:val="0"/>
        <w:autoSpaceDN w:val="0"/>
        <w:spacing w:after="160" w:line="260" w:lineRule="atLeast"/>
        <w:rPr>
          <w:rFonts w:eastAsia="Calibri"/>
          <w:kern w:val="3"/>
          <w:sz w:val="24"/>
          <w:szCs w:val="24"/>
          <w:lang w:eastAsia="en-US"/>
        </w:rPr>
      </w:pPr>
      <w:r>
        <w:rPr>
          <w:rFonts w:eastAsia="Calibri"/>
          <w:kern w:val="3"/>
          <w:sz w:val="24"/>
          <w:szCs w:val="24"/>
          <w:lang w:eastAsia="en-US"/>
        </w:rPr>
        <w:t xml:space="preserve">The Supplier shall have in place, implement, and maintain an appropriate user access control policy for all ICT systems to ensure only authorised personnel have access to Buyer’s Data. This policy should include appropriate segregation of duties and if applicable role-based access controls (RBAC). User credentials that give access to Buyer’s Data or systems shall </w:t>
      </w:r>
      <w:proofErr w:type="gramStart"/>
      <w:r>
        <w:rPr>
          <w:rFonts w:eastAsia="Calibri"/>
          <w:kern w:val="3"/>
          <w:sz w:val="24"/>
          <w:szCs w:val="24"/>
          <w:lang w:eastAsia="en-US"/>
        </w:rPr>
        <w:t>be considered to be</w:t>
      </w:r>
      <w:proofErr w:type="gramEnd"/>
      <w:r>
        <w:rPr>
          <w:rFonts w:eastAsia="Calibri"/>
          <w:kern w:val="3"/>
          <w:sz w:val="24"/>
          <w:szCs w:val="24"/>
          <w:lang w:eastAsia="en-US"/>
        </w:rPr>
        <w:t xml:space="preserve"> sensitive data and must be protected accordingly.</w:t>
      </w:r>
    </w:p>
    <w:p w14:paraId="54657202"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The Supplier shall have in place and shall maintain procedural, personnel, physical and technical safeguards to protect Buyer’s Data, including but not limited to: </w:t>
      </w:r>
    </w:p>
    <w:p w14:paraId="52D3AC70"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physical security </w:t>
      </w:r>
      <w:proofErr w:type="gramStart"/>
      <w:r>
        <w:rPr>
          <w:rFonts w:eastAsia="Calibri"/>
          <w:kern w:val="3"/>
          <w:sz w:val="24"/>
          <w:szCs w:val="24"/>
          <w:lang w:eastAsia="en-US"/>
        </w:rPr>
        <w:t>controls;</w:t>
      </w:r>
      <w:proofErr w:type="gramEnd"/>
      <w:r>
        <w:rPr>
          <w:rFonts w:eastAsia="Calibri"/>
          <w:kern w:val="3"/>
          <w:sz w:val="24"/>
          <w:szCs w:val="24"/>
          <w:lang w:eastAsia="en-US"/>
        </w:rPr>
        <w:t xml:space="preserve"> </w:t>
      </w:r>
    </w:p>
    <w:p w14:paraId="1D8B2C3E"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good industry standard policies and </w:t>
      </w:r>
      <w:proofErr w:type="gramStart"/>
      <w:r>
        <w:rPr>
          <w:rFonts w:eastAsia="Calibri"/>
          <w:kern w:val="3"/>
          <w:sz w:val="24"/>
          <w:szCs w:val="24"/>
          <w:lang w:eastAsia="en-US"/>
        </w:rPr>
        <w:t>processes;</w:t>
      </w:r>
      <w:proofErr w:type="gramEnd"/>
      <w:r>
        <w:rPr>
          <w:rFonts w:eastAsia="Calibri"/>
          <w:kern w:val="3"/>
          <w:sz w:val="24"/>
          <w:szCs w:val="24"/>
          <w:lang w:eastAsia="en-US"/>
        </w:rPr>
        <w:t xml:space="preserve"> </w:t>
      </w:r>
    </w:p>
    <w:p w14:paraId="7F2CFB0B"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malware </w:t>
      </w:r>
      <w:proofErr w:type="gramStart"/>
      <w:r>
        <w:rPr>
          <w:rFonts w:eastAsia="Calibri"/>
          <w:kern w:val="3"/>
          <w:sz w:val="24"/>
          <w:szCs w:val="24"/>
          <w:lang w:eastAsia="en-US"/>
        </w:rPr>
        <w:t>protection;</w:t>
      </w:r>
      <w:proofErr w:type="gramEnd"/>
    </w:p>
    <w:p w14:paraId="7BA7E1DC"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boundary access controls including firewalls, application gateways, </w:t>
      </w:r>
      <w:proofErr w:type="gramStart"/>
      <w:r>
        <w:rPr>
          <w:rFonts w:eastAsia="Calibri"/>
          <w:kern w:val="3"/>
          <w:sz w:val="24"/>
          <w:szCs w:val="24"/>
          <w:lang w:eastAsia="en-US"/>
        </w:rPr>
        <w:t>etc;</w:t>
      </w:r>
      <w:proofErr w:type="gramEnd"/>
    </w:p>
    <w:p w14:paraId="7290A157"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maintenance and use of fully supported software packages in accordance with vendor </w:t>
      </w:r>
      <w:proofErr w:type="gramStart"/>
      <w:r>
        <w:rPr>
          <w:rFonts w:eastAsia="Calibri"/>
          <w:kern w:val="3"/>
          <w:sz w:val="24"/>
          <w:szCs w:val="24"/>
          <w:lang w:eastAsia="en-US"/>
        </w:rPr>
        <w:t>recommendations;</w:t>
      </w:r>
      <w:proofErr w:type="gramEnd"/>
    </w:p>
    <w:p w14:paraId="318A8084"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use of secure device configuration and </w:t>
      </w:r>
      <w:proofErr w:type="gramStart"/>
      <w:r>
        <w:rPr>
          <w:rFonts w:eastAsia="Calibri"/>
          <w:kern w:val="3"/>
          <w:sz w:val="24"/>
          <w:szCs w:val="24"/>
          <w:lang w:eastAsia="en-US"/>
        </w:rPr>
        <w:t>builds;</w:t>
      </w:r>
      <w:proofErr w:type="gramEnd"/>
    </w:p>
    <w:p w14:paraId="29710FD0"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software updates and patching regimes including malware signatures, for operating systems, network devices, applications and </w:t>
      </w:r>
      <w:proofErr w:type="gramStart"/>
      <w:r>
        <w:rPr>
          <w:rFonts w:eastAsia="Calibri"/>
          <w:kern w:val="3"/>
          <w:sz w:val="24"/>
          <w:szCs w:val="24"/>
          <w:lang w:eastAsia="en-US"/>
        </w:rPr>
        <w:t>services;</w:t>
      </w:r>
      <w:proofErr w:type="gramEnd"/>
    </w:p>
    <w:p w14:paraId="71785974"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 xml:space="preserve">user identity and access controls, including the use of multi-factor authentication for sensitive data and privileged account </w:t>
      </w:r>
      <w:proofErr w:type="gramStart"/>
      <w:r>
        <w:rPr>
          <w:rFonts w:eastAsia="Calibri"/>
          <w:kern w:val="3"/>
          <w:sz w:val="24"/>
          <w:szCs w:val="24"/>
          <w:lang w:eastAsia="en-US"/>
        </w:rPr>
        <w:t>accesses;</w:t>
      </w:r>
      <w:proofErr w:type="gramEnd"/>
    </w:p>
    <w:p w14:paraId="310CAE81"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kern w:val="3"/>
          <w:sz w:val="24"/>
          <w:szCs w:val="24"/>
          <w:lang w:eastAsia="en-US"/>
        </w:rPr>
      </w:pPr>
      <w:r>
        <w:rPr>
          <w:rFonts w:eastAsia="Calibri"/>
          <w:kern w:val="3"/>
          <w:sz w:val="24"/>
          <w:szCs w:val="24"/>
          <w:lang w:eastAsia="en-US"/>
        </w:rPr>
        <w:t>any services provided to the Buyer must capture audit logs for security events in an electronic format at the application, service and system level to meet the Buyer’s logging and auditing requirements, plus logs shall be:</w:t>
      </w:r>
    </w:p>
    <w:p w14:paraId="4E8F4BFA" w14:textId="77777777" w:rsidR="00AB4CBF" w:rsidRDefault="00AB4CBF" w:rsidP="00AB4CBF">
      <w:pPr>
        <w:numPr>
          <w:ilvl w:val="3"/>
          <w:numId w:val="9"/>
        </w:numPr>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lastRenderedPageBreak/>
        <w:t xml:space="preserve">retained and protected from tampering for a minimum period of six </w:t>
      </w:r>
      <w:proofErr w:type="gramStart"/>
      <w:r>
        <w:rPr>
          <w:rFonts w:eastAsia="Calibri"/>
          <w:kern w:val="3"/>
          <w:sz w:val="24"/>
          <w:szCs w:val="24"/>
          <w:lang w:eastAsia="en-US"/>
        </w:rPr>
        <w:t>months;</w:t>
      </w:r>
      <w:proofErr w:type="gramEnd"/>
    </w:p>
    <w:p w14:paraId="6A6289BD" w14:textId="77777777" w:rsidR="00AB4CBF" w:rsidRDefault="00AB4CBF" w:rsidP="00AB4CBF">
      <w:pPr>
        <w:numPr>
          <w:ilvl w:val="3"/>
          <w:numId w:val="9"/>
        </w:numPr>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made available to the Buyer on request.</w:t>
      </w:r>
    </w:p>
    <w:p w14:paraId="614B0248"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The Supplier shall ensure that any Buyer’s Data (including email) transmitted over any public network (including the Internet, mobile networks, or unprotected enterprise network) or to a mobile device shall be encrypted when transmitted.</w:t>
      </w:r>
    </w:p>
    <w:p w14:paraId="15A37035"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3A1451E2"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pPr>
      <w:r>
        <w:rPr>
          <w:rFonts w:eastAsia="Calibri"/>
          <w:kern w:val="3"/>
          <w:sz w:val="24"/>
          <w:szCs w:val="24"/>
          <w:lang w:eastAsia="en-US"/>
        </w:rPr>
        <w:t xml:space="preserve">The Supplier shall ensure that any device which is used to process Buyer’s Data meets all of the security requirements set out in the NCSC End User Devices Platform Security Guidance, a copy of which can be found at: </w:t>
      </w:r>
      <w:hyperlink r:id="rId24" w:history="1">
        <w:r>
          <w:rPr>
            <w:rFonts w:eastAsia="STZhongsong"/>
            <w:color w:val="0000FF"/>
            <w:kern w:val="3"/>
            <w:sz w:val="24"/>
            <w:szCs w:val="24"/>
            <w:u w:val="single"/>
            <w:lang w:eastAsia="en-US"/>
          </w:rPr>
          <w:t>https://www.ncsc.gov.uk/guidance/end-user-device-security</w:t>
        </w:r>
      </w:hyperlink>
      <w:r>
        <w:rPr>
          <w:rFonts w:eastAsia="STZhongsong"/>
          <w:color w:val="0000FF"/>
          <w:sz w:val="24"/>
          <w:szCs w:val="24"/>
          <w:u w:val="single"/>
          <w:lang w:eastAsia="en-US"/>
        </w:rPr>
        <w:t xml:space="preserve"> and </w:t>
      </w:r>
      <w:hyperlink r:id="rId25" w:history="1">
        <w:r>
          <w:rPr>
            <w:rFonts w:eastAsia="STZhongsong"/>
            <w:color w:val="0000FF"/>
            <w:kern w:val="3"/>
            <w:sz w:val="24"/>
            <w:szCs w:val="24"/>
            <w:u w:val="single"/>
            <w:lang w:eastAsia="en-US"/>
          </w:rPr>
          <w:t>https://www.ncsc.gov.uk/collection/end-user-device-security/eud-overview/eud-security-principles</w:t>
        </w:r>
      </w:hyperlink>
      <w:r>
        <w:rPr>
          <w:rFonts w:eastAsia="Calibri"/>
          <w:kern w:val="3"/>
          <w:sz w:val="24"/>
          <w:szCs w:val="24"/>
          <w:lang w:eastAsia="en-US"/>
        </w:rPr>
        <w:t>.</w:t>
      </w:r>
    </w:p>
    <w:p w14:paraId="38962085"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Whilst in the Supplier’s care all removable media and hardcopy paper documents containing Buyer’s Data must be handled securely and secured under lock and key when not in use and shall be securely destroyed when no longer required, using either a cross-cut shredder or a professional secure disposal organisation.</w:t>
      </w:r>
    </w:p>
    <w:p w14:paraId="726A6ADA" w14:textId="77777777" w:rsidR="00AB4CBF" w:rsidRDefault="00AB4CBF" w:rsidP="00AB4CBF">
      <w:pPr>
        <w:spacing w:before="240" w:line="260" w:lineRule="atLeast"/>
        <w:ind w:left="1440"/>
        <w:rPr>
          <w:rFonts w:eastAsia="Calibri"/>
          <w:kern w:val="3"/>
          <w:sz w:val="24"/>
          <w:szCs w:val="24"/>
          <w:lang w:eastAsia="en-US"/>
        </w:rPr>
      </w:pPr>
      <w:r>
        <w:rPr>
          <w:rFonts w:eastAsia="Calibri"/>
          <w:kern w:val="3"/>
          <w:sz w:val="24"/>
          <w:szCs w:val="24"/>
          <w:lang w:eastAsia="en-US"/>
        </w:rPr>
        <w:t>The term ‘lock and key’ is defined as: “securing information in a lockable desk drawer, cupboard or filing cabinet which is under the user’s sole control and to which they hold the keys”.</w:t>
      </w:r>
    </w:p>
    <w:p w14:paraId="7792138B"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 </w:t>
      </w:r>
    </w:p>
    <w:p w14:paraId="3A04C07F" w14:textId="77777777" w:rsidR="00AB4CBF" w:rsidRDefault="00AB4CBF" w:rsidP="00AB4CBF">
      <w:pPr>
        <w:spacing w:before="240" w:line="260" w:lineRule="atLeast"/>
        <w:ind w:left="1440"/>
      </w:pPr>
      <w:r>
        <w:rPr>
          <w:rFonts w:eastAsia="Calibri"/>
          <w:sz w:val="24"/>
          <w:szCs w:val="24"/>
          <w:lang w:eastAsia="en-US"/>
        </w:rPr>
        <w:t xml:space="preserve">The term ‘under cover’ means that the information is carried within an opaque folder or </w:t>
      </w:r>
      <w:r>
        <w:rPr>
          <w:rFonts w:eastAsia="Calibri"/>
          <w:kern w:val="3"/>
          <w:sz w:val="24"/>
          <w:szCs w:val="24"/>
          <w:lang w:eastAsia="en-US"/>
        </w:rPr>
        <w:t>envelope</w:t>
      </w:r>
      <w:r>
        <w:rPr>
          <w:rFonts w:eastAsia="Calibri"/>
          <w:sz w:val="24"/>
          <w:szCs w:val="24"/>
          <w:lang w:eastAsia="en-US"/>
        </w:rPr>
        <w:t xml:space="preserve"> within official premises and buildings and within a closed briefcase or other similar bag or container when outside official premises or buildings.</w:t>
      </w:r>
    </w:p>
    <w:p w14:paraId="63598B7F"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that </w:t>
      </w:r>
      <w:r>
        <w:rPr>
          <w:rFonts w:eastAsia="Calibri"/>
          <w:kern w:val="3"/>
          <w:sz w:val="24"/>
          <w:szCs w:val="24"/>
          <w:lang w:eastAsia="en-US"/>
        </w:rPr>
        <w:lastRenderedPageBreak/>
        <w:t>these assets regardless of location and format have been fully sanitised throughout the Supplier’s organisation in line with paragraph 3.15.</w:t>
      </w:r>
    </w:p>
    <w:p w14:paraId="7D496C49"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p>
    <w:p w14:paraId="04CC34F8" w14:textId="77777777" w:rsidR="00AB4CBF" w:rsidRDefault="00AB4CBF" w:rsidP="00AB4CBF">
      <w:pPr>
        <w:spacing w:before="240" w:line="260" w:lineRule="atLeast"/>
        <w:ind w:left="1440"/>
        <w:rPr>
          <w:rFonts w:eastAsia="Calibri"/>
          <w:kern w:val="3"/>
          <w:sz w:val="24"/>
          <w:szCs w:val="24"/>
          <w:lang w:eastAsia="en-US"/>
        </w:rPr>
      </w:pPr>
      <w:r>
        <w:rPr>
          <w:rFonts w:eastAsia="Calibri"/>
          <w:kern w:val="3"/>
          <w:sz w:val="24"/>
          <w:szCs w:val="24"/>
          <w:lang w:eastAsia="en-US"/>
        </w:rPr>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p>
    <w:p w14:paraId="2918B8BB" w14:textId="77777777" w:rsidR="00AB4CBF" w:rsidRDefault="00AB4CBF" w:rsidP="00AB4CBF">
      <w:pPr>
        <w:spacing w:before="240" w:line="260" w:lineRule="atLeast"/>
        <w:ind w:left="1440"/>
        <w:rPr>
          <w:rFonts w:eastAsia="Calibri"/>
          <w:kern w:val="3"/>
          <w:sz w:val="24"/>
          <w:szCs w:val="24"/>
          <w:lang w:eastAsia="en-US"/>
        </w:rPr>
      </w:pPr>
      <w:r>
        <w:rPr>
          <w:rFonts w:eastAsia="Calibri"/>
          <w:kern w:val="3"/>
          <w:sz w:val="24"/>
          <w:szCs w:val="24"/>
          <w:lang w:eastAsia="en-US"/>
        </w:rPr>
        <w:t>Evidence of secure destruction will be required in all cases.</w:t>
      </w:r>
    </w:p>
    <w:p w14:paraId="34739EF9"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an ISO 22301 certificate is not available, the supplier will provide evidence of the effectiveness of their ISO 22301 conformant business continuity arrangements and processes including IT disaster recovery plans and procedures. This must include evidence that the Supplier has tested or exercised these plans within the last 12 months and produced a written report of the outcome, including required actions. </w:t>
      </w:r>
    </w:p>
    <w:p w14:paraId="52A68368"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pPr>
      <w:r>
        <w:rPr>
          <w:rFonts w:eastAsia="Calibri"/>
          <w:kern w:val="3"/>
          <w:sz w:val="24"/>
          <w:szCs w:val="24"/>
          <w:lang w:eastAsia="en-US"/>
        </w:rPr>
        <w:t xml:space="preserve">Any suspected or actual breach of the confidentiality, integrity, or availability of Buyer’s Data, including user credentials, used, or handled while providing the Services shall be recorded as a Security Incident. This includes any non-compliance with the Departmental Security Requirements and these provisions, or other security standards pertaining to the solution. </w:t>
      </w:r>
    </w:p>
    <w:p w14:paraId="590C1B86" w14:textId="77777777" w:rsidR="00AB4CBF" w:rsidRDefault="00AB4CBF" w:rsidP="00AB4CBF">
      <w:pPr>
        <w:spacing w:before="240" w:line="260" w:lineRule="atLeast"/>
        <w:ind w:left="1440"/>
        <w:rPr>
          <w:rFonts w:eastAsia="Calibri"/>
          <w:kern w:val="3"/>
          <w:sz w:val="24"/>
          <w:szCs w:val="24"/>
          <w:lang w:eastAsia="en-US"/>
        </w:rPr>
      </w:pPr>
      <w:r>
        <w:rPr>
          <w:rFonts w:eastAsia="Calibri"/>
          <w:kern w:val="3"/>
          <w:sz w:val="24"/>
          <w:szCs w:val="24"/>
          <w:lang w:eastAsia="en-US"/>
        </w:rPr>
        <w:t xml:space="preserve">Security Incidents shall be reported to the Buyer immediately, wherever practical, even if unconfirmed or when full details are not known, but always within 24 hours of discovery and followed up in writing. If Security Incident reporting has been delayed by more than 24 hours, the Supplier should provide an explanation about the delay. Regular updates on the Security Incident shall be provided to the Buyer in writing until the incident is resolved. </w:t>
      </w:r>
    </w:p>
    <w:p w14:paraId="4088CF5A" w14:textId="77777777" w:rsidR="00AB4CBF" w:rsidRDefault="00AB4CBF" w:rsidP="00AB4CBF">
      <w:pPr>
        <w:spacing w:before="240" w:line="260" w:lineRule="atLeast"/>
        <w:ind w:left="1440"/>
        <w:rPr>
          <w:rFonts w:eastAsia="Calibri"/>
          <w:kern w:val="3"/>
          <w:sz w:val="24"/>
          <w:szCs w:val="24"/>
          <w:lang w:eastAsia="en-US"/>
        </w:rPr>
      </w:pPr>
      <w:r>
        <w:rPr>
          <w:rFonts w:eastAsia="Calibri"/>
          <w:kern w:val="3"/>
          <w:sz w:val="24"/>
          <w:szCs w:val="24"/>
          <w:lang w:eastAsia="en-US"/>
        </w:rPr>
        <w:t xml:space="preserve">Security Incidents shall be reported through the Buyer’s nominated system or service owner. </w:t>
      </w:r>
    </w:p>
    <w:p w14:paraId="5B878A35" w14:textId="77777777" w:rsidR="00AB4CBF" w:rsidRDefault="00AB4CBF" w:rsidP="00AB4CBF">
      <w:pPr>
        <w:spacing w:before="240" w:line="260" w:lineRule="atLeast"/>
        <w:ind w:left="1440"/>
      </w:pPr>
      <w:r>
        <w:rPr>
          <w:rFonts w:eastAsia="Calibri"/>
          <w:kern w:val="3"/>
          <w:sz w:val="24"/>
          <w:szCs w:val="24"/>
          <w:lang w:eastAsia="en-US"/>
        </w:rPr>
        <w:lastRenderedPageBreak/>
        <w:t xml:space="preserve">Security Incidents shall be investigated by the Supplier with outcomes being </w:t>
      </w:r>
      <w:r>
        <w:rPr>
          <w:rFonts w:eastAsia="Calibri"/>
          <w:sz w:val="24"/>
          <w:szCs w:val="24"/>
          <w:lang w:eastAsia="en-US"/>
        </w:rPr>
        <w:t>notified to the Buyer.</w:t>
      </w:r>
    </w:p>
    <w:p w14:paraId="79CDFD46"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The Supplier shall ensure that any Supplier ICT systems and hosting environments that are used to handle, store or process Buyer’s Data, including Supplier ICT connected to Supplier ICT systems used to handle, store or process Buyer’s Data, shall be subject to independent IT Health Checks (ITHC) using an NCSC CHECK Scheme ITHC provider before </w:t>
      </w:r>
      <w:proofErr w:type="gramStart"/>
      <w:r>
        <w:rPr>
          <w:rFonts w:eastAsia="Calibri"/>
          <w:kern w:val="3"/>
          <w:sz w:val="24"/>
          <w:szCs w:val="24"/>
          <w:lang w:eastAsia="en-US"/>
        </w:rPr>
        <w:t>go</w:t>
      </w:r>
      <w:proofErr w:type="gramEnd"/>
      <w:r>
        <w:rPr>
          <w:rFonts w:eastAsia="Calibri"/>
          <w:kern w:val="3"/>
          <w:sz w:val="24"/>
          <w:szCs w:val="24"/>
          <w:lang w:eastAsia="en-US"/>
        </w:rPr>
        <w:t>-live and periodically (at least annually) thereafter. On request by the Buyer, the findings of the ITHC relevant to the Services being provided are to be shared with the Buyer in full without modification or redaction and all necessary remedial work carried out. In the event of significant security issues being identified, a follow up remediation test may be required, to be determined by the Buyer upon review of the ITHC findings.</w:t>
      </w:r>
    </w:p>
    <w:p w14:paraId="6E7A6774" w14:textId="77777777" w:rsidR="00AB4CBF" w:rsidRDefault="00AB4CBF" w:rsidP="00AB4CBF">
      <w:pPr>
        <w:overflowPunct w:val="0"/>
        <w:autoSpaceDE w:val="0"/>
        <w:spacing w:after="120"/>
        <w:rPr>
          <w:rFonts w:eastAsia="Times New Roman"/>
          <w:bCs/>
          <w:sz w:val="24"/>
          <w:szCs w:val="24"/>
          <w:shd w:val="clear" w:color="auto" w:fill="00FFFF"/>
          <w:lang w:eastAsia="en-US"/>
        </w:rPr>
      </w:pPr>
    </w:p>
    <w:p w14:paraId="68DFC540"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pPr>
      <w:r>
        <w:rPr>
          <w:rFonts w:eastAsia="Calibri"/>
          <w:kern w:val="3"/>
          <w:sz w:val="24"/>
          <w:szCs w:val="24"/>
          <w:lang w:eastAsia="en-US"/>
        </w:rPr>
        <w:t xml:space="preserve">The Supplier or sub-contractors providing the Services will provide the Buyer with full details of any actual or future intent to develop, manage, support, process, or </w:t>
      </w:r>
      <w:r>
        <w:rPr>
          <w:rFonts w:eastAsia="Calibri"/>
          <w:kern w:val="3"/>
          <w:sz w:val="24"/>
          <w:szCs w:val="24"/>
          <w:u w:val="single"/>
          <w:lang w:eastAsia="en-US"/>
        </w:rPr>
        <w:t>store Buyer’s Data outside of the UK mainland</w:t>
      </w:r>
      <w:r>
        <w:rPr>
          <w:rFonts w:eastAsia="Calibri"/>
          <w:kern w:val="3"/>
          <w:sz w:val="24"/>
          <w:szCs w:val="24"/>
          <w:lang w:eastAsia="en-US"/>
        </w:rPr>
        <w:t xml:space="preserve">. The </w:t>
      </w:r>
      <w:r>
        <w:rPr>
          <w:rFonts w:eastAsia="Calibri"/>
          <w:kern w:val="3"/>
          <w:sz w:val="24"/>
          <w:szCs w:val="24"/>
          <w:u w:val="single"/>
          <w:lang w:eastAsia="en-US"/>
        </w:rPr>
        <w:t>Supplier or sub-contractor shall not go ahead with any such proposal without the prior written agreement from the Buyer</w:t>
      </w:r>
      <w:r>
        <w:rPr>
          <w:rFonts w:eastAsia="Calibri"/>
          <w:kern w:val="3"/>
          <w:sz w:val="24"/>
          <w:szCs w:val="24"/>
          <w:lang w:eastAsia="en-US"/>
        </w:rPr>
        <w:t>.</w:t>
      </w:r>
    </w:p>
    <w:p w14:paraId="6B9F08AE" w14:textId="77777777" w:rsidR="00AB4CBF" w:rsidRDefault="00AB4CBF" w:rsidP="00AB4CBF">
      <w:pPr>
        <w:numPr>
          <w:ilvl w:val="1"/>
          <w:numId w:val="9"/>
        </w:numPr>
        <w:tabs>
          <w:tab w:val="left" w:pos="-720"/>
          <w:tab w:val="left" w:pos="0"/>
        </w:tabs>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compliance for the solutions and services to be delivered. The Buyer’s expectation is that the Supplier shall provide written evidence of:</w:t>
      </w:r>
    </w:p>
    <w:p w14:paraId="4F1CF2A5"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pPr>
      <w:r>
        <w:rPr>
          <w:rFonts w:eastAsia="Calibri" w:cs="Times New Roman"/>
          <w:color w:val="000000"/>
          <w:sz w:val="24"/>
          <w:szCs w:val="24"/>
          <w:lang w:eastAsia="en-US"/>
        </w:rPr>
        <w:t xml:space="preserve">implementation of the foundational set of cyber defence safeguards from the </w:t>
      </w:r>
      <w:proofErr w:type="spellStart"/>
      <w:r>
        <w:rPr>
          <w:rFonts w:eastAsia="Calibri" w:cs="Times New Roman"/>
          <w:color w:val="000000"/>
          <w:sz w:val="24"/>
          <w:szCs w:val="24"/>
          <w:lang w:eastAsia="en-US"/>
        </w:rPr>
        <w:t>Center</w:t>
      </w:r>
      <w:proofErr w:type="spellEnd"/>
      <w:r>
        <w:rPr>
          <w:rFonts w:eastAsia="Calibri" w:cs="Times New Roman"/>
          <w:color w:val="000000"/>
          <w:sz w:val="24"/>
          <w:szCs w:val="24"/>
          <w:lang w:eastAsia="en-US"/>
        </w:rPr>
        <w:t xml:space="preserve"> for Internet Security Critical Security Controls (CIS CSC v8). </w:t>
      </w:r>
    </w:p>
    <w:p w14:paraId="24959276"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color w:val="000000"/>
          <w:sz w:val="24"/>
          <w:szCs w:val="24"/>
          <w:lang w:eastAsia="en-US"/>
        </w:rPr>
      </w:pPr>
      <w:r>
        <w:rPr>
          <w:rFonts w:eastAsia="Calibri"/>
          <w:color w:val="000000"/>
          <w:sz w:val="24"/>
          <w:szCs w:val="24"/>
          <w:lang w:eastAsia="en-US"/>
        </w:rPr>
        <w:t>any existing security assurance for the Services to be delivered, such as: ISO/IEC 27001 / 27002 or an equivalent industry level certification issued by an organisation accredited by the United Kingdom Accreditation Service.</w:t>
      </w:r>
    </w:p>
    <w:p w14:paraId="19208FA3"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rPr>
          <w:rFonts w:eastAsia="Calibri"/>
          <w:color w:val="000000"/>
          <w:sz w:val="24"/>
          <w:szCs w:val="24"/>
          <w:lang w:eastAsia="en-US"/>
        </w:rPr>
      </w:pPr>
      <w:r>
        <w:rPr>
          <w:rFonts w:eastAsia="Calibri"/>
          <w:color w:val="000000"/>
          <w:sz w:val="24"/>
          <w:szCs w:val="24"/>
          <w:lang w:eastAsia="en-US"/>
        </w:rPr>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113320BB"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pPr>
      <w:r>
        <w:rPr>
          <w:rFonts w:eastAsia="Calibri" w:cs="Times New Roman"/>
          <w:color w:val="000000"/>
          <w:sz w:val="24"/>
          <w:szCs w:val="24"/>
          <w:lang w:eastAsia="en-US"/>
        </w:rPr>
        <w:t>documented progress in achieving any security assurance or accreditation activities including whether documentation has been produced and submitted. The Supplier shall provide details of who the awarding body or organisation will be, and date expected.</w:t>
      </w:r>
    </w:p>
    <w:p w14:paraId="717B6878" w14:textId="77777777" w:rsidR="00AB4CBF" w:rsidRDefault="00AB4CBF" w:rsidP="00AB4CBF">
      <w:pPr>
        <w:numPr>
          <w:ilvl w:val="2"/>
          <w:numId w:val="9"/>
        </w:numPr>
        <w:tabs>
          <w:tab w:val="left" w:pos="-1287"/>
          <w:tab w:val="left" w:pos="-414"/>
        </w:tabs>
        <w:overflowPunct w:val="0"/>
        <w:autoSpaceDE w:val="0"/>
        <w:autoSpaceDN w:val="0"/>
        <w:spacing w:before="240" w:after="160" w:line="260" w:lineRule="atLeast"/>
        <w:ind w:hanging="1026"/>
      </w:pPr>
      <w:r>
        <w:rPr>
          <w:rFonts w:eastAsia="Calibri"/>
          <w:color w:val="000000"/>
          <w:sz w:val="24"/>
          <w:szCs w:val="24"/>
          <w:lang w:eastAsia="en-US"/>
        </w:rPr>
        <w:t xml:space="preserve">compliance with the principles of Secure by Design as described at </w:t>
      </w:r>
      <w:hyperlink r:id="rId26" w:history="1">
        <w:r>
          <w:rPr>
            <w:rFonts w:eastAsia="Calibri"/>
            <w:color w:val="0000FF"/>
            <w:sz w:val="24"/>
            <w:szCs w:val="24"/>
            <w:u w:val="single"/>
            <w:lang w:eastAsia="en-US"/>
          </w:rPr>
          <w:t>Secure by Design Principles - UK Government Security</w:t>
        </w:r>
      </w:hyperlink>
      <w:r>
        <w:rPr>
          <w:rFonts w:eastAsia="Calibri"/>
          <w:color w:val="000000"/>
          <w:sz w:val="24"/>
          <w:szCs w:val="24"/>
          <w:lang w:eastAsia="en-US"/>
        </w:rPr>
        <w:t>.</w:t>
      </w:r>
    </w:p>
    <w:p w14:paraId="2663A8D3" w14:textId="77777777" w:rsidR="00AB4CBF" w:rsidRDefault="00AB4CBF" w:rsidP="00AB4CBF">
      <w:pPr>
        <w:spacing w:before="240" w:line="260" w:lineRule="atLeast"/>
        <w:ind w:left="1134"/>
        <w:rPr>
          <w:rFonts w:eastAsia="Calibri"/>
          <w:color w:val="000000"/>
          <w:sz w:val="24"/>
          <w:szCs w:val="24"/>
          <w:lang w:eastAsia="en-US"/>
        </w:rPr>
      </w:pPr>
      <w:r>
        <w:rPr>
          <w:rFonts w:eastAsia="Calibri"/>
          <w:color w:val="000000"/>
          <w:sz w:val="24"/>
          <w:szCs w:val="24"/>
          <w:lang w:eastAsia="en-US"/>
        </w:rPr>
        <w:lastRenderedPageBreak/>
        <w:t>Additional information and evidence to that listed above may be required to ensure compliance with DfE security requirements as part of the DfE security assurance process. Where a request for evidence or information is made by the Buyer, the Supplier will acknowledge the request within 5 working days and either provide the information within that timeframe, or, if that is not possible, provide a date when the information will be provided to the Buyer. In any case, the Supplier must respond to information requests from the Buyer needed to support the security assurance process promptly and without undue delay.</w:t>
      </w:r>
    </w:p>
    <w:p w14:paraId="5850696A" w14:textId="77777777" w:rsidR="00AB4CBF" w:rsidRDefault="00AB4CBF" w:rsidP="00AB4CBF">
      <w:pPr>
        <w:numPr>
          <w:ilvl w:val="0"/>
          <w:numId w:val="11"/>
        </w:numPr>
        <w:overflowPunct w:val="0"/>
        <w:autoSpaceDE w:val="0"/>
        <w:autoSpaceDN w:val="0"/>
        <w:spacing w:before="240" w:after="160" w:line="260" w:lineRule="atLeast"/>
        <w:rPr>
          <w:rFonts w:eastAsia="Calibri"/>
          <w:vanish/>
          <w:kern w:val="3"/>
          <w:sz w:val="24"/>
          <w:szCs w:val="24"/>
          <w:lang w:eastAsia="en-US"/>
        </w:rPr>
      </w:pPr>
    </w:p>
    <w:p w14:paraId="1FE8DB48" w14:textId="77777777" w:rsidR="00AB4CBF" w:rsidRDefault="00AB4CBF" w:rsidP="00AB4CBF">
      <w:pPr>
        <w:numPr>
          <w:ilvl w:val="0"/>
          <w:numId w:val="11"/>
        </w:numPr>
        <w:overflowPunct w:val="0"/>
        <w:autoSpaceDE w:val="0"/>
        <w:autoSpaceDN w:val="0"/>
        <w:spacing w:before="240" w:after="160" w:line="260" w:lineRule="atLeast"/>
        <w:rPr>
          <w:rFonts w:eastAsia="Calibri"/>
          <w:vanish/>
          <w:kern w:val="3"/>
          <w:sz w:val="24"/>
          <w:szCs w:val="24"/>
          <w:lang w:eastAsia="en-US"/>
        </w:rPr>
      </w:pPr>
    </w:p>
    <w:p w14:paraId="43310F7B" w14:textId="77777777" w:rsidR="00AB4CBF" w:rsidRDefault="00AB4CBF" w:rsidP="00AB4CBF">
      <w:pPr>
        <w:numPr>
          <w:ilvl w:val="0"/>
          <w:numId w:val="11"/>
        </w:numPr>
        <w:overflowPunct w:val="0"/>
        <w:autoSpaceDE w:val="0"/>
        <w:autoSpaceDN w:val="0"/>
        <w:spacing w:before="240" w:after="160" w:line="260" w:lineRule="atLeast"/>
        <w:rPr>
          <w:rFonts w:eastAsia="Calibri"/>
          <w:vanish/>
          <w:kern w:val="3"/>
          <w:sz w:val="24"/>
          <w:szCs w:val="24"/>
          <w:lang w:eastAsia="en-US"/>
        </w:rPr>
      </w:pPr>
    </w:p>
    <w:p w14:paraId="4C2BAF9C"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42FCC9EA"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76DAF277"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4894C4FA"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0E558D81"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032249CF"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557649AA"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35F4D2D5"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0C48F838"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666730B7"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1FC4DB69"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5E221971"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5D36FD22"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2199EF93"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2988954C"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77D4559B"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27E502B6"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17A5CD12"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4EB8F3EB"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28726A0B" w14:textId="77777777" w:rsidR="00AB4CBF" w:rsidRDefault="00AB4CBF" w:rsidP="00AB4CBF">
      <w:pPr>
        <w:numPr>
          <w:ilvl w:val="1"/>
          <w:numId w:val="11"/>
        </w:numPr>
        <w:overflowPunct w:val="0"/>
        <w:autoSpaceDE w:val="0"/>
        <w:autoSpaceDN w:val="0"/>
        <w:spacing w:before="240" w:after="160" w:line="260" w:lineRule="atLeast"/>
        <w:rPr>
          <w:rFonts w:eastAsia="Calibri"/>
          <w:vanish/>
          <w:kern w:val="3"/>
          <w:sz w:val="24"/>
          <w:szCs w:val="24"/>
          <w:lang w:eastAsia="en-US"/>
        </w:rPr>
      </w:pPr>
    </w:p>
    <w:p w14:paraId="485B0282" w14:textId="77777777" w:rsidR="00AB4CBF" w:rsidRDefault="00AB4CBF" w:rsidP="00AB4CBF">
      <w:pPr>
        <w:numPr>
          <w:ilvl w:val="1"/>
          <w:numId w:val="11"/>
        </w:numPr>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 xml:space="preserve">The Supplier shall contractually enforce all these Departmental Security Requirements onto any third-party suppliers, sub-contractors or partners who will have access to the Buyer’s Data </w:t>
      </w:r>
      <w:proofErr w:type="gramStart"/>
      <w:r>
        <w:rPr>
          <w:rFonts w:eastAsia="Calibri"/>
          <w:kern w:val="3"/>
          <w:sz w:val="24"/>
          <w:szCs w:val="24"/>
          <w:lang w:eastAsia="en-US"/>
        </w:rPr>
        <w:t>in the course of</w:t>
      </w:r>
      <w:proofErr w:type="gramEnd"/>
      <w:r>
        <w:rPr>
          <w:rFonts w:eastAsia="Calibri"/>
          <w:kern w:val="3"/>
          <w:sz w:val="24"/>
          <w:szCs w:val="24"/>
          <w:lang w:eastAsia="en-US"/>
        </w:rPr>
        <w:t xml:space="preserve"> providing the Services, before access to the data is provided or permitted.</w:t>
      </w:r>
    </w:p>
    <w:p w14:paraId="667C1F40" w14:textId="77777777" w:rsidR="00AB4CBF" w:rsidRDefault="00AB4CBF" w:rsidP="00AB4CBF">
      <w:pPr>
        <w:numPr>
          <w:ilvl w:val="1"/>
          <w:numId w:val="11"/>
        </w:numPr>
        <w:overflowPunct w:val="0"/>
        <w:autoSpaceDE w:val="0"/>
        <w:autoSpaceDN w:val="0"/>
        <w:spacing w:before="240" w:after="160" w:line="260" w:lineRule="atLeast"/>
      </w:pPr>
      <w:r>
        <w:rPr>
          <w:rFonts w:eastAsia="Calibri"/>
          <w:kern w:val="3"/>
          <w:sz w:val="24"/>
          <w:szCs w:val="24"/>
          <w:lang w:eastAsia="en-US"/>
        </w:rPr>
        <w:t xml:space="preserve">The Supplier shall comply with the </w:t>
      </w:r>
      <w:hyperlink r:id="rId27" w:history="1">
        <w:r>
          <w:rPr>
            <w:rFonts w:eastAsia="Calibri"/>
            <w:color w:val="0000FF"/>
            <w:kern w:val="3"/>
            <w:sz w:val="24"/>
            <w:szCs w:val="24"/>
            <w:u w:val="single"/>
            <w:lang w:eastAsia="en-US"/>
          </w:rPr>
          <w:t>NCSC’s social media guidance: how to use social media safely</w:t>
        </w:r>
      </w:hyperlink>
      <w:r>
        <w:rPr>
          <w:rFonts w:eastAsia="Calibri"/>
          <w:kern w:val="3"/>
          <w:sz w:val="24"/>
          <w:szCs w:val="24"/>
          <w:lang w:eastAsia="en-US"/>
        </w:rPr>
        <w:t xml:space="preserve"> for any web and social media-based communications. In addition, any Communications Plan deliverable must include a risk assessment relating to the use of web and social media channels for the programme, including controls and mitigations to be applied and how the NCSC social media guidance will be complied with. The Supplier shall implement the necessary controls and mitigations within the plan and regularly review and update the risk assessment throughout the contract period. The Buyer shall have the right to review the risks within the plan and approve the controls and mitigations to be implemented, including requiring the Supplier to implement any additional reasonable controls to ensure risks are managed within the Buyer’s risk appetite.</w:t>
      </w:r>
    </w:p>
    <w:p w14:paraId="42C7B4EA" w14:textId="77777777" w:rsidR="00AB4CBF" w:rsidRDefault="00AB4CBF" w:rsidP="00AB4CBF">
      <w:pPr>
        <w:numPr>
          <w:ilvl w:val="1"/>
          <w:numId w:val="11"/>
        </w:numPr>
        <w:overflowPunct w:val="0"/>
        <w:autoSpaceDE w:val="0"/>
        <w:autoSpaceDN w:val="0"/>
        <w:spacing w:before="240" w:after="160" w:line="260" w:lineRule="atLeast"/>
        <w:rPr>
          <w:rFonts w:eastAsia="Calibri"/>
          <w:kern w:val="3"/>
          <w:sz w:val="24"/>
          <w:szCs w:val="24"/>
          <w:lang w:eastAsia="en-US"/>
        </w:rPr>
      </w:pPr>
      <w:r>
        <w:rPr>
          <w:rFonts w:eastAsia="Calibri"/>
          <w:kern w:val="3"/>
          <w:sz w:val="24"/>
          <w:szCs w:val="24"/>
          <w:lang w:eastAsia="en-US"/>
        </w:rPr>
        <w:t>Any Supplier ICT system used to handle, store, or process the Buyer’s Data, including any Supplier ICT systems connected to systems that handle, store, or process the Buyer’s Data, must have in place protective monitoring at a level that is commensurate with the security risks posed to those systems and the data held. The Supplier shall provide evidence to the Buyer upon request of the protective monitoring arrangements in place needed to assess compliance with this requirement.</w:t>
      </w:r>
    </w:p>
    <w:p w14:paraId="0274469C" w14:textId="77777777" w:rsidR="00AB4CBF" w:rsidRDefault="00AB4CBF" w:rsidP="00AB4CBF">
      <w:pPr>
        <w:numPr>
          <w:ilvl w:val="1"/>
          <w:numId w:val="11"/>
        </w:numPr>
        <w:overflowPunct w:val="0"/>
        <w:autoSpaceDE w:val="0"/>
        <w:autoSpaceDN w:val="0"/>
        <w:spacing w:before="240" w:after="160" w:line="260" w:lineRule="atLeast"/>
      </w:pPr>
      <w:r>
        <w:rPr>
          <w:rFonts w:eastAsia="Calibri"/>
          <w:kern w:val="3"/>
          <w:sz w:val="24"/>
          <w:szCs w:val="24"/>
          <w:lang w:eastAsia="en-US"/>
        </w:rPr>
        <w:t xml:space="preserve">Where the Supplier is using Artificial Intelligence (AI) and/or Machine Learning (ML) in the delivery of their service to the Buyer, this shall comply with the NCSC’s </w:t>
      </w:r>
      <w:hyperlink r:id="rId28" w:history="1">
        <w:r>
          <w:rPr>
            <w:rFonts w:eastAsia="Calibri"/>
            <w:color w:val="0000FF"/>
            <w:kern w:val="3"/>
            <w:sz w:val="24"/>
            <w:szCs w:val="24"/>
            <w:u w:val="single"/>
            <w:lang w:eastAsia="en-US"/>
          </w:rPr>
          <w:t>principles for the security of machine learning</w:t>
        </w:r>
      </w:hyperlink>
      <w:r>
        <w:rPr>
          <w:rFonts w:eastAsia="Calibri"/>
          <w:kern w:val="3"/>
          <w:sz w:val="24"/>
          <w:szCs w:val="24"/>
          <w:lang w:eastAsia="en-US"/>
        </w:rPr>
        <w:t xml:space="preserve">. </w:t>
      </w:r>
    </w:p>
    <w:p w14:paraId="1F6792A3" w14:textId="77777777" w:rsidR="008F3F19" w:rsidRDefault="008F3F19">
      <w:pPr>
        <w:ind w:left="720"/>
        <w:rPr>
          <w:sz w:val="24"/>
          <w:szCs w:val="24"/>
        </w:rPr>
      </w:pPr>
    </w:p>
    <w:p w14:paraId="1F6792A4" w14:textId="77777777" w:rsidR="008F3F19" w:rsidRDefault="008F3F19">
      <w:pPr>
        <w:ind w:left="720"/>
        <w:rPr>
          <w:sz w:val="24"/>
          <w:szCs w:val="24"/>
        </w:rPr>
      </w:pPr>
    </w:p>
    <w:p w14:paraId="1F6792A5" w14:textId="77777777" w:rsidR="008F3F19" w:rsidRDefault="008F3F19">
      <w:pPr>
        <w:ind w:left="720"/>
        <w:rPr>
          <w:sz w:val="24"/>
          <w:szCs w:val="24"/>
        </w:rPr>
      </w:pPr>
    </w:p>
    <w:p w14:paraId="1F6792A6" w14:textId="77777777" w:rsidR="008F3F19" w:rsidRDefault="008F3F19">
      <w:pPr>
        <w:ind w:left="720"/>
        <w:rPr>
          <w:sz w:val="24"/>
          <w:szCs w:val="24"/>
        </w:rPr>
      </w:pPr>
    </w:p>
    <w:p w14:paraId="1F6792A7" w14:textId="77777777" w:rsidR="008F3F19" w:rsidRDefault="008F3F19">
      <w:pPr>
        <w:ind w:left="720"/>
        <w:rPr>
          <w:sz w:val="24"/>
          <w:szCs w:val="24"/>
        </w:rPr>
      </w:pPr>
    </w:p>
    <w:p w14:paraId="1F6792A8" w14:textId="77777777" w:rsidR="008F3F19" w:rsidRDefault="008F3F19">
      <w:pPr>
        <w:ind w:left="720"/>
        <w:rPr>
          <w:sz w:val="24"/>
          <w:szCs w:val="24"/>
        </w:rPr>
      </w:pPr>
    </w:p>
    <w:p w14:paraId="1F6792A9" w14:textId="77777777" w:rsidR="008F3F19" w:rsidRDefault="008F3F19">
      <w:pPr>
        <w:ind w:left="720"/>
        <w:rPr>
          <w:sz w:val="24"/>
          <w:szCs w:val="24"/>
        </w:rPr>
      </w:pPr>
      <w:bookmarkStart w:id="163" w:name="_b7pxu4x9k24v" w:colFirst="0" w:colLast="0"/>
      <w:bookmarkStart w:id="164" w:name="_h6mk95iudv49" w:colFirst="0" w:colLast="0"/>
      <w:bookmarkStart w:id="165" w:name="_p3bgl2je8dw3" w:colFirst="0" w:colLast="0"/>
      <w:bookmarkStart w:id="166" w:name="_331ayrfm5m8j" w:colFirst="0" w:colLast="0"/>
      <w:bookmarkStart w:id="167" w:name="_ax1iwtp6df2l" w:colFirst="0" w:colLast="0"/>
      <w:bookmarkStart w:id="168" w:name="_3neetxulom0a" w:colFirst="0" w:colLast="0"/>
      <w:bookmarkStart w:id="169" w:name="_qyj3jhdnpm4k" w:colFirst="0" w:colLast="0"/>
      <w:bookmarkStart w:id="170" w:name="_llvgpr26dbve" w:colFirst="0" w:colLast="0"/>
      <w:bookmarkStart w:id="171" w:name="_gffp27kgnzhl" w:colFirst="0" w:colLast="0"/>
      <w:bookmarkStart w:id="172" w:name="_mgnklyrgux1b" w:colFirst="0" w:colLast="0"/>
      <w:bookmarkStart w:id="173" w:name="_fpna3k21ra1o" w:colFirst="0" w:colLast="0"/>
      <w:bookmarkStart w:id="174" w:name="_246g9itb2qus" w:colFirst="0" w:colLast="0"/>
      <w:bookmarkStart w:id="175" w:name="_c5mobzc7vp8l" w:colFirst="0" w:colLast="0"/>
      <w:bookmarkStart w:id="176" w:name="_6kuyu5g1w0zi" w:colFirst="0" w:colLast="0"/>
      <w:bookmarkStart w:id="177" w:name="_uw4omz44rbc2" w:colFirst="0" w:colLast="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F6792CC" w14:textId="77777777" w:rsidR="008F3F19" w:rsidRDefault="008F3F19">
      <w:pPr>
        <w:pStyle w:val="Heading1"/>
      </w:pPr>
    </w:p>
    <w:sectPr w:rsidR="008F3F19">
      <w:headerReference w:type="default" r:id="rId29"/>
      <w:footerReference w:type="default" r:id="rId3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68E28" w14:textId="77777777" w:rsidR="0006671A" w:rsidRDefault="0006671A">
      <w:pPr>
        <w:spacing w:line="240" w:lineRule="auto"/>
      </w:pPr>
      <w:r>
        <w:separator/>
      </w:r>
    </w:p>
  </w:endnote>
  <w:endnote w:type="continuationSeparator" w:id="0">
    <w:p w14:paraId="4F1D2DA0" w14:textId="77777777" w:rsidR="0006671A" w:rsidRDefault="00066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7942D" w14:textId="24C76562" w:rsidR="008F3F19" w:rsidRDefault="008634F4">
    <w:pPr>
      <w:jc w:val="right"/>
      <w:rPr>
        <w:b/>
      </w:rPr>
    </w:pPr>
    <w:r>
      <w:rPr>
        <w:b/>
      </w:rPr>
      <w:fldChar w:fldCharType="begin"/>
    </w:r>
    <w:r>
      <w:rPr>
        <w:b/>
      </w:rPr>
      <w:instrText>PAGE</w:instrText>
    </w:r>
    <w:r>
      <w:rPr>
        <w:b/>
      </w:rPr>
      <w:fldChar w:fldCharType="separate"/>
    </w:r>
    <w:r>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BC345" w14:textId="77777777" w:rsidR="0006671A" w:rsidRDefault="0006671A">
      <w:pPr>
        <w:spacing w:line="240" w:lineRule="auto"/>
      </w:pPr>
      <w:r>
        <w:separator/>
      </w:r>
    </w:p>
  </w:footnote>
  <w:footnote w:type="continuationSeparator" w:id="0">
    <w:p w14:paraId="72CA59F7" w14:textId="77777777" w:rsidR="0006671A" w:rsidRDefault="000667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7942C" w14:textId="77777777" w:rsidR="008F3F19" w:rsidRDefault="008634F4">
    <w:pPr>
      <w:rPr>
        <w:b/>
      </w:rPr>
    </w:pPr>
    <w:r>
      <w:rPr>
        <w:b/>
      </w:rPr>
      <w:t>Order Schedule 9 (Security)</w:t>
    </w:r>
  </w:p>
  <w:p w14:paraId="0BD47819" w14:textId="77777777" w:rsidR="000521F6" w:rsidRDefault="000521F6" w:rsidP="000521F6">
    <w:r>
      <w:t xml:space="preserve">ORDER REF: </w:t>
    </w:r>
    <w:r w:rsidRPr="00657351">
      <w:t>New Model Designs for Schools</w:t>
    </w:r>
  </w:p>
  <w:p w14:paraId="39FBCC2C" w14:textId="77777777" w:rsidR="000521F6" w:rsidRDefault="000521F6">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77D82"/>
    <w:multiLevelType w:val="multilevel"/>
    <w:tmpl w:val="722099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29D45679"/>
    <w:multiLevelType w:val="multilevel"/>
    <w:tmpl w:val="2A8CB7B0"/>
    <w:lvl w:ilvl="0">
      <w:start w:val="1"/>
      <w:numFmt w:val="decimal"/>
      <w:lvlText w:val="%1."/>
      <w:lvlJc w:val="left"/>
    </w:lvl>
    <w:lvl w:ilvl="1">
      <w:start w:val="1"/>
      <w:numFmt w:val="decimal"/>
      <w:lvlText w:val="%1.%2."/>
      <w:lvlJc w:val="left"/>
      <w:pPr>
        <w:ind w:left="720" w:hanging="720"/>
      </w:pPr>
    </w:lvl>
    <w:lvl w:ilvl="2">
      <w:start w:val="1"/>
      <w:numFmt w:val="decimal"/>
      <w:lvlText w:val="%1.%2.%3."/>
      <w:lvlJc w:val="left"/>
      <w:pPr>
        <w:ind w:left="1287"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 w15:restartNumberingAfterBreak="0">
    <w:nsid w:val="2C9927A9"/>
    <w:multiLevelType w:val="multilevel"/>
    <w:tmpl w:val="8BDE32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0203CE"/>
    <w:multiLevelType w:val="multilevel"/>
    <w:tmpl w:val="3F82A790"/>
    <w:lvl w:ilvl="0">
      <w:start w:val="1"/>
      <w:numFmt w:val="decimal"/>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38A54C30"/>
    <w:multiLevelType w:val="multilevel"/>
    <w:tmpl w:val="03AE7EDE"/>
    <w:lvl w:ilvl="0">
      <w:start w:val="6"/>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A38231D"/>
    <w:multiLevelType w:val="multilevel"/>
    <w:tmpl w:val="9DB0F4B4"/>
    <w:styleLink w:val="WW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FD239A"/>
    <w:multiLevelType w:val="multilevel"/>
    <w:tmpl w:val="27DA4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3C737A3"/>
    <w:multiLevelType w:val="multilevel"/>
    <w:tmpl w:val="38080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35C0BDE"/>
    <w:multiLevelType w:val="multilevel"/>
    <w:tmpl w:val="06E007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6355176"/>
    <w:multiLevelType w:val="multilevel"/>
    <w:tmpl w:val="C6CC07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6E806AE4"/>
    <w:multiLevelType w:val="multilevel"/>
    <w:tmpl w:val="F7F28980"/>
    <w:lvl w:ilvl="0">
      <w:start w:val="1"/>
      <w:numFmt w:val="decimal"/>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16cid:durableId="624628771">
    <w:abstractNumId w:val="8"/>
  </w:num>
  <w:num w:numId="2" w16cid:durableId="1024675098">
    <w:abstractNumId w:val="6"/>
  </w:num>
  <w:num w:numId="3" w16cid:durableId="382604231">
    <w:abstractNumId w:val="2"/>
  </w:num>
  <w:num w:numId="4" w16cid:durableId="149371778">
    <w:abstractNumId w:val="0"/>
  </w:num>
  <w:num w:numId="5" w16cid:durableId="21328735">
    <w:abstractNumId w:val="9"/>
  </w:num>
  <w:num w:numId="6" w16cid:durableId="170797994">
    <w:abstractNumId w:val="7"/>
  </w:num>
  <w:num w:numId="7" w16cid:durableId="831485528">
    <w:abstractNumId w:val="5"/>
  </w:num>
  <w:num w:numId="8" w16cid:durableId="1559438514">
    <w:abstractNumId w:val="4"/>
  </w:num>
  <w:num w:numId="9" w16cid:durableId="1172069980">
    <w:abstractNumId w:val="1"/>
  </w:num>
  <w:num w:numId="10" w16cid:durableId="1414157582">
    <w:abstractNumId w:val="3"/>
  </w:num>
  <w:num w:numId="11" w16cid:durableId="1049837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19"/>
    <w:rsid w:val="000521F6"/>
    <w:rsid w:val="0006671A"/>
    <w:rsid w:val="00131938"/>
    <w:rsid w:val="00142DB2"/>
    <w:rsid w:val="005719BD"/>
    <w:rsid w:val="00623034"/>
    <w:rsid w:val="008634F4"/>
    <w:rsid w:val="008F3F19"/>
    <w:rsid w:val="009D61C8"/>
    <w:rsid w:val="00AB4CBF"/>
    <w:rsid w:val="00D97E08"/>
    <w:rsid w:val="00E00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921E"/>
  <w15:docId w15:val="{9182CF76-1253-471F-85B6-42950C6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Standard">
    <w:name w:val="Standard"/>
    <w:rsid w:val="009D61C8"/>
    <w:pPr>
      <w:widowControl w:val="0"/>
      <w:suppressAutoHyphens/>
      <w:autoSpaceDN w:val="0"/>
      <w:spacing w:after="240" w:line="240" w:lineRule="auto"/>
      <w:ind w:left="1418"/>
      <w:jc w:val="both"/>
      <w:textAlignment w:val="baseline"/>
    </w:pPr>
    <w:rPr>
      <w:lang w:eastAsia="zh-CN" w:bidi="hi-IN"/>
    </w:rPr>
  </w:style>
  <w:style w:type="numbering" w:customStyle="1" w:styleId="WWNum2">
    <w:name w:val="WWNum2"/>
    <w:basedOn w:val="NoList"/>
    <w:rsid w:val="009D61C8"/>
    <w:pPr>
      <w:numPr>
        <w:numId w:val="7"/>
      </w:numPr>
    </w:pPr>
  </w:style>
  <w:style w:type="paragraph" w:styleId="Header">
    <w:name w:val="header"/>
    <w:basedOn w:val="Normal"/>
    <w:link w:val="HeaderChar"/>
    <w:uiPriority w:val="99"/>
    <w:unhideWhenUsed/>
    <w:rsid w:val="000521F6"/>
    <w:pPr>
      <w:tabs>
        <w:tab w:val="center" w:pos="4513"/>
        <w:tab w:val="right" w:pos="9026"/>
      </w:tabs>
      <w:spacing w:line="240" w:lineRule="auto"/>
    </w:pPr>
  </w:style>
  <w:style w:type="character" w:customStyle="1" w:styleId="HeaderChar">
    <w:name w:val="Header Char"/>
    <w:basedOn w:val="DefaultParagraphFont"/>
    <w:link w:val="Header"/>
    <w:uiPriority w:val="99"/>
    <w:rsid w:val="000521F6"/>
  </w:style>
  <w:style w:type="paragraph" w:styleId="Footer">
    <w:name w:val="footer"/>
    <w:basedOn w:val="Normal"/>
    <w:link w:val="FooterChar"/>
    <w:uiPriority w:val="99"/>
    <w:unhideWhenUsed/>
    <w:rsid w:val="000521F6"/>
    <w:pPr>
      <w:tabs>
        <w:tab w:val="center" w:pos="4513"/>
        <w:tab w:val="right" w:pos="9026"/>
      </w:tabs>
      <w:spacing w:line="240" w:lineRule="auto"/>
    </w:pPr>
  </w:style>
  <w:style w:type="character" w:customStyle="1" w:styleId="FooterChar">
    <w:name w:val="Footer Char"/>
    <w:basedOn w:val="DefaultParagraphFont"/>
    <w:link w:val="Footer"/>
    <w:uiPriority w:val="99"/>
    <w:rsid w:val="00052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yberessentials.ncsc.gov.uk/getting-certified/" TargetMode="External"/><Relationship Id="rId18" Type="http://schemas.openxmlformats.org/officeDocument/2006/relationships/hyperlink" Target="https://www.ncsc.gov.uk/articles/about-certified-professional-scheme" TargetMode="External"/><Relationship Id="rId26" Type="http://schemas.openxmlformats.org/officeDocument/2006/relationships/hyperlink" Target="https://www.security.gov.uk/guidance/secure-by-design/principles/" TargetMode="External"/><Relationship Id="rId3" Type="http://schemas.openxmlformats.org/officeDocument/2006/relationships/customXml" Target="../customXml/item3.xml"/><Relationship Id="rId21" Type="http://schemas.openxmlformats.org/officeDocument/2006/relationships/hyperlink" Target="https://www.ncsc.gov.uk/section/advice-guidance/all-topics" TargetMode="External"/><Relationship Id="rId7" Type="http://schemas.openxmlformats.org/officeDocument/2006/relationships/webSettings" Target="webSettings.xml"/><Relationship Id="rId12" Type="http://schemas.openxmlformats.org/officeDocument/2006/relationships/hyperlink" Target="https://www.ncsc.gov.uk/information/about-certified-professional-scheme" TargetMode="External"/><Relationship Id="rId17" Type="http://schemas.openxmlformats.org/officeDocument/2006/relationships/hyperlink" Target="https://www.cpni.gov.uk/secure-destruction-0" TargetMode="External"/><Relationship Id="rId25" Type="http://schemas.openxmlformats.org/officeDocument/2006/relationships/hyperlink" Target="https://www.ncsc.gov.uk/collection/end-user-device-security/eud-overview/eud-security-principles" TargetMode="External"/><Relationship Id="rId2" Type="http://schemas.openxmlformats.org/officeDocument/2006/relationships/customXml" Target="../customXml/item2.xml"/><Relationship Id="rId16" Type="http://schemas.openxmlformats.org/officeDocument/2006/relationships/hyperlink" Target="https://www.ncsc.gov.uk/guidance/secure-sanitisation-storage-media"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scheme/certified-cyber-consultancy" TargetMode="External"/><Relationship Id="rId24" Type="http://schemas.openxmlformats.org/officeDocument/2006/relationships/hyperlink" Target="https://www.ncsc.gov.uk/guidance/end-user-device-securit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csc.gov.uk" TargetMode="External"/><Relationship Id="rId23" Type="http://schemas.openxmlformats.org/officeDocument/2006/relationships/hyperlink" Target="https://www.gov.uk/government/publications/procurement-policy-note-0914-cyber-essentials-scheme-certification" TargetMode="External"/><Relationship Id="rId28" Type="http://schemas.openxmlformats.org/officeDocument/2006/relationships/hyperlink" Target="https://www.ncsc.gov.uk/collection/machine-learning" TargetMode="External"/><Relationship Id="rId10" Type="http://schemas.openxmlformats.org/officeDocument/2006/relationships/hyperlink" Target="https://www.gov.uk/government/publications/government-baseline-personnel-security-standard" TargetMode="External"/><Relationship Id="rId19" Type="http://schemas.openxmlformats.org/officeDocument/2006/relationships/hyperlink" Target="https://www.gov.uk/government/publications/security-policy-framework"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assets.publishing.service.gov.uk/media/652d2b6ad86b1b000d3a4fbe/2023-10-11_Updated_PPN_09_23_Cyber_Essentials_eg.pdf" TargetMode="External"/><Relationship Id="rId27" Type="http://schemas.openxmlformats.org/officeDocument/2006/relationships/hyperlink" Target="https://www.ncsc.gov.uk/guidance/social-media-how-to-use-it-safel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212BC-15C5-45A6-BE51-83C27B4F7142}">
  <ds:schemaRefs>
    <ds:schemaRef ds:uri="http://schemas.microsoft.com/sharepoint/v3/contenttype/forms"/>
  </ds:schemaRefs>
</ds:datastoreItem>
</file>

<file path=customXml/itemProps2.xml><?xml version="1.0" encoding="utf-8"?>
<ds:datastoreItem xmlns:ds="http://schemas.openxmlformats.org/officeDocument/2006/customXml" ds:itemID="{D8C9A116-274A-419B-89CE-FE94BCF847CF}">
  <ds:schemaRefs>
    <ds:schemaRef ds:uri="http://purl.org/dc/dcmitype/"/>
    <ds:schemaRef ds:uri="http://schemas.microsoft.com/office/2006/documentManagement/types"/>
    <ds:schemaRef ds:uri="http://www.w3.org/XML/1998/namespace"/>
    <ds:schemaRef ds:uri="430c7f94-0362-49de-ae53-d225bfbda5b2"/>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s>
</ds:datastoreItem>
</file>

<file path=customXml/itemProps3.xml><?xml version="1.0" encoding="utf-8"?>
<ds:datastoreItem xmlns:ds="http://schemas.openxmlformats.org/officeDocument/2006/customXml" ds:itemID="{48D62A63-6022-44DD-BF71-6DD1283A3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5105</Words>
  <Characters>29102</Characters>
  <Application>Microsoft Office Word</Application>
  <DocSecurity>0</DocSecurity>
  <Lines>242</Lines>
  <Paragraphs>68</Paragraphs>
  <ScaleCrop>false</ScaleCrop>
  <Company/>
  <LinksUpToDate>false</LinksUpToDate>
  <CharactersWithSpaces>34139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CUCU, Cosmina</dc:creator>
  <cp:lastModifiedBy>CUCU, Cosmina</cp:lastModifiedBy>
  <cp:revision>9</cp:revision>
  <dcterms:created xsi:type="dcterms:W3CDTF">2024-10-29T13:25:00Z</dcterms:created>
  <dcterms:modified xsi:type="dcterms:W3CDTF">2024-11-05T15:06:00Z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