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8C31A" w14:textId="77777777" w:rsidR="00CD3BDE" w:rsidRDefault="00CD3BDE" w:rsidP="00BB5B82">
      <w:pPr>
        <w:spacing w:after="0" w:line="240" w:lineRule="auto"/>
        <w:jc w:val="center"/>
        <w:rPr>
          <w:rFonts w:ascii="Arial" w:hAnsi="Arial" w:cs="Arial"/>
          <w:b/>
          <w:sz w:val="24"/>
          <w:szCs w:val="24"/>
        </w:rPr>
      </w:pPr>
      <w:r>
        <w:rPr>
          <w:rFonts w:ascii="Arial" w:hAnsi="Arial" w:cs="Arial"/>
          <w:b/>
          <w:noProof/>
          <w:lang w:eastAsia="en-GB"/>
        </w:rPr>
        <w:drawing>
          <wp:inline distT="0" distB="0" distL="0" distR="0" wp14:anchorId="7A94BDA4" wp14:editId="231950DE">
            <wp:extent cx="5146119" cy="1074420"/>
            <wp:effectExtent l="0" t="0" r="0" b="0"/>
            <wp:docPr id="2" name="Picture 2" descr="C:\Users\MThompson\AppData\Local\Microsoft\Windows\INetCache\Content.MSO\65D8A0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hompson\AppData\Local\Microsoft\Windows\INetCache\Content.MSO\65D8A08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9657" cy="1079334"/>
                    </a:xfrm>
                    <a:prstGeom prst="rect">
                      <a:avLst/>
                    </a:prstGeom>
                    <a:noFill/>
                    <a:ln>
                      <a:noFill/>
                    </a:ln>
                  </pic:spPr>
                </pic:pic>
              </a:graphicData>
            </a:graphic>
          </wp:inline>
        </w:drawing>
      </w:r>
    </w:p>
    <w:p w14:paraId="52C292B5" w14:textId="77777777" w:rsidR="00CD3BDE" w:rsidRDefault="00CD3BDE" w:rsidP="00B54547">
      <w:pPr>
        <w:spacing w:after="0" w:line="240" w:lineRule="auto"/>
        <w:jc w:val="both"/>
        <w:rPr>
          <w:rFonts w:ascii="Arial" w:hAnsi="Arial" w:cs="Arial"/>
          <w:b/>
          <w:sz w:val="24"/>
          <w:szCs w:val="24"/>
        </w:rPr>
      </w:pPr>
    </w:p>
    <w:p w14:paraId="3D1DF999" w14:textId="77777777" w:rsidR="00CD3BDE" w:rsidRDefault="00CD3BDE" w:rsidP="00B54547">
      <w:pPr>
        <w:spacing w:after="0" w:line="240" w:lineRule="auto"/>
        <w:jc w:val="both"/>
        <w:rPr>
          <w:rFonts w:ascii="Arial" w:hAnsi="Arial" w:cs="Arial"/>
          <w:b/>
          <w:sz w:val="56"/>
          <w:szCs w:val="56"/>
        </w:rPr>
      </w:pPr>
    </w:p>
    <w:p w14:paraId="59B0DBE9" w14:textId="77777777" w:rsidR="00CD3BDE" w:rsidRDefault="00CD3BDE" w:rsidP="00B54547">
      <w:pPr>
        <w:spacing w:after="0" w:line="240" w:lineRule="auto"/>
        <w:jc w:val="center"/>
        <w:rPr>
          <w:rFonts w:ascii="Arial" w:hAnsi="Arial" w:cs="Arial"/>
          <w:b/>
          <w:sz w:val="56"/>
          <w:szCs w:val="56"/>
        </w:rPr>
      </w:pPr>
    </w:p>
    <w:p w14:paraId="114B33FA" w14:textId="597EADDC" w:rsidR="00CD3BDE" w:rsidRPr="00CD3BDE" w:rsidRDefault="00CD3BDE" w:rsidP="00B54547">
      <w:pPr>
        <w:spacing w:after="0" w:line="240" w:lineRule="auto"/>
        <w:jc w:val="center"/>
        <w:rPr>
          <w:rFonts w:ascii="Arial" w:hAnsi="Arial" w:cs="Arial"/>
          <w:b/>
          <w:sz w:val="56"/>
          <w:szCs w:val="56"/>
        </w:rPr>
      </w:pPr>
      <w:r w:rsidRPr="00CD3BDE">
        <w:rPr>
          <w:rFonts w:ascii="Arial" w:hAnsi="Arial" w:cs="Arial"/>
          <w:b/>
          <w:sz w:val="56"/>
          <w:szCs w:val="56"/>
        </w:rPr>
        <w:t>Greater Nottingham Centres Study</w:t>
      </w:r>
      <w:r>
        <w:rPr>
          <w:rFonts w:ascii="Arial" w:hAnsi="Arial" w:cs="Arial"/>
          <w:b/>
          <w:sz w:val="56"/>
          <w:szCs w:val="56"/>
        </w:rPr>
        <w:t xml:space="preserve">: </w:t>
      </w:r>
      <w:r w:rsidRPr="00CD3BDE">
        <w:rPr>
          <w:rFonts w:ascii="Arial" w:hAnsi="Arial" w:cs="Arial"/>
          <w:b/>
          <w:sz w:val="56"/>
          <w:szCs w:val="56"/>
        </w:rPr>
        <w:t>Specification Brief</w:t>
      </w:r>
      <w:r w:rsidR="00473BF2">
        <w:rPr>
          <w:rFonts w:ascii="Arial" w:hAnsi="Arial" w:cs="Arial"/>
          <w:b/>
          <w:sz w:val="56"/>
          <w:szCs w:val="56"/>
        </w:rPr>
        <w:t xml:space="preserve"> – DRAFT FOR SMT</w:t>
      </w:r>
    </w:p>
    <w:p w14:paraId="078D54AD" w14:textId="77777777" w:rsidR="00CD3BDE" w:rsidRDefault="00CD3BDE" w:rsidP="00B54547">
      <w:pPr>
        <w:spacing w:after="0" w:line="240" w:lineRule="auto"/>
        <w:jc w:val="center"/>
        <w:rPr>
          <w:rFonts w:ascii="Arial" w:hAnsi="Arial" w:cs="Arial"/>
          <w:b/>
          <w:sz w:val="56"/>
          <w:szCs w:val="56"/>
        </w:rPr>
      </w:pPr>
    </w:p>
    <w:p w14:paraId="0D15B3B2" w14:textId="0788A46E" w:rsidR="00CD3BDE" w:rsidRDefault="00CD3BDE" w:rsidP="00B54547">
      <w:pPr>
        <w:spacing w:after="0" w:line="240" w:lineRule="auto"/>
        <w:jc w:val="center"/>
        <w:rPr>
          <w:rFonts w:ascii="Arial" w:hAnsi="Arial" w:cs="Arial"/>
          <w:b/>
          <w:sz w:val="56"/>
          <w:szCs w:val="56"/>
        </w:rPr>
      </w:pPr>
      <w:r w:rsidRPr="00CD3BDE">
        <w:rPr>
          <w:rFonts w:ascii="Arial" w:hAnsi="Arial" w:cs="Arial"/>
          <w:b/>
          <w:sz w:val="56"/>
          <w:szCs w:val="56"/>
        </w:rPr>
        <w:t>June 2023</w:t>
      </w:r>
    </w:p>
    <w:p w14:paraId="2018D233" w14:textId="1D2D740B" w:rsidR="00CD3BDE" w:rsidRDefault="00CD3BDE" w:rsidP="00B54547">
      <w:pPr>
        <w:spacing w:after="0" w:line="240" w:lineRule="auto"/>
        <w:jc w:val="both"/>
        <w:rPr>
          <w:rFonts w:ascii="Arial" w:hAnsi="Arial" w:cs="Arial"/>
          <w:b/>
          <w:sz w:val="56"/>
          <w:szCs w:val="56"/>
        </w:rPr>
      </w:pPr>
    </w:p>
    <w:p w14:paraId="73C99D04" w14:textId="1BC051D7" w:rsidR="00CD3BDE" w:rsidRDefault="00CD3BDE" w:rsidP="00B54547">
      <w:pPr>
        <w:spacing w:after="0" w:line="240" w:lineRule="auto"/>
        <w:jc w:val="both"/>
        <w:rPr>
          <w:rFonts w:ascii="Arial" w:hAnsi="Arial" w:cs="Arial"/>
          <w:b/>
          <w:sz w:val="56"/>
          <w:szCs w:val="56"/>
        </w:rPr>
      </w:pPr>
    </w:p>
    <w:p w14:paraId="3C107175" w14:textId="687027E2" w:rsidR="00CD3BDE" w:rsidRDefault="00CD3BDE" w:rsidP="00B54547">
      <w:pPr>
        <w:spacing w:after="0" w:line="240" w:lineRule="auto"/>
        <w:jc w:val="both"/>
        <w:rPr>
          <w:rFonts w:ascii="Arial" w:hAnsi="Arial" w:cs="Arial"/>
          <w:b/>
          <w:sz w:val="56"/>
          <w:szCs w:val="56"/>
        </w:rPr>
      </w:pPr>
    </w:p>
    <w:p w14:paraId="75C81372" w14:textId="21AA06E5" w:rsidR="00CD3BDE" w:rsidRDefault="00CD3BDE" w:rsidP="00B54547">
      <w:pPr>
        <w:spacing w:after="0" w:line="240" w:lineRule="auto"/>
        <w:jc w:val="both"/>
        <w:rPr>
          <w:rFonts w:ascii="Arial" w:hAnsi="Arial" w:cs="Arial"/>
          <w:b/>
          <w:sz w:val="56"/>
          <w:szCs w:val="56"/>
        </w:rPr>
      </w:pPr>
    </w:p>
    <w:p w14:paraId="12D73F7C" w14:textId="5BB22F77" w:rsidR="00CD3BDE" w:rsidRDefault="00CD3BDE" w:rsidP="00B54547">
      <w:pPr>
        <w:spacing w:after="0" w:line="240" w:lineRule="auto"/>
        <w:jc w:val="both"/>
        <w:rPr>
          <w:rFonts w:ascii="Arial" w:hAnsi="Arial" w:cs="Arial"/>
          <w:b/>
          <w:sz w:val="56"/>
          <w:szCs w:val="56"/>
        </w:rPr>
      </w:pPr>
    </w:p>
    <w:p w14:paraId="0CEE79F4" w14:textId="1D58404A" w:rsidR="00CD3BDE" w:rsidRPr="00CD3BDE" w:rsidRDefault="00CD3BDE" w:rsidP="00B54547">
      <w:pPr>
        <w:spacing w:after="0" w:line="240" w:lineRule="auto"/>
        <w:jc w:val="both"/>
        <w:rPr>
          <w:rFonts w:ascii="Arial" w:hAnsi="Arial" w:cs="Arial"/>
          <w:b/>
          <w:sz w:val="56"/>
          <w:szCs w:val="56"/>
        </w:rPr>
      </w:pPr>
    </w:p>
    <w:p w14:paraId="5C4768E3" w14:textId="77777777" w:rsidR="00CD3BDE" w:rsidRDefault="00CD3BDE" w:rsidP="00B54547">
      <w:pPr>
        <w:spacing w:after="0" w:line="240" w:lineRule="auto"/>
        <w:jc w:val="both"/>
        <w:rPr>
          <w:rFonts w:ascii="Arial" w:hAnsi="Arial" w:cs="Arial"/>
          <w:b/>
          <w:sz w:val="24"/>
          <w:szCs w:val="24"/>
        </w:rPr>
        <w:sectPr w:rsidR="00CD3BDE" w:rsidSect="00CD3BD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pPr>
      <w:r>
        <w:rPr>
          <w:rFonts w:ascii="Arial" w:hAnsi="Arial" w:cs="Arial"/>
          <w:b/>
          <w:noProof/>
          <w:lang w:eastAsia="en-GB"/>
        </w:rPr>
        <w:drawing>
          <wp:inline distT="0" distB="0" distL="0" distR="0" wp14:anchorId="32A8FF36" wp14:editId="79DA9258">
            <wp:extent cx="5731510" cy="741803"/>
            <wp:effectExtent l="0" t="0" r="2540" b="1270"/>
            <wp:docPr id="3" name="Picture 3" descr="C:\Users\MThompson\AppData\Local\Microsoft\Windows\INetCache\Content.MSO\DFA60F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hompson\AppData\Local\Microsoft\Windows\INetCache\Content.MSO\DFA60F23.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41803"/>
                    </a:xfrm>
                    <a:prstGeom prst="rect">
                      <a:avLst/>
                    </a:prstGeom>
                    <a:noFill/>
                    <a:ln>
                      <a:noFill/>
                    </a:ln>
                  </pic:spPr>
                </pic:pic>
              </a:graphicData>
            </a:graphic>
          </wp:inline>
        </w:drawing>
      </w:r>
    </w:p>
    <w:p w14:paraId="6DF62CBD" w14:textId="4A6541E4" w:rsidR="00CD3BDE" w:rsidRDefault="00CD3BDE" w:rsidP="00B54547">
      <w:pPr>
        <w:spacing w:after="0" w:line="240" w:lineRule="auto"/>
        <w:jc w:val="both"/>
        <w:rPr>
          <w:rFonts w:ascii="Arial" w:hAnsi="Arial" w:cs="Arial"/>
          <w:b/>
          <w:sz w:val="24"/>
          <w:szCs w:val="24"/>
        </w:rPr>
      </w:pPr>
    </w:p>
    <w:p w14:paraId="7F9F7538" w14:textId="32578A24" w:rsidR="00CD5794" w:rsidRDefault="00CD5794" w:rsidP="00B54547">
      <w:pPr>
        <w:spacing w:after="0" w:line="240" w:lineRule="auto"/>
        <w:jc w:val="both"/>
        <w:rPr>
          <w:rFonts w:ascii="Arial" w:hAnsi="Arial" w:cs="Arial"/>
          <w:b/>
          <w:sz w:val="24"/>
          <w:szCs w:val="24"/>
        </w:rPr>
      </w:pPr>
    </w:p>
    <w:sdt>
      <w:sdtPr>
        <w:rPr>
          <w:rFonts w:ascii="Arial" w:eastAsiaTheme="minorHAnsi" w:hAnsi="Arial" w:cs="Arial"/>
          <w:color w:val="auto"/>
          <w:sz w:val="24"/>
          <w:szCs w:val="24"/>
          <w:lang w:val="en-GB"/>
        </w:rPr>
        <w:id w:val="1116343087"/>
        <w:docPartObj>
          <w:docPartGallery w:val="Table of Contents"/>
          <w:docPartUnique/>
        </w:docPartObj>
      </w:sdtPr>
      <w:sdtEndPr>
        <w:rPr>
          <w:b/>
          <w:bCs/>
          <w:noProof/>
        </w:rPr>
      </w:sdtEndPr>
      <w:sdtContent>
        <w:p w14:paraId="0AD45759" w14:textId="3B96BFB7" w:rsidR="00CD5794" w:rsidRPr="00473BF2" w:rsidRDefault="00CD5794" w:rsidP="00B54547">
          <w:pPr>
            <w:pStyle w:val="TOCHeading"/>
            <w:spacing w:before="0" w:line="240" w:lineRule="auto"/>
            <w:jc w:val="both"/>
            <w:rPr>
              <w:rFonts w:ascii="Arial" w:hAnsi="Arial" w:cs="Arial"/>
              <w:b/>
              <w:color w:val="000000" w:themeColor="text1"/>
              <w:sz w:val="24"/>
              <w:szCs w:val="24"/>
            </w:rPr>
          </w:pPr>
          <w:r w:rsidRPr="00473BF2">
            <w:rPr>
              <w:rFonts w:ascii="Arial" w:hAnsi="Arial" w:cs="Arial"/>
              <w:b/>
              <w:color w:val="000000" w:themeColor="text1"/>
              <w:sz w:val="24"/>
              <w:szCs w:val="24"/>
            </w:rPr>
            <w:t>Contents</w:t>
          </w:r>
        </w:p>
        <w:p w14:paraId="6559E005" w14:textId="0D6660C3" w:rsidR="00300A5D" w:rsidRPr="00300A5D" w:rsidRDefault="00CD5794">
          <w:pPr>
            <w:pStyle w:val="TOC1"/>
            <w:rPr>
              <w:rFonts w:ascii="Arial" w:eastAsiaTheme="minorEastAsia" w:hAnsi="Arial" w:cs="Arial"/>
              <w:noProof/>
              <w:sz w:val="24"/>
              <w:szCs w:val="24"/>
              <w:lang w:eastAsia="en-GB"/>
            </w:rPr>
          </w:pPr>
          <w:r w:rsidRPr="00473BF2">
            <w:rPr>
              <w:rFonts w:ascii="Arial" w:hAnsi="Arial" w:cs="Arial"/>
              <w:sz w:val="24"/>
              <w:szCs w:val="24"/>
            </w:rPr>
            <w:fldChar w:fldCharType="begin"/>
          </w:r>
          <w:r w:rsidRPr="00473BF2">
            <w:rPr>
              <w:rFonts w:ascii="Arial" w:hAnsi="Arial" w:cs="Arial"/>
              <w:sz w:val="24"/>
              <w:szCs w:val="24"/>
            </w:rPr>
            <w:instrText xml:space="preserve"> TOC \o "1-1" \h \z \u </w:instrText>
          </w:r>
          <w:r w:rsidRPr="00473BF2">
            <w:rPr>
              <w:rFonts w:ascii="Arial" w:hAnsi="Arial" w:cs="Arial"/>
              <w:sz w:val="24"/>
              <w:szCs w:val="24"/>
            </w:rPr>
            <w:fldChar w:fldCharType="separate"/>
          </w:r>
          <w:hyperlink w:anchor="_Toc138837822" w:history="1">
            <w:r w:rsidR="00300A5D" w:rsidRPr="00300A5D">
              <w:rPr>
                <w:rStyle w:val="Hyperlink"/>
                <w:rFonts w:ascii="Arial" w:hAnsi="Arial" w:cs="Arial"/>
                <w:noProof/>
                <w:sz w:val="24"/>
                <w:szCs w:val="24"/>
              </w:rPr>
              <w:t>1.</w:t>
            </w:r>
            <w:r w:rsidR="00300A5D" w:rsidRPr="00300A5D">
              <w:rPr>
                <w:rFonts w:ascii="Arial" w:eastAsiaTheme="minorEastAsia" w:hAnsi="Arial" w:cs="Arial"/>
                <w:noProof/>
                <w:sz w:val="24"/>
                <w:szCs w:val="24"/>
                <w:lang w:eastAsia="en-GB"/>
              </w:rPr>
              <w:tab/>
            </w:r>
            <w:r w:rsidR="00300A5D" w:rsidRPr="00300A5D">
              <w:rPr>
                <w:rStyle w:val="Hyperlink"/>
                <w:rFonts w:ascii="Arial" w:hAnsi="Arial" w:cs="Arial"/>
                <w:noProof/>
                <w:sz w:val="24"/>
                <w:szCs w:val="24"/>
              </w:rPr>
              <w:t>Background to the Greater Nottingham Centres Study</w:t>
            </w:r>
            <w:r w:rsidR="00300A5D" w:rsidRPr="00300A5D">
              <w:rPr>
                <w:rFonts w:ascii="Arial" w:hAnsi="Arial" w:cs="Arial"/>
                <w:noProof/>
                <w:webHidden/>
                <w:sz w:val="24"/>
                <w:szCs w:val="24"/>
              </w:rPr>
              <w:tab/>
            </w:r>
            <w:r w:rsidR="00300A5D" w:rsidRPr="00300A5D">
              <w:rPr>
                <w:rFonts w:ascii="Arial" w:hAnsi="Arial" w:cs="Arial"/>
                <w:noProof/>
                <w:webHidden/>
                <w:sz w:val="24"/>
                <w:szCs w:val="24"/>
              </w:rPr>
              <w:fldChar w:fldCharType="begin"/>
            </w:r>
            <w:r w:rsidR="00300A5D" w:rsidRPr="00300A5D">
              <w:rPr>
                <w:rFonts w:ascii="Arial" w:hAnsi="Arial" w:cs="Arial"/>
                <w:noProof/>
                <w:webHidden/>
                <w:sz w:val="24"/>
                <w:szCs w:val="24"/>
              </w:rPr>
              <w:instrText xml:space="preserve"> PAGEREF _Toc138837822 \h </w:instrText>
            </w:r>
            <w:r w:rsidR="00300A5D" w:rsidRPr="00300A5D">
              <w:rPr>
                <w:rFonts w:ascii="Arial" w:hAnsi="Arial" w:cs="Arial"/>
                <w:noProof/>
                <w:webHidden/>
                <w:sz w:val="24"/>
                <w:szCs w:val="24"/>
              </w:rPr>
            </w:r>
            <w:r w:rsidR="00300A5D" w:rsidRPr="00300A5D">
              <w:rPr>
                <w:rFonts w:ascii="Arial" w:hAnsi="Arial" w:cs="Arial"/>
                <w:noProof/>
                <w:webHidden/>
                <w:sz w:val="24"/>
                <w:szCs w:val="24"/>
              </w:rPr>
              <w:fldChar w:fldCharType="separate"/>
            </w:r>
            <w:r w:rsidR="00300A5D" w:rsidRPr="00300A5D">
              <w:rPr>
                <w:rFonts w:ascii="Arial" w:hAnsi="Arial" w:cs="Arial"/>
                <w:noProof/>
                <w:webHidden/>
                <w:sz w:val="24"/>
                <w:szCs w:val="24"/>
              </w:rPr>
              <w:t>2</w:t>
            </w:r>
            <w:r w:rsidR="00300A5D" w:rsidRPr="00300A5D">
              <w:rPr>
                <w:rFonts w:ascii="Arial" w:hAnsi="Arial" w:cs="Arial"/>
                <w:noProof/>
                <w:webHidden/>
                <w:sz w:val="24"/>
                <w:szCs w:val="24"/>
              </w:rPr>
              <w:fldChar w:fldCharType="end"/>
            </w:r>
          </w:hyperlink>
        </w:p>
        <w:p w14:paraId="43F403D9" w14:textId="6D3D1D44" w:rsidR="00300A5D" w:rsidRPr="00300A5D" w:rsidRDefault="00300A5D">
          <w:pPr>
            <w:pStyle w:val="TOC1"/>
            <w:rPr>
              <w:rFonts w:ascii="Arial" w:eastAsiaTheme="minorEastAsia" w:hAnsi="Arial" w:cs="Arial"/>
              <w:noProof/>
              <w:sz w:val="24"/>
              <w:szCs w:val="24"/>
              <w:lang w:eastAsia="en-GB"/>
            </w:rPr>
          </w:pPr>
          <w:hyperlink w:anchor="_Toc138837823" w:history="1">
            <w:r w:rsidRPr="00300A5D">
              <w:rPr>
                <w:rStyle w:val="Hyperlink"/>
                <w:rFonts w:ascii="Arial" w:hAnsi="Arial" w:cs="Arial"/>
                <w:noProof/>
                <w:sz w:val="24"/>
                <w:szCs w:val="24"/>
              </w:rPr>
              <w:t>2.</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shd w:val="clear" w:color="auto" w:fill="FFFFFF"/>
              </w:rPr>
              <w:t>Study Area</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_Toc138837823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2</w:t>
            </w:r>
            <w:r w:rsidRPr="00300A5D">
              <w:rPr>
                <w:rFonts w:ascii="Arial" w:hAnsi="Arial" w:cs="Arial"/>
                <w:noProof/>
                <w:webHidden/>
                <w:sz w:val="24"/>
                <w:szCs w:val="24"/>
              </w:rPr>
              <w:fldChar w:fldCharType="end"/>
            </w:r>
          </w:hyperlink>
        </w:p>
        <w:p w14:paraId="0344621E" w14:textId="060A2B3D" w:rsidR="00300A5D" w:rsidRPr="00300A5D" w:rsidRDefault="00300A5D">
          <w:pPr>
            <w:pStyle w:val="TOC1"/>
            <w:rPr>
              <w:rFonts w:ascii="Arial" w:eastAsiaTheme="minorEastAsia" w:hAnsi="Arial" w:cs="Arial"/>
              <w:noProof/>
              <w:sz w:val="24"/>
              <w:szCs w:val="24"/>
              <w:lang w:eastAsia="en-GB"/>
            </w:rPr>
          </w:pPr>
          <w:hyperlink w:anchor="_Toc138837824" w:history="1">
            <w:r w:rsidRPr="00300A5D">
              <w:rPr>
                <w:rStyle w:val="Hyperlink"/>
                <w:rFonts w:ascii="Arial" w:hAnsi="Arial" w:cs="Arial"/>
                <w:noProof/>
                <w:sz w:val="24"/>
                <w:szCs w:val="24"/>
                <w:lang w:val="en-US"/>
              </w:rPr>
              <w:t>3.</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lang w:val="en-US"/>
              </w:rPr>
              <w:t>The Greater Nottingham Strategic Plan</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_Toc138837824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2</w:t>
            </w:r>
            <w:r w:rsidRPr="00300A5D">
              <w:rPr>
                <w:rFonts w:ascii="Arial" w:hAnsi="Arial" w:cs="Arial"/>
                <w:noProof/>
                <w:webHidden/>
                <w:sz w:val="24"/>
                <w:szCs w:val="24"/>
              </w:rPr>
              <w:fldChar w:fldCharType="end"/>
            </w:r>
          </w:hyperlink>
        </w:p>
        <w:p w14:paraId="7174DAE8" w14:textId="4EC4F96D" w:rsidR="00300A5D" w:rsidRPr="00300A5D" w:rsidRDefault="00300A5D">
          <w:pPr>
            <w:pStyle w:val="TOC1"/>
            <w:rPr>
              <w:rFonts w:ascii="Arial" w:eastAsiaTheme="minorEastAsia" w:hAnsi="Arial" w:cs="Arial"/>
              <w:noProof/>
              <w:sz w:val="24"/>
              <w:szCs w:val="24"/>
              <w:lang w:eastAsia="en-GB"/>
            </w:rPr>
          </w:pPr>
          <w:hyperlink w:anchor="_Toc138837825" w:history="1">
            <w:r w:rsidRPr="00300A5D">
              <w:rPr>
                <w:rStyle w:val="Hyperlink"/>
                <w:rFonts w:ascii="Arial" w:hAnsi="Arial" w:cs="Arial"/>
                <w:noProof/>
                <w:sz w:val="24"/>
                <w:szCs w:val="24"/>
                <w:lang w:val="en-US"/>
              </w:rPr>
              <w:t>4.</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lang w:val="en-US"/>
              </w:rPr>
              <w:t>Existing Hierarchy</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_Toc138837825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3</w:t>
            </w:r>
            <w:r w:rsidRPr="00300A5D">
              <w:rPr>
                <w:rFonts w:ascii="Arial" w:hAnsi="Arial" w:cs="Arial"/>
                <w:noProof/>
                <w:webHidden/>
                <w:sz w:val="24"/>
                <w:szCs w:val="24"/>
              </w:rPr>
              <w:fldChar w:fldCharType="end"/>
            </w:r>
          </w:hyperlink>
        </w:p>
        <w:p w14:paraId="2AFEF776" w14:textId="6C097D30" w:rsidR="00300A5D" w:rsidRPr="00300A5D" w:rsidRDefault="00300A5D">
          <w:pPr>
            <w:pStyle w:val="TOC1"/>
            <w:rPr>
              <w:rFonts w:ascii="Arial" w:eastAsiaTheme="minorEastAsia" w:hAnsi="Arial" w:cs="Arial"/>
              <w:noProof/>
              <w:sz w:val="24"/>
              <w:szCs w:val="24"/>
              <w:lang w:eastAsia="en-GB"/>
            </w:rPr>
          </w:pPr>
          <w:hyperlink w:anchor="_Toc138837826" w:history="1">
            <w:r w:rsidRPr="00300A5D">
              <w:rPr>
                <w:rStyle w:val="Hyperlink"/>
                <w:rFonts w:ascii="Arial" w:hAnsi="Arial" w:cs="Arial"/>
                <w:noProof/>
                <w:sz w:val="24"/>
                <w:szCs w:val="24"/>
              </w:rPr>
              <w:t>5.</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Previous Studies</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_Toc138837826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4</w:t>
            </w:r>
            <w:r w:rsidRPr="00300A5D">
              <w:rPr>
                <w:rFonts w:ascii="Arial" w:hAnsi="Arial" w:cs="Arial"/>
                <w:noProof/>
                <w:webHidden/>
                <w:sz w:val="24"/>
                <w:szCs w:val="24"/>
              </w:rPr>
              <w:fldChar w:fldCharType="end"/>
            </w:r>
          </w:hyperlink>
        </w:p>
        <w:p w14:paraId="12683A1E" w14:textId="05F1C59E" w:rsidR="00300A5D" w:rsidRPr="00300A5D" w:rsidRDefault="00300A5D">
          <w:pPr>
            <w:pStyle w:val="TOC1"/>
            <w:rPr>
              <w:rFonts w:ascii="Arial" w:eastAsiaTheme="minorEastAsia" w:hAnsi="Arial" w:cs="Arial"/>
              <w:noProof/>
              <w:sz w:val="24"/>
              <w:szCs w:val="24"/>
              <w:lang w:eastAsia="en-GB"/>
            </w:rPr>
          </w:pPr>
          <w:hyperlink w:anchor="_Toc138837827" w:history="1">
            <w:r w:rsidRPr="00300A5D">
              <w:rPr>
                <w:rStyle w:val="Hyperlink"/>
                <w:rFonts w:ascii="Arial" w:hAnsi="Arial" w:cs="Arial"/>
                <w:noProof/>
                <w:sz w:val="24"/>
                <w:szCs w:val="24"/>
              </w:rPr>
              <w:t>6.</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Issues</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_Toc138837827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4</w:t>
            </w:r>
            <w:r w:rsidRPr="00300A5D">
              <w:rPr>
                <w:rFonts w:ascii="Arial" w:hAnsi="Arial" w:cs="Arial"/>
                <w:noProof/>
                <w:webHidden/>
                <w:sz w:val="24"/>
                <w:szCs w:val="24"/>
              </w:rPr>
              <w:fldChar w:fldCharType="end"/>
            </w:r>
          </w:hyperlink>
        </w:p>
        <w:p w14:paraId="438A58FB" w14:textId="1684725A" w:rsidR="00300A5D" w:rsidRPr="00300A5D" w:rsidRDefault="00300A5D">
          <w:pPr>
            <w:pStyle w:val="TOC1"/>
            <w:rPr>
              <w:rFonts w:ascii="Arial" w:eastAsiaTheme="minorEastAsia" w:hAnsi="Arial" w:cs="Arial"/>
              <w:noProof/>
              <w:sz w:val="24"/>
              <w:szCs w:val="24"/>
              <w:lang w:eastAsia="en-GB"/>
            </w:rPr>
          </w:pPr>
          <w:hyperlink w:anchor="_Toc138837828" w:history="1">
            <w:r w:rsidRPr="00300A5D">
              <w:rPr>
                <w:rStyle w:val="Hyperlink"/>
                <w:rFonts w:ascii="Arial" w:hAnsi="Arial" w:cs="Arial"/>
                <w:noProof/>
                <w:sz w:val="24"/>
                <w:szCs w:val="24"/>
              </w:rPr>
              <w:t>7.</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Key Objectives and Scope of the Study</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_Toc138837828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5</w:t>
            </w:r>
            <w:r w:rsidRPr="00300A5D">
              <w:rPr>
                <w:rFonts w:ascii="Arial" w:hAnsi="Arial" w:cs="Arial"/>
                <w:noProof/>
                <w:webHidden/>
                <w:sz w:val="24"/>
                <w:szCs w:val="24"/>
              </w:rPr>
              <w:fldChar w:fldCharType="end"/>
            </w:r>
          </w:hyperlink>
        </w:p>
        <w:p w14:paraId="2D8464FC" w14:textId="14FD11E1" w:rsidR="00300A5D" w:rsidRPr="00300A5D" w:rsidRDefault="00300A5D">
          <w:pPr>
            <w:pStyle w:val="TOC1"/>
            <w:rPr>
              <w:rFonts w:ascii="Arial" w:eastAsiaTheme="minorEastAsia" w:hAnsi="Arial" w:cs="Arial"/>
              <w:noProof/>
              <w:sz w:val="24"/>
              <w:szCs w:val="24"/>
              <w:lang w:eastAsia="en-GB"/>
            </w:rPr>
          </w:pPr>
          <w:hyperlink w:anchor="_Toc138837829" w:history="1">
            <w:r w:rsidRPr="00300A5D">
              <w:rPr>
                <w:rStyle w:val="Hyperlink"/>
                <w:rFonts w:ascii="Arial" w:hAnsi="Arial" w:cs="Arial"/>
                <w:noProof/>
                <w:sz w:val="24"/>
                <w:szCs w:val="24"/>
              </w:rPr>
              <w:t>8.</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Method</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_Toc138837829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12</w:t>
            </w:r>
            <w:r w:rsidRPr="00300A5D">
              <w:rPr>
                <w:rFonts w:ascii="Arial" w:hAnsi="Arial" w:cs="Arial"/>
                <w:noProof/>
                <w:webHidden/>
                <w:sz w:val="24"/>
                <w:szCs w:val="24"/>
              </w:rPr>
              <w:fldChar w:fldCharType="end"/>
            </w:r>
          </w:hyperlink>
        </w:p>
        <w:p w14:paraId="4B22DC2E" w14:textId="3F7D47E9" w:rsidR="00300A5D" w:rsidRPr="00300A5D" w:rsidRDefault="00300A5D">
          <w:pPr>
            <w:pStyle w:val="TOC1"/>
            <w:rPr>
              <w:rFonts w:ascii="Arial" w:eastAsiaTheme="minorEastAsia" w:hAnsi="Arial" w:cs="Arial"/>
              <w:noProof/>
              <w:sz w:val="24"/>
              <w:szCs w:val="24"/>
              <w:lang w:eastAsia="en-GB"/>
            </w:rPr>
          </w:pPr>
          <w:hyperlink w:anchor="_Toc138837830" w:history="1">
            <w:r w:rsidRPr="00300A5D">
              <w:rPr>
                <w:rStyle w:val="Hyperlink"/>
                <w:rFonts w:ascii="Arial" w:hAnsi="Arial" w:cs="Arial"/>
                <w:noProof/>
                <w:sz w:val="24"/>
                <w:szCs w:val="24"/>
              </w:rPr>
              <w:t>9.</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Reporting and Deliverables</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_Toc138837830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13</w:t>
            </w:r>
            <w:r w:rsidRPr="00300A5D">
              <w:rPr>
                <w:rFonts w:ascii="Arial" w:hAnsi="Arial" w:cs="Arial"/>
                <w:noProof/>
                <w:webHidden/>
                <w:sz w:val="24"/>
                <w:szCs w:val="24"/>
              </w:rPr>
              <w:fldChar w:fldCharType="end"/>
            </w:r>
          </w:hyperlink>
        </w:p>
        <w:p w14:paraId="1365B93D" w14:textId="4114C79D" w:rsidR="00300A5D" w:rsidRPr="00300A5D" w:rsidRDefault="00300A5D">
          <w:pPr>
            <w:pStyle w:val="TOC1"/>
            <w:rPr>
              <w:rFonts w:ascii="Arial" w:eastAsiaTheme="minorEastAsia" w:hAnsi="Arial" w:cs="Arial"/>
              <w:noProof/>
              <w:sz w:val="24"/>
              <w:szCs w:val="24"/>
              <w:lang w:eastAsia="en-GB"/>
            </w:rPr>
          </w:pPr>
          <w:hyperlink w:anchor="_Toc138837831" w:history="1">
            <w:r w:rsidRPr="00300A5D">
              <w:rPr>
                <w:rStyle w:val="Hyperlink"/>
                <w:rFonts w:ascii="Arial" w:hAnsi="Arial" w:cs="Arial"/>
                <w:noProof/>
                <w:sz w:val="24"/>
                <w:szCs w:val="24"/>
              </w:rPr>
              <w:t>10.</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Contract and Working Arrangements</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_Toc138837831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14</w:t>
            </w:r>
            <w:r w:rsidRPr="00300A5D">
              <w:rPr>
                <w:rFonts w:ascii="Arial" w:hAnsi="Arial" w:cs="Arial"/>
                <w:noProof/>
                <w:webHidden/>
                <w:sz w:val="24"/>
                <w:szCs w:val="24"/>
              </w:rPr>
              <w:fldChar w:fldCharType="end"/>
            </w:r>
          </w:hyperlink>
        </w:p>
        <w:p w14:paraId="40801B8C" w14:textId="266F367B" w:rsidR="00300A5D" w:rsidRPr="00300A5D" w:rsidRDefault="00300A5D">
          <w:pPr>
            <w:pStyle w:val="TOC1"/>
            <w:rPr>
              <w:rFonts w:ascii="Arial" w:eastAsiaTheme="minorEastAsia" w:hAnsi="Arial" w:cs="Arial"/>
              <w:noProof/>
              <w:sz w:val="24"/>
              <w:szCs w:val="24"/>
              <w:lang w:eastAsia="en-GB"/>
            </w:rPr>
          </w:pPr>
          <w:hyperlink w:anchor="_Toc138837832" w:history="1">
            <w:r w:rsidRPr="00300A5D">
              <w:rPr>
                <w:rStyle w:val="Hyperlink"/>
                <w:rFonts w:ascii="Arial" w:hAnsi="Arial" w:cs="Arial"/>
                <w:noProof/>
                <w:sz w:val="24"/>
                <w:szCs w:val="24"/>
              </w:rPr>
              <w:t>11.</w:t>
            </w:r>
            <w:r w:rsidRPr="00300A5D">
              <w:rPr>
                <w:rFonts w:ascii="Arial" w:eastAsiaTheme="minorEastAsia" w:hAnsi="Arial" w:cs="Arial"/>
                <w:noProof/>
                <w:sz w:val="24"/>
                <w:szCs w:val="24"/>
                <w:lang w:eastAsia="en-GB"/>
              </w:rPr>
              <w:tab/>
            </w:r>
            <w:r w:rsidRPr="00300A5D">
              <w:rPr>
                <w:rStyle w:val="Hyperlink"/>
                <w:rFonts w:ascii="Arial" w:hAnsi="Arial" w:cs="Arial"/>
                <w:noProof/>
                <w:sz w:val="24"/>
                <w:szCs w:val="24"/>
              </w:rPr>
              <w:t>Budget Available</w:t>
            </w:r>
            <w:r w:rsidRPr="00300A5D">
              <w:rPr>
                <w:rFonts w:ascii="Arial" w:hAnsi="Arial" w:cs="Arial"/>
                <w:noProof/>
                <w:webHidden/>
                <w:sz w:val="24"/>
                <w:szCs w:val="24"/>
              </w:rPr>
              <w:tab/>
            </w:r>
            <w:r w:rsidRPr="00300A5D">
              <w:rPr>
                <w:rFonts w:ascii="Arial" w:hAnsi="Arial" w:cs="Arial"/>
                <w:noProof/>
                <w:webHidden/>
                <w:sz w:val="24"/>
                <w:szCs w:val="24"/>
              </w:rPr>
              <w:fldChar w:fldCharType="begin"/>
            </w:r>
            <w:r w:rsidRPr="00300A5D">
              <w:rPr>
                <w:rFonts w:ascii="Arial" w:hAnsi="Arial" w:cs="Arial"/>
                <w:noProof/>
                <w:webHidden/>
                <w:sz w:val="24"/>
                <w:szCs w:val="24"/>
              </w:rPr>
              <w:instrText xml:space="preserve"> PAGEREF _Toc138837832 \h </w:instrText>
            </w:r>
            <w:r w:rsidRPr="00300A5D">
              <w:rPr>
                <w:rFonts w:ascii="Arial" w:hAnsi="Arial" w:cs="Arial"/>
                <w:noProof/>
                <w:webHidden/>
                <w:sz w:val="24"/>
                <w:szCs w:val="24"/>
              </w:rPr>
            </w:r>
            <w:r w:rsidRPr="00300A5D">
              <w:rPr>
                <w:rFonts w:ascii="Arial" w:hAnsi="Arial" w:cs="Arial"/>
                <w:noProof/>
                <w:webHidden/>
                <w:sz w:val="24"/>
                <w:szCs w:val="24"/>
              </w:rPr>
              <w:fldChar w:fldCharType="separate"/>
            </w:r>
            <w:r w:rsidRPr="00300A5D">
              <w:rPr>
                <w:rFonts w:ascii="Arial" w:hAnsi="Arial" w:cs="Arial"/>
                <w:noProof/>
                <w:webHidden/>
                <w:sz w:val="24"/>
                <w:szCs w:val="24"/>
              </w:rPr>
              <w:t>14</w:t>
            </w:r>
            <w:r w:rsidRPr="00300A5D">
              <w:rPr>
                <w:rFonts w:ascii="Arial" w:hAnsi="Arial" w:cs="Arial"/>
                <w:noProof/>
                <w:webHidden/>
                <w:sz w:val="24"/>
                <w:szCs w:val="24"/>
              </w:rPr>
              <w:fldChar w:fldCharType="end"/>
            </w:r>
          </w:hyperlink>
        </w:p>
        <w:p w14:paraId="0F27ACE7" w14:textId="726344F8" w:rsidR="00CD5794" w:rsidRPr="00473BF2" w:rsidRDefault="00CD5794" w:rsidP="00B54547">
          <w:pPr>
            <w:spacing w:after="0" w:line="240" w:lineRule="auto"/>
            <w:jc w:val="both"/>
            <w:rPr>
              <w:rFonts w:ascii="Arial" w:hAnsi="Arial" w:cs="Arial"/>
              <w:sz w:val="24"/>
              <w:szCs w:val="24"/>
            </w:rPr>
          </w:pPr>
          <w:r w:rsidRPr="00473BF2">
            <w:rPr>
              <w:rFonts w:ascii="Arial" w:hAnsi="Arial" w:cs="Arial"/>
              <w:sz w:val="24"/>
              <w:szCs w:val="24"/>
            </w:rPr>
            <w:fldChar w:fldCharType="end"/>
          </w:r>
        </w:p>
      </w:sdtContent>
    </w:sdt>
    <w:p w14:paraId="635B6842" w14:textId="77777777" w:rsidR="00CD5794" w:rsidRPr="000C4D3F" w:rsidRDefault="00CD5794" w:rsidP="00B54547">
      <w:pPr>
        <w:spacing w:after="0" w:line="240" w:lineRule="auto"/>
        <w:jc w:val="both"/>
        <w:rPr>
          <w:rFonts w:ascii="Arial" w:hAnsi="Arial" w:cs="Arial"/>
          <w:b/>
          <w:sz w:val="24"/>
          <w:szCs w:val="24"/>
        </w:rPr>
      </w:pPr>
    </w:p>
    <w:p w14:paraId="0F3633A4" w14:textId="77777777" w:rsidR="0086403F" w:rsidRPr="000C4D3F" w:rsidRDefault="0086403F" w:rsidP="00B54547">
      <w:pPr>
        <w:spacing w:after="0" w:line="240" w:lineRule="auto"/>
        <w:jc w:val="both"/>
        <w:rPr>
          <w:rFonts w:ascii="Arial" w:hAnsi="Arial" w:cs="Arial"/>
          <w:b/>
          <w:sz w:val="24"/>
          <w:szCs w:val="24"/>
        </w:rPr>
      </w:pPr>
      <w:bookmarkStart w:id="0" w:name="_GoBack"/>
      <w:bookmarkEnd w:id="0"/>
    </w:p>
    <w:p w14:paraId="7EAD3D6E" w14:textId="23E21E9C" w:rsidR="00CD3BDE" w:rsidRPr="00CD3BDE" w:rsidRDefault="0086403F" w:rsidP="00B54547">
      <w:pPr>
        <w:spacing w:after="0" w:line="240" w:lineRule="auto"/>
        <w:jc w:val="both"/>
        <w:rPr>
          <w:rFonts w:ascii="Arial" w:hAnsi="Arial" w:cs="Arial"/>
          <w:szCs w:val="24"/>
        </w:rPr>
      </w:pPr>
      <w:r w:rsidRPr="000C4D3F">
        <w:rPr>
          <w:rFonts w:ascii="Arial" w:hAnsi="Arial" w:cs="Arial"/>
          <w:szCs w:val="24"/>
        </w:rPr>
        <w:br w:type="page"/>
      </w:r>
    </w:p>
    <w:p w14:paraId="01059006" w14:textId="0391FB24" w:rsidR="0086403F" w:rsidRPr="000C4D3F" w:rsidRDefault="00CB6960" w:rsidP="00B54547">
      <w:pPr>
        <w:pStyle w:val="Heading1"/>
        <w:spacing w:before="0" w:line="240" w:lineRule="auto"/>
        <w:ind w:left="720" w:hanging="720"/>
        <w:jc w:val="both"/>
        <w:rPr>
          <w:rFonts w:cs="Arial"/>
          <w:szCs w:val="24"/>
        </w:rPr>
      </w:pPr>
      <w:bookmarkStart w:id="1" w:name="_Toc138837822"/>
      <w:r>
        <w:rPr>
          <w:rFonts w:cs="Arial"/>
          <w:szCs w:val="24"/>
        </w:rPr>
        <w:lastRenderedPageBreak/>
        <w:t>Background to the Greater Nottingham</w:t>
      </w:r>
      <w:r w:rsidR="0086403F" w:rsidRPr="000C4D3F">
        <w:rPr>
          <w:rFonts w:cs="Arial"/>
          <w:szCs w:val="24"/>
        </w:rPr>
        <w:t xml:space="preserve"> Centres Study</w:t>
      </w:r>
      <w:bookmarkEnd w:id="1"/>
      <w:r w:rsidR="0086403F" w:rsidRPr="000C4D3F">
        <w:rPr>
          <w:rFonts w:cs="Arial"/>
          <w:szCs w:val="24"/>
        </w:rPr>
        <w:t xml:space="preserve"> </w:t>
      </w:r>
    </w:p>
    <w:p w14:paraId="4D72DCC4" w14:textId="77777777" w:rsidR="0086403F" w:rsidRPr="000C4D3F" w:rsidRDefault="0086403F" w:rsidP="00B54547">
      <w:pPr>
        <w:spacing w:after="0" w:line="240" w:lineRule="auto"/>
        <w:jc w:val="both"/>
        <w:rPr>
          <w:rFonts w:ascii="Arial" w:hAnsi="Arial" w:cs="Arial"/>
          <w:sz w:val="24"/>
          <w:szCs w:val="24"/>
        </w:rPr>
      </w:pPr>
    </w:p>
    <w:p w14:paraId="006FD726" w14:textId="0B9F55B2" w:rsidR="00334083" w:rsidRDefault="001A342E" w:rsidP="00B54547">
      <w:pPr>
        <w:pStyle w:val="ListParagraph"/>
        <w:spacing w:after="0" w:line="240" w:lineRule="auto"/>
        <w:ind w:left="705"/>
        <w:jc w:val="both"/>
        <w:rPr>
          <w:rFonts w:cs="Arial"/>
        </w:rPr>
      </w:pPr>
      <w:r w:rsidRPr="598428D3">
        <w:rPr>
          <w:rFonts w:cs="Arial"/>
        </w:rPr>
        <w:t>Broxtowe Borough</w:t>
      </w:r>
      <w:r w:rsidR="003211DB">
        <w:rPr>
          <w:rFonts w:cs="Arial"/>
        </w:rPr>
        <w:t xml:space="preserve"> Council</w:t>
      </w:r>
      <w:r w:rsidRPr="598428D3">
        <w:rPr>
          <w:rFonts w:cs="Arial"/>
        </w:rPr>
        <w:t>, Gedling Borough</w:t>
      </w:r>
      <w:r w:rsidR="00B54547">
        <w:rPr>
          <w:rFonts w:cs="Arial"/>
        </w:rPr>
        <w:t xml:space="preserve"> </w:t>
      </w:r>
      <w:r w:rsidR="003211DB">
        <w:rPr>
          <w:rFonts w:cs="Arial"/>
        </w:rPr>
        <w:t>Council</w:t>
      </w:r>
      <w:r w:rsidRPr="598428D3">
        <w:rPr>
          <w:rFonts w:cs="Arial"/>
        </w:rPr>
        <w:t xml:space="preserve">, Nottingham City </w:t>
      </w:r>
      <w:r w:rsidR="003211DB">
        <w:rPr>
          <w:rFonts w:cs="Arial"/>
        </w:rPr>
        <w:t xml:space="preserve">Council </w:t>
      </w:r>
      <w:r w:rsidRPr="598428D3">
        <w:rPr>
          <w:rFonts w:cs="Arial"/>
        </w:rPr>
        <w:t>and Rushcliffe Borough Council (“The Councils”) are currently preparing the Greater Nottingham Strategic Plan</w:t>
      </w:r>
      <w:r w:rsidR="004F2867" w:rsidRPr="598428D3">
        <w:rPr>
          <w:rFonts w:cs="Arial"/>
        </w:rPr>
        <w:t xml:space="preserve">, which </w:t>
      </w:r>
      <w:r w:rsidR="4E17DD41" w:rsidRPr="598428D3">
        <w:rPr>
          <w:rFonts w:cs="Arial"/>
        </w:rPr>
        <w:t>comprises</w:t>
      </w:r>
      <w:r w:rsidR="004F2867" w:rsidRPr="598428D3">
        <w:rPr>
          <w:rFonts w:cs="Arial"/>
        </w:rPr>
        <w:t xml:space="preserve"> ‘Part 1’ </w:t>
      </w:r>
      <w:r w:rsidR="50D5FA53" w:rsidRPr="598428D3">
        <w:rPr>
          <w:rFonts w:cs="Arial"/>
        </w:rPr>
        <w:t>of the Local Plan for each council</w:t>
      </w:r>
      <w:r w:rsidRPr="598428D3">
        <w:rPr>
          <w:rFonts w:cs="Arial"/>
        </w:rPr>
        <w:t xml:space="preserve">. The Councils require a Centres Study </w:t>
      </w:r>
      <w:r w:rsidR="00203A36" w:rsidRPr="598428D3">
        <w:rPr>
          <w:rFonts w:cs="Arial"/>
        </w:rPr>
        <w:t xml:space="preserve">to form a key part of the evidence base and to inform policies and strategies to be included within the Regulation 19 </w:t>
      </w:r>
      <w:r w:rsidR="00BD37BB">
        <w:rPr>
          <w:rFonts w:cs="Arial"/>
        </w:rPr>
        <w:t>V</w:t>
      </w:r>
      <w:r w:rsidR="00203A36" w:rsidRPr="598428D3">
        <w:rPr>
          <w:rFonts w:cs="Arial"/>
        </w:rPr>
        <w:t xml:space="preserve">ersion of the Strategic Plan. </w:t>
      </w:r>
      <w:r w:rsidR="004F2867" w:rsidRPr="598428D3">
        <w:rPr>
          <w:rFonts w:cs="Arial"/>
        </w:rPr>
        <w:t xml:space="preserve">Each of the </w:t>
      </w:r>
      <w:r w:rsidR="00473BF2">
        <w:rPr>
          <w:rFonts w:cs="Arial"/>
        </w:rPr>
        <w:t>Councils</w:t>
      </w:r>
      <w:r w:rsidR="004F2867" w:rsidRPr="598428D3">
        <w:rPr>
          <w:rFonts w:cs="Arial"/>
        </w:rPr>
        <w:t xml:space="preserve"> will be preparing a Part 2 Local Plan, following the adoption of the Greater Nottingham Strategic Plan.</w:t>
      </w:r>
    </w:p>
    <w:p w14:paraId="7E68FAA9" w14:textId="77777777" w:rsidR="00334083" w:rsidRDefault="00334083" w:rsidP="00B54547">
      <w:pPr>
        <w:pStyle w:val="ListParagraph"/>
        <w:spacing w:after="0" w:line="240" w:lineRule="auto"/>
        <w:ind w:left="705"/>
        <w:jc w:val="both"/>
        <w:rPr>
          <w:rFonts w:cs="Arial"/>
        </w:rPr>
      </w:pPr>
    </w:p>
    <w:p w14:paraId="7E5F20F9" w14:textId="20CD0509" w:rsidR="00203A36" w:rsidRDefault="003451C7" w:rsidP="00B54547">
      <w:pPr>
        <w:pStyle w:val="ListParagraph"/>
        <w:spacing w:after="0" w:line="240" w:lineRule="auto"/>
        <w:ind w:left="705"/>
        <w:jc w:val="both"/>
        <w:rPr>
          <w:rFonts w:cs="Arial"/>
        </w:rPr>
      </w:pPr>
      <w:r w:rsidRPr="0F64DCCE">
        <w:rPr>
          <w:rFonts w:cs="Arial"/>
        </w:rPr>
        <w:t>The study</w:t>
      </w:r>
      <w:r w:rsidR="006B0921" w:rsidRPr="0F64DCCE">
        <w:rPr>
          <w:rFonts w:cs="Arial"/>
        </w:rPr>
        <w:t xml:space="preserve"> </w:t>
      </w:r>
      <w:r w:rsidR="00334083" w:rsidRPr="0F64DCCE">
        <w:rPr>
          <w:rFonts w:cs="Arial"/>
        </w:rPr>
        <w:t>should focus</w:t>
      </w:r>
      <w:r w:rsidR="006B0921" w:rsidRPr="0F64DCCE">
        <w:rPr>
          <w:rFonts w:cs="Arial"/>
        </w:rPr>
        <w:t xml:space="preserve"> on strategic </w:t>
      </w:r>
      <w:r w:rsidR="00CB6960" w:rsidRPr="0F64DCCE">
        <w:rPr>
          <w:rFonts w:cs="Arial"/>
        </w:rPr>
        <w:t>and policy issues affecting the Greater Nottingham</w:t>
      </w:r>
      <w:r w:rsidR="006B0921" w:rsidRPr="0F64DCCE">
        <w:rPr>
          <w:rFonts w:cs="Arial"/>
        </w:rPr>
        <w:t xml:space="preserve"> centres</w:t>
      </w:r>
      <w:r w:rsidR="00203A36" w:rsidRPr="0F64DCCE">
        <w:rPr>
          <w:rFonts w:cs="Arial"/>
        </w:rPr>
        <w:t>. The Councils are mindful that there have been significant changes to town centres since previous studies, particularly in respect of retail</w:t>
      </w:r>
      <w:r w:rsidR="00495BD1" w:rsidRPr="0F64DCCE">
        <w:rPr>
          <w:rFonts w:cs="Arial"/>
        </w:rPr>
        <w:t xml:space="preserve"> and the introduction of ‘Class E’</w:t>
      </w:r>
      <w:r w:rsidR="761AF77D" w:rsidRPr="0F64DCCE">
        <w:rPr>
          <w:rFonts w:cs="Arial"/>
        </w:rPr>
        <w:t xml:space="preserve"> and new permitted devel</w:t>
      </w:r>
      <w:r w:rsidR="26908A1D" w:rsidRPr="0F64DCCE">
        <w:rPr>
          <w:rFonts w:cs="Arial"/>
        </w:rPr>
        <w:t>opment rights</w:t>
      </w:r>
      <w:r w:rsidR="00203A36" w:rsidRPr="0F64DCCE">
        <w:rPr>
          <w:rFonts w:cs="Arial"/>
        </w:rPr>
        <w:t xml:space="preserve">. The Councils are therefore seeking a study which </w:t>
      </w:r>
      <w:r w:rsidR="00CE25D6" w:rsidRPr="0F64DCCE">
        <w:rPr>
          <w:rFonts w:cs="Arial"/>
        </w:rPr>
        <w:t xml:space="preserve">provides </w:t>
      </w:r>
      <w:r w:rsidR="00203A36" w:rsidRPr="0F64DCCE">
        <w:rPr>
          <w:rFonts w:cs="Arial"/>
        </w:rPr>
        <w:t xml:space="preserve">clear recommendations for how planning policies and strategies can be used </w:t>
      </w:r>
      <w:r w:rsidR="00495BD1" w:rsidRPr="0F64DCCE">
        <w:rPr>
          <w:rFonts w:cs="Arial"/>
        </w:rPr>
        <w:t xml:space="preserve">to address the identified trends and can protect the </w:t>
      </w:r>
      <w:r w:rsidR="1A1DC7E2" w:rsidRPr="0F64DCCE">
        <w:rPr>
          <w:rFonts w:cs="Arial"/>
        </w:rPr>
        <w:t>long-term</w:t>
      </w:r>
      <w:r w:rsidR="00495BD1" w:rsidRPr="0F64DCCE">
        <w:rPr>
          <w:rFonts w:cs="Arial"/>
        </w:rPr>
        <w:t xml:space="preserve"> viability and vitality of the centres</w:t>
      </w:r>
      <w:r w:rsidR="008B0F45" w:rsidRPr="0F64DCCE">
        <w:rPr>
          <w:rFonts w:cs="Arial"/>
        </w:rPr>
        <w:t>, particularly how they can function as “places to visit” rather than just retail destinations</w:t>
      </w:r>
      <w:r w:rsidR="00495BD1" w:rsidRPr="0F64DCCE">
        <w:rPr>
          <w:rFonts w:cs="Arial"/>
        </w:rPr>
        <w:t xml:space="preserve">.  </w:t>
      </w:r>
    </w:p>
    <w:p w14:paraId="3A0F1930" w14:textId="5EA2C56F" w:rsidR="00F85DC7" w:rsidRPr="00495BD1" w:rsidRDefault="00F85DC7" w:rsidP="00B54547">
      <w:pPr>
        <w:spacing w:after="0" w:line="240" w:lineRule="auto"/>
        <w:jc w:val="both"/>
        <w:rPr>
          <w:rFonts w:cs="Arial"/>
          <w:szCs w:val="24"/>
        </w:rPr>
      </w:pPr>
    </w:p>
    <w:p w14:paraId="52C11857" w14:textId="4CD6B7B3" w:rsidR="009C2804" w:rsidRDefault="00F85DC7" w:rsidP="00B54547">
      <w:pPr>
        <w:pStyle w:val="ListParagraph"/>
        <w:spacing w:after="0" w:line="240" w:lineRule="auto"/>
        <w:ind w:left="705"/>
        <w:jc w:val="both"/>
        <w:rPr>
          <w:rFonts w:cs="Arial"/>
          <w:szCs w:val="24"/>
        </w:rPr>
      </w:pPr>
      <w:r>
        <w:rPr>
          <w:rFonts w:cs="Arial"/>
          <w:szCs w:val="24"/>
        </w:rPr>
        <w:t>Full details of the scope are</w:t>
      </w:r>
      <w:r w:rsidR="0002039C">
        <w:rPr>
          <w:rFonts w:cs="Arial"/>
          <w:szCs w:val="24"/>
        </w:rPr>
        <w:t xml:space="preserve"> objectives of the study are</w:t>
      </w:r>
      <w:r>
        <w:rPr>
          <w:rFonts w:cs="Arial"/>
          <w:szCs w:val="24"/>
        </w:rPr>
        <w:t xml:space="preserve"> provided in </w:t>
      </w:r>
      <w:r w:rsidR="003451C7" w:rsidRPr="0049639B">
        <w:rPr>
          <w:rFonts w:cs="Arial"/>
          <w:szCs w:val="24"/>
        </w:rPr>
        <w:t>Section</w:t>
      </w:r>
      <w:r w:rsidR="0049639B" w:rsidRPr="0049639B">
        <w:rPr>
          <w:rFonts w:cs="Arial"/>
          <w:szCs w:val="24"/>
        </w:rPr>
        <w:t xml:space="preserve"> 7</w:t>
      </w:r>
      <w:r w:rsidRPr="0049639B">
        <w:rPr>
          <w:rFonts w:cs="Arial"/>
          <w:szCs w:val="24"/>
        </w:rPr>
        <w:t>.</w:t>
      </w:r>
      <w:r>
        <w:rPr>
          <w:rFonts w:cs="Arial"/>
          <w:szCs w:val="24"/>
        </w:rPr>
        <w:t xml:space="preserve"> </w:t>
      </w:r>
    </w:p>
    <w:p w14:paraId="6452247E" w14:textId="77777777" w:rsidR="00473BF2" w:rsidRDefault="00473BF2" w:rsidP="00B54547">
      <w:pPr>
        <w:pStyle w:val="ListParagraph"/>
        <w:spacing w:after="0" w:line="240" w:lineRule="auto"/>
        <w:ind w:left="705"/>
        <w:jc w:val="both"/>
        <w:rPr>
          <w:rFonts w:cs="Arial"/>
          <w:szCs w:val="24"/>
        </w:rPr>
      </w:pPr>
    </w:p>
    <w:p w14:paraId="4CF2916A" w14:textId="5D77A9FC" w:rsidR="0035705D" w:rsidRDefault="0035705D" w:rsidP="00B54547">
      <w:pPr>
        <w:pStyle w:val="Heading1"/>
        <w:spacing w:before="0" w:line="240" w:lineRule="auto"/>
        <w:ind w:left="720" w:hanging="720"/>
        <w:jc w:val="both"/>
        <w:rPr>
          <w:shd w:val="clear" w:color="auto" w:fill="FFFFFF"/>
        </w:rPr>
      </w:pPr>
      <w:bookmarkStart w:id="2" w:name="_Toc138837823"/>
      <w:r>
        <w:rPr>
          <w:shd w:val="clear" w:color="auto" w:fill="FFFFFF"/>
        </w:rPr>
        <w:t>Study Area</w:t>
      </w:r>
      <w:bookmarkEnd w:id="2"/>
    </w:p>
    <w:p w14:paraId="67BF63D2" w14:textId="77777777" w:rsidR="0035705D" w:rsidRPr="000C4D3F" w:rsidRDefault="0035705D" w:rsidP="00B54547">
      <w:pPr>
        <w:pStyle w:val="ListParagraph"/>
        <w:spacing w:after="0" w:line="240" w:lineRule="auto"/>
        <w:jc w:val="both"/>
        <w:rPr>
          <w:rFonts w:cs="Arial"/>
          <w:color w:val="333333"/>
          <w:sz w:val="23"/>
          <w:szCs w:val="23"/>
          <w:shd w:val="clear" w:color="auto" w:fill="FFFFFF"/>
        </w:rPr>
      </w:pPr>
    </w:p>
    <w:p w14:paraId="21E845E1" w14:textId="7A723D07" w:rsidR="00A0397C" w:rsidRPr="000C4D3F" w:rsidRDefault="00CA0783" w:rsidP="00B54547">
      <w:pPr>
        <w:pStyle w:val="ListParagraph"/>
        <w:spacing w:after="0" w:line="240" w:lineRule="auto"/>
        <w:ind w:left="705"/>
        <w:jc w:val="both"/>
        <w:rPr>
          <w:rFonts w:cs="Arial"/>
          <w:lang w:val="en-US"/>
        </w:rPr>
      </w:pPr>
      <w:r w:rsidRPr="598428D3">
        <w:rPr>
          <w:rFonts w:cs="Arial"/>
          <w:color w:val="000000" w:themeColor="text1"/>
          <w:shd w:val="clear" w:color="auto" w:fill="FFFFFF"/>
        </w:rPr>
        <w:t xml:space="preserve">The study will cover the Greater Nottingham Strategic Plan </w:t>
      </w:r>
      <w:r w:rsidR="55035CDE" w:rsidRPr="598428D3">
        <w:rPr>
          <w:rFonts w:cs="Arial"/>
          <w:color w:val="000000" w:themeColor="text1"/>
          <w:shd w:val="clear" w:color="auto" w:fill="FFFFFF"/>
        </w:rPr>
        <w:t>a</w:t>
      </w:r>
      <w:r w:rsidRPr="598428D3">
        <w:rPr>
          <w:rFonts w:cs="Arial"/>
          <w:color w:val="000000" w:themeColor="text1"/>
          <w:shd w:val="clear" w:color="auto" w:fill="FFFFFF"/>
        </w:rPr>
        <w:t>rea</w:t>
      </w:r>
      <w:r w:rsidR="00A0397C" w:rsidRPr="598428D3">
        <w:rPr>
          <w:rFonts w:cs="Arial"/>
          <w:color w:val="000000" w:themeColor="text1"/>
          <w:shd w:val="clear" w:color="auto" w:fill="FFFFFF"/>
        </w:rPr>
        <w:t xml:space="preserve">. </w:t>
      </w:r>
      <w:r w:rsidR="00A0397C" w:rsidRPr="598428D3">
        <w:rPr>
          <w:rFonts w:cs="Arial"/>
          <w:lang w:val="en-US"/>
        </w:rPr>
        <w:t xml:space="preserve">The partner Councils are: </w:t>
      </w:r>
    </w:p>
    <w:p w14:paraId="66CD9C6E" w14:textId="77777777" w:rsidR="00A0397C" w:rsidRPr="000C4D3F" w:rsidRDefault="00A0397C" w:rsidP="00B54547">
      <w:pPr>
        <w:pStyle w:val="ListParagraph"/>
        <w:spacing w:after="0" w:line="240" w:lineRule="auto"/>
        <w:ind w:left="705"/>
        <w:jc w:val="both"/>
        <w:rPr>
          <w:rFonts w:cs="Arial"/>
          <w:szCs w:val="24"/>
          <w:lang w:val="en-US"/>
        </w:rPr>
      </w:pPr>
    </w:p>
    <w:p w14:paraId="78F7240A" w14:textId="77777777" w:rsidR="00A0397C" w:rsidRPr="000C4D3F" w:rsidRDefault="00A0397C" w:rsidP="00B54547">
      <w:pPr>
        <w:pStyle w:val="ListParagraph"/>
        <w:numPr>
          <w:ilvl w:val="0"/>
          <w:numId w:val="8"/>
        </w:numPr>
        <w:spacing w:after="0" w:line="240" w:lineRule="auto"/>
        <w:jc w:val="both"/>
        <w:rPr>
          <w:rFonts w:eastAsia="Times New Roman" w:cs="Arial"/>
          <w:szCs w:val="24"/>
          <w:lang w:eastAsia="en-GB"/>
        </w:rPr>
      </w:pPr>
      <w:r w:rsidRPr="000C4D3F">
        <w:rPr>
          <w:rFonts w:eastAsia="Times New Roman" w:cs="Arial"/>
          <w:szCs w:val="24"/>
          <w:lang w:eastAsia="en-GB"/>
        </w:rPr>
        <w:t>Broxtowe Borough Council</w:t>
      </w:r>
    </w:p>
    <w:p w14:paraId="3C2E8C0B" w14:textId="77777777" w:rsidR="00A0397C" w:rsidRPr="000C4D3F" w:rsidRDefault="00A0397C" w:rsidP="00B54547">
      <w:pPr>
        <w:pStyle w:val="ListParagraph"/>
        <w:numPr>
          <w:ilvl w:val="0"/>
          <w:numId w:val="8"/>
        </w:numPr>
        <w:spacing w:after="0" w:line="240" w:lineRule="auto"/>
        <w:jc w:val="both"/>
        <w:rPr>
          <w:rFonts w:eastAsia="Times New Roman" w:cs="Arial"/>
          <w:szCs w:val="24"/>
          <w:lang w:eastAsia="en-GB"/>
        </w:rPr>
      </w:pPr>
      <w:r w:rsidRPr="000C4D3F">
        <w:rPr>
          <w:rFonts w:eastAsia="Times New Roman" w:cs="Arial"/>
          <w:szCs w:val="24"/>
          <w:lang w:eastAsia="en-GB"/>
        </w:rPr>
        <w:t>Gedling Borough Council</w:t>
      </w:r>
    </w:p>
    <w:p w14:paraId="60BF57F0" w14:textId="77777777" w:rsidR="00A0397C" w:rsidRPr="000C4D3F" w:rsidRDefault="00A0397C" w:rsidP="00B54547">
      <w:pPr>
        <w:pStyle w:val="ListParagraph"/>
        <w:numPr>
          <w:ilvl w:val="0"/>
          <w:numId w:val="8"/>
        </w:numPr>
        <w:spacing w:after="0" w:line="240" w:lineRule="auto"/>
        <w:jc w:val="both"/>
        <w:rPr>
          <w:rFonts w:eastAsia="Times New Roman" w:cs="Arial"/>
          <w:szCs w:val="24"/>
          <w:lang w:eastAsia="en-GB"/>
        </w:rPr>
      </w:pPr>
      <w:r w:rsidRPr="000C4D3F">
        <w:rPr>
          <w:rFonts w:eastAsia="Times New Roman" w:cs="Arial"/>
          <w:szCs w:val="24"/>
          <w:lang w:eastAsia="en-GB"/>
        </w:rPr>
        <w:t>Nottingham City Council</w:t>
      </w:r>
    </w:p>
    <w:p w14:paraId="279D7924" w14:textId="5F3D2395" w:rsidR="00A0397C" w:rsidRPr="000C4D3F" w:rsidRDefault="00A0397C" w:rsidP="00B54547">
      <w:pPr>
        <w:pStyle w:val="ListParagraph"/>
        <w:numPr>
          <w:ilvl w:val="0"/>
          <w:numId w:val="8"/>
        </w:numPr>
        <w:spacing w:after="0" w:line="240" w:lineRule="auto"/>
        <w:jc w:val="both"/>
        <w:rPr>
          <w:rFonts w:eastAsia="Times New Roman" w:cs="Arial"/>
          <w:szCs w:val="24"/>
          <w:lang w:eastAsia="en-GB"/>
        </w:rPr>
      </w:pPr>
      <w:r w:rsidRPr="000C4D3F">
        <w:rPr>
          <w:rFonts w:eastAsia="Times New Roman" w:cs="Arial"/>
          <w:szCs w:val="24"/>
          <w:lang w:eastAsia="en-GB"/>
        </w:rPr>
        <w:t>Rushcliffe Borough Council</w:t>
      </w:r>
    </w:p>
    <w:p w14:paraId="478AEC3C" w14:textId="77777777" w:rsidR="00A0397C" w:rsidRPr="000C4D3F" w:rsidRDefault="00A0397C" w:rsidP="00B54547">
      <w:pPr>
        <w:spacing w:after="0" w:line="240" w:lineRule="auto"/>
        <w:ind w:left="1065"/>
        <w:jc w:val="both"/>
        <w:rPr>
          <w:rFonts w:ascii="Arial" w:eastAsia="Times New Roman" w:hAnsi="Arial" w:cs="Arial"/>
          <w:szCs w:val="24"/>
          <w:lang w:eastAsia="en-GB"/>
        </w:rPr>
      </w:pPr>
    </w:p>
    <w:p w14:paraId="0C40539B" w14:textId="7D956C77" w:rsidR="00E01322" w:rsidRDefault="00E01322" w:rsidP="00B54547">
      <w:pPr>
        <w:pStyle w:val="ListParagraph"/>
        <w:spacing w:after="0" w:line="240" w:lineRule="auto"/>
        <w:ind w:left="705"/>
        <w:jc w:val="both"/>
        <w:rPr>
          <w:rFonts w:cs="Arial"/>
          <w:lang w:val="en-US"/>
        </w:rPr>
      </w:pPr>
      <w:r w:rsidRPr="62A2BB40">
        <w:rPr>
          <w:rFonts w:cs="Arial"/>
          <w:lang w:val="en-US"/>
        </w:rPr>
        <w:t xml:space="preserve">A plan of the study area is provided </w:t>
      </w:r>
      <w:r w:rsidR="73223761" w:rsidRPr="62A2BB40">
        <w:rPr>
          <w:rFonts w:cs="Arial"/>
          <w:lang w:val="en-US"/>
        </w:rPr>
        <w:t>in</w:t>
      </w:r>
      <w:r w:rsidRPr="62A2BB40">
        <w:rPr>
          <w:rFonts w:cs="Arial"/>
          <w:lang w:val="en-US"/>
        </w:rPr>
        <w:t xml:space="preserve"> Appendix 1. </w:t>
      </w:r>
    </w:p>
    <w:p w14:paraId="07304A32" w14:textId="629B0C4C" w:rsidR="00E01322" w:rsidRDefault="00E01322" w:rsidP="00B54547">
      <w:pPr>
        <w:pStyle w:val="ListParagraph"/>
        <w:spacing w:after="0" w:line="240" w:lineRule="auto"/>
        <w:ind w:left="705"/>
        <w:jc w:val="both"/>
        <w:rPr>
          <w:rFonts w:cs="Arial"/>
          <w:szCs w:val="24"/>
          <w:lang w:val="en-US"/>
        </w:rPr>
      </w:pPr>
    </w:p>
    <w:p w14:paraId="713398EC" w14:textId="30A4BCA6" w:rsidR="00E01322" w:rsidRPr="00E01322" w:rsidRDefault="00E01322" w:rsidP="00B54547">
      <w:pPr>
        <w:pStyle w:val="Heading1"/>
        <w:spacing w:before="0" w:line="240" w:lineRule="auto"/>
        <w:ind w:left="720" w:hanging="720"/>
        <w:jc w:val="both"/>
        <w:rPr>
          <w:lang w:val="en-US"/>
        </w:rPr>
      </w:pPr>
      <w:bookmarkStart w:id="3" w:name="_Toc138837824"/>
      <w:r w:rsidRPr="00E01322">
        <w:rPr>
          <w:lang w:val="en-US"/>
        </w:rPr>
        <w:t>The Greater Nottingham Strategic Plan</w:t>
      </w:r>
      <w:bookmarkEnd w:id="3"/>
    </w:p>
    <w:p w14:paraId="54ACDA83" w14:textId="77777777" w:rsidR="00E01322" w:rsidRPr="000C4D3F" w:rsidRDefault="00E01322" w:rsidP="00B54547">
      <w:pPr>
        <w:pStyle w:val="ListParagraph"/>
        <w:spacing w:after="0" w:line="240" w:lineRule="auto"/>
        <w:ind w:left="705"/>
        <w:jc w:val="both"/>
        <w:rPr>
          <w:rFonts w:eastAsia="Times New Roman" w:cs="Arial"/>
          <w:szCs w:val="24"/>
          <w:lang w:eastAsia="en-GB"/>
        </w:rPr>
      </w:pPr>
    </w:p>
    <w:p w14:paraId="598DEF85" w14:textId="42493DF4" w:rsidR="00B26604" w:rsidRPr="001A342E" w:rsidRDefault="00CA0783" w:rsidP="00B54547">
      <w:pPr>
        <w:pStyle w:val="ListParagraph"/>
        <w:spacing w:after="0" w:line="240" w:lineRule="auto"/>
        <w:ind w:left="705"/>
        <w:jc w:val="both"/>
        <w:rPr>
          <w:rFonts w:cs="Arial"/>
          <w:color w:val="000000" w:themeColor="text1"/>
          <w:szCs w:val="24"/>
          <w:shd w:val="clear" w:color="auto" w:fill="FFFFFF"/>
        </w:rPr>
      </w:pPr>
      <w:r w:rsidRPr="001A342E">
        <w:rPr>
          <w:rFonts w:cs="Arial"/>
          <w:color w:val="000000" w:themeColor="text1"/>
          <w:szCs w:val="24"/>
          <w:shd w:val="clear" w:color="auto" w:fill="FFFFFF"/>
        </w:rPr>
        <w:t>The</w:t>
      </w:r>
      <w:r w:rsidR="00B26604" w:rsidRPr="001A342E">
        <w:rPr>
          <w:rFonts w:cs="Arial"/>
          <w:color w:val="000000" w:themeColor="text1"/>
          <w:szCs w:val="24"/>
          <w:shd w:val="clear" w:color="auto" w:fill="FFFFFF"/>
        </w:rPr>
        <w:t xml:space="preserve"> partner Councils are currently working together to prepare the Greater Nottingham</w:t>
      </w:r>
      <w:r w:rsidRPr="001A342E">
        <w:rPr>
          <w:rFonts w:cs="Arial"/>
          <w:color w:val="000000" w:themeColor="text1"/>
          <w:szCs w:val="24"/>
          <w:shd w:val="clear" w:color="auto" w:fill="FFFFFF"/>
        </w:rPr>
        <w:t xml:space="preserve"> Strategic Plan</w:t>
      </w:r>
      <w:r w:rsidR="00B26604" w:rsidRPr="001A342E">
        <w:rPr>
          <w:rFonts w:cs="Arial"/>
          <w:color w:val="000000" w:themeColor="text1"/>
          <w:szCs w:val="24"/>
          <w:shd w:val="clear" w:color="auto" w:fill="FFFFFF"/>
        </w:rPr>
        <w:t xml:space="preserve"> which</w:t>
      </w:r>
      <w:r w:rsidRPr="001A342E">
        <w:rPr>
          <w:rFonts w:cs="Arial"/>
          <w:color w:val="000000" w:themeColor="text1"/>
          <w:szCs w:val="24"/>
          <w:shd w:val="clear" w:color="auto" w:fill="FFFFFF"/>
        </w:rPr>
        <w:t xml:space="preserve"> will cover the </w:t>
      </w:r>
      <w:r w:rsidR="00E07B27">
        <w:rPr>
          <w:rFonts w:cs="Arial"/>
          <w:color w:val="000000" w:themeColor="text1"/>
          <w:szCs w:val="24"/>
          <w:shd w:val="clear" w:color="auto" w:fill="FFFFFF"/>
        </w:rPr>
        <w:t>period 202</w:t>
      </w:r>
      <w:r w:rsidR="00EE08C6">
        <w:rPr>
          <w:rFonts w:cs="Arial"/>
          <w:color w:val="000000" w:themeColor="text1"/>
          <w:szCs w:val="24"/>
          <w:shd w:val="clear" w:color="auto" w:fill="FFFFFF"/>
        </w:rPr>
        <w:t>2</w:t>
      </w:r>
      <w:r w:rsidR="0086403F" w:rsidRPr="001A342E">
        <w:rPr>
          <w:rFonts w:cs="Arial"/>
          <w:color w:val="000000" w:themeColor="text1"/>
          <w:szCs w:val="24"/>
          <w:shd w:val="clear" w:color="auto" w:fill="FFFFFF"/>
        </w:rPr>
        <w:t xml:space="preserve"> to </w:t>
      </w:r>
      <w:r w:rsidR="004A115A" w:rsidRPr="00E07B27">
        <w:rPr>
          <w:rFonts w:cs="Arial"/>
          <w:color w:val="000000" w:themeColor="text1"/>
          <w:szCs w:val="24"/>
          <w:shd w:val="clear" w:color="auto" w:fill="FFFFFF"/>
        </w:rPr>
        <w:t>2041</w:t>
      </w:r>
      <w:r w:rsidRPr="001A342E">
        <w:rPr>
          <w:rFonts w:cs="Arial"/>
          <w:color w:val="000000" w:themeColor="text1"/>
          <w:szCs w:val="24"/>
          <w:shd w:val="clear" w:color="auto" w:fill="FFFFFF"/>
        </w:rPr>
        <w:t xml:space="preserve">. </w:t>
      </w:r>
      <w:r w:rsidR="00DA5E85">
        <w:rPr>
          <w:rFonts w:cs="Arial"/>
          <w:color w:val="000000" w:themeColor="text1"/>
          <w:szCs w:val="24"/>
          <w:shd w:val="clear" w:color="auto" w:fill="FFFFFF"/>
        </w:rPr>
        <w:t>This will be a Part 1 Local Plan document.</w:t>
      </w:r>
    </w:p>
    <w:p w14:paraId="41831D31" w14:textId="77777777" w:rsidR="00B26604" w:rsidRPr="001A342E" w:rsidRDefault="00B26604" w:rsidP="00B54547">
      <w:pPr>
        <w:pStyle w:val="ListParagraph"/>
        <w:spacing w:after="0" w:line="240" w:lineRule="auto"/>
        <w:ind w:left="705"/>
        <w:jc w:val="both"/>
        <w:rPr>
          <w:rFonts w:cs="Arial"/>
          <w:color w:val="000000" w:themeColor="text1"/>
          <w:szCs w:val="24"/>
          <w:shd w:val="clear" w:color="auto" w:fill="FFFFFF"/>
        </w:rPr>
      </w:pPr>
    </w:p>
    <w:p w14:paraId="756CEFAD" w14:textId="0440303D" w:rsidR="00A0397C" w:rsidRPr="001A342E" w:rsidRDefault="00DA5E85" w:rsidP="00B54547">
      <w:pPr>
        <w:pStyle w:val="ListParagraph"/>
        <w:spacing w:after="0" w:line="240" w:lineRule="auto"/>
        <w:ind w:left="705"/>
        <w:jc w:val="both"/>
        <w:rPr>
          <w:rFonts w:cs="Arial"/>
          <w:color w:val="000000" w:themeColor="text1"/>
          <w:szCs w:val="24"/>
          <w:shd w:val="clear" w:color="auto" w:fill="FFFFFF"/>
        </w:rPr>
      </w:pPr>
      <w:r>
        <w:rPr>
          <w:rFonts w:cs="Arial"/>
          <w:color w:val="000000" w:themeColor="text1"/>
          <w:szCs w:val="24"/>
          <w:shd w:val="clear" w:color="auto" w:fill="FFFFFF"/>
        </w:rPr>
        <w:t>To date, t</w:t>
      </w:r>
      <w:r w:rsidR="00A0397C" w:rsidRPr="001A342E">
        <w:rPr>
          <w:rFonts w:cs="Arial"/>
          <w:color w:val="000000" w:themeColor="text1"/>
          <w:szCs w:val="24"/>
          <w:shd w:val="clear" w:color="auto" w:fill="FFFFFF"/>
        </w:rPr>
        <w:t xml:space="preserve">he Councils have undertaken a Growth Options consultation in 2020 (with an additional consultation period in 2021) and a Preferred Approach consultation in January 2023. These have both been </w:t>
      </w:r>
      <w:r w:rsidR="00E01322" w:rsidRPr="001A342E">
        <w:rPr>
          <w:rFonts w:cs="Arial"/>
          <w:color w:val="000000" w:themeColor="text1"/>
          <w:szCs w:val="24"/>
          <w:shd w:val="clear" w:color="auto" w:fill="FFFFFF"/>
        </w:rPr>
        <w:t>“</w:t>
      </w:r>
      <w:r w:rsidR="00A0397C" w:rsidRPr="001A342E">
        <w:rPr>
          <w:rFonts w:cs="Arial"/>
          <w:color w:val="000000" w:themeColor="text1"/>
          <w:szCs w:val="24"/>
          <w:shd w:val="clear" w:color="auto" w:fill="FFFFFF"/>
        </w:rPr>
        <w:t>Regulation 18</w:t>
      </w:r>
      <w:r w:rsidR="00E01322" w:rsidRPr="001A342E">
        <w:rPr>
          <w:rFonts w:cs="Arial"/>
          <w:color w:val="000000" w:themeColor="text1"/>
          <w:szCs w:val="24"/>
          <w:shd w:val="clear" w:color="auto" w:fill="FFFFFF"/>
        </w:rPr>
        <w:t>”</w:t>
      </w:r>
      <w:r w:rsidR="00A0397C" w:rsidRPr="001A342E">
        <w:rPr>
          <w:rFonts w:cs="Arial"/>
          <w:color w:val="000000" w:themeColor="text1"/>
          <w:szCs w:val="24"/>
          <w:shd w:val="clear" w:color="auto" w:fill="FFFFFF"/>
        </w:rPr>
        <w:t xml:space="preserve"> consultations. </w:t>
      </w:r>
      <w:r w:rsidR="001B628B" w:rsidRPr="001A342E">
        <w:rPr>
          <w:rFonts w:cs="Arial"/>
          <w:color w:val="000000" w:themeColor="text1"/>
          <w:szCs w:val="24"/>
          <w:shd w:val="clear" w:color="auto" w:fill="FFFFFF"/>
        </w:rPr>
        <w:t xml:space="preserve">Further details of these consultations are available at </w:t>
      </w:r>
      <w:hyperlink r:id="rId19" w:history="1">
        <w:r w:rsidR="001B628B" w:rsidRPr="001A342E">
          <w:rPr>
            <w:rStyle w:val="Hyperlink"/>
            <w:rFonts w:cs="Arial"/>
            <w:szCs w:val="24"/>
            <w:shd w:val="clear" w:color="auto" w:fill="FFFFFF"/>
          </w:rPr>
          <w:t>www.gnplan.org.uk/consultations</w:t>
        </w:r>
      </w:hyperlink>
      <w:r w:rsidR="001B628B" w:rsidRPr="001A342E">
        <w:rPr>
          <w:rFonts w:cs="Arial"/>
          <w:color w:val="000000" w:themeColor="text1"/>
          <w:szCs w:val="24"/>
          <w:shd w:val="clear" w:color="auto" w:fill="FFFFFF"/>
        </w:rPr>
        <w:t xml:space="preserve"> </w:t>
      </w:r>
    </w:p>
    <w:p w14:paraId="30A055C8" w14:textId="77777777" w:rsidR="00A0397C" w:rsidRPr="001A342E" w:rsidRDefault="00A0397C" w:rsidP="00B54547">
      <w:pPr>
        <w:pStyle w:val="ListParagraph"/>
        <w:spacing w:after="0" w:line="240" w:lineRule="auto"/>
        <w:ind w:left="705"/>
        <w:jc w:val="both"/>
        <w:rPr>
          <w:rFonts w:cs="Arial"/>
          <w:color w:val="000000" w:themeColor="text1"/>
          <w:szCs w:val="24"/>
          <w:shd w:val="clear" w:color="auto" w:fill="FFFFFF"/>
        </w:rPr>
      </w:pPr>
    </w:p>
    <w:p w14:paraId="41DD2942" w14:textId="1B3FF485" w:rsidR="00A0397C" w:rsidRPr="001A342E" w:rsidRDefault="00A0397C" w:rsidP="00B54547">
      <w:pPr>
        <w:pStyle w:val="ListParagraph"/>
        <w:spacing w:after="0" w:line="240" w:lineRule="auto"/>
        <w:ind w:left="705"/>
        <w:jc w:val="both"/>
        <w:rPr>
          <w:rFonts w:cs="Arial"/>
          <w:color w:val="000000" w:themeColor="text1"/>
          <w:szCs w:val="24"/>
          <w:shd w:val="clear" w:color="auto" w:fill="FFFFFF"/>
        </w:rPr>
      </w:pPr>
      <w:r w:rsidRPr="001A342E">
        <w:rPr>
          <w:rFonts w:cs="Arial"/>
          <w:color w:val="000000" w:themeColor="text1"/>
          <w:szCs w:val="24"/>
          <w:shd w:val="clear" w:color="auto" w:fill="FFFFFF"/>
        </w:rPr>
        <w:t xml:space="preserve">The Councils </w:t>
      </w:r>
      <w:r w:rsidR="00DA5E85">
        <w:rPr>
          <w:rFonts w:cs="Arial"/>
          <w:color w:val="000000" w:themeColor="text1"/>
          <w:szCs w:val="24"/>
          <w:shd w:val="clear" w:color="auto" w:fill="FFFFFF"/>
        </w:rPr>
        <w:t xml:space="preserve">currently </w:t>
      </w:r>
      <w:r w:rsidRPr="001A342E">
        <w:rPr>
          <w:rFonts w:cs="Arial"/>
          <w:color w:val="000000" w:themeColor="text1"/>
          <w:szCs w:val="24"/>
          <w:shd w:val="clear" w:color="auto" w:fill="FFFFFF"/>
        </w:rPr>
        <w:t xml:space="preserve">have all adopted Part 1 Local Plans (Aligned Core Strategies) and Part 2 Local Plans. </w:t>
      </w:r>
      <w:r w:rsidR="001B628B" w:rsidRPr="001A342E">
        <w:rPr>
          <w:rFonts w:cs="Arial"/>
          <w:color w:val="000000" w:themeColor="text1"/>
          <w:szCs w:val="24"/>
          <w:shd w:val="clear" w:color="auto" w:fill="FFFFFF"/>
        </w:rPr>
        <w:t xml:space="preserve">Information on the various Local Plans is set out in Appendix 2. </w:t>
      </w:r>
    </w:p>
    <w:p w14:paraId="660E0D1D" w14:textId="77777777" w:rsidR="00A0397C" w:rsidRPr="001A342E" w:rsidRDefault="00A0397C" w:rsidP="00B54547">
      <w:pPr>
        <w:pStyle w:val="ListParagraph"/>
        <w:spacing w:after="0" w:line="240" w:lineRule="auto"/>
        <w:ind w:left="705"/>
        <w:jc w:val="both"/>
        <w:rPr>
          <w:rFonts w:cs="Arial"/>
          <w:color w:val="000000" w:themeColor="text1"/>
          <w:szCs w:val="24"/>
          <w:shd w:val="clear" w:color="auto" w:fill="FFFFFF"/>
        </w:rPr>
      </w:pPr>
    </w:p>
    <w:p w14:paraId="165425F9" w14:textId="5AD92738" w:rsidR="00CA0783" w:rsidRPr="001A342E" w:rsidRDefault="00CA0783" w:rsidP="00B54547">
      <w:pPr>
        <w:pStyle w:val="ListParagraph"/>
        <w:spacing w:after="0" w:line="240" w:lineRule="auto"/>
        <w:ind w:left="705"/>
        <w:jc w:val="both"/>
        <w:rPr>
          <w:rFonts w:cs="Arial"/>
          <w:color w:val="000000" w:themeColor="text1"/>
          <w:szCs w:val="24"/>
          <w:shd w:val="clear" w:color="auto" w:fill="FFFFFF"/>
        </w:rPr>
      </w:pPr>
      <w:r w:rsidRPr="001A342E">
        <w:rPr>
          <w:rFonts w:cs="Arial"/>
          <w:color w:val="000000" w:themeColor="text1"/>
          <w:szCs w:val="24"/>
          <w:shd w:val="clear" w:color="auto" w:fill="FFFFFF"/>
        </w:rPr>
        <w:t xml:space="preserve">The Councils form part of the Nottingham Core Housing Market Area (HMA). The HMA also includes Erewash Borough Council. The </w:t>
      </w:r>
      <w:proofErr w:type="spellStart"/>
      <w:r w:rsidRPr="001A342E">
        <w:rPr>
          <w:rFonts w:cs="Arial"/>
          <w:color w:val="000000" w:themeColor="text1"/>
          <w:szCs w:val="24"/>
          <w:shd w:val="clear" w:color="auto" w:fill="FFFFFF"/>
        </w:rPr>
        <w:t>Hucknall</w:t>
      </w:r>
      <w:proofErr w:type="spellEnd"/>
      <w:r w:rsidRPr="001A342E">
        <w:rPr>
          <w:rFonts w:cs="Arial"/>
          <w:color w:val="000000" w:themeColor="text1"/>
          <w:szCs w:val="24"/>
          <w:shd w:val="clear" w:color="auto" w:fill="FFFFFF"/>
        </w:rPr>
        <w:t xml:space="preserve"> part of Ashfield District, whilst functionally part of Greater Nottingham, is part of the Nottingham Outer HMA. Erewash </w:t>
      </w:r>
      <w:r w:rsidR="001B628B" w:rsidRPr="001A342E">
        <w:rPr>
          <w:rFonts w:cs="Arial"/>
          <w:color w:val="000000" w:themeColor="text1"/>
          <w:szCs w:val="24"/>
          <w:shd w:val="clear" w:color="auto" w:fill="FFFFFF"/>
        </w:rPr>
        <w:t xml:space="preserve">Borough </w:t>
      </w:r>
      <w:r w:rsidRPr="001A342E">
        <w:rPr>
          <w:rFonts w:cs="Arial"/>
          <w:color w:val="000000" w:themeColor="text1"/>
          <w:szCs w:val="24"/>
          <w:shd w:val="clear" w:color="auto" w:fill="FFFFFF"/>
        </w:rPr>
        <w:t>and Ashfield</w:t>
      </w:r>
      <w:r w:rsidR="001B628B" w:rsidRPr="001A342E">
        <w:rPr>
          <w:rFonts w:cs="Arial"/>
          <w:color w:val="000000" w:themeColor="text1"/>
          <w:szCs w:val="24"/>
          <w:shd w:val="clear" w:color="auto" w:fill="FFFFFF"/>
        </w:rPr>
        <w:t xml:space="preserve"> District Councils</w:t>
      </w:r>
      <w:r w:rsidRPr="001A342E">
        <w:rPr>
          <w:rFonts w:cs="Arial"/>
          <w:color w:val="000000" w:themeColor="text1"/>
          <w:szCs w:val="24"/>
          <w:shd w:val="clear" w:color="auto" w:fill="FFFFFF"/>
        </w:rPr>
        <w:t xml:space="preserve"> do not form part of this study.</w:t>
      </w:r>
    </w:p>
    <w:p w14:paraId="57C274A5" w14:textId="77777777" w:rsidR="00E01322" w:rsidRPr="000C4D3F" w:rsidRDefault="00E01322" w:rsidP="00B54547">
      <w:pPr>
        <w:pStyle w:val="ListParagraph"/>
        <w:spacing w:after="0" w:line="240" w:lineRule="auto"/>
        <w:ind w:left="705"/>
        <w:jc w:val="both"/>
        <w:rPr>
          <w:rFonts w:cs="Arial"/>
          <w:color w:val="000000" w:themeColor="text1"/>
          <w:szCs w:val="24"/>
          <w:lang w:val="en-US"/>
        </w:rPr>
      </w:pPr>
    </w:p>
    <w:p w14:paraId="74BF1F0E" w14:textId="4B4D380A" w:rsidR="00E01322" w:rsidRDefault="00E01322" w:rsidP="00B54547">
      <w:pPr>
        <w:pStyle w:val="Heading1"/>
        <w:spacing w:before="0" w:line="240" w:lineRule="auto"/>
        <w:ind w:left="720" w:hanging="720"/>
        <w:jc w:val="both"/>
        <w:rPr>
          <w:lang w:val="en-US"/>
        </w:rPr>
      </w:pPr>
      <w:bookmarkStart w:id="4" w:name="_Toc138837825"/>
      <w:r>
        <w:rPr>
          <w:lang w:val="en-US"/>
        </w:rPr>
        <w:t>Existing Hierarchy</w:t>
      </w:r>
      <w:bookmarkEnd w:id="4"/>
      <w:r>
        <w:rPr>
          <w:lang w:val="en-US"/>
        </w:rPr>
        <w:t xml:space="preserve"> </w:t>
      </w:r>
    </w:p>
    <w:p w14:paraId="1367472F" w14:textId="7348F69D" w:rsidR="00E01322" w:rsidRDefault="00E01322" w:rsidP="00B54547">
      <w:pPr>
        <w:spacing w:after="0" w:line="240" w:lineRule="auto"/>
        <w:ind w:left="709"/>
        <w:jc w:val="both"/>
        <w:rPr>
          <w:rFonts w:ascii="Arial" w:hAnsi="Arial" w:cs="Arial"/>
          <w:color w:val="000000" w:themeColor="text1"/>
          <w:sz w:val="24"/>
          <w:szCs w:val="24"/>
          <w:lang w:val="en-US"/>
        </w:rPr>
      </w:pPr>
    </w:p>
    <w:p w14:paraId="48C8D721" w14:textId="0CD88BA4" w:rsidR="0023689A" w:rsidRPr="00441903" w:rsidRDefault="0023689A" w:rsidP="00B54547">
      <w:pPr>
        <w:spacing w:after="0" w:line="240" w:lineRule="auto"/>
        <w:ind w:left="709"/>
        <w:jc w:val="both"/>
        <w:rPr>
          <w:rFonts w:ascii="Arial" w:hAnsi="Arial" w:cs="Arial"/>
          <w:color w:val="000000" w:themeColor="text1"/>
          <w:sz w:val="24"/>
          <w:szCs w:val="24"/>
          <w:lang w:val="en-US"/>
        </w:rPr>
      </w:pPr>
      <w:r w:rsidRPr="3EC2F802">
        <w:rPr>
          <w:rFonts w:ascii="Arial" w:hAnsi="Arial" w:cs="Arial"/>
          <w:sz w:val="24"/>
          <w:szCs w:val="24"/>
        </w:rPr>
        <w:t>The existing hierarchy of centres</w:t>
      </w:r>
      <w:r w:rsidR="0006461C" w:rsidRPr="3EC2F802">
        <w:rPr>
          <w:rFonts w:ascii="Arial" w:hAnsi="Arial" w:cs="Arial"/>
          <w:sz w:val="24"/>
          <w:szCs w:val="24"/>
        </w:rPr>
        <w:t xml:space="preserve"> was defined in the </w:t>
      </w:r>
      <w:r w:rsidRPr="3EC2F802">
        <w:rPr>
          <w:rFonts w:ascii="Arial" w:hAnsi="Arial" w:cs="Arial"/>
          <w:sz w:val="24"/>
          <w:szCs w:val="24"/>
        </w:rPr>
        <w:t>Greater Nottingham Aligned Core Strategies</w:t>
      </w:r>
      <w:r w:rsidR="0006461C" w:rsidRPr="3EC2F802">
        <w:rPr>
          <w:rFonts w:ascii="Arial" w:hAnsi="Arial" w:cs="Arial"/>
          <w:sz w:val="24"/>
          <w:szCs w:val="24"/>
        </w:rPr>
        <w:t xml:space="preserve"> (adopted 2014)</w:t>
      </w:r>
      <w:r w:rsidR="42D7FDF6" w:rsidRPr="3EC2F802">
        <w:rPr>
          <w:rFonts w:ascii="Arial" w:hAnsi="Arial" w:cs="Arial"/>
          <w:sz w:val="24"/>
          <w:szCs w:val="24"/>
        </w:rPr>
        <w:t xml:space="preserve"> with refinements in the Part 2 Local Plans</w:t>
      </w:r>
      <w:r w:rsidR="6D25C86B" w:rsidRPr="3EC2F802">
        <w:rPr>
          <w:rFonts w:ascii="Arial" w:hAnsi="Arial" w:cs="Arial"/>
          <w:sz w:val="24"/>
          <w:szCs w:val="24"/>
        </w:rPr>
        <w:t xml:space="preserve">, </w:t>
      </w:r>
      <w:r w:rsidR="00B651C9" w:rsidRPr="3EC2F802">
        <w:rPr>
          <w:rFonts w:ascii="Arial" w:hAnsi="Arial" w:cs="Arial"/>
          <w:sz w:val="24"/>
          <w:szCs w:val="24"/>
        </w:rPr>
        <w:t>using</w:t>
      </w:r>
      <w:r w:rsidR="00441903" w:rsidRPr="3EC2F802">
        <w:rPr>
          <w:rFonts w:ascii="Arial" w:hAnsi="Arial" w:cs="Arial"/>
          <w:sz w:val="24"/>
          <w:szCs w:val="24"/>
        </w:rPr>
        <w:t xml:space="preserve"> evidence from shopping studies</w:t>
      </w:r>
      <w:r w:rsidR="7533E881" w:rsidRPr="3EC2F802">
        <w:rPr>
          <w:rFonts w:ascii="Arial" w:hAnsi="Arial" w:cs="Arial"/>
          <w:sz w:val="24"/>
          <w:szCs w:val="24"/>
        </w:rPr>
        <w:t xml:space="preserve"> (</w:t>
      </w:r>
      <w:r w:rsidR="2EA61394" w:rsidRPr="3EC2F802">
        <w:rPr>
          <w:rFonts w:ascii="Arial" w:hAnsi="Arial" w:cs="Arial"/>
          <w:sz w:val="24"/>
          <w:szCs w:val="24"/>
        </w:rPr>
        <w:t xml:space="preserve">such as those detailed in </w:t>
      </w:r>
      <w:r w:rsidR="7533E881" w:rsidRPr="3EC2F802">
        <w:rPr>
          <w:rFonts w:ascii="Arial" w:hAnsi="Arial" w:cs="Arial"/>
          <w:sz w:val="24"/>
          <w:szCs w:val="24"/>
        </w:rPr>
        <w:t>Section 5)</w:t>
      </w:r>
      <w:r w:rsidR="00441903" w:rsidRPr="3EC2F802">
        <w:rPr>
          <w:rFonts w:ascii="Arial" w:hAnsi="Arial" w:cs="Arial"/>
          <w:sz w:val="24"/>
          <w:szCs w:val="24"/>
        </w:rPr>
        <w:t>. Nottingham City Centre, which is at the top of the hierarchy, is the primary shopping destination within the East Midlands and is the main retail centre serving the Greater Nottingham area. Beyond the City Centre are a strong network of established Centres that have diversity of character and perform a range of roles for the communities within which they are situated.</w:t>
      </w:r>
      <w:r w:rsidRPr="3EC2F802">
        <w:rPr>
          <w:rFonts w:ascii="Arial" w:hAnsi="Arial" w:cs="Arial"/>
          <w:sz w:val="24"/>
          <w:szCs w:val="24"/>
        </w:rPr>
        <w:t xml:space="preserve"> </w:t>
      </w:r>
    </w:p>
    <w:p w14:paraId="02878C93" w14:textId="2C268B1E" w:rsidR="0023689A" w:rsidRDefault="0023689A" w:rsidP="00B54547">
      <w:pPr>
        <w:spacing w:after="0" w:line="240" w:lineRule="auto"/>
        <w:ind w:left="709"/>
        <w:jc w:val="both"/>
        <w:rPr>
          <w:rFonts w:ascii="Arial" w:hAnsi="Arial" w:cs="Arial"/>
          <w:color w:val="000000" w:themeColor="text1"/>
          <w:sz w:val="24"/>
          <w:szCs w:val="24"/>
          <w:lang w:val="en-US"/>
        </w:rPr>
      </w:pPr>
    </w:p>
    <w:p w14:paraId="5DB3BD23" w14:textId="1D8E9056" w:rsidR="00176856" w:rsidRDefault="00176856" w:rsidP="00B54547">
      <w:pPr>
        <w:spacing w:after="0" w:line="240" w:lineRule="auto"/>
        <w:ind w:left="709"/>
        <w:jc w:val="both"/>
        <w:rPr>
          <w:rFonts w:ascii="Arial" w:hAnsi="Arial" w:cs="Arial"/>
          <w:color w:val="000000" w:themeColor="text1"/>
          <w:sz w:val="24"/>
          <w:szCs w:val="24"/>
          <w:lang w:val="en-US"/>
        </w:rPr>
      </w:pPr>
      <w:r w:rsidRPr="6D07680D">
        <w:rPr>
          <w:rFonts w:ascii="Arial" w:hAnsi="Arial" w:cs="Arial"/>
          <w:color w:val="000000" w:themeColor="text1"/>
          <w:sz w:val="24"/>
          <w:szCs w:val="24"/>
          <w:lang w:val="en-US"/>
        </w:rPr>
        <w:t xml:space="preserve">In addition to the hierarchy of </w:t>
      </w:r>
      <w:proofErr w:type="spellStart"/>
      <w:r w:rsidRPr="6D07680D">
        <w:rPr>
          <w:rFonts w:ascii="Arial" w:hAnsi="Arial" w:cs="Arial"/>
          <w:color w:val="000000" w:themeColor="text1"/>
          <w:sz w:val="24"/>
          <w:szCs w:val="24"/>
          <w:lang w:val="en-US"/>
        </w:rPr>
        <w:t>centres</w:t>
      </w:r>
      <w:proofErr w:type="spellEnd"/>
      <w:r w:rsidRPr="6D07680D">
        <w:rPr>
          <w:rFonts w:ascii="Arial" w:hAnsi="Arial" w:cs="Arial"/>
          <w:color w:val="000000" w:themeColor="text1"/>
          <w:sz w:val="24"/>
          <w:szCs w:val="24"/>
          <w:lang w:val="en-US"/>
        </w:rPr>
        <w:t xml:space="preserve"> </w:t>
      </w:r>
      <w:r w:rsidRPr="6D07680D">
        <w:rPr>
          <w:rFonts w:ascii="Arial" w:hAnsi="Arial" w:cs="Arial"/>
          <w:sz w:val="24"/>
          <w:szCs w:val="24"/>
        </w:rPr>
        <w:t xml:space="preserve">defined in the Greater Nottingham Aligned Core Strategies, the Greater Nottingham area also contains a number of </w:t>
      </w:r>
      <w:r w:rsidR="3ACB1EBC" w:rsidRPr="6D07680D">
        <w:rPr>
          <w:rFonts w:ascii="Arial" w:hAnsi="Arial" w:cs="Arial"/>
          <w:sz w:val="24"/>
          <w:szCs w:val="24"/>
        </w:rPr>
        <w:t>Out-of-Town</w:t>
      </w:r>
      <w:r w:rsidRPr="6D07680D">
        <w:rPr>
          <w:rFonts w:ascii="Arial" w:hAnsi="Arial" w:cs="Arial"/>
          <w:sz w:val="24"/>
          <w:szCs w:val="24"/>
        </w:rPr>
        <w:t xml:space="preserve"> Retail Parks. The </w:t>
      </w:r>
      <w:r w:rsidR="00CE25D6" w:rsidRPr="6D07680D">
        <w:rPr>
          <w:rFonts w:ascii="Arial" w:hAnsi="Arial" w:cs="Arial"/>
          <w:sz w:val="24"/>
          <w:szCs w:val="24"/>
        </w:rPr>
        <w:t>main issues</w:t>
      </w:r>
      <w:r w:rsidRPr="6D07680D">
        <w:rPr>
          <w:rFonts w:ascii="Arial" w:hAnsi="Arial" w:cs="Arial"/>
          <w:sz w:val="24"/>
          <w:szCs w:val="24"/>
        </w:rPr>
        <w:t xml:space="preserve"> relating to these are the extent to which they are diversifying into uses that were not originally permitted at these locations</w:t>
      </w:r>
      <w:r w:rsidR="00CE25D6" w:rsidRPr="6D07680D">
        <w:rPr>
          <w:rFonts w:ascii="Arial" w:hAnsi="Arial" w:cs="Arial"/>
          <w:sz w:val="24"/>
          <w:szCs w:val="24"/>
        </w:rPr>
        <w:t>, for example for</w:t>
      </w:r>
      <w:r w:rsidRPr="6D07680D">
        <w:rPr>
          <w:rFonts w:ascii="Arial" w:hAnsi="Arial" w:cs="Arial"/>
          <w:sz w:val="24"/>
          <w:szCs w:val="24"/>
        </w:rPr>
        <w:t xml:space="preserve"> gyms and </w:t>
      </w:r>
      <w:r w:rsidR="1863C6AC" w:rsidRPr="6D07680D">
        <w:rPr>
          <w:rFonts w:ascii="Arial" w:hAnsi="Arial" w:cs="Arial"/>
          <w:sz w:val="24"/>
          <w:szCs w:val="24"/>
        </w:rPr>
        <w:t>convenience</w:t>
      </w:r>
      <w:r w:rsidRPr="6D07680D">
        <w:rPr>
          <w:rFonts w:ascii="Arial" w:hAnsi="Arial" w:cs="Arial"/>
          <w:sz w:val="24"/>
          <w:szCs w:val="24"/>
        </w:rPr>
        <w:t xml:space="preserve"> uses</w:t>
      </w:r>
      <w:r w:rsidR="00CE25D6" w:rsidRPr="6D07680D">
        <w:rPr>
          <w:rFonts w:ascii="Arial" w:hAnsi="Arial" w:cs="Arial"/>
          <w:sz w:val="24"/>
          <w:szCs w:val="24"/>
        </w:rPr>
        <w:t>,</w:t>
      </w:r>
      <w:r w:rsidRPr="6D07680D">
        <w:rPr>
          <w:rFonts w:ascii="Arial" w:hAnsi="Arial" w:cs="Arial"/>
          <w:sz w:val="24"/>
          <w:szCs w:val="24"/>
        </w:rPr>
        <w:t xml:space="preserve"> and the extent to which they are </w:t>
      </w:r>
      <w:r w:rsidR="00CE25D6" w:rsidRPr="6D07680D">
        <w:rPr>
          <w:rFonts w:ascii="Arial" w:hAnsi="Arial" w:cs="Arial"/>
          <w:sz w:val="24"/>
          <w:szCs w:val="24"/>
        </w:rPr>
        <w:t xml:space="preserve">therefore </w:t>
      </w:r>
      <w:r w:rsidRPr="6D07680D">
        <w:rPr>
          <w:rFonts w:ascii="Arial" w:hAnsi="Arial" w:cs="Arial"/>
          <w:sz w:val="24"/>
          <w:szCs w:val="24"/>
        </w:rPr>
        <w:t xml:space="preserve">now threatening the vitality of designated centres. </w:t>
      </w:r>
    </w:p>
    <w:p w14:paraId="27AC72E0" w14:textId="77777777" w:rsidR="00176856" w:rsidRDefault="00176856" w:rsidP="00B54547">
      <w:pPr>
        <w:spacing w:after="0" w:line="240" w:lineRule="auto"/>
        <w:ind w:left="709"/>
        <w:jc w:val="both"/>
        <w:rPr>
          <w:rFonts w:ascii="Arial" w:hAnsi="Arial" w:cs="Arial"/>
          <w:color w:val="000000" w:themeColor="text1"/>
          <w:sz w:val="24"/>
          <w:szCs w:val="24"/>
          <w:lang w:val="en-US"/>
        </w:rPr>
      </w:pPr>
    </w:p>
    <w:p w14:paraId="1F0925CC" w14:textId="702796D3" w:rsidR="00E01322" w:rsidRPr="000C4D3F" w:rsidRDefault="00E01322" w:rsidP="00B54547">
      <w:pPr>
        <w:spacing w:after="0" w:line="240" w:lineRule="auto"/>
        <w:ind w:left="709"/>
        <w:jc w:val="both"/>
        <w:rPr>
          <w:rFonts w:ascii="Arial" w:hAnsi="Arial" w:cs="Arial"/>
          <w:color w:val="000000" w:themeColor="text1"/>
          <w:sz w:val="24"/>
          <w:szCs w:val="24"/>
        </w:rPr>
      </w:pPr>
      <w:r w:rsidRPr="02671A41">
        <w:rPr>
          <w:rFonts w:ascii="Arial" w:hAnsi="Arial" w:cs="Arial"/>
          <w:color w:val="000000" w:themeColor="text1"/>
          <w:sz w:val="24"/>
          <w:szCs w:val="24"/>
          <w:lang w:val="en-US"/>
        </w:rPr>
        <w:t>The retail hierarchy for the Greater Nottingham area</w:t>
      </w:r>
      <w:r w:rsidR="00176856" w:rsidRPr="02671A41">
        <w:rPr>
          <w:rFonts w:ascii="Arial" w:hAnsi="Arial" w:cs="Arial"/>
          <w:color w:val="000000" w:themeColor="text1"/>
          <w:sz w:val="24"/>
          <w:szCs w:val="24"/>
          <w:lang w:val="en-US"/>
        </w:rPr>
        <w:t>,</w:t>
      </w:r>
      <w:r w:rsidRPr="02671A41">
        <w:rPr>
          <w:rFonts w:ascii="Arial" w:hAnsi="Arial" w:cs="Arial"/>
          <w:color w:val="000000" w:themeColor="text1"/>
          <w:sz w:val="24"/>
          <w:szCs w:val="24"/>
          <w:lang w:val="en-US"/>
        </w:rPr>
        <w:t xml:space="preserve"> is</w:t>
      </w:r>
      <w:r w:rsidR="00441903" w:rsidRPr="02671A41">
        <w:rPr>
          <w:rFonts w:ascii="Arial" w:hAnsi="Arial" w:cs="Arial"/>
          <w:color w:val="000000" w:themeColor="text1"/>
          <w:sz w:val="24"/>
          <w:szCs w:val="24"/>
          <w:lang w:val="en-US"/>
        </w:rPr>
        <w:t xml:space="preserve"> as follows</w:t>
      </w:r>
      <w:r w:rsidRPr="02671A41">
        <w:rPr>
          <w:rFonts w:ascii="Arial" w:hAnsi="Arial" w:cs="Arial"/>
          <w:color w:val="000000" w:themeColor="text1"/>
          <w:sz w:val="24"/>
          <w:szCs w:val="24"/>
          <w:lang w:val="en-US"/>
        </w:rPr>
        <w:t>:</w:t>
      </w:r>
    </w:p>
    <w:p w14:paraId="3CFBD3BC" w14:textId="77777777" w:rsidR="00E01322" w:rsidRPr="000C4D3F" w:rsidRDefault="00E01322" w:rsidP="00B54547">
      <w:pPr>
        <w:spacing w:after="0" w:line="240" w:lineRule="auto"/>
        <w:ind w:left="720"/>
        <w:jc w:val="both"/>
        <w:rPr>
          <w:rFonts w:ascii="Arial" w:hAnsi="Arial" w:cs="Arial"/>
          <w:color w:val="000000" w:themeColor="text1"/>
          <w:sz w:val="24"/>
          <w:szCs w:val="24"/>
        </w:rPr>
      </w:pPr>
    </w:p>
    <w:p w14:paraId="23F697DC" w14:textId="77777777" w:rsidR="00E01322" w:rsidRPr="000C4D3F" w:rsidRDefault="00E01322" w:rsidP="00B54547">
      <w:pPr>
        <w:numPr>
          <w:ilvl w:val="0"/>
          <w:numId w:val="9"/>
        </w:numPr>
        <w:spacing w:after="0" w:line="240" w:lineRule="auto"/>
        <w:jc w:val="both"/>
        <w:rPr>
          <w:rFonts w:ascii="Arial" w:hAnsi="Arial" w:cs="Arial"/>
          <w:bCs/>
          <w:color w:val="000000" w:themeColor="text1"/>
          <w:sz w:val="24"/>
          <w:szCs w:val="24"/>
          <w:lang w:val="en-US"/>
        </w:rPr>
      </w:pPr>
      <w:r w:rsidRPr="000C4D3F">
        <w:rPr>
          <w:rFonts w:ascii="Arial" w:hAnsi="Arial" w:cs="Arial"/>
          <w:color w:val="000000" w:themeColor="text1"/>
          <w:sz w:val="24"/>
          <w:szCs w:val="24"/>
          <w:lang w:val="en-US"/>
        </w:rPr>
        <w:t xml:space="preserve">City Centre: </w:t>
      </w:r>
    </w:p>
    <w:p w14:paraId="462C8E1D" w14:textId="77777777" w:rsidR="00E01322" w:rsidRPr="000C4D3F" w:rsidRDefault="00E01322" w:rsidP="00B54547">
      <w:pPr>
        <w:spacing w:after="0" w:line="240" w:lineRule="auto"/>
        <w:ind w:left="720"/>
        <w:jc w:val="both"/>
        <w:rPr>
          <w:rFonts w:ascii="Arial" w:hAnsi="Arial" w:cs="Arial"/>
          <w:color w:val="000000" w:themeColor="text1"/>
          <w:sz w:val="24"/>
          <w:szCs w:val="24"/>
          <w:lang w:val="en-US"/>
        </w:rPr>
      </w:pPr>
      <w:r w:rsidRPr="000C4D3F">
        <w:rPr>
          <w:rFonts w:ascii="Arial" w:hAnsi="Arial" w:cs="Arial"/>
          <w:color w:val="000000" w:themeColor="text1"/>
          <w:sz w:val="24"/>
          <w:szCs w:val="24"/>
          <w:lang w:val="en-US"/>
        </w:rPr>
        <w:tab/>
        <w:t xml:space="preserve">Nottingham City Centre </w:t>
      </w:r>
    </w:p>
    <w:p w14:paraId="3654DB68" w14:textId="77777777" w:rsidR="00E01322" w:rsidRPr="000C4D3F" w:rsidRDefault="00E01322" w:rsidP="00B54547">
      <w:pPr>
        <w:spacing w:after="0" w:line="240" w:lineRule="auto"/>
        <w:ind w:left="720"/>
        <w:jc w:val="both"/>
        <w:rPr>
          <w:rFonts w:ascii="Arial" w:hAnsi="Arial" w:cs="Arial"/>
          <w:color w:val="000000" w:themeColor="text1"/>
          <w:sz w:val="24"/>
          <w:szCs w:val="24"/>
          <w:lang w:val="en-US"/>
        </w:rPr>
      </w:pPr>
    </w:p>
    <w:p w14:paraId="7071FBB2" w14:textId="77777777" w:rsidR="00E01322" w:rsidRPr="000C4D3F" w:rsidRDefault="00E01322" w:rsidP="00B54547">
      <w:pPr>
        <w:numPr>
          <w:ilvl w:val="0"/>
          <w:numId w:val="9"/>
        </w:numPr>
        <w:spacing w:after="0" w:line="240" w:lineRule="auto"/>
        <w:jc w:val="both"/>
        <w:rPr>
          <w:rFonts w:ascii="Arial" w:hAnsi="Arial" w:cs="Arial"/>
          <w:bCs/>
          <w:color w:val="000000" w:themeColor="text1"/>
          <w:sz w:val="24"/>
          <w:szCs w:val="24"/>
          <w:lang w:val="en-US"/>
        </w:rPr>
      </w:pPr>
      <w:r w:rsidRPr="000C4D3F">
        <w:rPr>
          <w:rFonts w:ascii="Arial" w:hAnsi="Arial" w:cs="Arial"/>
          <w:color w:val="000000" w:themeColor="text1"/>
          <w:sz w:val="24"/>
          <w:szCs w:val="24"/>
          <w:lang w:val="en-US"/>
        </w:rPr>
        <w:t xml:space="preserve">Town </w:t>
      </w:r>
      <w:proofErr w:type="spellStart"/>
      <w:r w:rsidRPr="000C4D3F">
        <w:rPr>
          <w:rFonts w:ascii="Arial" w:hAnsi="Arial" w:cs="Arial"/>
          <w:color w:val="000000" w:themeColor="text1"/>
          <w:sz w:val="24"/>
          <w:szCs w:val="24"/>
          <w:lang w:val="en-US"/>
        </w:rPr>
        <w:t>Centres</w:t>
      </w:r>
      <w:proofErr w:type="spellEnd"/>
      <w:r w:rsidRPr="000C4D3F">
        <w:rPr>
          <w:rFonts w:ascii="Arial" w:hAnsi="Arial" w:cs="Arial"/>
          <w:color w:val="000000" w:themeColor="text1"/>
          <w:sz w:val="24"/>
          <w:szCs w:val="24"/>
          <w:lang w:val="en-US"/>
        </w:rPr>
        <w:t xml:space="preserve">: </w:t>
      </w:r>
    </w:p>
    <w:p w14:paraId="5FD1D07A" w14:textId="77777777" w:rsidR="00E01322" w:rsidRPr="000C4D3F" w:rsidRDefault="00E01322" w:rsidP="00B54547">
      <w:pPr>
        <w:spacing w:after="0" w:line="240" w:lineRule="auto"/>
        <w:ind w:left="720"/>
        <w:jc w:val="both"/>
        <w:rPr>
          <w:rFonts w:ascii="Arial" w:hAnsi="Arial" w:cs="Arial"/>
          <w:color w:val="000000" w:themeColor="text1"/>
          <w:sz w:val="24"/>
          <w:szCs w:val="24"/>
          <w:lang w:val="en-US"/>
        </w:rPr>
      </w:pPr>
      <w:r w:rsidRPr="000C4D3F">
        <w:rPr>
          <w:rFonts w:ascii="Arial" w:hAnsi="Arial" w:cs="Arial"/>
          <w:bCs/>
          <w:color w:val="000000" w:themeColor="text1"/>
          <w:sz w:val="24"/>
          <w:szCs w:val="24"/>
          <w:lang w:val="en-US"/>
        </w:rPr>
        <w:tab/>
      </w:r>
      <w:r w:rsidRPr="000C4D3F">
        <w:rPr>
          <w:rFonts w:ascii="Arial" w:hAnsi="Arial" w:cs="Arial"/>
          <w:color w:val="000000" w:themeColor="text1"/>
          <w:sz w:val="24"/>
          <w:szCs w:val="24"/>
          <w:lang w:val="en-US"/>
        </w:rPr>
        <w:t>Arnold, Beeston, Bulwell</w:t>
      </w:r>
    </w:p>
    <w:p w14:paraId="0F37B90E" w14:textId="77777777" w:rsidR="00E01322" w:rsidRPr="000C4D3F" w:rsidRDefault="00E01322" w:rsidP="00B54547">
      <w:pPr>
        <w:spacing w:after="0" w:line="240" w:lineRule="auto"/>
        <w:ind w:left="720"/>
        <w:jc w:val="both"/>
        <w:rPr>
          <w:rFonts w:ascii="Arial" w:hAnsi="Arial" w:cs="Arial"/>
          <w:bCs/>
          <w:color w:val="000000" w:themeColor="text1"/>
          <w:sz w:val="24"/>
          <w:szCs w:val="24"/>
          <w:lang w:val="en-US"/>
        </w:rPr>
      </w:pPr>
    </w:p>
    <w:p w14:paraId="67C314AB" w14:textId="77777777" w:rsidR="00E01322" w:rsidRPr="000C4D3F" w:rsidRDefault="00E01322" w:rsidP="00B54547">
      <w:pPr>
        <w:numPr>
          <w:ilvl w:val="0"/>
          <w:numId w:val="9"/>
        </w:numPr>
        <w:spacing w:after="0" w:line="240" w:lineRule="auto"/>
        <w:jc w:val="both"/>
        <w:rPr>
          <w:rFonts w:ascii="Arial" w:hAnsi="Arial" w:cs="Arial"/>
          <w:bCs/>
          <w:color w:val="000000" w:themeColor="text1"/>
          <w:sz w:val="24"/>
          <w:szCs w:val="24"/>
          <w:lang w:val="en-US"/>
        </w:rPr>
      </w:pPr>
      <w:r w:rsidRPr="000C4D3F">
        <w:rPr>
          <w:rFonts w:ascii="Arial" w:hAnsi="Arial" w:cs="Arial"/>
          <w:color w:val="000000" w:themeColor="text1"/>
          <w:sz w:val="24"/>
          <w:szCs w:val="24"/>
          <w:lang w:val="en-US"/>
        </w:rPr>
        <w:t xml:space="preserve">District </w:t>
      </w:r>
      <w:proofErr w:type="spellStart"/>
      <w:r w:rsidRPr="000C4D3F">
        <w:rPr>
          <w:rFonts w:ascii="Arial" w:hAnsi="Arial" w:cs="Arial"/>
          <w:color w:val="000000" w:themeColor="text1"/>
          <w:sz w:val="24"/>
          <w:szCs w:val="24"/>
          <w:lang w:val="en-US"/>
        </w:rPr>
        <w:t>Centres</w:t>
      </w:r>
      <w:proofErr w:type="spellEnd"/>
      <w:r w:rsidRPr="000C4D3F">
        <w:rPr>
          <w:rFonts w:ascii="Arial" w:hAnsi="Arial" w:cs="Arial"/>
          <w:color w:val="000000" w:themeColor="text1"/>
          <w:sz w:val="24"/>
          <w:szCs w:val="24"/>
          <w:lang w:val="en-US"/>
        </w:rPr>
        <w:t xml:space="preserve">: </w:t>
      </w:r>
    </w:p>
    <w:p w14:paraId="41FCC202" w14:textId="76F63E32" w:rsidR="00E01322" w:rsidRPr="000C4D3F" w:rsidRDefault="00DA0B3A" w:rsidP="00B54547">
      <w:pPr>
        <w:spacing w:after="0" w:line="240" w:lineRule="auto"/>
        <w:ind w:left="1440"/>
        <w:jc w:val="both"/>
        <w:rPr>
          <w:rFonts w:ascii="Arial" w:hAnsi="Arial" w:cs="Arial"/>
          <w:color w:val="000000" w:themeColor="text1"/>
          <w:sz w:val="24"/>
          <w:szCs w:val="24"/>
          <w:lang w:val="en-US"/>
        </w:rPr>
      </w:pPr>
      <w:r>
        <w:rPr>
          <w:rFonts w:ascii="Arial" w:hAnsi="Arial" w:cs="Arial"/>
          <w:color w:val="000000" w:themeColor="text1"/>
          <w:sz w:val="24"/>
          <w:szCs w:val="24"/>
          <w:lang w:val="en-US"/>
        </w:rPr>
        <w:t>Bingham</w:t>
      </w:r>
      <w:r w:rsidR="00E01322" w:rsidRPr="000C4D3F">
        <w:rPr>
          <w:rFonts w:ascii="Arial" w:hAnsi="Arial" w:cs="Arial"/>
          <w:color w:val="000000" w:themeColor="text1"/>
          <w:sz w:val="24"/>
          <w:szCs w:val="24"/>
          <w:lang w:val="en-US"/>
        </w:rPr>
        <w:t xml:space="preserve">, Clifton, Eastwood, Hyson Green, Kimberley, Stapleford, Sherwood and West </w:t>
      </w:r>
      <w:proofErr w:type="spellStart"/>
      <w:r w:rsidR="00E01322" w:rsidRPr="000C4D3F">
        <w:rPr>
          <w:rFonts w:ascii="Arial" w:hAnsi="Arial" w:cs="Arial"/>
          <w:color w:val="000000" w:themeColor="text1"/>
          <w:sz w:val="24"/>
          <w:szCs w:val="24"/>
          <w:lang w:val="en-US"/>
        </w:rPr>
        <w:t>Bridgford</w:t>
      </w:r>
      <w:proofErr w:type="spellEnd"/>
      <w:r w:rsidR="00E01322" w:rsidRPr="000C4D3F">
        <w:rPr>
          <w:rFonts w:ascii="Arial" w:hAnsi="Arial" w:cs="Arial"/>
          <w:color w:val="000000" w:themeColor="text1"/>
          <w:sz w:val="24"/>
          <w:szCs w:val="24"/>
          <w:lang w:val="en-US"/>
        </w:rPr>
        <w:t xml:space="preserve">. </w:t>
      </w:r>
    </w:p>
    <w:p w14:paraId="18AB910F" w14:textId="77777777" w:rsidR="00E01322" w:rsidRPr="000C4D3F" w:rsidRDefault="00E01322" w:rsidP="00B54547">
      <w:pPr>
        <w:spacing w:after="0" w:line="240" w:lineRule="auto"/>
        <w:ind w:left="1440"/>
        <w:jc w:val="both"/>
        <w:rPr>
          <w:rFonts w:ascii="Arial" w:hAnsi="Arial" w:cs="Arial"/>
          <w:color w:val="000000" w:themeColor="text1"/>
          <w:sz w:val="24"/>
          <w:szCs w:val="24"/>
          <w:lang w:val="en-US"/>
        </w:rPr>
      </w:pPr>
    </w:p>
    <w:p w14:paraId="08E8A71F" w14:textId="36D574B3" w:rsidR="00E01322" w:rsidRPr="000C4D3F" w:rsidRDefault="00E01322" w:rsidP="00B54547">
      <w:pPr>
        <w:numPr>
          <w:ilvl w:val="0"/>
          <w:numId w:val="9"/>
        </w:numPr>
        <w:spacing w:after="0" w:line="240" w:lineRule="auto"/>
        <w:jc w:val="both"/>
        <w:rPr>
          <w:rFonts w:ascii="Arial" w:hAnsi="Arial" w:cs="Arial"/>
          <w:color w:val="000000" w:themeColor="text1"/>
          <w:sz w:val="24"/>
          <w:szCs w:val="24"/>
          <w:lang w:val="en-US"/>
        </w:rPr>
      </w:pPr>
      <w:r w:rsidRPr="598428D3">
        <w:rPr>
          <w:rFonts w:ascii="Arial" w:hAnsi="Arial" w:cs="Arial"/>
          <w:color w:val="000000" w:themeColor="text1"/>
          <w:sz w:val="24"/>
          <w:szCs w:val="24"/>
          <w:lang w:val="en-US"/>
        </w:rPr>
        <w:t xml:space="preserve">Local </w:t>
      </w:r>
      <w:proofErr w:type="spellStart"/>
      <w:r w:rsidRPr="598428D3">
        <w:rPr>
          <w:rFonts w:ascii="Arial" w:hAnsi="Arial" w:cs="Arial"/>
          <w:color w:val="000000" w:themeColor="text1"/>
          <w:sz w:val="24"/>
          <w:szCs w:val="24"/>
          <w:lang w:val="en-US"/>
        </w:rPr>
        <w:t>Centres</w:t>
      </w:r>
      <w:proofErr w:type="spellEnd"/>
      <w:r w:rsidRPr="598428D3">
        <w:rPr>
          <w:rFonts w:ascii="Arial" w:hAnsi="Arial" w:cs="Arial"/>
          <w:color w:val="000000" w:themeColor="text1"/>
          <w:sz w:val="24"/>
          <w:szCs w:val="24"/>
          <w:lang w:val="en-US"/>
        </w:rPr>
        <w:t xml:space="preserve"> (identified in Local Plans)</w:t>
      </w:r>
      <w:r w:rsidR="54865B1A" w:rsidRPr="598428D3">
        <w:rPr>
          <w:rFonts w:ascii="Arial" w:hAnsi="Arial" w:cs="Arial"/>
          <w:color w:val="000000" w:themeColor="text1"/>
          <w:sz w:val="24"/>
          <w:szCs w:val="24"/>
          <w:lang w:val="en-US"/>
        </w:rPr>
        <w:t>:</w:t>
      </w:r>
    </w:p>
    <w:p w14:paraId="03F2DDA5" w14:textId="77777777" w:rsidR="008F4C1C" w:rsidRDefault="008F4C1C" w:rsidP="00B54547">
      <w:pPr>
        <w:spacing w:after="0" w:line="240" w:lineRule="auto"/>
        <w:ind w:left="1440"/>
        <w:jc w:val="both"/>
        <w:rPr>
          <w:rFonts w:ascii="Arial" w:hAnsi="Arial" w:cs="Arial"/>
          <w:color w:val="000000" w:themeColor="text1"/>
          <w:sz w:val="24"/>
          <w:szCs w:val="24"/>
          <w:lang w:val="en-US"/>
        </w:rPr>
      </w:pPr>
    </w:p>
    <w:p w14:paraId="00660E37" w14:textId="13704857" w:rsidR="008F4C1C" w:rsidRDefault="008F4C1C" w:rsidP="00B54547">
      <w:pPr>
        <w:spacing w:after="0" w:line="240" w:lineRule="auto"/>
        <w:ind w:left="720" w:firstLine="720"/>
        <w:jc w:val="both"/>
        <w:rPr>
          <w:rFonts w:ascii="Arial" w:hAnsi="Arial" w:cs="Arial"/>
          <w:color w:val="000000" w:themeColor="text1"/>
          <w:sz w:val="24"/>
          <w:szCs w:val="24"/>
          <w:lang w:val="en-US"/>
        </w:rPr>
      </w:pPr>
      <w:r>
        <w:rPr>
          <w:rFonts w:ascii="Arial" w:hAnsi="Arial" w:cs="Arial"/>
          <w:color w:val="000000" w:themeColor="text1"/>
          <w:sz w:val="24"/>
          <w:szCs w:val="24"/>
          <w:lang w:val="en-US"/>
        </w:rPr>
        <w:t>Broxtowe: (none)</w:t>
      </w:r>
    </w:p>
    <w:p w14:paraId="44854DE7" w14:textId="77777777" w:rsidR="008F4C1C" w:rsidRDefault="008F4C1C" w:rsidP="00B54547">
      <w:pPr>
        <w:spacing w:after="0" w:line="240" w:lineRule="auto"/>
        <w:ind w:left="1440"/>
        <w:jc w:val="both"/>
        <w:rPr>
          <w:rFonts w:ascii="Arial" w:hAnsi="Arial" w:cs="Arial"/>
          <w:color w:val="000000" w:themeColor="text1"/>
          <w:sz w:val="24"/>
          <w:szCs w:val="24"/>
          <w:lang w:val="en-US"/>
        </w:rPr>
      </w:pPr>
    </w:p>
    <w:p w14:paraId="60600C5A" w14:textId="4753B9D4" w:rsidR="00E01322" w:rsidRDefault="008F4C1C" w:rsidP="00B54547">
      <w:pPr>
        <w:spacing w:after="0" w:line="240" w:lineRule="auto"/>
        <w:ind w:left="1440"/>
        <w:jc w:val="both"/>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t>Gedling</w:t>
      </w:r>
      <w:proofErr w:type="spellEnd"/>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Burton Joyce</w:t>
      </w:r>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Calverton</w:t>
      </w:r>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Carlton Hill</w:t>
      </w:r>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Carlton Square</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Gedling</w:t>
      </w:r>
      <w:proofErr w:type="spellEnd"/>
      <w:r w:rsidRPr="008F4C1C">
        <w:rPr>
          <w:rFonts w:ascii="Arial" w:hAnsi="Arial" w:cs="Arial"/>
          <w:color w:val="000000" w:themeColor="text1"/>
          <w:sz w:val="24"/>
          <w:szCs w:val="24"/>
          <w:lang w:val="en-US"/>
        </w:rPr>
        <w:t xml:space="preserve"> Colliery site</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Gedling</w:t>
      </w:r>
      <w:proofErr w:type="spellEnd"/>
      <w:r w:rsidRPr="008F4C1C">
        <w:rPr>
          <w:rFonts w:ascii="Arial" w:hAnsi="Arial" w:cs="Arial"/>
          <w:color w:val="000000" w:themeColor="text1"/>
          <w:sz w:val="24"/>
          <w:szCs w:val="24"/>
          <w:lang w:val="en-US"/>
        </w:rPr>
        <w:t xml:space="preserve"> Village</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Mapperley</w:t>
      </w:r>
      <w:proofErr w:type="spellEnd"/>
      <w:r w:rsidRPr="008F4C1C">
        <w:rPr>
          <w:rFonts w:ascii="Arial" w:hAnsi="Arial" w:cs="Arial"/>
          <w:color w:val="000000" w:themeColor="text1"/>
          <w:sz w:val="24"/>
          <w:szCs w:val="24"/>
          <w:lang w:val="en-US"/>
        </w:rPr>
        <w:t xml:space="preserve"> Plains</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Netherfield</w:t>
      </w:r>
      <w:proofErr w:type="spellEnd"/>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Ravenshead</w:t>
      </w:r>
      <w:proofErr w:type="spellEnd"/>
      <w:r w:rsidR="0006461C">
        <w:rPr>
          <w:rFonts w:ascii="Arial" w:hAnsi="Arial" w:cs="Arial"/>
          <w:color w:val="000000" w:themeColor="text1"/>
          <w:sz w:val="24"/>
          <w:szCs w:val="24"/>
          <w:lang w:val="en-US"/>
        </w:rPr>
        <w:t>.</w:t>
      </w:r>
    </w:p>
    <w:p w14:paraId="60971847" w14:textId="13FBD174" w:rsidR="008F4C1C" w:rsidRDefault="008F4C1C" w:rsidP="00B54547">
      <w:pPr>
        <w:spacing w:after="0" w:line="240" w:lineRule="auto"/>
        <w:ind w:left="1440"/>
        <w:jc w:val="both"/>
        <w:rPr>
          <w:rFonts w:ascii="Arial" w:hAnsi="Arial" w:cs="Arial"/>
          <w:color w:val="000000" w:themeColor="text1"/>
          <w:sz w:val="24"/>
          <w:szCs w:val="24"/>
          <w:lang w:val="en-US"/>
        </w:rPr>
      </w:pPr>
    </w:p>
    <w:p w14:paraId="66C86B36" w14:textId="22FE2437" w:rsidR="0F64DCCE" w:rsidRDefault="008F4C1C" w:rsidP="00B54547">
      <w:pPr>
        <w:spacing w:after="0" w:line="240" w:lineRule="auto"/>
        <w:ind w:left="1440"/>
        <w:jc w:val="both"/>
        <w:rPr>
          <w:rFonts w:ascii="Arial" w:hAnsi="Arial" w:cs="Arial"/>
          <w:color w:val="000000" w:themeColor="text1"/>
          <w:sz w:val="24"/>
          <w:szCs w:val="24"/>
          <w:lang w:val="en-US"/>
        </w:rPr>
      </w:pPr>
      <w:r>
        <w:rPr>
          <w:rFonts w:ascii="Arial" w:hAnsi="Arial" w:cs="Arial"/>
          <w:color w:val="000000" w:themeColor="text1"/>
          <w:sz w:val="24"/>
          <w:szCs w:val="24"/>
          <w:lang w:val="en-US"/>
        </w:rPr>
        <w:t xml:space="preserve">Nottingham City: </w:t>
      </w:r>
      <w:r w:rsidRPr="008F4C1C">
        <w:rPr>
          <w:rFonts w:ascii="Arial" w:hAnsi="Arial" w:cs="Arial"/>
          <w:color w:val="000000" w:themeColor="text1"/>
          <w:sz w:val="24"/>
          <w:szCs w:val="24"/>
          <w:lang w:val="en-US"/>
        </w:rPr>
        <w:t xml:space="preserve">Alfreton Road, Aspley Lane, </w:t>
      </w:r>
      <w:proofErr w:type="spellStart"/>
      <w:r w:rsidRPr="008F4C1C">
        <w:rPr>
          <w:rFonts w:ascii="Arial" w:hAnsi="Arial" w:cs="Arial"/>
          <w:color w:val="000000" w:themeColor="text1"/>
          <w:sz w:val="24"/>
          <w:szCs w:val="24"/>
          <w:lang w:val="en-US"/>
        </w:rPr>
        <w:t>Beckhampton</w:t>
      </w:r>
      <w:proofErr w:type="spellEnd"/>
      <w:r w:rsidRPr="008F4C1C">
        <w:rPr>
          <w:rFonts w:ascii="Arial" w:hAnsi="Arial" w:cs="Arial"/>
          <w:color w:val="000000" w:themeColor="text1"/>
          <w:sz w:val="24"/>
          <w:szCs w:val="24"/>
          <w:lang w:val="en-US"/>
        </w:rPr>
        <w:t xml:space="preserve"> Road, </w:t>
      </w:r>
      <w:proofErr w:type="spellStart"/>
      <w:r w:rsidRPr="008F4C1C">
        <w:rPr>
          <w:rFonts w:ascii="Arial" w:hAnsi="Arial" w:cs="Arial"/>
          <w:color w:val="000000" w:themeColor="text1"/>
          <w:sz w:val="24"/>
          <w:szCs w:val="24"/>
          <w:lang w:val="en-US"/>
        </w:rPr>
        <w:t>Bracebridge</w:t>
      </w:r>
      <w:proofErr w:type="spellEnd"/>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 xml:space="preserve">Drive, </w:t>
      </w:r>
      <w:proofErr w:type="spellStart"/>
      <w:r w:rsidRPr="008F4C1C">
        <w:rPr>
          <w:rFonts w:ascii="Arial" w:hAnsi="Arial" w:cs="Arial"/>
          <w:color w:val="000000" w:themeColor="text1"/>
          <w:sz w:val="24"/>
          <w:szCs w:val="24"/>
          <w:lang w:val="en-US"/>
        </w:rPr>
        <w:t>Bramcote</w:t>
      </w:r>
      <w:proofErr w:type="spellEnd"/>
      <w:r w:rsidRPr="008F4C1C">
        <w:rPr>
          <w:rFonts w:ascii="Arial" w:hAnsi="Arial" w:cs="Arial"/>
          <w:color w:val="000000" w:themeColor="text1"/>
          <w:sz w:val="24"/>
          <w:szCs w:val="24"/>
          <w:lang w:val="en-US"/>
        </w:rPr>
        <w:t xml:space="preserve"> Lane, </w:t>
      </w:r>
      <w:proofErr w:type="spellStart"/>
      <w:r w:rsidRPr="008F4C1C">
        <w:rPr>
          <w:rFonts w:ascii="Arial" w:hAnsi="Arial" w:cs="Arial"/>
          <w:color w:val="000000" w:themeColor="text1"/>
          <w:sz w:val="24"/>
          <w:szCs w:val="24"/>
          <w:lang w:val="en-US"/>
        </w:rPr>
        <w:t>Bridgeway</w:t>
      </w:r>
      <w:proofErr w:type="spellEnd"/>
      <w:r w:rsidRPr="008F4C1C">
        <w:rPr>
          <w:rFonts w:ascii="Arial" w:hAnsi="Arial" w:cs="Arial"/>
          <w:color w:val="000000" w:themeColor="text1"/>
          <w:sz w:val="24"/>
          <w:szCs w:val="24"/>
          <w:lang w:val="en-US"/>
        </w:rPr>
        <w:t xml:space="preserve"> Centre, Carrington, Mansfield Road, </w:t>
      </w:r>
      <w:proofErr w:type="spellStart"/>
      <w:r w:rsidRPr="008F4C1C">
        <w:rPr>
          <w:rFonts w:ascii="Arial" w:hAnsi="Arial" w:cs="Arial"/>
          <w:color w:val="000000" w:themeColor="text1"/>
          <w:sz w:val="24"/>
          <w:szCs w:val="24"/>
          <w:lang w:val="en-US"/>
        </w:rPr>
        <w:t>Nuthall</w:t>
      </w:r>
      <w:proofErr w:type="spellEnd"/>
      <w:r>
        <w:rPr>
          <w:rFonts w:ascii="Arial" w:hAnsi="Arial" w:cs="Arial"/>
          <w:color w:val="000000" w:themeColor="text1"/>
          <w:sz w:val="24"/>
          <w:szCs w:val="24"/>
          <w:lang w:val="en-US"/>
        </w:rPr>
        <w:t xml:space="preserve"> </w:t>
      </w:r>
      <w:r w:rsidRPr="008F4C1C">
        <w:rPr>
          <w:rFonts w:ascii="Arial" w:hAnsi="Arial" w:cs="Arial"/>
          <w:color w:val="000000" w:themeColor="text1"/>
          <w:sz w:val="24"/>
          <w:szCs w:val="24"/>
          <w:lang w:val="en-US"/>
        </w:rPr>
        <w:t xml:space="preserve">Road, Robin Hood Chase, </w:t>
      </w:r>
      <w:proofErr w:type="spellStart"/>
      <w:r w:rsidRPr="008F4C1C">
        <w:rPr>
          <w:rFonts w:ascii="Arial" w:hAnsi="Arial" w:cs="Arial"/>
          <w:color w:val="000000" w:themeColor="text1"/>
          <w:sz w:val="24"/>
          <w:szCs w:val="24"/>
          <w:lang w:val="en-US"/>
        </w:rPr>
        <w:t>Sneinton</w:t>
      </w:r>
      <w:proofErr w:type="spellEnd"/>
      <w:r w:rsidRPr="008F4C1C">
        <w:rPr>
          <w:rFonts w:ascii="Arial" w:hAnsi="Arial" w:cs="Arial"/>
          <w:color w:val="000000" w:themeColor="text1"/>
          <w:sz w:val="24"/>
          <w:szCs w:val="24"/>
          <w:lang w:val="en-US"/>
        </w:rPr>
        <w:t xml:space="preserve"> Dale and </w:t>
      </w:r>
      <w:proofErr w:type="spellStart"/>
      <w:r w:rsidRPr="008F4C1C">
        <w:rPr>
          <w:rFonts w:ascii="Arial" w:hAnsi="Arial" w:cs="Arial"/>
          <w:color w:val="000000" w:themeColor="text1"/>
          <w:sz w:val="24"/>
          <w:szCs w:val="24"/>
          <w:lang w:val="en-US"/>
        </w:rPr>
        <w:t>Strelley</w:t>
      </w:r>
      <w:proofErr w:type="spellEnd"/>
      <w:r w:rsidRPr="008F4C1C">
        <w:rPr>
          <w:rFonts w:ascii="Arial" w:hAnsi="Arial" w:cs="Arial"/>
          <w:color w:val="000000" w:themeColor="text1"/>
          <w:sz w:val="24"/>
          <w:szCs w:val="24"/>
          <w:lang w:val="en-US"/>
        </w:rPr>
        <w:t xml:space="preserve"> Road</w:t>
      </w:r>
      <w:r w:rsidR="0006461C">
        <w:rPr>
          <w:rFonts w:ascii="Arial" w:hAnsi="Arial" w:cs="Arial"/>
          <w:color w:val="000000" w:themeColor="text1"/>
          <w:sz w:val="24"/>
          <w:szCs w:val="24"/>
          <w:lang w:val="en-US"/>
        </w:rPr>
        <w:t>.</w:t>
      </w:r>
      <w:r w:rsidRPr="008F4C1C">
        <w:rPr>
          <w:rFonts w:ascii="Arial" w:hAnsi="Arial" w:cs="Arial"/>
          <w:color w:val="000000" w:themeColor="text1"/>
          <w:sz w:val="24"/>
          <w:szCs w:val="24"/>
          <w:lang w:val="en-US"/>
        </w:rPr>
        <w:cr/>
      </w:r>
    </w:p>
    <w:p w14:paraId="6A56CDD9" w14:textId="41B1B1B9" w:rsidR="008F4C1C" w:rsidRDefault="008F4C1C" w:rsidP="00B54547">
      <w:pPr>
        <w:spacing w:after="0" w:line="240" w:lineRule="auto"/>
        <w:ind w:left="1440"/>
        <w:jc w:val="both"/>
        <w:rPr>
          <w:rFonts w:ascii="Arial" w:hAnsi="Arial" w:cs="Arial"/>
          <w:color w:val="000000" w:themeColor="text1"/>
          <w:sz w:val="24"/>
          <w:szCs w:val="24"/>
          <w:lang w:val="en-US"/>
        </w:rPr>
      </w:pPr>
      <w:proofErr w:type="spellStart"/>
      <w:r>
        <w:rPr>
          <w:rFonts w:ascii="Arial" w:hAnsi="Arial" w:cs="Arial"/>
          <w:color w:val="000000" w:themeColor="text1"/>
          <w:sz w:val="24"/>
          <w:szCs w:val="24"/>
          <w:lang w:val="en-US"/>
        </w:rPr>
        <w:lastRenderedPageBreak/>
        <w:t>Rushcliffe</w:t>
      </w:r>
      <w:proofErr w:type="spellEnd"/>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Cotgrave</w:t>
      </w:r>
      <w:proofErr w:type="spellEnd"/>
      <w:r w:rsidRPr="008F4C1C">
        <w:rPr>
          <w:rFonts w:ascii="Arial" w:hAnsi="Arial" w:cs="Arial"/>
          <w:color w:val="000000" w:themeColor="text1"/>
          <w:sz w:val="24"/>
          <w:szCs w:val="24"/>
          <w:lang w:val="en-US"/>
        </w:rPr>
        <w:t xml:space="preserve">, East </w:t>
      </w:r>
      <w:proofErr w:type="spellStart"/>
      <w:r w:rsidRPr="008F4C1C">
        <w:rPr>
          <w:rFonts w:ascii="Arial" w:hAnsi="Arial" w:cs="Arial"/>
          <w:color w:val="000000" w:themeColor="text1"/>
          <w:sz w:val="24"/>
          <w:szCs w:val="24"/>
          <w:lang w:val="en-US"/>
        </w:rPr>
        <w:t>Leake</w:t>
      </w:r>
      <w:proofErr w:type="spellEnd"/>
      <w:r w:rsidRPr="008F4C1C">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Keyworth</w:t>
      </w:r>
      <w:proofErr w:type="spellEnd"/>
      <w:r w:rsidRPr="008F4C1C">
        <w:rPr>
          <w:rFonts w:ascii="Arial" w:hAnsi="Arial" w:cs="Arial"/>
          <w:color w:val="000000" w:themeColor="text1"/>
          <w:sz w:val="24"/>
          <w:szCs w:val="24"/>
          <w:lang w:val="en-US"/>
        </w:rPr>
        <w:t xml:space="preserve"> (The Square),</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Keyworth</w:t>
      </w:r>
      <w:proofErr w:type="spellEnd"/>
      <w:r w:rsidRPr="008F4C1C">
        <w:rPr>
          <w:rFonts w:ascii="Arial" w:hAnsi="Arial" w:cs="Arial"/>
          <w:color w:val="000000" w:themeColor="text1"/>
          <w:sz w:val="24"/>
          <w:szCs w:val="24"/>
          <w:lang w:val="en-US"/>
        </w:rPr>
        <w:t xml:space="preserve"> (Wolds Drive), Radcliffe on Trent and</w:t>
      </w:r>
      <w:r>
        <w:rPr>
          <w:rFonts w:ascii="Arial" w:hAnsi="Arial" w:cs="Arial"/>
          <w:color w:val="000000" w:themeColor="text1"/>
          <w:sz w:val="24"/>
          <w:szCs w:val="24"/>
          <w:lang w:val="en-US"/>
        </w:rPr>
        <w:t xml:space="preserve"> </w:t>
      </w:r>
      <w:proofErr w:type="spellStart"/>
      <w:r w:rsidRPr="008F4C1C">
        <w:rPr>
          <w:rFonts w:ascii="Arial" w:hAnsi="Arial" w:cs="Arial"/>
          <w:color w:val="000000" w:themeColor="text1"/>
          <w:sz w:val="24"/>
          <w:szCs w:val="24"/>
          <w:lang w:val="en-US"/>
        </w:rPr>
        <w:t>Ruddington</w:t>
      </w:r>
      <w:proofErr w:type="spellEnd"/>
      <w:r w:rsidRPr="008F4C1C">
        <w:rPr>
          <w:rFonts w:ascii="Arial" w:hAnsi="Arial" w:cs="Arial"/>
          <w:color w:val="000000" w:themeColor="text1"/>
          <w:sz w:val="24"/>
          <w:szCs w:val="24"/>
          <w:lang w:val="en-US"/>
        </w:rPr>
        <w:t>.</w:t>
      </w:r>
    </w:p>
    <w:p w14:paraId="1C4A0CC8" w14:textId="22C1F78D" w:rsidR="008F4C1C" w:rsidRDefault="008F4C1C" w:rsidP="00B54547">
      <w:pPr>
        <w:spacing w:after="0" w:line="240" w:lineRule="auto"/>
        <w:ind w:left="1440"/>
        <w:jc w:val="both"/>
        <w:rPr>
          <w:rFonts w:ascii="Arial" w:hAnsi="Arial" w:cs="Arial"/>
          <w:color w:val="000000" w:themeColor="text1"/>
          <w:sz w:val="24"/>
          <w:szCs w:val="24"/>
          <w:lang w:val="en-US"/>
        </w:rPr>
      </w:pPr>
    </w:p>
    <w:p w14:paraId="5FC6CC75" w14:textId="56811AF4" w:rsidR="00E01322" w:rsidRPr="000C4D3F" w:rsidRDefault="00E01322" w:rsidP="00B54547">
      <w:pPr>
        <w:numPr>
          <w:ilvl w:val="0"/>
          <w:numId w:val="9"/>
        </w:numPr>
        <w:spacing w:after="0" w:line="240" w:lineRule="auto"/>
        <w:jc w:val="both"/>
        <w:rPr>
          <w:rFonts w:ascii="Arial" w:hAnsi="Arial" w:cs="Arial"/>
          <w:color w:val="000000" w:themeColor="text1"/>
          <w:sz w:val="24"/>
          <w:szCs w:val="24"/>
          <w:lang w:val="en-US"/>
        </w:rPr>
      </w:pPr>
      <w:proofErr w:type="spellStart"/>
      <w:r w:rsidRPr="598428D3">
        <w:rPr>
          <w:rFonts w:ascii="Arial" w:hAnsi="Arial" w:cs="Arial"/>
          <w:color w:val="000000" w:themeColor="text1"/>
          <w:sz w:val="24"/>
          <w:szCs w:val="24"/>
          <w:lang w:val="en-US"/>
        </w:rPr>
        <w:t>Centres</w:t>
      </w:r>
      <w:proofErr w:type="spellEnd"/>
      <w:r w:rsidRPr="598428D3">
        <w:rPr>
          <w:rFonts w:ascii="Arial" w:hAnsi="Arial" w:cs="Arial"/>
          <w:color w:val="000000" w:themeColor="text1"/>
          <w:sz w:val="24"/>
          <w:szCs w:val="24"/>
          <w:lang w:val="en-US"/>
        </w:rPr>
        <w:t xml:space="preserve"> of </w:t>
      </w:r>
      <w:proofErr w:type="spellStart"/>
      <w:r w:rsidRPr="598428D3">
        <w:rPr>
          <w:rFonts w:ascii="Arial" w:hAnsi="Arial" w:cs="Arial"/>
          <w:color w:val="000000" w:themeColor="text1"/>
          <w:sz w:val="24"/>
          <w:szCs w:val="24"/>
          <w:lang w:val="en-US"/>
        </w:rPr>
        <w:t>Neighbourhood</w:t>
      </w:r>
      <w:proofErr w:type="spellEnd"/>
      <w:r w:rsidRPr="598428D3">
        <w:rPr>
          <w:rFonts w:ascii="Arial" w:hAnsi="Arial" w:cs="Arial"/>
          <w:color w:val="000000" w:themeColor="text1"/>
          <w:sz w:val="24"/>
          <w:szCs w:val="24"/>
          <w:lang w:val="en-US"/>
        </w:rPr>
        <w:t xml:space="preserve"> Importance (identified in Local Plans</w:t>
      </w:r>
      <w:r w:rsidR="08EDA263" w:rsidRPr="598428D3">
        <w:rPr>
          <w:rFonts w:ascii="Arial" w:hAnsi="Arial" w:cs="Arial"/>
          <w:color w:val="000000" w:themeColor="text1"/>
          <w:sz w:val="24"/>
          <w:szCs w:val="24"/>
          <w:lang w:val="en-US"/>
        </w:rPr>
        <w:t xml:space="preserve"> and the new centre at </w:t>
      </w:r>
      <w:proofErr w:type="spellStart"/>
      <w:r w:rsidR="08EDA263" w:rsidRPr="598428D3">
        <w:rPr>
          <w:rFonts w:ascii="Arial" w:hAnsi="Arial" w:cs="Arial"/>
          <w:color w:val="000000" w:themeColor="text1"/>
          <w:sz w:val="24"/>
          <w:szCs w:val="24"/>
          <w:lang w:val="en-US"/>
        </w:rPr>
        <w:t>Edwalton</w:t>
      </w:r>
      <w:proofErr w:type="spellEnd"/>
      <w:r w:rsidR="08EDA263" w:rsidRPr="598428D3">
        <w:rPr>
          <w:rFonts w:ascii="Arial" w:hAnsi="Arial" w:cs="Arial"/>
          <w:color w:val="000000" w:themeColor="text1"/>
          <w:sz w:val="24"/>
          <w:szCs w:val="24"/>
          <w:lang w:val="en-US"/>
        </w:rPr>
        <w:t xml:space="preserve"> Park</w:t>
      </w:r>
      <w:r w:rsidR="00AB6EF5">
        <w:rPr>
          <w:rFonts w:ascii="Arial" w:hAnsi="Arial" w:cs="Arial"/>
          <w:color w:val="000000" w:themeColor="text1"/>
          <w:sz w:val="24"/>
          <w:szCs w:val="24"/>
          <w:lang w:val="en-US"/>
        </w:rPr>
        <w:t xml:space="preserve">, </w:t>
      </w:r>
      <w:proofErr w:type="spellStart"/>
      <w:r w:rsidR="00AB6EF5">
        <w:rPr>
          <w:rFonts w:ascii="Arial" w:hAnsi="Arial" w:cs="Arial"/>
          <w:color w:val="000000" w:themeColor="text1"/>
          <w:sz w:val="24"/>
          <w:szCs w:val="24"/>
          <w:lang w:val="en-US"/>
        </w:rPr>
        <w:t>Rushcliffe</w:t>
      </w:r>
      <w:proofErr w:type="spellEnd"/>
      <w:r w:rsidR="08EDA263" w:rsidRPr="598428D3">
        <w:rPr>
          <w:rFonts w:ascii="Arial" w:hAnsi="Arial" w:cs="Arial"/>
          <w:color w:val="000000" w:themeColor="text1"/>
          <w:sz w:val="24"/>
          <w:szCs w:val="24"/>
          <w:lang w:val="en-US"/>
        </w:rPr>
        <w:t>).</w:t>
      </w:r>
    </w:p>
    <w:p w14:paraId="4443447B" w14:textId="77777777" w:rsidR="00A87C5C" w:rsidRDefault="00A87C5C" w:rsidP="00B54547">
      <w:pPr>
        <w:spacing w:after="0" w:line="240" w:lineRule="auto"/>
        <w:jc w:val="both"/>
        <w:rPr>
          <w:rFonts w:ascii="Arial" w:eastAsiaTheme="majorEastAsia" w:hAnsi="Arial" w:cs="Arial"/>
          <w:b/>
          <w:color w:val="000000" w:themeColor="text1"/>
          <w:sz w:val="24"/>
          <w:szCs w:val="24"/>
          <w:lang w:val="en-US"/>
        </w:rPr>
      </w:pPr>
    </w:p>
    <w:p w14:paraId="4E97E8B5" w14:textId="0EB6AE46" w:rsidR="00B26604" w:rsidRDefault="00176856" w:rsidP="00B54547">
      <w:pPr>
        <w:spacing w:after="0" w:line="240" w:lineRule="auto"/>
        <w:ind w:left="426" w:firstLine="720"/>
        <w:jc w:val="both"/>
        <w:rPr>
          <w:rFonts w:ascii="Arial" w:hAnsi="Arial" w:cs="Arial"/>
          <w:sz w:val="24"/>
          <w:szCs w:val="24"/>
          <w:lang w:val="en-US"/>
        </w:rPr>
      </w:pPr>
      <w:r w:rsidRPr="598428D3">
        <w:rPr>
          <w:rFonts w:ascii="Arial" w:hAnsi="Arial" w:cs="Arial"/>
          <w:sz w:val="24"/>
          <w:szCs w:val="24"/>
          <w:lang w:val="en-US"/>
        </w:rPr>
        <w:t>f. L</w:t>
      </w:r>
      <w:r w:rsidR="00B26604" w:rsidRPr="598428D3">
        <w:rPr>
          <w:rFonts w:ascii="Arial" w:hAnsi="Arial" w:cs="Arial"/>
          <w:sz w:val="24"/>
          <w:szCs w:val="24"/>
          <w:lang w:val="en-US"/>
        </w:rPr>
        <w:t xml:space="preserve">arge </w:t>
      </w:r>
      <w:r w:rsidR="4021C859" w:rsidRPr="598428D3">
        <w:rPr>
          <w:rFonts w:ascii="Arial" w:hAnsi="Arial" w:cs="Arial"/>
          <w:sz w:val="24"/>
          <w:szCs w:val="24"/>
          <w:lang w:val="en-US"/>
        </w:rPr>
        <w:t>O</w:t>
      </w:r>
      <w:r w:rsidR="00B26604" w:rsidRPr="598428D3">
        <w:rPr>
          <w:rFonts w:ascii="Arial" w:hAnsi="Arial" w:cs="Arial"/>
          <w:sz w:val="24"/>
          <w:szCs w:val="24"/>
          <w:lang w:val="en-US"/>
        </w:rPr>
        <w:t>ut-</w:t>
      </w:r>
      <w:r w:rsidR="5E3A3D67" w:rsidRPr="598428D3">
        <w:rPr>
          <w:rFonts w:ascii="Arial" w:hAnsi="Arial" w:cs="Arial"/>
          <w:sz w:val="24"/>
          <w:szCs w:val="24"/>
          <w:lang w:val="en-US"/>
        </w:rPr>
        <w:t>O</w:t>
      </w:r>
      <w:r w:rsidR="00B26604" w:rsidRPr="598428D3">
        <w:rPr>
          <w:rFonts w:ascii="Arial" w:hAnsi="Arial" w:cs="Arial"/>
          <w:sz w:val="24"/>
          <w:szCs w:val="24"/>
          <w:lang w:val="en-US"/>
        </w:rPr>
        <w:t>f-</w:t>
      </w:r>
      <w:r w:rsidR="19267470" w:rsidRPr="598428D3">
        <w:rPr>
          <w:rFonts w:ascii="Arial" w:hAnsi="Arial" w:cs="Arial"/>
          <w:sz w:val="24"/>
          <w:szCs w:val="24"/>
          <w:lang w:val="en-US"/>
        </w:rPr>
        <w:t>T</w:t>
      </w:r>
      <w:r w:rsidR="00B26604" w:rsidRPr="598428D3">
        <w:rPr>
          <w:rFonts w:ascii="Arial" w:hAnsi="Arial" w:cs="Arial"/>
          <w:sz w:val="24"/>
          <w:szCs w:val="24"/>
          <w:lang w:val="en-US"/>
        </w:rPr>
        <w:t xml:space="preserve">own retail parks: </w:t>
      </w:r>
    </w:p>
    <w:p w14:paraId="1B974D07" w14:textId="77777777" w:rsidR="00BC4D84" w:rsidRDefault="00B26604" w:rsidP="00B54547">
      <w:pPr>
        <w:pStyle w:val="ListParagraph"/>
        <w:numPr>
          <w:ilvl w:val="0"/>
          <w:numId w:val="23"/>
        </w:numPr>
        <w:spacing w:after="0" w:line="240" w:lineRule="auto"/>
        <w:ind w:left="1530" w:hanging="450"/>
        <w:jc w:val="both"/>
        <w:rPr>
          <w:rFonts w:cs="Arial"/>
          <w:szCs w:val="24"/>
          <w:lang w:val="en-US"/>
        </w:rPr>
      </w:pPr>
      <w:r w:rsidRPr="00BC4D84">
        <w:rPr>
          <w:rFonts w:cs="Arial"/>
          <w:szCs w:val="24"/>
          <w:lang w:val="en-US"/>
        </w:rPr>
        <w:t xml:space="preserve">Broxtowe: </w:t>
      </w:r>
    </w:p>
    <w:p w14:paraId="3D815357" w14:textId="2FFD183B" w:rsidR="00B26604" w:rsidRPr="00BC4D84" w:rsidRDefault="00B26604" w:rsidP="00B54547">
      <w:pPr>
        <w:pStyle w:val="ListParagraph"/>
        <w:spacing w:after="0" w:line="240" w:lineRule="auto"/>
        <w:ind w:left="1530"/>
        <w:jc w:val="both"/>
        <w:rPr>
          <w:rFonts w:cs="Arial"/>
          <w:szCs w:val="24"/>
          <w:lang w:val="en-US"/>
        </w:rPr>
      </w:pPr>
      <w:proofErr w:type="spellStart"/>
      <w:r w:rsidRPr="00BC4D84">
        <w:rPr>
          <w:rFonts w:cs="Arial"/>
          <w:szCs w:val="24"/>
          <w:lang w:val="en-US"/>
        </w:rPr>
        <w:t>Chilwell</w:t>
      </w:r>
      <w:proofErr w:type="spellEnd"/>
      <w:r w:rsidRPr="00BC4D84">
        <w:rPr>
          <w:rFonts w:cs="Arial"/>
          <w:szCs w:val="24"/>
          <w:lang w:val="en-US"/>
        </w:rPr>
        <w:t xml:space="preserve"> Retail Park, </w:t>
      </w:r>
      <w:proofErr w:type="spellStart"/>
      <w:r w:rsidRPr="00BC4D84">
        <w:rPr>
          <w:rFonts w:cs="Arial"/>
          <w:szCs w:val="24"/>
          <w:lang w:val="en-US"/>
        </w:rPr>
        <w:t>Giltbrook</w:t>
      </w:r>
      <w:proofErr w:type="spellEnd"/>
      <w:r w:rsidRPr="00BC4D84">
        <w:rPr>
          <w:rFonts w:cs="Arial"/>
          <w:szCs w:val="24"/>
          <w:lang w:val="en-US"/>
        </w:rPr>
        <w:t xml:space="preserve"> Retail Park </w:t>
      </w:r>
    </w:p>
    <w:p w14:paraId="4BF6F20E" w14:textId="77777777" w:rsidR="00BC4D84" w:rsidRDefault="00BC4D84" w:rsidP="00B54547">
      <w:pPr>
        <w:pStyle w:val="ListParagraph"/>
        <w:spacing w:after="0" w:line="240" w:lineRule="auto"/>
        <w:ind w:left="1530"/>
        <w:jc w:val="both"/>
        <w:rPr>
          <w:rFonts w:cs="Arial"/>
          <w:szCs w:val="24"/>
          <w:lang w:val="en-US"/>
        </w:rPr>
      </w:pPr>
    </w:p>
    <w:p w14:paraId="2B2F40BD" w14:textId="77777777" w:rsidR="00BC4D84" w:rsidRDefault="00B26604" w:rsidP="00B54547">
      <w:pPr>
        <w:pStyle w:val="ListParagraph"/>
        <w:numPr>
          <w:ilvl w:val="0"/>
          <w:numId w:val="23"/>
        </w:numPr>
        <w:spacing w:after="0" w:line="240" w:lineRule="auto"/>
        <w:ind w:left="1530" w:hanging="450"/>
        <w:jc w:val="both"/>
        <w:rPr>
          <w:rFonts w:cs="Arial"/>
          <w:szCs w:val="24"/>
          <w:lang w:val="en-US"/>
        </w:rPr>
      </w:pPr>
      <w:proofErr w:type="spellStart"/>
      <w:r w:rsidRPr="00BC4D84">
        <w:rPr>
          <w:rFonts w:cs="Arial"/>
          <w:szCs w:val="24"/>
          <w:lang w:val="en-US"/>
        </w:rPr>
        <w:t>Gedling</w:t>
      </w:r>
      <w:proofErr w:type="spellEnd"/>
      <w:r w:rsidRPr="00BC4D84">
        <w:rPr>
          <w:rFonts w:cs="Arial"/>
          <w:szCs w:val="24"/>
          <w:lang w:val="en-US"/>
        </w:rPr>
        <w:t xml:space="preserve">: </w:t>
      </w:r>
    </w:p>
    <w:p w14:paraId="32574D3E" w14:textId="16F9DBDC" w:rsidR="00B26604" w:rsidRDefault="007C69F0" w:rsidP="00B54547">
      <w:pPr>
        <w:pStyle w:val="ListParagraph"/>
        <w:spacing w:after="0" w:line="240" w:lineRule="auto"/>
        <w:ind w:left="1530"/>
        <w:jc w:val="both"/>
        <w:rPr>
          <w:rFonts w:cs="Arial"/>
          <w:szCs w:val="24"/>
          <w:lang w:val="en-US"/>
        </w:rPr>
      </w:pPr>
      <w:proofErr w:type="spellStart"/>
      <w:r w:rsidRPr="00BC4D84">
        <w:rPr>
          <w:rFonts w:cs="Arial"/>
          <w:szCs w:val="24"/>
          <w:lang w:val="en-US"/>
        </w:rPr>
        <w:t>Madford</w:t>
      </w:r>
      <w:proofErr w:type="spellEnd"/>
      <w:r w:rsidRPr="00BC4D84">
        <w:rPr>
          <w:rFonts w:cs="Arial"/>
          <w:szCs w:val="24"/>
          <w:lang w:val="en-US"/>
        </w:rPr>
        <w:t xml:space="preserve"> Retail Park, Victoria Retail Park</w:t>
      </w:r>
    </w:p>
    <w:p w14:paraId="0A745035" w14:textId="77777777" w:rsidR="00BC4D84" w:rsidRPr="00BC4D84" w:rsidRDefault="00BC4D84" w:rsidP="00B54547">
      <w:pPr>
        <w:pStyle w:val="ListParagraph"/>
        <w:spacing w:after="0" w:line="240" w:lineRule="auto"/>
        <w:ind w:left="1530"/>
        <w:jc w:val="both"/>
        <w:rPr>
          <w:rFonts w:cs="Arial"/>
          <w:szCs w:val="24"/>
          <w:lang w:val="en-US"/>
        </w:rPr>
      </w:pPr>
    </w:p>
    <w:p w14:paraId="4DC8CCB4" w14:textId="231E3276" w:rsidR="00B26604" w:rsidRPr="00BC4D84" w:rsidRDefault="00B26604" w:rsidP="00B54547">
      <w:pPr>
        <w:pStyle w:val="ListParagraph"/>
        <w:numPr>
          <w:ilvl w:val="0"/>
          <w:numId w:val="23"/>
        </w:numPr>
        <w:spacing w:after="0" w:line="240" w:lineRule="auto"/>
        <w:ind w:left="1530" w:hanging="450"/>
        <w:jc w:val="both"/>
        <w:rPr>
          <w:rFonts w:cs="Arial"/>
          <w:szCs w:val="24"/>
          <w:lang w:val="en-US"/>
        </w:rPr>
      </w:pPr>
      <w:r w:rsidRPr="00BC4D84">
        <w:rPr>
          <w:rFonts w:cs="Arial"/>
          <w:szCs w:val="24"/>
          <w:lang w:val="en-US"/>
        </w:rPr>
        <w:t xml:space="preserve">Nottingham City: </w:t>
      </w:r>
    </w:p>
    <w:p w14:paraId="5882A225" w14:textId="765D32D4" w:rsidR="00BC4D84" w:rsidRPr="00BC4D84" w:rsidRDefault="00BC4D84" w:rsidP="00B54547">
      <w:pPr>
        <w:pStyle w:val="ListParagraph"/>
        <w:spacing w:after="0" w:line="240" w:lineRule="auto"/>
        <w:ind w:left="1530"/>
        <w:jc w:val="both"/>
        <w:rPr>
          <w:rFonts w:cs="Arial"/>
          <w:szCs w:val="24"/>
          <w:lang w:val="en-US"/>
        </w:rPr>
      </w:pPr>
      <w:r w:rsidRPr="00BC4D84">
        <w:rPr>
          <w:rFonts w:cs="Arial"/>
          <w:szCs w:val="24"/>
          <w:lang w:val="en-US"/>
        </w:rPr>
        <w:t xml:space="preserve">Castle Retail Park </w:t>
      </w:r>
    </w:p>
    <w:p w14:paraId="7073E493" w14:textId="2F52E13E" w:rsidR="00BC4D84" w:rsidRPr="00BC4D84" w:rsidRDefault="00BC4D84" w:rsidP="00B54547">
      <w:pPr>
        <w:pStyle w:val="ListParagraph"/>
        <w:spacing w:after="0" w:line="240" w:lineRule="auto"/>
        <w:ind w:left="1530"/>
        <w:jc w:val="both"/>
        <w:rPr>
          <w:rFonts w:cs="Arial"/>
          <w:szCs w:val="24"/>
          <w:lang w:val="en-US"/>
        </w:rPr>
      </w:pPr>
      <w:r w:rsidRPr="00BC4D84">
        <w:rPr>
          <w:rFonts w:cs="Arial"/>
          <w:szCs w:val="24"/>
          <w:lang w:val="en-US"/>
        </w:rPr>
        <w:t xml:space="preserve">Castle Marina Retail Park </w:t>
      </w:r>
    </w:p>
    <w:p w14:paraId="1997D7D9" w14:textId="707A7160" w:rsidR="00BC4D84" w:rsidRPr="00BC4D84" w:rsidRDefault="00BC4D84" w:rsidP="00B54547">
      <w:pPr>
        <w:pStyle w:val="ListParagraph"/>
        <w:spacing w:after="0" w:line="240" w:lineRule="auto"/>
        <w:ind w:left="1530"/>
        <w:jc w:val="both"/>
        <w:rPr>
          <w:rFonts w:cs="Arial"/>
          <w:szCs w:val="24"/>
          <w:lang w:val="en-US"/>
        </w:rPr>
      </w:pPr>
      <w:r w:rsidRPr="00BC4D84">
        <w:rPr>
          <w:rFonts w:cs="Arial"/>
          <w:szCs w:val="24"/>
          <w:lang w:val="en-US"/>
        </w:rPr>
        <w:t xml:space="preserve">Lady Bay Retail Park </w:t>
      </w:r>
    </w:p>
    <w:p w14:paraId="245C5C73" w14:textId="0A9C62D6" w:rsidR="00BC4D84" w:rsidRDefault="00BC4D84" w:rsidP="00B54547">
      <w:pPr>
        <w:pStyle w:val="ListParagraph"/>
        <w:spacing w:after="0" w:line="240" w:lineRule="auto"/>
        <w:ind w:left="1530"/>
        <w:jc w:val="both"/>
        <w:rPr>
          <w:rFonts w:cs="Arial"/>
          <w:szCs w:val="24"/>
          <w:lang w:val="en-US"/>
        </w:rPr>
      </w:pPr>
      <w:r w:rsidRPr="00BC4D84">
        <w:rPr>
          <w:rFonts w:cs="Arial"/>
          <w:szCs w:val="24"/>
          <w:lang w:val="en-US"/>
        </w:rPr>
        <w:t xml:space="preserve">Riverside Retail Park </w:t>
      </w:r>
    </w:p>
    <w:p w14:paraId="2C884F1C" w14:textId="1871E2CB" w:rsidR="00BC4D84" w:rsidRPr="00BC4D84" w:rsidRDefault="00BC4D84" w:rsidP="00B54547">
      <w:pPr>
        <w:pStyle w:val="ListParagraph"/>
        <w:spacing w:after="0" w:line="240" w:lineRule="auto"/>
        <w:ind w:left="1530"/>
        <w:jc w:val="both"/>
        <w:rPr>
          <w:rFonts w:cs="Arial"/>
          <w:lang w:val="en-US"/>
        </w:rPr>
      </w:pPr>
      <w:r w:rsidRPr="6D07680D">
        <w:rPr>
          <w:rFonts w:cs="Arial"/>
          <w:lang w:val="en-US"/>
        </w:rPr>
        <w:t xml:space="preserve">Springfield Retail Park </w:t>
      </w:r>
    </w:p>
    <w:p w14:paraId="7F93B325" w14:textId="091210EC" w:rsidR="61B7E4AE" w:rsidRDefault="61B7E4AE" w:rsidP="00B54547">
      <w:pPr>
        <w:spacing w:after="0" w:line="240" w:lineRule="auto"/>
        <w:ind w:left="1530"/>
        <w:jc w:val="both"/>
        <w:rPr>
          <w:rFonts w:ascii="Arial" w:eastAsia="Arial" w:hAnsi="Arial" w:cs="Arial"/>
          <w:color w:val="44546A" w:themeColor="text2"/>
          <w:sz w:val="24"/>
          <w:szCs w:val="24"/>
          <w:lang w:val="en-US"/>
        </w:rPr>
      </w:pPr>
      <w:proofErr w:type="spellStart"/>
      <w:r w:rsidRPr="3EC2F802">
        <w:rPr>
          <w:rFonts w:ascii="Arial" w:eastAsia="Arial" w:hAnsi="Arial" w:cs="Arial"/>
          <w:sz w:val="24"/>
          <w:szCs w:val="24"/>
          <w:lang w:val="en-US"/>
        </w:rPr>
        <w:t>Beechdale</w:t>
      </w:r>
      <w:proofErr w:type="spellEnd"/>
      <w:r w:rsidRPr="3EC2F802">
        <w:rPr>
          <w:rFonts w:ascii="Arial" w:eastAsia="Arial" w:hAnsi="Arial" w:cs="Arial"/>
          <w:sz w:val="24"/>
          <w:szCs w:val="24"/>
          <w:lang w:val="en-US"/>
        </w:rPr>
        <w:t xml:space="preserve"> Retail Park</w:t>
      </w:r>
    </w:p>
    <w:p w14:paraId="3016A973" w14:textId="49272E48" w:rsidR="61B7E4AE" w:rsidRDefault="61B7E4AE" w:rsidP="00B54547">
      <w:pPr>
        <w:spacing w:after="0" w:line="240" w:lineRule="auto"/>
        <w:ind w:left="1530"/>
        <w:jc w:val="both"/>
        <w:rPr>
          <w:rFonts w:ascii="Arial" w:eastAsia="Arial" w:hAnsi="Arial" w:cs="Arial"/>
          <w:color w:val="44546A" w:themeColor="text2"/>
          <w:sz w:val="24"/>
          <w:szCs w:val="24"/>
          <w:lang w:val="en-US"/>
        </w:rPr>
      </w:pPr>
      <w:r w:rsidRPr="3EC2F802">
        <w:rPr>
          <w:rFonts w:ascii="Arial" w:eastAsia="Arial" w:hAnsi="Arial" w:cs="Arial"/>
          <w:sz w:val="24"/>
          <w:szCs w:val="24"/>
          <w:lang w:val="en-US"/>
        </w:rPr>
        <w:t xml:space="preserve">East Point Retail Park, </w:t>
      </w:r>
      <w:proofErr w:type="spellStart"/>
      <w:r w:rsidRPr="3EC2F802">
        <w:rPr>
          <w:rFonts w:ascii="Arial" w:eastAsia="Arial" w:hAnsi="Arial" w:cs="Arial"/>
          <w:sz w:val="24"/>
          <w:szCs w:val="24"/>
          <w:lang w:val="en-US"/>
        </w:rPr>
        <w:t>Daleside</w:t>
      </w:r>
      <w:proofErr w:type="spellEnd"/>
      <w:r w:rsidRPr="3EC2F802">
        <w:rPr>
          <w:rFonts w:ascii="Arial" w:eastAsia="Arial" w:hAnsi="Arial" w:cs="Arial"/>
          <w:sz w:val="24"/>
          <w:szCs w:val="24"/>
          <w:lang w:val="en-US"/>
        </w:rPr>
        <w:t xml:space="preserve"> Road</w:t>
      </w:r>
    </w:p>
    <w:p w14:paraId="44581325" w14:textId="129E831E" w:rsidR="00BC4D84" w:rsidRDefault="61B7E4AE" w:rsidP="00B54547">
      <w:pPr>
        <w:spacing w:after="0" w:line="240" w:lineRule="auto"/>
        <w:ind w:left="1530"/>
        <w:jc w:val="both"/>
        <w:rPr>
          <w:rFonts w:ascii="Arial" w:eastAsia="Arial" w:hAnsi="Arial" w:cs="Arial"/>
          <w:color w:val="44546A" w:themeColor="text2"/>
          <w:sz w:val="24"/>
          <w:szCs w:val="24"/>
          <w:lang w:val="en-US"/>
        </w:rPr>
      </w:pPr>
      <w:r w:rsidRPr="3EC2F802">
        <w:rPr>
          <w:rFonts w:ascii="Arial" w:eastAsia="Arial" w:hAnsi="Arial" w:cs="Arial"/>
          <w:sz w:val="24"/>
          <w:szCs w:val="24"/>
          <w:lang w:val="en-US"/>
        </w:rPr>
        <w:t>Clifton Triangle Site, Green Lane</w:t>
      </w:r>
    </w:p>
    <w:p w14:paraId="6618DC41" w14:textId="77777777" w:rsidR="00AB6EF5" w:rsidRPr="00AB6EF5" w:rsidRDefault="00AB6EF5" w:rsidP="00B54547">
      <w:pPr>
        <w:spacing w:after="0" w:line="240" w:lineRule="auto"/>
        <w:ind w:left="1530"/>
        <w:jc w:val="both"/>
        <w:rPr>
          <w:rFonts w:ascii="Arial" w:eastAsia="Arial" w:hAnsi="Arial" w:cs="Arial"/>
          <w:color w:val="44546A" w:themeColor="text2"/>
          <w:sz w:val="24"/>
          <w:szCs w:val="24"/>
          <w:lang w:val="en-US"/>
        </w:rPr>
      </w:pPr>
    </w:p>
    <w:p w14:paraId="5DFDB56E" w14:textId="64163D3B" w:rsidR="00B26604" w:rsidRPr="00BC4D84" w:rsidRDefault="00B26604" w:rsidP="00B54547">
      <w:pPr>
        <w:pStyle w:val="ListParagraph"/>
        <w:numPr>
          <w:ilvl w:val="0"/>
          <w:numId w:val="23"/>
        </w:numPr>
        <w:spacing w:after="0" w:line="240" w:lineRule="auto"/>
        <w:ind w:left="1530" w:hanging="450"/>
        <w:jc w:val="both"/>
        <w:rPr>
          <w:rFonts w:cs="Arial"/>
          <w:lang w:val="en-US"/>
        </w:rPr>
      </w:pPr>
      <w:proofErr w:type="spellStart"/>
      <w:r w:rsidRPr="598428D3">
        <w:rPr>
          <w:rFonts w:cs="Arial"/>
          <w:lang w:val="en-US"/>
        </w:rPr>
        <w:t>Rushcliffe</w:t>
      </w:r>
      <w:proofErr w:type="spellEnd"/>
      <w:r w:rsidRPr="598428D3">
        <w:rPr>
          <w:rFonts w:cs="Arial"/>
          <w:lang w:val="en-US"/>
        </w:rPr>
        <w:t xml:space="preserve">: </w:t>
      </w:r>
    </w:p>
    <w:p w14:paraId="4437DA76" w14:textId="49C9657B" w:rsidR="00BC4D84" w:rsidRDefault="7B4440D2" w:rsidP="00B54547">
      <w:pPr>
        <w:pStyle w:val="ListParagraph"/>
        <w:spacing w:after="0" w:line="240" w:lineRule="auto"/>
        <w:ind w:left="1530"/>
        <w:jc w:val="both"/>
        <w:rPr>
          <w:rFonts w:cs="Arial"/>
          <w:lang w:val="en-US"/>
        </w:rPr>
      </w:pPr>
      <w:proofErr w:type="spellStart"/>
      <w:r w:rsidRPr="598428D3">
        <w:rPr>
          <w:rFonts w:cs="Arial"/>
          <w:lang w:val="en-US"/>
        </w:rPr>
        <w:t>Wilford</w:t>
      </w:r>
      <w:proofErr w:type="spellEnd"/>
      <w:r w:rsidRPr="598428D3">
        <w:rPr>
          <w:rFonts w:cs="Arial"/>
          <w:lang w:val="en-US"/>
        </w:rPr>
        <w:t xml:space="preserve"> Lane Retail Park</w:t>
      </w:r>
      <w:r w:rsidR="00BC4D84" w:rsidRPr="598428D3">
        <w:rPr>
          <w:rFonts w:cs="Arial"/>
          <w:lang w:val="en-US"/>
        </w:rPr>
        <w:t xml:space="preserve"> </w:t>
      </w:r>
    </w:p>
    <w:p w14:paraId="4E47061C" w14:textId="77777777" w:rsidR="00473BF2" w:rsidRPr="00BC4D84" w:rsidRDefault="00473BF2" w:rsidP="00B54547">
      <w:pPr>
        <w:pStyle w:val="ListParagraph"/>
        <w:spacing w:after="0" w:line="240" w:lineRule="auto"/>
        <w:ind w:left="1530"/>
        <w:jc w:val="both"/>
        <w:rPr>
          <w:rFonts w:cs="Arial"/>
          <w:lang w:val="en-US"/>
        </w:rPr>
      </w:pPr>
    </w:p>
    <w:p w14:paraId="3FF35913" w14:textId="51442A10" w:rsidR="00E01322" w:rsidRPr="00E01322" w:rsidRDefault="00F85DC7" w:rsidP="00B54547">
      <w:pPr>
        <w:pStyle w:val="Heading1"/>
        <w:spacing w:before="0" w:line="240" w:lineRule="auto"/>
        <w:ind w:left="720" w:hanging="720"/>
        <w:jc w:val="both"/>
      </w:pPr>
      <w:bookmarkStart w:id="5" w:name="_Toc138837826"/>
      <w:r>
        <w:t>P</w:t>
      </w:r>
      <w:r w:rsidR="00E01322">
        <w:t>revious Studies</w:t>
      </w:r>
      <w:bookmarkEnd w:id="5"/>
    </w:p>
    <w:p w14:paraId="075CF4BD" w14:textId="77777777" w:rsidR="00E01322" w:rsidRDefault="00E01322" w:rsidP="00B54547">
      <w:pPr>
        <w:pStyle w:val="ListParagraph"/>
        <w:spacing w:after="0" w:line="240" w:lineRule="auto"/>
        <w:jc w:val="both"/>
        <w:rPr>
          <w:rFonts w:cs="Arial"/>
        </w:rPr>
      </w:pPr>
    </w:p>
    <w:p w14:paraId="37A04138" w14:textId="2D873534" w:rsidR="00E01322" w:rsidRDefault="00E01322" w:rsidP="00B54547">
      <w:pPr>
        <w:pStyle w:val="ListParagraph"/>
        <w:spacing w:after="0" w:line="240" w:lineRule="auto"/>
        <w:jc w:val="both"/>
        <w:rPr>
          <w:rFonts w:cs="Arial"/>
        </w:rPr>
      </w:pPr>
      <w:r w:rsidRPr="00D50FFC">
        <w:rPr>
          <w:rFonts w:cs="Arial"/>
        </w:rPr>
        <w:t xml:space="preserve">The </w:t>
      </w:r>
      <w:hyperlink r:id="rId20" w:history="1">
        <w:r w:rsidRPr="00BC4D84">
          <w:rPr>
            <w:rStyle w:val="Hyperlink"/>
            <w:rFonts w:cs="Arial"/>
          </w:rPr>
          <w:t>Broxtowe, Gedling, Nottingham City and Rushcliffe Retail Study 2015</w:t>
        </w:r>
      </w:hyperlink>
      <w:r w:rsidRPr="00D50FFC">
        <w:rPr>
          <w:rFonts w:cs="Arial"/>
        </w:rPr>
        <w:t xml:space="preserve"> provides an assessment of the need for new convenience and comparison goods floor</w:t>
      </w:r>
      <w:r w:rsidR="00473BF2">
        <w:rPr>
          <w:rFonts w:cs="Arial"/>
        </w:rPr>
        <w:t xml:space="preserve"> </w:t>
      </w:r>
      <w:r w:rsidRPr="00D50FFC">
        <w:rPr>
          <w:rFonts w:cs="Arial"/>
        </w:rPr>
        <w:t>space up to 2028 at the strategic City and Borough wide level.  This study provides findings from a number of health checks of the various centres base</w:t>
      </w:r>
      <w:r w:rsidR="001A342E">
        <w:rPr>
          <w:rFonts w:cs="Arial"/>
        </w:rPr>
        <w:t>d on the performance indicators.</w:t>
      </w:r>
    </w:p>
    <w:p w14:paraId="13A75912" w14:textId="77777777" w:rsidR="00E01322" w:rsidRDefault="00E01322" w:rsidP="00B54547">
      <w:pPr>
        <w:pStyle w:val="ListParagraph"/>
        <w:spacing w:after="0" w:line="240" w:lineRule="auto"/>
        <w:jc w:val="both"/>
        <w:rPr>
          <w:rFonts w:cs="Arial"/>
        </w:rPr>
      </w:pPr>
    </w:p>
    <w:p w14:paraId="35418737" w14:textId="6349C787" w:rsidR="00F85DC7" w:rsidRDefault="00E01322" w:rsidP="00B54547">
      <w:pPr>
        <w:pStyle w:val="ListParagraph"/>
        <w:spacing w:after="0" w:line="240" w:lineRule="auto"/>
        <w:jc w:val="both"/>
        <w:rPr>
          <w:rFonts w:cs="Arial"/>
        </w:rPr>
      </w:pPr>
      <w:r w:rsidRPr="3EC2F802">
        <w:rPr>
          <w:rFonts w:cs="Arial"/>
        </w:rPr>
        <w:t xml:space="preserve">Nottingham City Council undertakes an annual survey of vacant units in the </w:t>
      </w:r>
      <w:bookmarkStart w:id="6" w:name="_Int_men5Ehla"/>
      <w:r w:rsidRPr="3EC2F802">
        <w:rPr>
          <w:rFonts w:cs="Arial"/>
        </w:rPr>
        <w:t>City</w:t>
      </w:r>
      <w:bookmarkEnd w:id="6"/>
      <w:r w:rsidRPr="3EC2F802">
        <w:rPr>
          <w:rFonts w:cs="Arial"/>
        </w:rPr>
        <w:t xml:space="preserve"> </w:t>
      </w:r>
      <w:r w:rsidR="1E0147FF" w:rsidRPr="3EC2F802">
        <w:rPr>
          <w:rFonts w:cs="Arial"/>
        </w:rPr>
        <w:t>C</w:t>
      </w:r>
      <w:r w:rsidR="40B9D541" w:rsidRPr="3EC2F802">
        <w:rPr>
          <w:rFonts w:cs="Arial"/>
        </w:rPr>
        <w:t>entre and</w:t>
      </w:r>
      <w:r w:rsidRPr="3EC2F802">
        <w:rPr>
          <w:rFonts w:cs="Arial"/>
        </w:rPr>
        <w:t xml:space="preserve"> has also recently surveyed all the other centres within the City Council area, and this information will also be available to the consultants.</w:t>
      </w:r>
      <w:r w:rsidR="3A3F6417" w:rsidRPr="3EC2F802">
        <w:rPr>
          <w:rFonts w:cs="Arial"/>
        </w:rPr>
        <w:t xml:space="preserve"> Gedling Borough Council also gathers data twice yearly on uses and vacancy levels in their centres.</w:t>
      </w:r>
      <w:r w:rsidR="00AB6EF5">
        <w:rPr>
          <w:rFonts w:cs="Arial"/>
        </w:rPr>
        <w:t xml:space="preserve"> </w:t>
      </w:r>
    </w:p>
    <w:p w14:paraId="56BC007A" w14:textId="77777777" w:rsidR="00B54547" w:rsidRDefault="00B54547" w:rsidP="00B54547">
      <w:pPr>
        <w:pStyle w:val="ListParagraph"/>
        <w:spacing w:after="0" w:line="240" w:lineRule="auto"/>
        <w:jc w:val="both"/>
        <w:rPr>
          <w:rFonts w:cs="Arial"/>
        </w:rPr>
      </w:pPr>
    </w:p>
    <w:p w14:paraId="53F96826" w14:textId="77777777" w:rsidR="00E01322" w:rsidRPr="000C4D3F" w:rsidRDefault="00E01322" w:rsidP="00B54547">
      <w:pPr>
        <w:pStyle w:val="Heading1"/>
        <w:spacing w:before="0" w:line="240" w:lineRule="auto"/>
        <w:ind w:left="720" w:hanging="720"/>
        <w:jc w:val="both"/>
        <w:rPr>
          <w:rStyle w:val="Heading1Char"/>
          <w:rFonts w:cs="Arial"/>
          <w:b/>
          <w:szCs w:val="24"/>
        </w:rPr>
      </w:pPr>
      <w:bookmarkStart w:id="7" w:name="_Toc138837827"/>
      <w:r w:rsidRPr="000C4D3F">
        <w:rPr>
          <w:rStyle w:val="Heading1Char"/>
          <w:rFonts w:cs="Arial"/>
          <w:b/>
          <w:szCs w:val="24"/>
        </w:rPr>
        <w:t>Issues</w:t>
      </w:r>
      <w:bookmarkEnd w:id="7"/>
    </w:p>
    <w:p w14:paraId="221D58BE" w14:textId="77777777" w:rsidR="00E01322" w:rsidRPr="000C4D3F" w:rsidRDefault="00E01322" w:rsidP="00B54547">
      <w:pPr>
        <w:spacing w:after="0" w:line="240" w:lineRule="auto"/>
        <w:jc w:val="both"/>
        <w:rPr>
          <w:rFonts w:ascii="Arial" w:hAnsi="Arial" w:cs="Arial"/>
          <w:sz w:val="24"/>
          <w:szCs w:val="24"/>
        </w:rPr>
      </w:pPr>
    </w:p>
    <w:p w14:paraId="1954C54B" w14:textId="5017D026" w:rsidR="00A87C5C" w:rsidRDefault="0006461C" w:rsidP="00B54547">
      <w:pPr>
        <w:spacing w:after="0" w:line="240" w:lineRule="auto"/>
        <w:ind w:left="720"/>
        <w:jc w:val="both"/>
        <w:rPr>
          <w:rFonts w:ascii="Arial" w:hAnsi="Arial" w:cs="Arial"/>
          <w:sz w:val="24"/>
          <w:szCs w:val="24"/>
        </w:rPr>
      </w:pPr>
      <w:r>
        <w:rPr>
          <w:rFonts w:ascii="Arial" w:hAnsi="Arial" w:cs="Arial"/>
          <w:sz w:val="24"/>
          <w:szCs w:val="24"/>
        </w:rPr>
        <w:t>C</w:t>
      </w:r>
      <w:r w:rsidR="00E01322" w:rsidRPr="000C4D3F">
        <w:rPr>
          <w:rFonts w:ascii="Arial" w:hAnsi="Arial" w:cs="Arial"/>
          <w:sz w:val="24"/>
          <w:szCs w:val="24"/>
        </w:rPr>
        <w:t xml:space="preserve">entres are facing difficult challenges with the retail sector in particular undergoing </w:t>
      </w:r>
      <w:r w:rsidR="00F85DC7">
        <w:rPr>
          <w:rFonts w:ascii="Arial" w:hAnsi="Arial" w:cs="Arial"/>
          <w:sz w:val="24"/>
          <w:szCs w:val="24"/>
        </w:rPr>
        <w:t xml:space="preserve">major competition and change.  </w:t>
      </w:r>
    </w:p>
    <w:p w14:paraId="3C991666" w14:textId="77777777" w:rsidR="00B54547" w:rsidRDefault="00B54547" w:rsidP="00B54547">
      <w:pPr>
        <w:spacing w:after="0" w:line="240" w:lineRule="auto"/>
        <w:ind w:left="720"/>
        <w:jc w:val="both"/>
        <w:rPr>
          <w:rFonts w:ascii="Arial" w:hAnsi="Arial" w:cs="Arial"/>
          <w:sz w:val="24"/>
          <w:szCs w:val="24"/>
        </w:rPr>
      </w:pPr>
    </w:p>
    <w:p w14:paraId="7EB858E8" w14:textId="45841A0A" w:rsidR="00440658" w:rsidRDefault="00A87C5C" w:rsidP="00B54547">
      <w:pPr>
        <w:spacing w:after="0" w:line="240" w:lineRule="auto"/>
        <w:ind w:left="720"/>
        <w:jc w:val="both"/>
        <w:rPr>
          <w:rFonts w:ascii="Arial" w:hAnsi="Arial" w:cs="Arial"/>
          <w:sz w:val="24"/>
          <w:szCs w:val="24"/>
        </w:rPr>
      </w:pPr>
      <w:r w:rsidRPr="0F64DCCE">
        <w:rPr>
          <w:rFonts w:ascii="Arial" w:hAnsi="Arial" w:cs="Arial"/>
          <w:sz w:val="24"/>
          <w:szCs w:val="24"/>
        </w:rPr>
        <w:t xml:space="preserve">Nottingham City </w:t>
      </w:r>
      <w:r w:rsidR="0B0FA831" w:rsidRPr="0F64DCCE">
        <w:rPr>
          <w:rFonts w:ascii="Arial" w:hAnsi="Arial" w:cs="Arial"/>
          <w:sz w:val="24"/>
          <w:szCs w:val="24"/>
        </w:rPr>
        <w:t>C</w:t>
      </w:r>
      <w:r w:rsidRPr="0F64DCCE">
        <w:rPr>
          <w:rFonts w:ascii="Arial" w:hAnsi="Arial" w:cs="Arial"/>
          <w:sz w:val="24"/>
          <w:szCs w:val="24"/>
        </w:rPr>
        <w:t xml:space="preserve">entre is the regional </w:t>
      </w:r>
      <w:bookmarkStart w:id="8" w:name="_Int_5nlQzsJ6"/>
      <w:r w:rsidRPr="0F64DCCE">
        <w:rPr>
          <w:rFonts w:ascii="Arial" w:hAnsi="Arial" w:cs="Arial"/>
          <w:sz w:val="24"/>
          <w:szCs w:val="24"/>
        </w:rPr>
        <w:t>centre, and</w:t>
      </w:r>
      <w:bookmarkEnd w:id="8"/>
      <w:r w:rsidRPr="0F64DCCE">
        <w:rPr>
          <w:rFonts w:ascii="Arial" w:hAnsi="Arial" w:cs="Arial"/>
          <w:sz w:val="24"/>
          <w:szCs w:val="24"/>
        </w:rPr>
        <w:t xml:space="preserve"> competes w</w:t>
      </w:r>
      <w:r w:rsidR="006D3EB9" w:rsidRPr="0F64DCCE">
        <w:rPr>
          <w:rFonts w:ascii="Arial" w:hAnsi="Arial" w:cs="Arial"/>
          <w:sz w:val="24"/>
          <w:szCs w:val="24"/>
        </w:rPr>
        <w:t>ith Derby and Leicester</w:t>
      </w:r>
      <w:r w:rsidRPr="0F64DCCE">
        <w:rPr>
          <w:rFonts w:ascii="Arial" w:hAnsi="Arial" w:cs="Arial"/>
          <w:sz w:val="24"/>
          <w:szCs w:val="24"/>
        </w:rPr>
        <w:t>.</w:t>
      </w:r>
      <w:r w:rsidR="00440658" w:rsidRPr="0F64DCCE">
        <w:rPr>
          <w:rFonts w:ascii="Arial" w:hAnsi="Arial" w:cs="Arial"/>
          <w:sz w:val="24"/>
          <w:szCs w:val="24"/>
        </w:rPr>
        <w:t xml:space="preserve"> The City Centre has a critical role in the function of the wider conurbation. The </w:t>
      </w:r>
      <w:r w:rsidR="38D5970D" w:rsidRPr="0F64DCCE">
        <w:rPr>
          <w:rFonts w:ascii="Arial" w:hAnsi="Arial" w:cs="Arial"/>
          <w:sz w:val="24"/>
          <w:szCs w:val="24"/>
        </w:rPr>
        <w:t>T</w:t>
      </w:r>
      <w:r w:rsidR="00440658" w:rsidRPr="0F64DCCE">
        <w:rPr>
          <w:rFonts w:ascii="Arial" w:hAnsi="Arial" w:cs="Arial"/>
          <w:sz w:val="24"/>
          <w:szCs w:val="24"/>
        </w:rPr>
        <w:t xml:space="preserve">own and </w:t>
      </w:r>
      <w:r w:rsidR="1FB371F7" w:rsidRPr="0F64DCCE">
        <w:rPr>
          <w:rFonts w:ascii="Arial" w:hAnsi="Arial" w:cs="Arial"/>
          <w:sz w:val="24"/>
          <w:szCs w:val="24"/>
        </w:rPr>
        <w:t>D</w:t>
      </w:r>
      <w:r w:rsidR="00440658" w:rsidRPr="0F64DCCE">
        <w:rPr>
          <w:rFonts w:ascii="Arial" w:hAnsi="Arial" w:cs="Arial"/>
          <w:sz w:val="24"/>
          <w:szCs w:val="24"/>
        </w:rPr>
        <w:t>istrict</w:t>
      </w:r>
      <w:r w:rsidR="665DE296" w:rsidRPr="0F64DCCE">
        <w:rPr>
          <w:rFonts w:ascii="Arial" w:hAnsi="Arial" w:cs="Arial"/>
          <w:sz w:val="24"/>
          <w:szCs w:val="24"/>
        </w:rPr>
        <w:t xml:space="preserve"> C</w:t>
      </w:r>
      <w:r w:rsidR="00440658" w:rsidRPr="0F64DCCE">
        <w:rPr>
          <w:rFonts w:ascii="Arial" w:hAnsi="Arial" w:cs="Arial"/>
          <w:sz w:val="24"/>
          <w:szCs w:val="24"/>
        </w:rPr>
        <w:t xml:space="preserve">entres are also essential parts of the local economy. </w:t>
      </w:r>
    </w:p>
    <w:p w14:paraId="77E7CC98" w14:textId="77777777" w:rsidR="00B54547" w:rsidRDefault="00B54547" w:rsidP="00B54547">
      <w:pPr>
        <w:spacing w:after="0" w:line="240" w:lineRule="auto"/>
        <w:ind w:left="720"/>
        <w:jc w:val="both"/>
        <w:rPr>
          <w:rFonts w:ascii="Arial" w:hAnsi="Arial" w:cs="Arial"/>
          <w:sz w:val="24"/>
          <w:szCs w:val="24"/>
        </w:rPr>
      </w:pPr>
    </w:p>
    <w:p w14:paraId="65F3BF20" w14:textId="09263C73" w:rsidR="008B2A68" w:rsidRDefault="008B2A68" w:rsidP="00B54547">
      <w:pPr>
        <w:spacing w:after="0" w:line="240" w:lineRule="auto"/>
        <w:ind w:left="720"/>
        <w:jc w:val="both"/>
        <w:rPr>
          <w:rFonts w:ascii="Arial" w:hAnsi="Arial" w:cs="Arial"/>
          <w:sz w:val="24"/>
          <w:szCs w:val="24"/>
        </w:rPr>
      </w:pPr>
      <w:r>
        <w:rPr>
          <w:rFonts w:ascii="Arial" w:hAnsi="Arial" w:cs="Arial"/>
          <w:sz w:val="24"/>
          <w:szCs w:val="24"/>
        </w:rPr>
        <w:lastRenderedPageBreak/>
        <w:t xml:space="preserve">Since previous retail studies were undertaken, there have been a number of significant changes and challenges which have impacted the centres: </w:t>
      </w:r>
    </w:p>
    <w:p w14:paraId="1AE9BA0F" w14:textId="77777777" w:rsidR="00B54547" w:rsidRDefault="00B54547" w:rsidP="00B54547">
      <w:pPr>
        <w:spacing w:after="0" w:line="240" w:lineRule="auto"/>
        <w:ind w:left="720"/>
        <w:jc w:val="both"/>
        <w:rPr>
          <w:rFonts w:ascii="Arial" w:hAnsi="Arial" w:cs="Arial"/>
          <w:sz w:val="24"/>
          <w:szCs w:val="24"/>
        </w:rPr>
      </w:pPr>
    </w:p>
    <w:p w14:paraId="5C45736F" w14:textId="4325D8D6" w:rsidR="008B2A68" w:rsidRDefault="008B2A68" w:rsidP="00B54547">
      <w:pPr>
        <w:pStyle w:val="ListParagraph"/>
        <w:numPr>
          <w:ilvl w:val="0"/>
          <w:numId w:val="19"/>
        </w:numPr>
        <w:spacing w:after="0" w:line="240" w:lineRule="auto"/>
        <w:jc w:val="both"/>
        <w:rPr>
          <w:rFonts w:cs="Arial"/>
        </w:rPr>
      </w:pPr>
      <w:r w:rsidRPr="62A2BB40">
        <w:rPr>
          <w:rFonts w:cs="Arial"/>
          <w:b/>
          <w:bCs/>
        </w:rPr>
        <w:t>Growth of internet shopping</w:t>
      </w:r>
      <w:r w:rsidRPr="62A2BB40">
        <w:rPr>
          <w:rFonts w:cs="Arial"/>
        </w:rPr>
        <w:t xml:space="preserve">: </w:t>
      </w:r>
    </w:p>
    <w:p w14:paraId="556FFB53" w14:textId="3F147BD4" w:rsidR="008B2A68" w:rsidRDefault="008B2A68" w:rsidP="00B54547">
      <w:pPr>
        <w:pStyle w:val="ListParagraph"/>
        <w:numPr>
          <w:ilvl w:val="0"/>
          <w:numId w:val="19"/>
        </w:numPr>
        <w:spacing w:after="0" w:line="240" w:lineRule="auto"/>
        <w:jc w:val="both"/>
        <w:rPr>
          <w:rFonts w:cs="Arial"/>
          <w:szCs w:val="24"/>
        </w:rPr>
      </w:pPr>
      <w:r w:rsidRPr="008B2A68">
        <w:rPr>
          <w:rFonts w:cs="Arial"/>
          <w:b/>
          <w:szCs w:val="24"/>
        </w:rPr>
        <w:t>Covid-19</w:t>
      </w:r>
      <w:r>
        <w:rPr>
          <w:rFonts w:cs="Arial"/>
          <w:szCs w:val="24"/>
        </w:rPr>
        <w:t xml:space="preserve">: </w:t>
      </w:r>
    </w:p>
    <w:p w14:paraId="18898E99" w14:textId="565E4276" w:rsidR="008B2A68" w:rsidRPr="008B2A68" w:rsidRDefault="008B2A68" w:rsidP="00B54547">
      <w:pPr>
        <w:pStyle w:val="ListParagraph"/>
        <w:numPr>
          <w:ilvl w:val="0"/>
          <w:numId w:val="19"/>
        </w:numPr>
        <w:spacing w:after="0" w:line="240" w:lineRule="auto"/>
        <w:jc w:val="both"/>
        <w:rPr>
          <w:rFonts w:cs="Arial"/>
          <w:b/>
          <w:bCs/>
        </w:rPr>
      </w:pPr>
      <w:r w:rsidRPr="598428D3">
        <w:rPr>
          <w:rFonts w:cs="Arial"/>
          <w:b/>
          <w:bCs/>
        </w:rPr>
        <w:t>Use Classes Order an</w:t>
      </w:r>
      <w:r w:rsidR="00473BF2">
        <w:rPr>
          <w:rFonts w:cs="Arial"/>
          <w:b/>
          <w:bCs/>
        </w:rPr>
        <w:t>d Permitted Development Rights</w:t>
      </w:r>
    </w:p>
    <w:p w14:paraId="3C0EAD89" w14:textId="3D6E4AF6" w:rsidR="008B2A68" w:rsidRPr="00C32401" w:rsidRDefault="00BD37BB" w:rsidP="00B54547">
      <w:pPr>
        <w:pStyle w:val="ListParagraph"/>
        <w:numPr>
          <w:ilvl w:val="0"/>
          <w:numId w:val="19"/>
        </w:numPr>
        <w:spacing w:after="0" w:line="240" w:lineRule="auto"/>
        <w:jc w:val="both"/>
        <w:rPr>
          <w:rFonts w:cs="Arial"/>
        </w:rPr>
      </w:pPr>
      <w:r>
        <w:rPr>
          <w:rFonts w:cs="Arial"/>
          <w:b/>
          <w:bCs/>
        </w:rPr>
        <w:t>Out-of-</w:t>
      </w:r>
      <w:r w:rsidR="5A6BDA9E" w:rsidRPr="6D07680D">
        <w:rPr>
          <w:rFonts w:cs="Arial"/>
          <w:b/>
          <w:bCs/>
        </w:rPr>
        <w:t>Centre</w:t>
      </w:r>
      <w:r w:rsidR="00473BF2">
        <w:rPr>
          <w:rFonts w:cs="Arial"/>
          <w:b/>
          <w:bCs/>
        </w:rPr>
        <w:t xml:space="preserve"> retail</w:t>
      </w:r>
    </w:p>
    <w:p w14:paraId="58D60F05" w14:textId="5F326245" w:rsidR="00495BD1" w:rsidRPr="00495BD1" w:rsidRDefault="00473BF2" w:rsidP="00B54547">
      <w:pPr>
        <w:pStyle w:val="ListParagraph"/>
        <w:numPr>
          <w:ilvl w:val="0"/>
          <w:numId w:val="19"/>
        </w:numPr>
        <w:spacing w:after="0" w:line="240" w:lineRule="auto"/>
        <w:jc w:val="both"/>
        <w:rPr>
          <w:rFonts w:cs="Arial"/>
          <w:b/>
          <w:bCs/>
        </w:rPr>
      </w:pPr>
      <w:r>
        <w:rPr>
          <w:rFonts w:cs="Arial"/>
          <w:b/>
          <w:bCs/>
        </w:rPr>
        <w:t>Population growth</w:t>
      </w:r>
    </w:p>
    <w:p w14:paraId="52766D2D" w14:textId="5FE4297A" w:rsidR="00473BF2" w:rsidRPr="00473BF2" w:rsidRDefault="00495BD1" w:rsidP="00473BF2">
      <w:pPr>
        <w:pStyle w:val="ListParagraph"/>
        <w:numPr>
          <w:ilvl w:val="0"/>
          <w:numId w:val="19"/>
        </w:numPr>
        <w:spacing w:after="0" w:line="240" w:lineRule="auto"/>
        <w:jc w:val="both"/>
        <w:rPr>
          <w:rFonts w:cs="Arial"/>
          <w:szCs w:val="24"/>
        </w:rPr>
      </w:pPr>
      <w:r w:rsidRPr="6D07680D">
        <w:rPr>
          <w:rFonts w:cs="Arial"/>
          <w:b/>
          <w:bCs/>
        </w:rPr>
        <w:t>Nottingham City Centre</w:t>
      </w:r>
      <w:r w:rsidR="00473BF2">
        <w:rPr>
          <w:rFonts w:cs="Arial"/>
          <w:b/>
          <w:bCs/>
        </w:rPr>
        <w:t xml:space="preserve"> </w:t>
      </w:r>
      <w:proofErr w:type="spellStart"/>
      <w:r w:rsidR="00473BF2">
        <w:rPr>
          <w:rFonts w:cs="Arial"/>
          <w:b/>
          <w:bCs/>
        </w:rPr>
        <w:t>Broadmarsh</w:t>
      </w:r>
      <w:proofErr w:type="spellEnd"/>
      <w:r w:rsidR="00473BF2">
        <w:rPr>
          <w:rFonts w:cs="Arial"/>
          <w:b/>
          <w:bCs/>
        </w:rPr>
        <w:t xml:space="preserve"> Area</w:t>
      </w:r>
      <w:r w:rsidRPr="6D07680D">
        <w:rPr>
          <w:rFonts w:cs="Arial"/>
          <w:b/>
          <w:bCs/>
        </w:rPr>
        <w:t xml:space="preserve">: </w:t>
      </w:r>
    </w:p>
    <w:p w14:paraId="0070E328" w14:textId="77777777" w:rsidR="00473BF2" w:rsidRPr="00473BF2" w:rsidRDefault="00473BF2" w:rsidP="00473BF2">
      <w:pPr>
        <w:spacing w:after="0" w:line="240" w:lineRule="auto"/>
        <w:ind w:left="720"/>
        <w:jc w:val="both"/>
        <w:rPr>
          <w:rFonts w:cs="Arial"/>
          <w:szCs w:val="24"/>
        </w:rPr>
      </w:pPr>
    </w:p>
    <w:p w14:paraId="0B080F0D" w14:textId="4CF2248C" w:rsidR="002416D8" w:rsidRPr="00473BF2" w:rsidRDefault="00402658" w:rsidP="00473BF2">
      <w:pPr>
        <w:spacing w:after="0" w:line="240" w:lineRule="auto"/>
        <w:ind w:left="720"/>
        <w:jc w:val="both"/>
        <w:rPr>
          <w:rFonts w:ascii="Arial" w:hAnsi="Arial" w:cs="Arial"/>
          <w:sz w:val="24"/>
          <w:szCs w:val="24"/>
        </w:rPr>
      </w:pPr>
      <w:r w:rsidRPr="00473BF2">
        <w:rPr>
          <w:rFonts w:ascii="Arial" w:hAnsi="Arial" w:cs="Arial"/>
          <w:sz w:val="24"/>
          <w:szCs w:val="24"/>
          <w:lang w:val="en-US"/>
        </w:rPr>
        <w:t>Paragraph 86</w:t>
      </w:r>
      <w:r w:rsidR="000B713A" w:rsidRPr="00473BF2">
        <w:rPr>
          <w:rFonts w:ascii="Arial" w:hAnsi="Arial" w:cs="Arial"/>
          <w:sz w:val="24"/>
          <w:szCs w:val="24"/>
          <w:lang w:val="en-US"/>
        </w:rPr>
        <w:t xml:space="preserve"> </w:t>
      </w:r>
      <w:r w:rsidRPr="00473BF2">
        <w:rPr>
          <w:rFonts w:ascii="Arial" w:hAnsi="Arial" w:cs="Arial"/>
          <w:sz w:val="24"/>
          <w:szCs w:val="24"/>
          <w:lang w:val="en-US"/>
        </w:rPr>
        <w:t>of the N</w:t>
      </w:r>
      <w:r w:rsidR="001E0ADD" w:rsidRPr="00473BF2">
        <w:rPr>
          <w:rFonts w:ascii="Arial" w:hAnsi="Arial" w:cs="Arial"/>
          <w:sz w:val="24"/>
          <w:szCs w:val="24"/>
          <w:lang w:val="en-US"/>
        </w:rPr>
        <w:t xml:space="preserve">ational Planning Policy Framework </w:t>
      </w:r>
      <w:r w:rsidRPr="00473BF2">
        <w:rPr>
          <w:rFonts w:ascii="Arial" w:hAnsi="Arial" w:cs="Arial"/>
          <w:sz w:val="24"/>
          <w:szCs w:val="24"/>
          <w:lang w:val="en-US"/>
        </w:rPr>
        <w:t xml:space="preserve">indicates that local planning authorities should support the role that town </w:t>
      </w:r>
      <w:proofErr w:type="spellStart"/>
      <w:r w:rsidRPr="00473BF2">
        <w:rPr>
          <w:rFonts w:ascii="Arial" w:hAnsi="Arial" w:cs="Arial"/>
          <w:sz w:val="24"/>
          <w:szCs w:val="24"/>
          <w:lang w:val="en-US"/>
        </w:rPr>
        <w:t>centres</w:t>
      </w:r>
      <w:proofErr w:type="spellEnd"/>
      <w:r w:rsidRPr="00473BF2">
        <w:rPr>
          <w:rFonts w:ascii="Arial" w:hAnsi="Arial" w:cs="Arial"/>
          <w:sz w:val="24"/>
          <w:szCs w:val="24"/>
          <w:lang w:val="en-US"/>
        </w:rPr>
        <w:t xml:space="preserve"> play at the heart of local communities.</w:t>
      </w:r>
      <w:r w:rsidR="000B713A" w:rsidRPr="00473BF2">
        <w:rPr>
          <w:rFonts w:ascii="Arial" w:hAnsi="Arial" w:cs="Arial"/>
          <w:sz w:val="24"/>
          <w:szCs w:val="24"/>
          <w:lang w:val="en-US"/>
        </w:rPr>
        <w:t xml:space="preserve"> It provides a list of what planning policies should do which includes </w:t>
      </w:r>
      <w:r w:rsidR="001E0ADD" w:rsidRPr="00473BF2">
        <w:rPr>
          <w:rFonts w:ascii="Arial" w:hAnsi="Arial" w:cs="Arial"/>
          <w:sz w:val="24"/>
          <w:szCs w:val="24"/>
        </w:rPr>
        <w:t>a</w:t>
      </w:r>
      <w:r w:rsidR="000B713A" w:rsidRPr="00473BF2">
        <w:rPr>
          <w:rFonts w:ascii="Arial" w:hAnsi="Arial" w:cs="Arial"/>
          <w:sz w:val="24"/>
          <w:szCs w:val="24"/>
        </w:rPr>
        <w:t xml:space="preserve">llocating a range of suitable sites to meet the scale and type of retail, likely to be needed, looking at </w:t>
      </w:r>
      <w:r w:rsidR="0049383C" w:rsidRPr="00473BF2">
        <w:rPr>
          <w:rFonts w:ascii="Arial" w:hAnsi="Arial" w:cs="Arial"/>
          <w:sz w:val="24"/>
          <w:szCs w:val="24"/>
        </w:rPr>
        <w:t xml:space="preserve">least ten years ahead. </w:t>
      </w:r>
    </w:p>
    <w:p w14:paraId="5ED3D9BD" w14:textId="77777777" w:rsidR="002416D8" w:rsidRDefault="002416D8" w:rsidP="00B54547">
      <w:pPr>
        <w:pStyle w:val="Heading2"/>
        <w:spacing w:before="0" w:line="240" w:lineRule="auto"/>
        <w:ind w:left="720"/>
        <w:jc w:val="both"/>
        <w:rPr>
          <w:rFonts w:cs="Arial"/>
          <w:szCs w:val="24"/>
          <w:u w:val="none"/>
        </w:rPr>
      </w:pPr>
    </w:p>
    <w:p w14:paraId="0A60D20C" w14:textId="04C6F947" w:rsidR="002416D8" w:rsidRDefault="001E0ADD" w:rsidP="00B54547">
      <w:pPr>
        <w:pStyle w:val="Heading2"/>
        <w:spacing w:before="0" w:line="240" w:lineRule="auto"/>
        <w:ind w:left="720"/>
        <w:jc w:val="both"/>
        <w:rPr>
          <w:u w:val="none"/>
        </w:rPr>
      </w:pPr>
      <w:r>
        <w:rPr>
          <w:u w:val="none"/>
        </w:rPr>
        <w:t xml:space="preserve">The Planning Practice Guidance provides additional </w:t>
      </w:r>
      <w:r w:rsidR="0DCB5FD2">
        <w:rPr>
          <w:u w:val="none"/>
        </w:rPr>
        <w:t>advice on</w:t>
      </w:r>
      <w:r>
        <w:rPr>
          <w:u w:val="none"/>
        </w:rPr>
        <w:t xml:space="preserve"> how retail and town centre planning policy should be applied in respect of </w:t>
      </w:r>
      <w:r w:rsidR="002416D8">
        <w:rPr>
          <w:u w:val="none"/>
        </w:rPr>
        <w:t xml:space="preserve">plan-making and decision taking. </w:t>
      </w:r>
    </w:p>
    <w:p w14:paraId="5D8739B9" w14:textId="77777777" w:rsidR="002416D8" w:rsidRDefault="002416D8" w:rsidP="00B54547">
      <w:pPr>
        <w:pStyle w:val="Heading2"/>
        <w:spacing w:before="0" w:line="240" w:lineRule="auto"/>
        <w:ind w:left="720"/>
        <w:jc w:val="both"/>
        <w:rPr>
          <w:u w:val="none"/>
        </w:rPr>
      </w:pPr>
    </w:p>
    <w:p w14:paraId="35ED6CFE" w14:textId="3FE58B6B" w:rsidR="00402658" w:rsidRPr="002416D8" w:rsidRDefault="001E0ADD" w:rsidP="00B54547">
      <w:pPr>
        <w:pStyle w:val="Heading2"/>
        <w:spacing w:before="0" w:line="240" w:lineRule="auto"/>
        <w:ind w:left="720"/>
        <w:jc w:val="both"/>
        <w:rPr>
          <w:rFonts w:cs="Arial"/>
          <w:szCs w:val="24"/>
          <w:u w:val="none"/>
        </w:rPr>
      </w:pPr>
      <w:r w:rsidRPr="002416D8">
        <w:rPr>
          <w:rFonts w:cs="Arial"/>
          <w:szCs w:val="24"/>
          <w:u w:val="none"/>
        </w:rPr>
        <w:t xml:space="preserve">It is considered that there is uncertainty regarding how the requirements of national planning policy can be complied with following the introduction of Class E and the additional permitted development rights which significantly increase flexibility for uses, particularly retail, to change both within and outside of centres. </w:t>
      </w:r>
    </w:p>
    <w:p w14:paraId="58BA908C" w14:textId="45D1CA0D" w:rsidR="001E0ADD" w:rsidRDefault="001E0ADD" w:rsidP="00B54547">
      <w:pPr>
        <w:spacing w:after="0" w:line="240" w:lineRule="auto"/>
        <w:ind w:left="709"/>
        <w:jc w:val="both"/>
        <w:rPr>
          <w:rFonts w:ascii="Arial" w:hAnsi="Arial" w:cs="Arial"/>
          <w:sz w:val="24"/>
          <w:szCs w:val="24"/>
        </w:rPr>
      </w:pPr>
    </w:p>
    <w:p w14:paraId="1C4130F6" w14:textId="2C349B5F" w:rsidR="00607167" w:rsidRDefault="00607167" w:rsidP="00B54547">
      <w:pPr>
        <w:pStyle w:val="Heading1"/>
        <w:spacing w:before="0" w:line="240" w:lineRule="auto"/>
        <w:ind w:left="720" w:hanging="810"/>
        <w:jc w:val="both"/>
      </w:pPr>
      <w:bookmarkStart w:id="9" w:name="_Toc138837828"/>
      <w:r>
        <w:t>Key Objectives</w:t>
      </w:r>
      <w:r w:rsidR="002A6142">
        <w:t xml:space="preserve"> and Scope</w:t>
      </w:r>
      <w:r>
        <w:t xml:space="preserve"> of the Study</w:t>
      </w:r>
      <w:bookmarkEnd w:id="9"/>
      <w:r>
        <w:t xml:space="preserve"> </w:t>
      </w:r>
    </w:p>
    <w:p w14:paraId="15A278DC" w14:textId="15035C6D" w:rsidR="00607167" w:rsidRDefault="00607167" w:rsidP="00B54547">
      <w:pPr>
        <w:spacing w:after="0" w:line="240" w:lineRule="auto"/>
        <w:ind w:left="709"/>
        <w:jc w:val="both"/>
        <w:rPr>
          <w:rFonts w:ascii="Arial" w:hAnsi="Arial" w:cs="Arial"/>
          <w:sz w:val="24"/>
          <w:szCs w:val="24"/>
        </w:rPr>
      </w:pPr>
    </w:p>
    <w:p w14:paraId="716958D8" w14:textId="7B00FA55" w:rsidR="00AB38D2" w:rsidRDefault="0027602A" w:rsidP="00B54547">
      <w:pPr>
        <w:pStyle w:val="ListParagraph"/>
        <w:numPr>
          <w:ilvl w:val="0"/>
          <w:numId w:val="37"/>
        </w:numPr>
        <w:spacing w:after="0" w:line="240" w:lineRule="auto"/>
        <w:ind w:left="1260" w:hanging="450"/>
        <w:jc w:val="both"/>
        <w:rPr>
          <w:rFonts w:cs="Arial"/>
          <w:szCs w:val="24"/>
        </w:rPr>
      </w:pPr>
      <w:r w:rsidRPr="002416D8">
        <w:rPr>
          <w:rFonts w:cs="Arial"/>
          <w:szCs w:val="24"/>
        </w:rPr>
        <w:t>To fulfil the requirements of national planning guidance in terms of retail plannin</w:t>
      </w:r>
      <w:r w:rsidR="002A6142" w:rsidRPr="002416D8">
        <w:rPr>
          <w:rFonts w:cs="Arial"/>
          <w:szCs w:val="24"/>
        </w:rPr>
        <w:t>g and town centres. Whilst the c</w:t>
      </w:r>
      <w:r w:rsidRPr="002416D8">
        <w:rPr>
          <w:rFonts w:cs="Arial"/>
          <w:szCs w:val="24"/>
        </w:rPr>
        <w:t xml:space="preserve">ommissioning authorities acknowledge that current national planning guidance does not fully reflect the consequences of the introduction of Use Class E, </w:t>
      </w:r>
      <w:r w:rsidR="002A6142" w:rsidRPr="002416D8">
        <w:rPr>
          <w:rFonts w:cs="Arial"/>
          <w:szCs w:val="24"/>
        </w:rPr>
        <w:t xml:space="preserve">and recent changes in retail, </w:t>
      </w:r>
      <w:r w:rsidRPr="002416D8">
        <w:rPr>
          <w:rFonts w:cs="Arial"/>
          <w:szCs w:val="24"/>
        </w:rPr>
        <w:t>the study should</w:t>
      </w:r>
      <w:r w:rsidR="00C16CDD" w:rsidRPr="002416D8">
        <w:rPr>
          <w:rFonts w:cs="Arial"/>
          <w:szCs w:val="24"/>
        </w:rPr>
        <w:t xml:space="preserve"> still</w:t>
      </w:r>
      <w:r w:rsidRPr="002416D8">
        <w:rPr>
          <w:rFonts w:cs="Arial"/>
          <w:szCs w:val="24"/>
        </w:rPr>
        <w:t xml:space="preserve"> be mindful of current planning guidance (and </w:t>
      </w:r>
      <w:r w:rsidR="003114F9" w:rsidRPr="002416D8">
        <w:rPr>
          <w:rFonts w:cs="Arial"/>
          <w:szCs w:val="24"/>
        </w:rPr>
        <w:t xml:space="preserve">incorporate </w:t>
      </w:r>
      <w:r w:rsidRPr="002416D8">
        <w:rPr>
          <w:rFonts w:cs="Arial"/>
          <w:szCs w:val="24"/>
        </w:rPr>
        <w:t>any changes to</w:t>
      </w:r>
      <w:r w:rsidR="00B21155">
        <w:rPr>
          <w:rFonts w:cs="Arial"/>
          <w:szCs w:val="24"/>
        </w:rPr>
        <w:t xml:space="preserve"> national planning policy or</w:t>
      </w:r>
      <w:r w:rsidRPr="002416D8">
        <w:rPr>
          <w:rFonts w:cs="Arial"/>
          <w:szCs w:val="24"/>
        </w:rPr>
        <w:t xml:space="preserve"> guidance that occur during the course of the study, or imminent changes thereafter)</w:t>
      </w:r>
      <w:r w:rsidR="002A6142" w:rsidRPr="002416D8">
        <w:rPr>
          <w:rFonts w:cs="Arial"/>
          <w:szCs w:val="24"/>
        </w:rPr>
        <w:t xml:space="preserve"> and ensure that the study </w:t>
      </w:r>
      <w:r w:rsidR="00C16CDD" w:rsidRPr="002416D8">
        <w:rPr>
          <w:rFonts w:cs="Arial"/>
          <w:szCs w:val="24"/>
        </w:rPr>
        <w:t xml:space="preserve">analysis and </w:t>
      </w:r>
      <w:r w:rsidR="002A6142" w:rsidRPr="002416D8">
        <w:rPr>
          <w:rFonts w:cs="Arial"/>
          <w:szCs w:val="24"/>
        </w:rPr>
        <w:t xml:space="preserve">outputs </w:t>
      </w:r>
      <w:r w:rsidR="00C16CDD" w:rsidRPr="002416D8">
        <w:rPr>
          <w:rFonts w:cs="Arial"/>
          <w:szCs w:val="24"/>
        </w:rPr>
        <w:t>meet</w:t>
      </w:r>
      <w:r w:rsidR="002A6142" w:rsidRPr="002416D8">
        <w:rPr>
          <w:rFonts w:cs="Arial"/>
          <w:szCs w:val="24"/>
        </w:rPr>
        <w:t xml:space="preserve"> national guidanc</w:t>
      </w:r>
      <w:r w:rsidR="00C16CDD" w:rsidRPr="002416D8">
        <w:rPr>
          <w:rFonts w:cs="Arial"/>
          <w:szCs w:val="24"/>
        </w:rPr>
        <w:t xml:space="preserve">e requirements so far as still relevant. </w:t>
      </w:r>
    </w:p>
    <w:p w14:paraId="322A718E" w14:textId="77777777" w:rsidR="00BD37BB" w:rsidRDefault="00BD37BB" w:rsidP="00B54547">
      <w:pPr>
        <w:pStyle w:val="ListParagraph"/>
        <w:spacing w:after="0" w:line="240" w:lineRule="auto"/>
        <w:ind w:left="1260"/>
        <w:jc w:val="both"/>
        <w:rPr>
          <w:rFonts w:cs="Arial"/>
        </w:rPr>
      </w:pPr>
    </w:p>
    <w:p w14:paraId="4AAD368B" w14:textId="2410C38B" w:rsidR="002A6142" w:rsidRDefault="0002039C" w:rsidP="00B54547">
      <w:pPr>
        <w:pStyle w:val="ListParagraph"/>
        <w:numPr>
          <w:ilvl w:val="0"/>
          <w:numId w:val="37"/>
        </w:numPr>
        <w:spacing w:after="0" w:line="240" w:lineRule="auto"/>
        <w:ind w:left="1260" w:hanging="450"/>
        <w:jc w:val="both"/>
        <w:rPr>
          <w:rFonts w:cs="Arial"/>
        </w:rPr>
      </w:pPr>
      <w:r w:rsidRPr="0F64DCCE">
        <w:rPr>
          <w:rFonts w:cs="Arial"/>
        </w:rPr>
        <w:t xml:space="preserve">An analysis of the existing hierarchy of centres in Greater Nottingham, comprising </w:t>
      </w:r>
      <w:r w:rsidR="008A0D70" w:rsidRPr="0F64DCCE">
        <w:rPr>
          <w:rFonts w:cs="Arial"/>
        </w:rPr>
        <w:t xml:space="preserve">a general analysis of the trends and patterns in existence for </w:t>
      </w:r>
      <w:r w:rsidR="5B391124" w:rsidRPr="0F64DCCE">
        <w:rPr>
          <w:rFonts w:cs="Arial"/>
        </w:rPr>
        <w:t>all</w:t>
      </w:r>
      <w:r w:rsidR="008A0D70" w:rsidRPr="0F64DCCE">
        <w:rPr>
          <w:rFonts w:cs="Arial"/>
        </w:rPr>
        <w:t xml:space="preserve"> of the centres with a </w:t>
      </w:r>
      <w:r w:rsidRPr="0F64DCCE">
        <w:rPr>
          <w:rFonts w:cs="Arial"/>
        </w:rPr>
        <w:t xml:space="preserve">more </w:t>
      </w:r>
      <w:r w:rsidR="23307972" w:rsidRPr="0F64DCCE">
        <w:rPr>
          <w:rFonts w:cs="Arial"/>
        </w:rPr>
        <w:t>in-depth</w:t>
      </w:r>
      <w:r w:rsidRPr="0F64DCCE">
        <w:rPr>
          <w:rFonts w:cs="Arial"/>
        </w:rPr>
        <w:t xml:space="preserve"> analysis of the centres </w:t>
      </w:r>
      <w:r w:rsidR="002A6142" w:rsidRPr="0F64DCCE">
        <w:rPr>
          <w:rFonts w:cs="Arial"/>
        </w:rPr>
        <w:t>at the top of the hierarchy as detailed in the table below.</w:t>
      </w:r>
      <w:r w:rsidR="47D7BBFB" w:rsidRPr="0F64DCCE">
        <w:rPr>
          <w:rFonts w:cs="Arial"/>
        </w:rPr>
        <w:t xml:space="preserve"> The analysis should cover industry wide trends impacting on centres, including comparison and convenience retailing</w:t>
      </w:r>
      <w:r w:rsidR="2AF45000" w:rsidRPr="0F64DCCE">
        <w:rPr>
          <w:rFonts w:cs="Arial"/>
        </w:rPr>
        <w:t>, leisure and food and drink uses etc.</w:t>
      </w:r>
    </w:p>
    <w:p w14:paraId="6E952561" w14:textId="77777777" w:rsidR="00CD3BDE" w:rsidRPr="002416D8" w:rsidRDefault="00CD3BDE" w:rsidP="00B54547">
      <w:pPr>
        <w:pStyle w:val="ListParagraph"/>
        <w:spacing w:after="0" w:line="240" w:lineRule="auto"/>
        <w:ind w:left="1260"/>
        <w:jc w:val="both"/>
        <w:rPr>
          <w:rFonts w:cs="Arial"/>
        </w:rPr>
      </w:pPr>
    </w:p>
    <w:p w14:paraId="1CDA7ACA" w14:textId="39B59AD2" w:rsidR="00CD3BDE" w:rsidRDefault="00AB38D2" w:rsidP="00B54547">
      <w:pPr>
        <w:pStyle w:val="ListParagraph"/>
        <w:numPr>
          <w:ilvl w:val="0"/>
          <w:numId w:val="37"/>
        </w:numPr>
        <w:spacing w:after="0" w:line="240" w:lineRule="auto"/>
        <w:ind w:left="1260" w:hanging="450"/>
        <w:jc w:val="both"/>
        <w:rPr>
          <w:rFonts w:cs="Arial"/>
        </w:rPr>
      </w:pPr>
      <w:r w:rsidRPr="598428D3">
        <w:rPr>
          <w:rFonts w:cs="Arial"/>
        </w:rPr>
        <w:t xml:space="preserve">To provide clear </w:t>
      </w:r>
      <w:r w:rsidR="00B21155" w:rsidRPr="598428D3">
        <w:rPr>
          <w:rFonts w:cs="Arial"/>
        </w:rPr>
        <w:t>recommendations</w:t>
      </w:r>
      <w:r w:rsidRPr="598428D3">
        <w:rPr>
          <w:rFonts w:cs="Arial"/>
        </w:rPr>
        <w:t xml:space="preserve"> on the scope and content of sound and robust planning policies for the Greater Nottingham </w:t>
      </w:r>
      <w:r w:rsidR="7D353A6A" w:rsidRPr="598428D3">
        <w:rPr>
          <w:rFonts w:cs="Arial"/>
        </w:rPr>
        <w:t>c</w:t>
      </w:r>
      <w:r w:rsidRPr="598428D3">
        <w:rPr>
          <w:rFonts w:cs="Arial"/>
        </w:rPr>
        <w:t>entres for the Strategic Plan (Part 1 Local Plan) and any issues that should be resolved via Part 2 Local Plans, for each of the partner autho</w:t>
      </w:r>
      <w:r w:rsidR="0002039C" w:rsidRPr="598428D3">
        <w:rPr>
          <w:rFonts w:cs="Arial"/>
        </w:rPr>
        <w:t>rities. Policies</w:t>
      </w:r>
      <w:r w:rsidRPr="598428D3">
        <w:rPr>
          <w:rFonts w:cs="Arial"/>
        </w:rPr>
        <w:t xml:space="preserve"> should address issues such as the long-term</w:t>
      </w:r>
      <w:r w:rsidR="00CB6960" w:rsidRPr="598428D3">
        <w:rPr>
          <w:rFonts w:cs="Arial"/>
        </w:rPr>
        <w:t xml:space="preserve"> viability and vitality of </w:t>
      </w:r>
      <w:r w:rsidRPr="598428D3">
        <w:rPr>
          <w:rFonts w:cs="Arial"/>
        </w:rPr>
        <w:t>centres</w:t>
      </w:r>
      <w:r w:rsidR="008B0F45" w:rsidRPr="598428D3">
        <w:rPr>
          <w:rFonts w:cs="Arial"/>
        </w:rPr>
        <w:t xml:space="preserve"> </w:t>
      </w:r>
      <w:r w:rsidR="0023603F" w:rsidRPr="598428D3">
        <w:rPr>
          <w:rFonts w:cs="Arial"/>
        </w:rPr>
        <w:t xml:space="preserve">and </w:t>
      </w:r>
      <w:r w:rsidR="0023603F" w:rsidRPr="598428D3">
        <w:rPr>
          <w:rFonts w:cs="Arial"/>
        </w:rPr>
        <w:lastRenderedPageBreak/>
        <w:t xml:space="preserve">reflect how </w:t>
      </w:r>
      <w:r w:rsidR="73008A05" w:rsidRPr="598428D3">
        <w:rPr>
          <w:rFonts w:cs="Arial"/>
        </w:rPr>
        <w:t>c</w:t>
      </w:r>
      <w:r w:rsidR="0023603F" w:rsidRPr="598428D3">
        <w:rPr>
          <w:rFonts w:cs="Arial"/>
        </w:rPr>
        <w:t xml:space="preserve">entres can </w:t>
      </w:r>
      <w:r w:rsidR="0049639B" w:rsidRPr="598428D3">
        <w:rPr>
          <w:rFonts w:cs="Arial"/>
        </w:rPr>
        <w:t>be “places to visit” rather than simply to shop. This may include identifying</w:t>
      </w:r>
      <w:r w:rsidR="008B0F45" w:rsidRPr="598428D3">
        <w:rPr>
          <w:rFonts w:cs="Arial"/>
        </w:rPr>
        <w:t xml:space="preserve"> </w:t>
      </w:r>
      <w:r w:rsidRPr="598428D3">
        <w:rPr>
          <w:rFonts w:cs="Arial"/>
        </w:rPr>
        <w:t>any restrictions (</w:t>
      </w:r>
      <w:r w:rsidR="232058ED" w:rsidRPr="598428D3">
        <w:rPr>
          <w:rFonts w:cs="Arial"/>
        </w:rPr>
        <w:t>e.g.,</w:t>
      </w:r>
      <w:r w:rsidRPr="598428D3">
        <w:rPr>
          <w:rFonts w:cs="Arial"/>
        </w:rPr>
        <w:t xml:space="preserve"> Article 4 Directions) or protection policies</w:t>
      </w:r>
      <w:r w:rsidR="0002039C" w:rsidRPr="598428D3">
        <w:rPr>
          <w:rFonts w:cs="Arial"/>
        </w:rPr>
        <w:t xml:space="preserve"> that </w:t>
      </w:r>
      <w:r w:rsidR="008B0F45" w:rsidRPr="598428D3">
        <w:rPr>
          <w:rFonts w:cs="Arial"/>
        </w:rPr>
        <w:t>may be</w:t>
      </w:r>
      <w:r w:rsidR="0002039C" w:rsidRPr="598428D3">
        <w:rPr>
          <w:rFonts w:cs="Arial"/>
        </w:rPr>
        <w:t xml:space="preserve"> required</w:t>
      </w:r>
      <w:r w:rsidR="0049639B" w:rsidRPr="598428D3">
        <w:rPr>
          <w:rFonts w:cs="Arial"/>
        </w:rPr>
        <w:t xml:space="preserve"> or o</w:t>
      </w:r>
      <w:r w:rsidR="0002039C" w:rsidRPr="598428D3">
        <w:rPr>
          <w:rFonts w:cs="Arial"/>
        </w:rPr>
        <w:t>ppor</w:t>
      </w:r>
      <w:r w:rsidR="00931970" w:rsidRPr="598428D3">
        <w:rPr>
          <w:rFonts w:cs="Arial"/>
        </w:rPr>
        <w:t>t</w:t>
      </w:r>
      <w:r w:rsidR="0002039C" w:rsidRPr="598428D3">
        <w:rPr>
          <w:rFonts w:cs="Arial"/>
        </w:rPr>
        <w:t>un</w:t>
      </w:r>
      <w:r w:rsidR="00931970" w:rsidRPr="598428D3">
        <w:rPr>
          <w:rFonts w:cs="Arial"/>
        </w:rPr>
        <w:t>i</w:t>
      </w:r>
      <w:r w:rsidR="0002039C" w:rsidRPr="598428D3">
        <w:rPr>
          <w:rFonts w:cs="Arial"/>
        </w:rPr>
        <w:t>ties to address the changes that have occurred and will continue to occur in the ‘shopping offer’ in these centres</w:t>
      </w:r>
      <w:r w:rsidR="0049639B" w:rsidRPr="598428D3">
        <w:rPr>
          <w:rFonts w:cs="Arial"/>
        </w:rPr>
        <w:t xml:space="preserve">. </w:t>
      </w:r>
      <w:r w:rsidR="077810C4" w:rsidRPr="598428D3">
        <w:rPr>
          <w:rFonts w:cs="Arial"/>
        </w:rPr>
        <w:t xml:space="preserve">It should also explore how </w:t>
      </w:r>
      <w:r w:rsidR="5D605D0F" w:rsidRPr="598428D3">
        <w:rPr>
          <w:rFonts w:cs="Arial"/>
        </w:rPr>
        <w:t>c</w:t>
      </w:r>
      <w:r w:rsidR="077810C4" w:rsidRPr="598428D3">
        <w:rPr>
          <w:rFonts w:cs="Arial"/>
        </w:rPr>
        <w:t>entres can contribute towards</w:t>
      </w:r>
      <w:r w:rsidR="167F841A" w:rsidRPr="598428D3">
        <w:rPr>
          <w:rFonts w:cs="Arial"/>
        </w:rPr>
        <w:t xml:space="preserve"> implementing the</w:t>
      </w:r>
      <w:r w:rsidR="077810C4" w:rsidRPr="598428D3">
        <w:rPr>
          <w:rFonts w:cs="Arial"/>
        </w:rPr>
        <w:t xml:space="preserve"> </w:t>
      </w:r>
      <w:r w:rsidR="091706DF" w:rsidRPr="598428D3">
        <w:rPr>
          <w:rFonts w:cs="Arial"/>
        </w:rPr>
        <w:t>20-minute</w:t>
      </w:r>
      <w:r w:rsidR="077810C4" w:rsidRPr="598428D3">
        <w:rPr>
          <w:rFonts w:cs="Arial"/>
        </w:rPr>
        <w:t xml:space="preserve"> neighbourhood </w:t>
      </w:r>
      <w:r w:rsidR="38BD48FD" w:rsidRPr="598428D3">
        <w:rPr>
          <w:rFonts w:cs="Arial"/>
        </w:rPr>
        <w:t>concept</w:t>
      </w:r>
      <w:r w:rsidR="077810C4" w:rsidRPr="598428D3">
        <w:rPr>
          <w:rFonts w:cs="Arial"/>
        </w:rPr>
        <w:t>.</w:t>
      </w:r>
    </w:p>
    <w:p w14:paraId="07014F12" w14:textId="77777777" w:rsidR="00CD3BDE" w:rsidRPr="00CD3BDE" w:rsidRDefault="00CD3BDE" w:rsidP="00B54547">
      <w:pPr>
        <w:pStyle w:val="ListParagraph"/>
        <w:spacing w:after="0" w:line="240" w:lineRule="auto"/>
        <w:ind w:left="1260"/>
        <w:jc w:val="both"/>
        <w:rPr>
          <w:rFonts w:cs="Arial"/>
        </w:rPr>
      </w:pPr>
    </w:p>
    <w:p w14:paraId="19133FD4" w14:textId="1250E244" w:rsidR="00AB38D2" w:rsidRPr="002416D8" w:rsidRDefault="002A6142" w:rsidP="00B54547">
      <w:pPr>
        <w:pStyle w:val="ListParagraph"/>
        <w:numPr>
          <w:ilvl w:val="0"/>
          <w:numId w:val="37"/>
        </w:numPr>
        <w:spacing w:after="0" w:line="240" w:lineRule="auto"/>
        <w:ind w:left="1260" w:hanging="450"/>
        <w:jc w:val="both"/>
        <w:rPr>
          <w:rFonts w:cs="Arial"/>
        </w:rPr>
      </w:pPr>
      <w:r w:rsidRPr="598428D3">
        <w:rPr>
          <w:rFonts w:cs="Arial"/>
        </w:rPr>
        <w:t xml:space="preserve">A detailed </w:t>
      </w:r>
      <w:r w:rsidR="000B1DBD" w:rsidRPr="598428D3">
        <w:rPr>
          <w:rFonts w:cs="Arial"/>
        </w:rPr>
        <w:t xml:space="preserve">final </w:t>
      </w:r>
      <w:r w:rsidRPr="598428D3">
        <w:rPr>
          <w:rFonts w:cs="Arial"/>
        </w:rPr>
        <w:t>report</w:t>
      </w:r>
      <w:r w:rsidR="000B1DBD" w:rsidRPr="598428D3">
        <w:rPr>
          <w:rFonts w:cs="Arial"/>
        </w:rPr>
        <w:t xml:space="preserve"> (and Executive Summary)</w:t>
      </w:r>
      <w:r w:rsidRPr="598428D3">
        <w:rPr>
          <w:rFonts w:cs="Arial"/>
        </w:rPr>
        <w:t>, to be used as an evidence base for the Greater Nottingham Strategic Plan, which conta</w:t>
      </w:r>
      <w:r w:rsidR="0049639B" w:rsidRPr="598428D3">
        <w:rPr>
          <w:rFonts w:cs="Arial"/>
        </w:rPr>
        <w:t xml:space="preserve">ins an analysis of the centres and </w:t>
      </w:r>
      <w:r w:rsidRPr="598428D3">
        <w:rPr>
          <w:rFonts w:cs="Arial"/>
        </w:rPr>
        <w:t xml:space="preserve">identification of </w:t>
      </w:r>
      <w:r w:rsidR="001464DE" w:rsidRPr="598428D3">
        <w:rPr>
          <w:rFonts w:cs="Arial"/>
        </w:rPr>
        <w:t>sou</w:t>
      </w:r>
      <w:r w:rsidRPr="598428D3">
        <w:rPr>
          <w:rFonts w:cs="Arial"/>
        </w:rPr>
        <w:t>nd</w:t>
      </w:r>
      <w:r w:rsidR="001464DE" w:rsidRPr="598428D3">
        <w:rPr>
          <w:rFonts w:cs="Arial"/>
        </w:rPr>
        <w:t xml:space="preserve"> and</w:t>
      </w:r>
      <w:r w:rsidRPr="598428D3">
        <w:rPr>
          <w:rFonts w:cs="Arial"/>
        </w:rPr>
        <w:t xml:space="preserve"> robust policy recommendations for the Greater Nottingham </w:t>
      </w:r>
      <w:r w:rsidR="648EAC17" w:rsidRPr="598428D3">
        <w:rPr>
          <w:rFonts w:cs="Arial"/>
        </w:rPr>
        <w:t>c</w:t>
      </w:r>
      <w:r w:rsidRPr="598428D3">
        <w:rPr>
          <w:rFonts w:cs="Arial"/>
        </w:rPr>
        <w:t>entres in light of the study analysis and outcomes listed in the table below.</w:t>
      </w:r>
    </w:p>
    <w:p w14:paraId="4B976E8B" w14:textId="39B21C26" w:rsidR="0049639B" w:rsidRPr="0049639B" w:rsidRDefault="0027602A" w:rsidP="00B54547">
      <w:pPr>
        <w:spacing w:after="0" w:line="240" w:lineRule="auto"/>
        <w:ind w:left="360"/>
        <w:jc w:val="both"/>
        <w:rPr>
          <w:rFonts w:cs="Arial"/>
          <w:szCs w:val="24"/>
        </w:rPr>
      </w:pPr>
      <w:r w:rsidRPr="002A6142">
        <w:rPr>
          <w:rFonts w:cs="Arial"/>
          <w:szCs w:val="24"/>
        </w:rPr>
        <w:t xml:space="preserve"> </w:t>
      </w:r>
    </w:p>
    <w:p w14:paraId="49EC33E3" w14:textId="6856EDB6" w:rsidR="0049639B" w:rsidRDefault="0049639B" w:rsidP="00B54547">
      <w:pPr>
        <w:tabs>
          <w:tab w:val="left" w:pos="1224"/>
        </w:tabs>
        <w:spacing w:after="0" w:line="240" w:lineRule="auto"/>
        <w:jc w:val="both"/>
        <w:rPr>
          <w:rFonts w:ascii="Arial" w:hAnsi="Arial" w:cs="Arial"/>
          <w:sz w:val="24"/>
          <w:szCs w:val="24"/>
        </w:rPr>
        <w:sectPr w:rsidR="0049639B" w:rsidSect="00CD3BDE">
          <w:pgSz w:w="11906" w:h="16838"/>
          <w:pgMar w:top="1440" w:right="1440" w:bottom="1440" w:left="1440" w:header="708" w:footer="708" w:gutter="0"/>
          <w:pgNumType w:start="1"/>
          <w:cols w:space="708"/>
          <w:titlePg/>
          <w:docGrid w:linePitch="360"/>
        </w:sectPr>
      </w:pPr>
    </w:p>
    <w:tbl>
      <w:tblPr>
        <w:tblStyle w:val="TableGrid"/>
        <w:tblW w:w="0" w:type="auto"/>
        <w:tblLook w:val="04A0" w:firstRow="1" w:lastRow="0" w:firstColumn="1" w:lastColumn="0" w:noHBand="0" w:noVBand="1"/>
      </w:tblPr>
      <w:tblGrid>
        <w:gridCol w:w="816"/>
        <w:gridCol w:w="6559"/>
        <w:gridCol w:w="6573"/>
      </w:tblGrid>
      <w:tr w:rsidR="000C5DAD" w:rsidRPr="003527BE" w14:paraId="1E407AED" w14:textId="77777777" w:rsidTr="0F64DCCE">
        <w:trPr>
          <w:tblHeader/>
        </w:trPr>
        <w:tc>
          <w:tcPr>
            <w:tcW w:w="0" w:type="auto"/>
          </w:tcPr>
          <w:p w14:paraId="4F1F557F" w14:textId="77777777" w:rsidR="000C5DAD" w:rsidRPr="003527BE" w:rsidRDefault="000C5DAD" w:rsidP="00B54547">
            <w:pPr>
              <w:jc w:val="both"/>
              <w:rPr>
                <w:rFonts w:ascii="Arial" w:hAnsi="Arial" w:cs="Arial"/>
                <w:b/>
                <w:sz w:val="24"/>
                <w:szCs w:val="24"/>
              </w:rPr>
            </w:pPr>
            <w:r w:rsidRPr="003527BE">
              <w:rPr>
                <w:rFonts w:ascii="Arial" w:hAnsi="Arial" w:cs="Arial"/>
                <w:b/>
                <w:sz w:val="24"/>
                <w:szCs w:val="24"/>
              </w:rPr>
              <w:lastRenderedPageBreak/>
              <w:t>Point</w:t>
            </w:r>
          </w:p>
        </w:tc>
        <w:tc>
          <w:tcPr>
            <w:tcW w:w="6559" w:type="dxa"/>
          </w:tcPr>
          <w:p w14:paraId="67498E86" w14:textId="77777777" w:rsidR="000C5DAD" w:rsidRPr="003527BE" w:rsidRDefault="000C5DAD" w:rsidP="00B54547">
            <w:pPr>
              <w:jc w:val="both"/>
              <w:rPr>
                <w:rFonts w:ascii="Arial" w:hAnsi="Arial" w:cs="Arial"/>
                <w:b/>
                <w:sz w:val="24"/>
                <w:szCs w:val="24"/>
              </w:rPr>
            </w:pPr>
            <w:r w:rsidRPr="003527BE">
              <w:rPr>
                <w:rFonts w:ascii="Arial" w:hAnsi="Arial" w:cs="Arial"/>
                <w:b/>
                <w:sz w:val="24"/>
                <w:szCs w:val="24"/>
              </w:rPr>
              <w:t xml:space="preserve">Analysis Required </w:t>
            </w:r>
          </w:p>
          <w:p w14:paraId="001FD4F6" w14:textId="38852783" w:rsidR="000C5DAD" w:rsidRPr="003527BE" w:rsidRDefault="000C5DAD" w:rsidP="00B54547">
            <w:pPr>
              <w:jc w:val="both"/>
              <w:rPr>
                <w:rFonts w:ascii="Arial" w:hAnsi="Arial" w:cs="Arial"/>
                <w:b/>
                <w:sz w:val="24"/>
                <w:szCs w:val="24"/>
              </w:rPr>
            </w:pPr>
          </w:p>
        </w:tc>
        <w:tc>
          <w:tcPr>
            <w:tcW w:w="6573" w:type="dxa"/>
          </w:tcPr>
          <w:p w14:paraId="6039A374" w14:textId="77777777" w:rsidR="000C5DAD" w:rsidRPr="003527BE" w:rsidRDefault="000C5DAD" w:rsidP="00B54547">
            <w:pPr>
              <w:jc w:val="both"/>
              <w:rPr>
                <w:rFonts w:ascii="Arial" w:hAnsi="Arial" w:cs="Arial"/>
                <w:b/>
                <w:sz w:val="24"/>
                <w:szCs w:val="24"/>
              </w:rPr>
            </w:pPr>
            <w:r w:rsidRPr="003527BE">
              <w:rPr>
                <w:rFonts w:ascii="Arial" w:hAnsi="Arial" w:cs="Arial"/>
                <w:b/>
                <w:sz w:val="24"/>
                <w:szCs w:val="24"/>
              </w:rPr>
              <w:t xml:space="preserve">Output Required </w:t>
            </w:r>
          </w:p>
        </w:tc>
      </w:tr>
      <w:tr w:rsidR="000C5DAD" w:rsidRPr="003527BE" w14:paraId="013AF12C" w14:textId="77777777" w:rsidTr="0F64DCCE">
        <w:tc>
          <w:tcPr>
            <w:tcW w:w="0" w:type="auto"/>
          </w:tcPr>
          <w:p w14:paraId="2AB89989" w14:textId="77777777" w:rsidR="000C5DAD" w:rsidRPr="003527BE" w:rsidRDefault="000C5DAD" w:rsidP="00B54547">
            <w:pPr>
              <w:contextualSpacing/>
              <w:jc w:val="both"/>
              <w:rPr>
                <w:rFonts w:ascii="Arial" w:hAnsi="Arial" w:cs="Arial"/>
                <w:color w:val="000000" w:themeColor="text1"/>
                <w:sz w:val="24"/>
                <w:szCs w:val="24"/>
              </w:rPr>
            </w:pPr>
            <w:r w:rsidRPr="003527BE">
              <w:rPr>
                <w:rFonts w:ascii="Arial" w:hAnsi="Arial" w:cs="Arial"/>
                <w:color w:val="000000" w:themeColor="text1"/>
                <w:sz w:val="24"/>
                <w:szCs w:val="24"/>
              </w:rPr>
              <w:t>1</w:t>
            </w:r>
          </w:p>
        </w:tc>
        <w:tc>
          <w:tcPr>
            <w:tcW w:w="6559" w:type="dxa"/>
          </w:tcPr>
          <w:p w14:paraId="06E6E288" w14:textId="0378AE7B" w:rsidR="000C5DAD" w:rsidRPr="00CD3BDE" w:rsidRDefault="0049639B"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Identify</w:t>
            </w:r>
            <w:r w:rsidR="000C5DAD" w:rsidRPr="00CD3BDE">
              <w:rPr>
                <w:rFonts w:ascii="Arial" w:hAnsi="Arial" w:cs="Arial"/>
                <w:color w:val="000000" w:themeColor="text1"/>
                <w:sz w:val="24"/>
                <w:szCs w:val="24"/>
              </w:rPr>
              <w:t xml:space="preserve"> whether the current </w:t>
            </w:r>
            <w:r w:rsidR="00541F68" w:rsidRPr="00CD3BDE">
              <w:rPr>
                <w:rFonts w:ascii="Arial" w:hAnsi="Arial" w:cs="Arial"/>
                <w:color w:val="000000" w:themeColor="text1"/>
                <w:sz w:val="24"/>
                <w:szCs w:val="24"/>
              </w:rPr>
              <w:t xml:space="preserve">overall </w:t>
            </w:r>
            <w:r w:rsidR="000C5DAD" w:rsidRPr="00CD3BDE">
              <w:rPr>
                <w:rFonts w:ascii="Arial" w:hAnsi="Arial" w:cs="Arial"/>
                <w:color w:val="000000" w:themeColor="text1"/>
                <w:sz w:val="24"/>
                <w:szCs w:val="24"/>
              </w:rPr>
              <w:t xml:space="preserve">hierarchy of retail centres (set out in </w:t>
            </w:r>
            <w:r w:rsidR="003527BE" w:rsidRPr="00CD3BDE">
              <w:rPr>
                <w:rFonts w:ascii="Arial" w:hAnsi="Arial" w:cs="Arial"/>
                <w:color w:val="000000" w:themeColor="text1"/>
                <w:sz w:val="24"/>
                <w:szCs w:val="24"/>
              </w:rPr>
              <w:t>Section 4</w:t>
            </w:r>
            <w:r w:rsidR="000C5DAD" w:rsidRPr="00CD3BDE">
              <w:rPr>
                <w:rFonts w:ascii="Arial" w:hAnsi="Arial" w:cs="Arial"/>
                <w:color w:val="000000" w:themeColor="text1"/>
                <w:sz w:val="24"/>
                <w:szCs w:val="24"/>
              </w:rPr>
              <w:t>) is appropriate and fit for purpose in the context of cu</w:t>
            </w:r>
            <w:r w:rsidR="00541F68" w:rsidRPr="00CD3BDE">
              <w:rPr>
                <w:rFonts w:ascii="Arial" w:hAnsi="Arial" w:cs="Arial"/>
                <w:color w:val="000000" w:themeColor="text1"/>
                <w:sz w:val="24"/>
                <w:szCs w:val="24"/>
              </w:rPr>
              <w:t>rrent and future retail trends.</w:t>
            </w:r>
          </w:p>
          <w:p w14:paraId="628D3300" w14:textId="77777777" w:rsidR="000C5DAD" w:rsidRPr="00CD3BDE" w:rsidRDefault="000C5DAD" w:rsidP="00B54547">
            <w:pPr>
              <w:jc w:val="both"/>
              <w:rPr>
                <w:rFonts w:ascii="Arial" w:hAnsi="Arial" w:cs="Arial"/>
                <w:color w:val="000000" w:themeColor="text1"/>
                <w:sz w:val="24"/>
                <w:szCs w:val="24"/>
              </w:rPr>
            </w:pPr>
          </w:p>
        </w:tc>
        <w:tc>
          <w:tcPr>
            <w:tcW w:w="6573" w:type="dxa"/>
          </w:tcPr>
          <w:p w14:paraId="5DEA7EA9" w14:textId="436E32DC" w:rsidR="000C5DAD" w:rsidRPr="00CD3BDE" w:rsidRDefault="000C5DAD"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Recommendation setting out any changes to the hierarchy of retail centres in terms of their appropriateness in the context of current and future retail trends.</w:t>
            </w:r>
          </w:p>
          <w:p w14:paraId="75A209B2" w14:textId="78CDF73F" w:rsidR="00F0059E" w:rsidRPr="00CD3BDE" w:rsidRDefault="00F0059E" w:rsidP="00B54547">
            <w:pPr>
              <w:contextualSpacing/>
              <w:jc w:val="both"/>
              <w:rPr>
                <w:rFonts w:ascii="Arial" w:hAnsi="Arial" w:cs="Arial"/>
                <w:color w:val="000000" w:themeColor="text1"/>
                <w:sz w:val="24"/>
                <w:szCs w:val="24"/>
              </w:rPr>
            </w:pPr>
          </w:p>
          <w:p w14:paraId="10932041" w14:textId="1F7EC096" w:rsidR="00F0059E" w:rsidRPr="00CD3BDE" w:rsidRDefault="00F0059E"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Consequent policy recommendations for any suggested changes to the hierarchy of centres</w:t>
            </w:r>
            <w:r w:rsidR="000F733F" w:rsidRPr="00CD3BDE">
              <w:rPr>
                <w:rFonts w:ascii="Arial" w:hAnsi="Arial" w:cs="Arial"/>
                <w:color w:val="000000" w:themeColor="text1"/>
                <w:sz w:val="24"/>
                <w:szCs w:val="24"/>
              </w:rPr>
              <w:t xml:space="preserve"> for the Strategic Plan</w:t>
            </w:r>
            <w:r w:rsidRPr="00CD3BDE">
              <w:rPr>
                <w:rFonts w:ascii="Arial" w:hAnsi="Arial" w:cs="Arial"/>
                <w:color w:val="000000" w:themeColor="text1"/>
                <w:sz w:val="24"/>
                <w:szCs w:val="24"/>
              </w:rPr>
              <w:t>.</w:t>
            </w:r>
          </w:p>
          <w:p w14:paraId="0809F64F" w14:textId="77777777" w:rsidR="000C5DAD" w:rsidRPr="00CD3BDE" w:rsidRDefault="000C5DAD" w:rsidP="00B54547">
            <w:pPr>
              <w:jc w:val="both"/>
              <w:rPr>
                <w:rFonts w:ascii="Arial" w:hAnsi="Arial" w:cs="Arial"/>
                <w:color w:val="000000" w:themeColor="text1"/>
                <w:sz w:val="24"/>
                <w:szCs w:val="24"/>
              </w:rPr>
            </w:pPr>
          </w:p>
        </w:tc>
      </w:tr>
      <w:tr w:rsidR="000C5DAD" w:rsidRPr="003527BE" w14:paraId="59EDF8CF" w14:textId="77777777" w:rsidTr="0F64DCCE">
        <w:tc>
          <w:tcPr>
            <w:tcW w:w="0" w:type="auto"/>
          </w:tcPr>
          <w:p w14:paraId="4D42C880" w14:textId="77777777" w:rsidR="000C5DAD" w:rsidRPr="003527BE" w:rsidRDefault="000C5DAD" w:rsidP="00B54547">
            <w:pPr>
              <w:jc w:val="both"/>
              <w:rPr>
                <w:rFonts w:ascii="Arial" w:hAnsi="Arial" w:cs="Arial"/>
                <w:color w:val="000000" w:themeColor="text1"/>
                <w:sz w:val="24"/>
                <w:szCs w:val="24"/>
              </w:rPr>
            </w:pPr>
            <w:r w:rsidRPr="003527BE">
              <w:rPr>
                <w:rFonts w:ascii="Arial" w:hAnsi="Arial" w:cs="Arial"/>
                <w:color w:val="000000" w:themeColor="text1"/>
                <w:sz w:val="24"/>
                <w:szCs w:val="24"/>
              </w:rPr>
              <w:t>2</w:t>
            </w:r>
          </w:p>
        </w:tc>
        <w:tc>
          <w:tcPr>
            <w:tcW w:w="6559" w:type="dxa"/>
          </w:tcPr>
          <w:p w14:paraId="553CA6B2" w14:textId="73880FB2" w:rsidR="006E012D" w:rsidRPr="00CD3BDE" w:rsidRDefault="000C5DAD"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 xml:space="preserve">An assessment of the </w:t>
            </w:r>
            <w:r w:rsidR="006E012D" w:rsidRPr="00CD3BDE">
              <w:rPr>
                <w:rFonts w:ascii="Arial" w:hAnsi="Arial" w:cs="Arial"/>
                <w:color w:val="000000" w:themeColor="text1"/>
                <w:sz w:val="24"/>
                <w:szCs w:val="24"/>
              </w:rPr>
              <w:t>Greate</w:t>
            </w:r>
            <w:r w:rsidR="001D11A4" w:rsidRPr="00CD3BDE">
              <w:rPr>
                <w:rFonts w:ascii="Arial" w:hAnsi="Arial" w:cs="Arial"/>
                <w:color w:val="000000" w:themeColor="text1"/>
                <w:sz w:val="24"/>
                <w:szCs w:val="24"/>
              </w:rPr>
              <w:t>r Nottingham Centres to cover two</w:t>
            </w:r>
            <w:r w:rsidR="006E012D" w:rsidRPr="00CD3BDE">
              <w:rPr>
                <w:rFonts w:ascii="Arial" w:hAnsi="Arial" w:cs="Arial"/>
                <w:color w:val="000000" w:themeColor="text1"/>
                <w:sz w:val="24"/>
                <w:szCs w:val="24"/>
              </w:rPr>
              <w:t xml:space="preserve"> elements: </w:t>
            </w:r>
          </w:p>
          <w:p w14:paraId="62083F3F" w14:textId="77777777" w:rsidR="006E012D" w:rsidRPr="00CD3BDE" w:rsidRDefault="006E012D" w:rsidP="00B54547">
            <w:pPr>
              <w:jc w:val="both"/>
              <w:rPr>
                <w:rFonts w:ascii="Arial" w:hAnsi="Arial" w:cs="Arial"/>
                <w:color w:val="000000" w:themeColor="text1"/>
                <w:sz w:val="24"/>
                <w:szCs w:val="24"/>
              </w:rPr>
            </w:pPr>
          </w:p>
          <w:p w14:paraId="11356556" w14:textId="672EF713" w:rsidR="00F6688F" w:rsidRPr="00CD3BDE" w:rsidRDefault="006E012D" w:rsidP="00B54547">
            <w:pPr>
              <w:pStyle w:val="ListParagraph"/>
              <w:numPr>
                <w:ilvl w:val="0"/>
                <w:numId w:val="36"/>
              </w:numPr>
              <w:spacing w:after="0" w:line="240" w:lineRule="auto"/>
              <w:jc w:val="both"/>
              <w:rPr>
                <w:rFonts w:cs="Arial"/>
                <w:color w:val="000000" w:themeColor="text1"/>
                <w:szCs w:val="24"/>
              </w:rPr>
            </w:pPr>
            <w:r w:rsidRPr="00CD3BDE">
              <w:rPr>
                <w:rFonts w:cs="Arial"/>
                <w:b/>
                <w:color w:val="000000" w:themeColor="text1"/>
                <w:szCs w:val="24"/>
              </w:rPr>
              <w:t xml:space="preserve">Detailed analysis of the </w:t>
            </w:r>
            <w:r w:rsidR="00ED4637" w:rsidRPr="00CD3BDE">
              <w:rPr>
                <w:rFonts w:cs="Arial"/>
                <w:b/>
                <w:color w:val="000000" w:themeColor="text1"/>
                <w:szCs w:val="24"/>
              </w:rPr>
              <w:t>City Centre, Town C</w:t>
            </w:r>
            <w:r w:rsidR="00F6688F" w:rsidRPr="00CD3BDE">
              <w:rPr>
                <w:rFonts w:cs="Arial"/>
                <w:b/>
                <w:color w:val="000000" w:themeColor="text1"/>
                <w:szCs w:val="24"/>
              </w:rPr>
              <w:t>entres and</w:t>
            </w:r>
            <w:r w:rsidR="00ED4637" w:rsidRPr="00CD3BDE">
              <w:rPr>
                <w:rFonts w:cs="Arial"/>
                <w:b/>
                <w:color w:val="000000" w:themeColor="text1"/>
                <w:szCs w:val="24"/>
              </w:rPr>
              <w:t xml:space="preserve"> District </w:t>
            </w:r>
            <w:r w:rsidR="00F6688F" w:rsidRPr="00CD3BDE">
              <w:rPr>
                <w:rFonts w:cs="Arial"/>
                <w:b/>
                <w:color w:val="000000" w:themeColor="text1"/>
                <w:szCs w:val="24"/>
              </w:rPr>
              <w:t>Centres</w:t>
            </w:r>
            <w:r w:rsidR="003549C0" w:rsidRPr="00CD3BDE">
              <w:rPr>
                <w:rFonts w:cs="Arial"/>
                <w:b/>
                <w:color w:val="000000" w:themeColor="text1"/>
                <w:szCs w:val="24"/>
              </w:rPr>
              <w:t xml:space="preserve"> (</w:t>
            </w:r>
            <w:r w:rsidR="00407077" w:rsidRPr="00CD3BDE">
              <w:rPr>
                <w:rFonts w:cs="Arial"/>
                <w:b/>
                <w:color w:val="000000" w:themeColor="text1"/>
                <w:szCs w:val="24"/>
              </w:rPr>
              <w:t>levels a-c in the hierarchy</w:t>
            </w:r>
            <w:r w:rsidR="00F6688F" w:rsidRPr="00CD3BDE">
              <w:rPr>
                <w:rFonts w:cs="Arial"/>
                <w:color w:val="000000" w:themeColor="text1"/>
                <w:szCs w:val="24"/>
              </w:rPr>
              <w:t xml:space="preserve"> </w:t>
            </w:r>
            <w:r w:rsidR="00ED4637" w:rsidRPr="00CD3BDE">
              <w:rPr>
                <w:rFonts w:cs="Arial"/>
                <w:b/>
                <w:color w:val="000000" w:themeColor="text1"/>
                <w:szCs w:val="24"/>
              </w:rPr>
              <w:t>listed in Section 4</w:t>
            </w:r>
            <w:r w:rsidR="003549C0" w:rsidRPr="00CD3BDE">
              <w:rPr>
                <w:rFonts w:cs="Arial"/>
                <w:b/>
                <w:color w:val="000000" w:themeColor="text1"/>
                <w:szCs w:val="24"/>
              </w:rPr>
              <w:t>)</w:t>
            </w:r>
            <w:r w:rsidR="00AB5CA4" w:rsidRPr="00CD3BDE">
              <w:rPr>
                <w:rFonts w:cs="Arial"/>
                <w:b/>
                <w:color w:val="000000" w:themeColor="text1"/>
                <w:szCs w:val="24"/>
              </w:rPr>
              <w:t xml:space="preserve"> </w:t>
            </w:r>
            <w:r w:rsidR="00ED4637" w:rsidRPr="00CD3BDE">
              <w:rPr>
                <w:rFonts w:cs="Arial"/>
                <w:color w:val="000000" w:themeColor="text1"/>
                <w:szCs w:val="24"/>
              </w:rPr>
              <w:t>t</w:t>
            </w:r>
            <w:r w:rsidR="00AB5CA4" w:rsidRPr="00CD3BDE">
              <w:rPr>
                <w:rFonts w:cs="Arial"/>
                <w:color w:val="000000" w:themeColor="text1"/>
                <w:szCs w:val="24"/>
              </w:rPr>
              <w:t>o assess</w:t>
            </w:r>
            <w:r w:rsidR="000C5DAD" w:rsidRPr="00CD3BDE">
              <w:rPr>
                <w:rFonts w:cs="Arial"/>
                <w:color w:val="000000" w:themeColor="text1"/>
                <w:szCs w:val="24"/>
              </w:rPr>
              <w:t xml:space="preserve"> the current trends in closures, vacancies and openings of units, the use/appeal of centres, environmental factors and any external factors that may have a direct bearing upon the vitality of those centres in the future. </w:t>
            </w:r>
          </w:p>
          <w:p w14:paraId="4EF62741" w14:textId="77777777" w:rsidR="00F6688F" w:rsidRPr="00CD3BDE" w:rsidRDefault="00F6688F" w:rsidP="00B54547">
            <w:pPr>
              <w:jc w:val="both"/>
              <w:rPr>
                <w:rFonts w:ascii="Arial" w:hAnsi="Arial" w:cs="Arial"/>
                <w:color w:val="000000" w:themeColor="text1"/>
                <w:sz w:val="24"/>
                <w:szCs w:val="24"/>
              </w:rPr>
            </w:pPr>
          </w:p>
          <w:p w14:paraId="1612B417" w14:textId="75801D6F" w:rsidR="000C5DAD" w:rsidRPr="00CD3BDE" w:rsidRDefault="000C5DAD" w:rsidP="00B54547">
            <w:pPr>
              <w:ind w:firstLine="631"/>
              <w:jc w:val="both"/>
              <w:rPr>
                <w:rFonts w:ascii="Arial" w:hAnsi="Arial" w:cs="Arial"/>
                <w:color w:val="000000" w:themeColor="text1"/>
                <w:sz w:val="24"/>
                <w:szCs w:val="24"/>
              </w:rPr>
            </w:pPr>
            <w:r w:rsidRPr="00CD3BDE">
              <w:rPr>
                <w:rFonts w:ascii="Arial" w:hAnsi="Arial" w:cs="Arial"/>
                <w:color w:val="000000" w:themeColor="text1"/>
                <w:sz w:val="24"/>
                <w:szCs w:val="24"/>
              </w:rPr>
              <w:t>The assessments should include:</w:t>
            </w:r>
          </w:p>
          <w:p w14:paraId="66939046" w14:textId="77777777" w:rsidR="000C5DAD" w:rsidRPr="00CD3BDE" w:rsidRDefault="000C5DAD"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 xml:space="preserve">an analysis of the role and function of each centre;  </w:t>
            </w:r>
          </w:p>
          <w:p w14:paraId="4612B6EE" w14:textId="77777777" w:rsidR="000C5DAD" w:rsidRPr="00CD3BDE" w:rsidRDefault="000C5DAD"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an analysis of how much Use Class E (and related sui generis uses) exist in the centres;</w:t>
            </w:r>
          </w:p>
          <w:p w14:paraId="570098B5" w14:textId="77777777" w:rsidR="000C5DAD" w:rsidRPr="00CD3BDE" w:rsidRDefault="000C5DAD"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 xml:space="preserve">an analysis of vacancy levels in each centre; </w:t>
            </w:r>
          </w:p>
          <w:p w14:paraId="6FF0DEFA" w14:textId="5C156907" w:rsidR="00790789" w:rsidRPr="00CD3BDE" w:rsidRDefault="000C5DAD"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an analysis of how much of Use Class E (and related sui generis uses) may be needed over the period to 204</w:t>
            </w:r>
            <w:r w:rsidR="003549C0" w:rsidRPr="00CD3BDE">
              <w:rPr>
                <w:rFonts w:cs="Arial"/>
                <w:color w:val="000000" w:themeColor="text1"/>
                <w:szCs w:val="24"/>
              </w:rPr>
              <w:t>1</w:t>
            </w:r>
            <w:r w:rsidRPr="00CD3BDE">
              <w:rPr>
                <w:rFonts w:cs="Arial"/>
                <w:color w:val="000000" w:themeColor="text1"/>
                <w:szCs w:val="24"/>
              </w:rPr>
              <w:t xml:space="preserve"> </w:t>
            </w:r>
            <w:r w:rsidR="00ED4637" w:rsidRPr="00CD3BDE">
              <w:rPr>
                <w:rFonts w:cs="Arial"/>
                <w:color w:val="000000" w:themeColor="text1"/>
                <w:szCs w:val="24"/>
              </w:rPr>
              <w:t>(to broaden the vitality and vib</w:t>
            </w:r>
            <w:r w:rsidR="00F6688F" w:rsidRPr="00CD3BDE">
              <w:rPr>
                <w:rFonts w:cs="Arial"/>
                <w:color w:val="000000" w:themeColor="text1"/>
                <w:szCs w:val="24"/>
              </w:rPr>
              <w:t xml:space="preserve">rancy of centres in the future </w:t>
            </w:r>
            <w:r w:rsidR="00ED4637" w:rsidRPr="00CD3BDE">
              <w:rPr>
                <w:rFonts w:cs="Arial"/>
                <w:color w:val="000000" w:themeColor="text1"/>
                <w:szCs w:val="24"/>
              </w:rPr>
              <w:t xml:space="preserve">to ensure that they are "places to visit" rather than simply </w:t>
            </w:r>
            <w:r w:rsidR="00ED4637" w:rsidRPr="00CD3BDE">
              <w:rPr>
                <w:rFonts w:cs="Arial"/>
                <w:color w:val="000000" w:themeColor="text1"/>
                <w:szCs w:val="24"/>
              </w:rPr>
              <w:lastRenderedPageBreak/>
              <w:t>"places to shop")</w:t>
            </w:r>
            <w:r w:rsidR="00F6688F" w:rsidRPr="00CD3BDE">
              <w:rPr>
                <w:rFonts w:cs="Arial"/>
                <w:color w:val="000000" w:themeColor="text1"/>
                <w:szCs w:val="24"/>
              </w:rPr>
              <w:t xml:space="preserve"> </w:t>
            </w:r>
            <w:r w:rsidRPr="00CD3BDE">
              <w:rPr>
                <w:rFonts w:cs="Arial"/>
                <w:color w:val="000000" w:themeColor="text1"/>
                <w:szCs w:val="24"/>
              </w:rPr>
              <w:t>and the key drivers and trends affecting this</w:t>
            </w:r>
            <w:r w:rsidR="00AB1ED6" w:rsidRPr="00CD3BDE">
              <w:rPr>
                <w:rFonts w:cs="Arial"/>
                <w:color w:val="000000" w:themeColor="text1"/>
                <w:szCs w:val="24"/>
              </w:rPr>
              <w:t xml:space="preserve">; </w:t>
            </w:r>
          </w:p>
          <w:p w14:paraId="4CEF4633" w14:textId="7273F0E9" w:rsidR="000C5DAD" w:rsidRPr="00CD3BDE" w:rsidRDefault="5C87AD03"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a</w:t>
            </w:r>
            <w:r w:rsidR="35836AFD" w:rsidRPr="00CD3BDE">
              <w:rPr>
                <w:rFonts w:cs="Arial"/>
                <w:color w:val="000000" w:themeColor="text1"/>
                <w:szCs w:val="24"/>
              </w:rPr>
              <w:t>n analysis of the demand, role, opportunities, threats and impacts o</w:t>
            </w:r>
            <w:r w:rsidR="00CB6960" w:rsidRPr="00CD3BDE">
              <w:rPr>
                <w:rFonts w:cs="Arial"/>
                <w:color w:val="000000" w:themeColor="text1"/>
                <w:szCs w:val="24"/>
              </w:rPr>
              <w:t xml:space="preserve">f provision of housing in </w:t>
            </w:r>
            <w:r w:rsidR="35836AFD" w:rsidRPr="00CD3BDE">
              <w:rPr>
                <w:rFonts w:cs="Arial"/>
                <w:color w:val="000000" w:themeColor="text1"/>
                <w:szCs w:val="24"/>
              </w:rPr>
              <w:t>centres (</w:t>
            </w:r>
            <w:r w:rsidR="392E5729" w:rsidRPr="00CD3BDE">
              <w:rPr>
                <w:rFonts w:cs="Arial"/>
                <w:color w:val="000000" w:themeColor="text1"/>
                <w:szCs w:val="24"/>
              </w:rPr>
              <w:t>e.g.</w:t>
            </w:r>
            <w:r w:rsidR="35836AFD" w:rsidRPr="00CD3BDE">
              <w:rPr>
                <w:rFonts w:cs="Arial"/>
                <w:color w:val="000000" w:themeColor="text1"/>
                <w:szCs w:val="24"/>
              </w:rPr>
              <w:t xml:space="preserve"> looking at specific sectors such as young professionals, student accommodation, older persons housing); and</w:t>
            </w:r>
          </w:p>
          <w:p w14:paraId="434B7526" w14:textId="26BEC18E" w:rsidR="000C5DAD" w:rsidRPr="00CD3BDE" w:rsidRDefault="000C5DAD" w:rsidP="00B54547">
            <w:pPr>
              <w:pStyle w:val="ListParagraph"/>
              <w:numPr>
                <w:ilvl w:val="0"/>
                <w:numId w:val="34"/>
              </w:numPr>
              <w:spacing w:after="0" w:line="240" w:lineRule="auto"/>
              <w:ind w:left="1339" w:hanging="283"/>
              <w:jc w:val="both"/>
              <w:rPr>
                <w:rFonts w:cs="Arial"/>
                <w:color w:val="000000" w:themeColor="text1"/>
                <w:szCs w:val="24"/>
              </w:rPr>
            </w:pPr>
            <w:r w:rsidRPr="00CD3BDE">
              <w:rPr>
                <w:rFonts w:cs="Arial"/>
                <w:color w:val="000000" w:themeColor="text1"/>
                <w:szCs w:val="24"/>
              </w:rPr>
              <w:t>an analysis on the adequacy of public transport accessibility an</w:t>
            </w:r>
            <w:r w:rsidR="00CB6960" w:rsidRPr="00CD3BDE">
              <w:rPr>
                <w:rFonts w:cs="Arial"/>
                <w:color w:val="000000" w:themeColor="text1"/>
                <w:szCs w:val="24"/>
              </w:rPr>
              <w:t xml:space="preserve">d car parking provision in </w:t>
            </w:r>
            <w:r w:rsidRPr="00CD3BDE">
              <w:rPr>
                <w:rFonts w:cs="Arial"/>
                <w:color w:val="000000" w:themeColor="text1"/>
                <w:szCs w:val="24"/>
              </w:rPr>
              <w:t>centres, including opportunities for improvements to tra</w:t>
            </w:r>
            <w:r w:rsidR="00CB6960" w:rsidRPr="00CD3BDE">
              <w:rPr>
                <w:rFonts w:cs="Arial"/>
                <w:color w:val="000000" w:themeColor="text1"/>
                <w:szCs w:val="24"/>
              </w:rPr>
              <w:t xml:space="preserve">nsport links in and around </w:t>
            </w:r>
            <w:r w:rsidRPr="00CD3BDE">
              <w:rPr>
                <w:rFonts w:cs="Arial"/>
                <w:color w:val="000000" w:themeColor="text1"/>
                <w:szCs w:val="24"/>
              </w:rPr>
              <w:t>centres.</w:t>
            </w:r>
          </w:p>
          <w:p w14:paraId="40DA1B54" w14:textId="0A6210FC" w:rsidR="000C5DAD" w:rsidRPr="00CD3BDE" w:rsidRDefault="000C5DAD" w:rsidP="00B54547">
            <w:pPr>
              <w:ind w:left="630"/>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 xml:space="preserve">Such assessments do not strictly have to be ‘health checks’ of the shopping centres but </w:t>
            </w:r>
            <w:r w:rsidR="00EC4ADA" w:rsidRPr="00CD3BDE">
              <w:rPr>
                <w:rFonts w:ascii="Arial" w:hAnsi="Arial" w:cs="Arial"/>
                <w:color w:val="000000" w:themeColor="text1"/>
                <w:sz w:val="24"/>
                <w:szCs w:val="24"/>
              </w:rPr>
              <w:t xml:space="preserve">should use a range of data to assess the vitality and viability of centres. </w:t>
            </w:r>
          </w:p>
          <w:p w14:paraId="0A574E45" w14:textId="77777777" w:rsidR="000C5DAD" w:rsidRPr="00CD3BDE" w:rsidRDefault="000C5DAD" w:rsidP="00B54547">
            <w:pPr>
              <w:ind w:left="630"/>
              <w:contextualSpacing/>
              <w:jc w:val="both"/>
              <w:rPr>
                <w:rFonts w:ascii="Arial" w:hAnsi="Arial" w:cs="Arial"/>
                <w:color w:val="000000" w:themeColor="text1"/>
                <w:sz w:val="24"/>
                <w:szCs w:val="24"/>
              </w:rPr>
            </w:pPr>
          </w:p>
          <w:p w14:paraId="21E42563" w14:textId="2372CC4E" w:rsidR="000C5DAD" w:rsidRPr="00CD3BDE" w:rsidRDefault="000C5DAD" w:rsidP="00B54547">
            <w:pPr>
              <w:ind w:left="630"/>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The list above is not intended to be an exhaustive list of data requirements or to set the parameters of the assessment to be carried out. Tender documents will be expected to list the assessment methodology that will be used to fulfil NPPF/G requirements. Final datasets (including the range of sui generis uses to be analysed) will be agreed with the study team at or following the inception meeting.</w:t>
            </w:r>
          </w:p>
          <w:p w14:paraId="4B81086E" w14:textId="76C181AC" w:rsidR="00AB1ED6" w:rsidRPr="00CD3BDE" w:rsidRDefault="00AB1ED6" w:rsidP="00B54547">
            <w:pPr>
              <w:ind w:left="630"/>
              <w:contextualSpacing/>
              <w:jc w:val="both"/>
              <w:rPr>
                <w:rFonts w:ascii="Arial" w:hAnsi="Arial" w:cs="Arial"/>
                <w:color w:val="000000" w:themeColor="text1"/>
                <w:sz w:val="24"/>
                <w:szCs w:val="24"/>
              </w:rPr>
            </w:pPr>
          </w:p>
          <w:p w14:paraId="7898ACAD" w14:textId="144E34C8" w:rsidR="00AB5CA4" w:rsidRPr="00CD3BDE" w:rsidRDefault="1D82B5FB" w:rsidP="00B54547">
            <w:pPr>
              <w:ind w:left="630"/>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 xml:space="preserve">In considering costings for the study, it should be noted that vacancy and use class surveys will have been undertaken for Nottingham City Centre and all centres </w:t>
            </w:r>
            <w:r w:rsidRPr="00CD3BDE">
              <w:rPr>
                <w:rFonts w:ascii="Arial" w:hAnsi="Arial" w:cs="Arial"/>
                <w:color w:val="000000" w:themeColor="text1"/>
                <w:sz w:val="24"/>
                <w:szCs w:val="24"/>
              </w:rPr>
              <w:lastRenderedPageBreak/>
              <w:t xml:space="preserve">within the Nottingham City </w:t>
            </w:r>
            <w:r w:rsidR="7A134AA3" w:rsidRPr="00CD3BDE">
              <w:rPr>
                <w:rFonts w:ascii="Arial" w:hAnsi="Arial" w:cs="Arial"/>
                <w:color w:val="000000" w:themeColor="text1"/>
                <w:sz w:val="24"/>
                <w:szCs w:val="24"/>
              </w:rPr>
              <w:t>an</w:t>
            </w:r>
            <w:r w:rsidR="00CD3BDE">
              <w:rPr>
                <w:rFonts w:ascii="Arial" w:hAnsi="Arial" w:cs="Arial"/>
                <w:color w:val="000000" w:themeColor="text1"/>
                <w:sz w:val="24"/>
                <w:szCs w:val="24"/>
              </w:rPr>
              <w:t>d</w:t>
            </w:r>
            <w:r w:rsidR="7A134AA3" w:rsidRPr="00CD3BDE">
              <w:rPr>
                <w:rFonts w:ascii="Arial" w:hAnsi="Arial" w:cs="Arial"/>
                <w:color w:val="000000" w:themeColor="text1"/>
                <w:sz w:val="24"/>
                <w:szCs w:val="24"/>
              </w:rPr>
              <w:t xml:space="preserve"> Gedling Borough </w:t>
            </w:r>
            <w:r w:rsidRPr="00CD3BDE">
              <w:rPr>
                <w:rFonts w:ascii="Arial" w:hAnsi="Arial" w:cs="Arial"/>
                <w:color w:val="000000" w:themeColor="text1"/>
                <w:sz w:val="24"/>
                <w:szCs w:val="24"/>
              </w:rPr>
              <w:t>administrative area</w:t>
            </w:r>
            <w:r w:rsidR="2EACE0FD" w:rsidRPr="00CD3BDE">
              <w:rPr>
                <w:rFonts w:ascii="Arial" w:hAnsi="Arial" w:cs="Arial"/>
                <w:color w:val="000000" w:themeColor="text1"/>
                <w:sz w:val="24"/>
                <w:szCs w:val="24"/>
              </w:rPr>
              <w:t>s</w:t>
            </w:r>
            <w:r w:rsidRPr="00CD3BDE">
              <w:rPr>
                <w:rFonts w:ascii="Arial" w:hAnsi="Arial" w:cs="Arial"/>
                <w:color w:val="000000" w:themeColor="text1"/>
                <w:sz w:val="24"/>
                <w:szCs w:val="24"/>
              </w:rPr>
              <w:t xml:space="preserve"> in </w:t>
            </w:r>
            <w:r w:rsidR="6BA43391" w:rsidRPr="00CD3BDE">
              <w:rPr>
                <w:rFonts w:ascii="Arial" w:hAnsi="Arial" w:cs="Arial"/>
                <w:color w:val="000000" w:themeColor="text1"/>
                <w:sz w:val="24"/>
                <w:szCs w:val="24"/>
              </w:rPr>
              <w:t>May/</w:t>
            </w:r>
            <w:r w:rsidRPr="00CD3BDE">
              <w:rPr>
                <w:rFonts w:ascii="Arial" w:hAnsi="Arial" w:cs="Arial"/>
                <w:color w:val="000000" w:themeColor="text1"/>
                <w:sz w:val="24"/>
                <w:szCs w:val="24"/>
              </w:rPr>
              <w:t>June 2023.</w:t>
            </w:r>
          </w:p>
          <w:p w14:paraId="039C0DF1" w14:textId="769DD103" w:rsidR="006E012D" w:rsidRPr="00CD3BDE" w:rsidRDefault="006E012D" w:rsidP="00B54547">
            <w:pPr>
              <w:contextualSpacing/>
              <w:jc w:val="both"/>
              <w:rPr>
                <w:rFonts w:ascii="Arial" w:hAnsi="Arial" w:cs="Arial"/>
                <w:color w:val="000000" w:themeColor="text1"/>
                <w:sz w:val="24"/>
                <w:szCs w:val="24"/>
              </w:rPr>
            </w:pPr>
          </w:p>
          <w:p w14:paraId="6230ABF7" w14:textId="39B9D071" w:rsidR="006E012D" w:rsidRPr="00CD3BDE" w:rsidRDefault="776745FB" w:rsidP="00B54547">
            <w:pPr>
              <w:pStyle w:val="ListParagraph"/>
              <w:numPr>
                <w:ilvl w:val="0"/>
                <w:numId w:val="36"/>
              </w:numPr>
              <w:spacing w:after="0" w:line="240" w:lineRule="auto"/>
              <w:ind w:left="638" w:hanging="284"/>
              <w:jc w:val="both"/>
              <w:rPr>
                <w:rFonts w:cs="Arial"/>
                <w:b/>
                <w:bCs/>
                <w:color w:val="000000" w:themeColor="text1"/>
                <w:szCs w:val="24"/>
              </w:rPr>
            </w:pPr>
            <w:r w:rsidRPr="00CD3BDE">
              <w:rPr>
                <w:rFonts w:cs="Arial"/>
                <w:b/>
                <w:bCs/>
                <w:color w:val="000000" w:themeColor="text1"/>
                <w:szCs w:val="24"/>
              </w:rPr>
              <w:t xml:space="preserve">General trend analysis for </w:t>
            </w:r>
            <w:r w:rsidR="00176856" w:rsidRPr="00CD3BDE">
              <w:rPr>
                <w:rFonts w:cs="Arial"/>
                <w:b/>
                <w:bCs/>
                <w:color w:val="000000" w:themeColor="text1"/>
                <w:szCs w:val="24"/>
              </w:rPr>
              <w:t xml:space="preserve">the </w:t>
            </w:r>
            <w:r w:rsidR="5D24CE52" w:rsidRPr="00CD3BDE">
              <w:rPr>
                <w:rFonts w:cs="Arial"/>
                <w:b/>
                <w:bCs/>
                <w:color w:val="000000" w:themeColor="text1"/>
                <w:szCs w:val="24"/>
              </w:rPr>
              <w:t>all the Greater Nottingham</w:t>
            </w:r>
            <w:r w:rsidR="00176856" w:rsidRPr="00CD3BDE">
              <w:rPr>
                <w:rFonts w:cs="Arial"/>
                <w:b/>
                <w:bCs/>
                <w:color w:val="000000" w:themeColor="text1"/>
                <w:szCs w:val="24"/>
              </w:rPr>
              <w:t xml:space="preserve"> </w:t>
            </w:r>
            <w:r w:rsidR="5D24CE52" w:rsidRPr="00CD3BDE">
              <w:rPr>
                <w:rFonts w:cs="Arial"/>
                <w:b/>
                <w:bCs/>
                <w:color w:val="000000" w:themeColor="text1"/>
                <w:szCs w:val="24"/>
              </w:rPr>
              <w:t>C</w:t>
            </w:r>
            <w:r w:rsidR="29D7825D" w:rsidRPr="00CD3BDE">
              <w:rPr>
                <w:rFonts w:cs="Arial"/>
                <w:b/>
                <w:bCs/>
                <w:color w:val="000000" w:themeColor="text1"/>
                <w:szCs w:val="24"/>
              </w:rPr>
              <w:t>entres (</w:t>
            </w:r>
            <w:r w:rsidR="5D24CE52" w:rsidRPr="00CD3BDE">
              <w:rPr>
                <w:rFonts w:cs="Arial"/>
                <w:b/>
                <w:bCs/>
                <w:color w:val="000000" w:themeColor="text1"/>
                <w:szCs w:val="24"/>
              </w:rPr>
              <w:t>levels a-f in the hierarchy</w:t>
            </w:r>
            <w:r w:rsidR="5D24CE52" w:rsidRPr="00CD3BDE">
              <w:rPr>
                <w:rFonts w:cs="Arial"/>
                <w:color w:val="000000" w:themeColor="text1"/>
                <w:szCs w:val="24"/>
              </w:rPr>
              <w:t xml:space="preserve"> </w:t>
            </w:r>
            <w:r w:rsidR="5D24CE52" w:rsidRPr="00CD3BDE">
              <w:rPr>
                <w:rFonts w:cs="Arial"/>
                <w:b/>
                <w:bCs/>
                <w:color w:val="000000" w:themeColor="text1"/>
                <w:szCs w:val="24"/>
              </w:rPr>
              <w:t xml:space="preserve">listed in Section </w:t>
            </w:r>
            <w:r w:rsidR="012B06D8" w:rsidRPr="00CD3BDE">
              <w:rPr>
                <w:rFonts w:cs="Arial"/>
                <w:b/>
                <w:bCs/>
                <w:color w:val="000000" w:themeColor="text1"/>
                <w:szCs w:val="24"/>
              </w:rPr>
              <w:t>4)</w:t>
            </w:r>
          </w:p>
          <w:p w14:paraId="564A6A17" w14:textId="77777777" w:rsidR="001D11A4" w:rsidRPr="00CD3BDE" w:rsidRDefault="001D11A4" w:rsidP="00B54547">
            <w:pPr>
              <w:ind w:left="720"/>
              <w:jc w:val="both"/>
              <w:rPr>
                <w:rFonts w:ascii="Arial" w:hAnsi="Arial" w:cs="Arial"/>
                <w:color w:val="000000" w:themeColor="text1"/>
                <w:sz w:val="24"/>
                <w:szCs w:val="24"/>
              </w:rPr>
            </w:pPr>
            <w:r w:rsidRPr="00CD3BDE">
              <w:rPr>
                <w:rFonts w:ascii="Arial" w:hAnsi="Arial" w:cs="Arial"/>
                <w:color w:val="000000" w:themeColor="text1"/>
                <w:sz w:val="24"/>
                <w:szCs w:val="24"/>
              </w:rPr>
              <w:t xml:space="preserve">Investigate the changes impacting centres as a result of: </w:t>
            </w:r>
          </w:p>
          <w:p w14:paraId="7FD4DC81" w14:textId="77777777" w:rsidR="001D11A4" w:rsidRPr="00CD3BDE" w:rsidRDefault="001D11A4" w:rsidP="00B54547">
            <w:pPr>
              <w:pStyle w:val="ListParagraph"/>
              <w:spacing w:after="0" w:line="240" w:lineRule="auto"/>
              <w:ind w:left="1440"/>
              <w:jc w:val="both"/>
              <w:rPr>
                <w:rFonts w:cs="Arial"/>
                <w:color w:val="000000" w:themeColor="text1"/>
                <w:szCs w:val="24"/>
              </w:rPr>
            </w:pPr>
          </w:p>
          <w:p w14:paraId="241C2D23" w14:textId="239B6679" w:rsidR="001D11A4" w:rsidRPr="00CD3BDE" w:rsidRDefault="7C79BB68" w:rsidP="00B54547">
            <w:pPr>
              <w:pStyle w:val="ListParagraph"/>
              <w:numPr>
                <w:ilvl w:val="0"/>
                <w:numId w:val="24"/>
              </w:numPr>
              <w:spacing w:after="0" w:line="240" w:lineRule="auto"/>
              <w:jc w:val="both"/>
              <w:rPr>
                <w:rFonts w:cs="Arial"/>
                <w:color w:val="000000" w:themeColor="text1"/>
                <w:szCs w:val="24"/>
              </w:rPr>
            </w:pPr>
            <w:r w:rsidRPr="00CD3BDE">
              <w:rPr>
                <w:rFonts w:cs="Arial"/>
                <w:color w:val="000000" w:themeColor="text1"/>
                <w:szCs w:val="24"/>
              </w:rPr>
              <w:t xml:space="preserve">Made/anticipated changes to planning legislation and policy (for example changes to the Use Classes Order and </w:t>
            </w:r>
            <w:r w:rsidR="57414DF8" w:rsidRPr="00CD3BDE">
              <w:rPr>
                <w:rFonts w:cs="Arial"/>
                <w:color w:val="000000" w:themeColor="text1"/>
                <w:szCs w:val="24"/>
              </w:rPr>
              <w:t>p</w:t>
            </w:r>
            <w:r w:rsidRPr="00CD3BDE">
              <w:rPr>
                <w:rFonts w:cs="Arial"/>
                <w:color w:val="000000" w:themeColor="text1"/>
                <w:szCs w:val="24"/>
              </w:rPr>
              <w:t xml:space="preserve">ermitted </w:t>
            </w:r>
            <w:r w:rsidR="084E66D2" w:rsidRPr="00CD3BDE">
              <w:rPr>
                <w:rFonts w:cs="Arial"/>
                <w:color w:val="000000" w:themeColor="text1"/>
                <w:szCs w:val="24"/>
              </w:rPr>
              <w:t>d</w:t>
            </w:r>
            <w:r w:rsidRPr="00CD3BDE">
              <w:rPr>
                <w:rFonts w:cs="Arial"/>
                <w:color w:val="000000" w:themeColor="text1"/>
                <w:szCs w:val="24"/>
              </w:rPr>
              <w:t xml:space="preserve">evelopment </w:t>
            </w:r>
            <w:r w:rsidR="3C99555E" w:rsidRPr="00CD3BDE">
              <w:rPr>
                <w:rFonts w:cs="Arial"/>
                <w:color w:val="000000" w:themeColor="text1"/>
                <w:szCs w:val="24"/>
              </w:rPr>
              <w:t>r</w:t>
            </w:r>
            <w:r w:rsidRPr="00CD3BDE">
              <w:rPr>
                <w:rFonts w:cs="Arial"/>
                <w:color w:val="000000" w:themeColor="text1"/>
                <w:szCs w:val="24"/>
              </w:rPr>
              <w:t>ights) that are likely to affect the trends in retail provision in centres and the ability of local planning authorities (and their partners) to realise their policy objectives.</w:t>
            </w:r>
          </w:p>
          <w:p w14:paraId="67FC5D52" w14:textId="77777777" w:rsidR="001D11A4" w:rsidRPr="00CD3BDE" w:rsidRDefault="001D11A4" w:rsidP="00B54547">
            <w:pPr>
              <w:pStyle w:val="ListParagraph"/>
              <w:spacing w:after="0" w:line="240" w:lineRule="auto"/>
              <w:jc w:val="both"/>
              <w:rPr>
                <w:rFonts w:cs="Arial"/>
                <w:color w:val="000000" w:themeColor="text1"/>
                <w:szCs w:val="24"/>
              </w:rPr>
            </w:pPr>
          </w:p>
          <w:p w14:paraId="5795092D" w14:textId="7DA8A190" w:rsidR="001D11A4" w:rsidRPr="00CD3BDE" w:rsidRDefault="001D11A4" w:rsidP="00B54547">
            <w:pPr>
              <w:pStyle w:val="ListParagraph"/>
              <w:numPr>
                <w:ilvl w:val="0"/>
                <w:numId w:val="24"/>
              </w:numPr>
              <w:spacing w:after="0" w:line="240" w:lineRule="auto"/>
              <w:jc w:val="both"/>
              <w:rPr>
                <w:rFonts w:cs="Arial"/>
                <w:color w:val="000000" w:themeColor="text1"/>
                <w:szCs w:val="24"/>
              </w:rPr>
            </w:pPr>
            <w:r w:rsidRPr="00CD3BDE">
              <w:rPr>
                <w:rFonts w:cs="Arial"/>
                <w:color w:val="000000" w:themeColor="text1"/>
                <w:szCs w:val="24"/>
              </w:rPr>
              <w:t xml:space="preserve">Structural changes such as the </w:t>
            </w:r>
            <w:r w:rsidR="00B82A60" w:rsidRPr="00CD3BDE">
              <w:rPr>
                <w:rFonts w:cs="Arial"/>
                <w:color w:val="000000" w:themeColor="text1"/>
                <w:szCs w:val="24"/>
              </w:rPr>
              <w:t>growth</w:t>
            </w:r>
            <w:r w:rsidRPr="00CD3BDE">
              <w:rPr>
                <w:rFonts w:cs="Arial"/>
                <w:color w:val="000000" w:themeColor="text1"/>
                <w:szCs w:val="24"/>
              </w:rPr>
              <w:t xml:space="preserve"> of online shopping, changes to working patterns and places of work, </w:t>
            </w:r>
            <w:proofErr w:type="spellStart"/>
            <w:r w:rsidRPr="00CD3BDE">
              <w:rPr>
                <w:rFonts w:cs="Arial"/>
                <w:color w:val="000000" w:themeColor="text1"/>
                <w:szCs w:val="24"/>
              </w:rPr>
              <w:t>Brexit</w:t>
            </w:r>
            <w:proofErr w:type="spellEnd"/>
            <w:r w:rsidRPr="00CD3BDE">
              <w:rPr>
                <w:rFonts w:cs="Arial"/>
                <w:color w:val="000000" w:themeColor="text1"/>
                <w:szCs w:val="24"/>
              </w:rPr>
              <w:t>, cost of living, changes to shopping needs and habits etc.</w:t>
            </w:r>
          </w:p>
          <w:p w14:paraId="20486A33" w14:textId="77777777" w:rsidR="001D11A4" w:rsidRPr="00CD3BDE" w:rsidRDefault="001D11A4" w:rsidP="00B54547">
            <w:pPr>
              <w:pStyle w:val="ListParagraph"/>
              <w:spacing w:after="0" w:line="240" w:lineRule="auto"/>
              <w:jc w:val="both"/>
              <w:rPr>
                <w:rFonts w:cs="Arial"/>
                <w:color w:val="000000" w:themeColor="text1"/>
                <w:szCs w:val="24"/>
              </w:rPr>
            </w:pPr>
          </w:p>
          <w:p w14:paraId="4455CC48" w14:textId="456C6C39" w:rsidR="008E295F" w:rsidRPr="00CD3BDE" w:rsidRDefault="00BD37BB" w:rsidP="00B54547">
            <w:pPr>
              <w:pStyle w:val="ListParagraph"/>
              <w:numPr>
                <w:ilvl w:val="0"/>
                <w:numId w:val="24"/>
              </w:numPr>
              <w:spacing w:after="0" w:line="240" w:lineRule="auto"/>
              <w:jc w:val="both"/>
              <w:rPr>
                <w:rFonts w:cs="Arial"/>
                <w:color w:val="000000" w:themeColor="text1"/>
                <w:szCs w:val="24"/>
              </w:rPr>
            </w:pPr>
            <w:r>
              <w:rPr>
                <w:rFonts w:cs="Arial"/>
                <w:color w:val="000000" w:themeColor="text1"/>
                <w:szCs w:val="24"/>
              </w:rPr>
              <w:t>Trends in Out-</w:t>
            </w:r>
            <w:r w:rsidR="2E271489" w:rsidRPr="00CD3BDE">
              <w:rPr>
                <w:rFonts w:cs="Arial"/>
                <w:color w:val="000000" w:themeColor="text1"/>
                <w:szCs w:val="24"/>
              </w:rPr>
              <w:t>O</w:t>
            </w:r>
            <w:r>
              <w:rPr>
                <w:rFonts w:cs="Arial"/>
                <w:color w:val="000000" w:themeColor="text1"/>
                <w:szCs w:val="24"/>
              </w:rPr>
              <w:t>f-</w:t>
            </w:r>
            <w:r w:rsidR="5847B582" w:rsidRPr="00CD3BDE">
              <w:rPr>
                <w:rFonts w:cs="Arial"/>
                <w:color w:val="000000" w:themeColor="text1"/>
                <w:szCs w:val="24"/>
              </w:rPr>
              <w:t>C</w:t>
            </w:r>
            <w:r w:rsidR="0DFF5396" w:rsidRPr="00CD3BDE">
              <w:rPr>
                <w:rFonts w:cs="Arial"/>
                <w:color w:val="000000" w:themeColor="text1"/>
                <w:szCs w:val="24"/>
              </w:rPr>
              <w:t xml:space="preserve">entre </w:t>
            </w:r>
            <w:r w:rsidR="0E3E2144" w:rsidRPr="00CD3BDE">
              <w:rPr>
                <w:rFonts w:cs="Arial"/>
                <w:color w:val="000000" w:themeColor="text1"/>
                <w:szCs w:val="24"/>
              </w:rPr>
              <w:t>R</w:t>
            </w:r>
            <w:r w:rsidR="0DFF5396" w:rsidRPr="00CD3BDE">
              <w:rPr>
                <w:rFonts w:cs="Arial"/>
                <w:color w:val="000000" w:themeColor="text1"/>
                <w:szCs w:val="24"/>
              </w:rPr>
              <w:t xml:space="preserve">etail </w:t>
            </w:r>
            <w:r w:rsidR="7D13939D" w:rsidRPr="00CD3BDE">
              <w:rPr>
                <w:rFonts w:cs="Arial"/>
                <w:color w:val="000000" w:themeColor="text1"/>
                <w:szCs w:val="24"/>
              </w:rPr>
              <w:t>P</w:t>
            </w:r>
            <w:r w:rsidR="0DFF5396" w:rsidRPr="00CD3BDE">
              <w:rPr>
                <w:rFonts w:cs="Arial"/>
                <w:color w:val="000000" w:themeColor="text1"/>
                <w:szCs w:val="24"/>
              </w:rPr>
              <w:t>arks (identified in Section 4)</w:t>
            </w:r>
            <w:r w:rsidR="5EE3FF20" w:rsidRPr="00CD3BDE">
              <w:rPr>
                <w:rFonts w:cs="Arial"/>
                <w:color w:val="000000" w:themeColor="text1"/>
                <w:szCs w:val="24"/>
              </w:rPr>
              <w:t xml:space="preserve"> and other out-of-centre retail development</w:t>
            </w:r>
            <w:r w:rsidR="0DFF5396" w:rsidRPr="00CD3BDE">
              <w:rPr>
                <w:rFonts w:cs="Arial"/>
                <w:color w:val="000000" w:themeColor="text1"/>
                <w:szCs w:val="24"/>
              </w:rPr>
              <w:t xml:space="preserve"> to include an investigation of Use Class E (and related sui generis uses)</w:t>
            </w:r>
            <w:r w:rsidR="39AAADBC" w:rsidRPr="00CD3BDE">
              <w:rPr>
                <w:rFonts w:cs="Arial"/>
                <w:color w:val="000000" w:themeColor="text1"/>
                <w:szCs w:val="24"/>
              </w:rPr>
              <w:t>.</w:t>
            </w:r>
          </w:p>
          <w:p w14:paraId="4138E0D0" w14:textId="77777777" w:rsidR="008E295F" w:rsidRPr="00CD3BDE" w:rsidRDefault="008E295F" w:rsidP="00B54547">
            <w:pPr>
              <w:pStyle w:val="ListParagraph"/>
              <w:spacing w:after="0" w:line="240" w:lineRule="auto"/>
              <w:jc w:val="both"/>
              <w:rPr>
                <w:rFonts w:cs="Arial"/>
                <w:color w:val="000000" w:themeColor="text1"/>
                <w:szCs w:val="24"/>
              </w:rPr>
            </w:pPr>
          </w:p>
          <w:p w14:paraId="580C7F06" w14:textId="716586C3" w:rsidR="008E295F" w:rsidRPr="00CD3BDE" w:rsidRDefault="2365D7C0" w:rsidP="00B54547">
            <w:pPr>
              <w:pStyle w:val="ListParagraph"/>
              <w:numPr>
                <w:ilvl w:val="0"/>
                <w:numId w:val="24"/>
              </w:numPr>
              <w:spacing w:after="0" w:line="240" w:lineRule="auto"/>
              <w:jc w:val="both"/>
              <w:rPr>
                <w:rFonts w:cs="Arial"/>
                <w:color w:val="000000" w:themeColor="text1"/>
                <w:szCs w:val="24"/>
              </w:rPr>
            </w:pPr>
            <w:r w:rsidRPr="00CD3BDE">
              <w:rPr>
                <w:rFonts w:cs="Arial"/>
                <w:color w:val="000000" w:themeColor="text1"/>
                <w:szCs w:val="24"/>
              </w:rPr>
              <w:t xml:space="preserve">Identification of any locations where there are shortages of retail facilities </w:t>
            </w:r>
            <w:r w:rsidRPr="00CD3BDE">
              <w:rPr>
                <w:rStyle w:val="CommentReference"/>
                <w:rFonts w:cs="Arial"/>
                <w:color w:val="000000" w:themeColor="text1"/>
                <w:sz w:val="24"/>
                <w:szCs w:val="24"/>
              </w:rPr>
              <w:t xml:space="preserve"> </w:t>
            </w:r>
          </w:p>
          <w:p w14:paraId="52625DFE" w14:textId="66834671" w:rsidR="001D11A4" w:rsidRPr="00CD3BDE" w:rsidRDefault="001D11A4" w:rsidP="00B54547">
            <w:pPr>
              <w:contextualSpacing/>
              <w:jc w:val="both"/>
              <w:rPr>
                <w:rFonts w:ascii="Arial" w:hAnsi="Arial" w:cs="Arial"/>
                <w:color w:val="000000" w:themeColor="text1"/>
                <w:sz w:val="24"/>
                <w:szCs w:val="24"/>
              </w:rPr>
            </w:pPr>
          </w:p>
        </w:tc>
        <w:tc>
          <w:tcPr>
            <w:tcW w:w="6573" w:type="dxa"/>
          </w:tcPr>
          <w:p w14:paraId="22BCCA91" w14:textId="209F35E8" w:rsidR="000C5DAD" w:rsidRPr="00CD3BDE" w:rsidRDefault="2E8E8453"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lastRenderedPageBreak/>
              <w:t xml:space="preserve">An </w:t>
            </w:r>
            <w:r w:rsidR="40CC0DB1" w:rsidRPr="00CD3BDE">
              <w:rPr>
                <w:rFonts w:ascii="Arial" w:hAnsi="Arial" w:cs="Arial"/>
                <w:color w:val="000000" w:themeColor="text1"/>
                <w:sz w:val="24"/>
                <w:szCs w:val="24"/>
              </w:rPr>
              <w:t>analysis</w:t>
            </w:r>
            <w:r w:rsidRPr="00CD3BDE">
              <w:rPr>
                <w:rFonts w:ascii="Arial" w:hAnsi="Arial" w:cs="Arial"/>
                <w:color w:val="000000" w:themeColor="text1"/>
                <w:sz w:val="24"/>
                <w:szCs w:val="24"/>
              </w:rPr>
              <w:t xml:space="preserve"> for each of the </w:t>
            </w:r>
            <w:r w:rsidR="40CC0DB1" w:rsidRPr="00CD3BDE">
              <w:rPr>
                <w:rFonts w:ascii="Arial" w:hAnsi="Arial" w:cs="Arial"/>
                <w:color w:val="000000" w:themeColor="text1"/>
                <w:sz w:val="24"/>
                <w:szCs w:val="24"/>
              </w:rPr>
              <w:t xml:space="preserve">Greater Nottingham </w:t>
            </w:r>
            <w:r w:rsidR="68EE92D8" w:rsidRPr="00CD3BDE">
              <w:rPr>
                <w:rFonts w:ascii="Arial" w:hAnsi="Arial" w:cs="Arial"/>
                <w:color w:val="000000" w:themeColor="text1"/>
                <w:sz w:val="24"/>
                <w:szCs w:val="24"/>
              </w:rPr>
              <w:t>c</w:t>
            </w:r>
            <w:r w:rsidR="40CC0DB1" w:rsidRPr="00CD3BDE">
              <w:rPr>
                <w:rFonts w:ascii="Arial" w:hAnsi="Arial" w:cs="Arial"/>
                <w:color w:val="000000" w:themeColor="text1"/>
                <w:sz w:val="24"/>
                <w:szCs w:val="24"/>
              </w:rPr>
              <w:t xml:space="preserve">entres listed in levels a-c of the hierarchy (set out in Section 4) </w:t>
            </w:r>
            <w:r w:rsidRPr="00CD3BDE">
              <w:rPr>
                <w:rFonts w:ascii="Arial" w:hAnsi="Arial" w:cs="Arial"/>
                <w:color w:val="000000" w:themeColor="text1"/>
                <w:sz w:val="24"/>
                <w:szCs w:val="24"/>
              </w:rPr>
              <w:t xml:space="preserve">to include </w:t>
            </w:r>
            <w:r w:rsidR="19A9ADFB" w:rsidRPr="00CD3BDE">
              <w:rPr>
                <w:rFonts w:ascii="Arial" w:hAnsi="Arial" w:cs="Arial"/>
                <w:color w:val="000000" w:themeColor="text1"/>
                <w:sz w:val="24"/>
                <w:szCs w:val="24"/>
              </w:rPr>
              <w:t xml:space="preserve">a SWOT analysis and </w:t>
            </w:r>
            <w:r w:rsidRPr="00CD3BDE">
              <w:rPr>
                <w:rFonts w:ascii="Arial" w:hAnsi="Arial" w:cs="Arial"/>
                <w:color w:val="000000" w:themeColor="text1"/>
                <w:sz w:val="24"/>
                <w:szCs w:val="24"/>
              </w:rPr>
              <w:t>practicable recommendations for each centre in line w</w:t>
            </w:r>
            <w:r w:rsidR="19A9ADFB" w:rsidRPr="00CD3BDE">
              <w:rPr>
                <w:rFonts w:ascii="Arial" w:hAnsi="Arial" w:cs="Arial"/>
                <w:color w:val="000000" w:themeColor="text1"/>
                <w:sz w:val="24"/>
                <w:szCs w:val="24"/>
              </w:rPr>
              <w:t>ith the trends identified.  The output</w:t>
            </w:r>
            <w:r w:rsidRPr="00CD3BDE">
              <w:rPr>
                <w:rFonts w:ascii="Arial" w:hAnsi="Arial" w:cs="Arial"/>
                <w:color w:val="000000" w:themeColor="text1"/>
                <w:sz w:val="24"/>
                <w:szCs w:val="24"/>
              </w:rPr>
              <w:t xml:space="preserve"> should</w:t>
            </w:r>
            <w:r w:rsidR="19A9ADFB" w:rsidRPr="00CD3BDE">
              <w:rPr>
                <w:rFonts w:ascii="Arial" w:hAnsi="Arial" w:cs="Arial"/>
                <w:color w:val="000000" w:themeColor="text1"/>
                <w:sz w:val="24"/>
                <w:szCs w:val="24"/>
              </w:rPr>
              <w:t xml:space="preserve"> also</w:t>
            </w:r>
            <w:r w:rsidRPr="00CD3BDE">
              <w:rPr>
                <w:rFonts w:ascii="Arial" w:hAnsi="Arial" w:cs="Arial"/>
                <w:color w:val="000000" w:themeColor="text1"/>
                <w:sz w:val="24"/>
                <w:szCs w:val="24"/>
              </w:rPr>
              <w:t xml:space="preserve"> include recommendations on the priority areas/sectors for each centre, general commentary on the appropriate size of the centre and a focus on improvements that the </w:t>
            </w:r>
            <w:r w:rsidR="1B8B7F63" w:rsidRPr="00CD3BDE">
              <w:rPr>
                <w:rFonts w:ascii="Arial" w:hAnsi="Arial" w:cs="Arial"/>
                <w:color w:val="000000" w:themeColor="text1"/>
                <w:sz w:val="24"/>
                <w:szCs w:val="24"/>
              </w:rPr>
              <w:t>c</w:t>
            </w:r>
            <w:r w:rsidRPr="00CD3BDE">
              <w:rPr>
                <w:rFonts w:ascii="Arial" w:hAnsi="Arial" w:cs="Arial"/>
                <w:color w:val="000000" w:themeColor="text1"/>
                <w:sz w:val="24"/>
                <w:szCs w:val="24"/>
              </w:rPr>
              <w:t xml:space="preserve">ouncils could take to </w:t>
            </w:r>
            <w:r w:rsidR="19A9ADFB" w:rsidRPr="00CD3BDE">
              <w:rPr>
                <w:rFonts w:ascii="Arial" w:hAnsi="Arial" w:cs="Arial"/>
                <w:color w:val="000000" w:themeColor="text1"/>
                <w:sz w:val="24"/>
                <w:szCs w:val="24"/>
              </w:rPr>
              <w:t xml:space="preserve">manage each centre and </w:t>
            </w:r>
            <w:r w:rsidRPr="00CD3BDE">
              <w:rPr>
                <w:rFonts w:ascii="Arial" w:hAnsi="Arial" w:cs="Arial"/>
                <w:color w:val="000000" w:themeColor="text1"/>
                <w:sz w:val="24"/>
                <w:szCs w:val="24"/>
              </w:rPr>
              <w:t xml:space="preserve">include recommendations relating to accessibility, including public transport accessibility and car parking provision. </w:t>
            </w:r>
          </w:p>
          <w:p w14:paraId="74D2E202" w14:textId="390B27C1" w:rsidR="001D11A4" w:rsidRPr="00CD3BDE" w:rsidRDefault="001D11A4" w:rsidP="00B54547">
            <w:pPr>
              <w:contextualSpacing/>
              <w:jc w:val="both"/>
              <w:rPr>
                <w:rFonts w:ascii="Arial" w:hAnsi="Arial" w:cs="Arial"/>
                <w:color w:val="000000" w:themeColor="text1"/>
                <w:sz w:val="24"/>
                <w:szCs w:val="24"/>
              </w:rPr>
            </w:pPr>
          </w:p>
          <w:p w14:paraId="07B4BE82" w14:textId="6C5532FA" w:rsidR="00151187" w:rsidRPr="00CD3BDE" w:rsidRDefault="0CD6C292"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General c</w:t>
            </w:r>
            <w:r w:rsidR="640CC2AA" w:rsidRPr="00CD3BDE">
              <w:rPr>
                <w:rFonts w:ascii="Arial" w:hAnsi="Arial" w:cs="Arial"/>
                <w:color w:val="000000" w:themeColor="text1"/>
                <w:sz w:val="24"/>
                <w:szCs w:val="24"/>
              </w:rPr>
              <w:t xml:space="preserve">ommentary on and overview of current trends impacting </w:t>
            </w:r>
            <w:r w:rsidRPr="00CD3BDE">
              <w:rPr>
                <w:rFonts w:ascii="Arial" w:hAnsi="Arial" w:cs="Arial"/>
                <w:color w:val="000000" w:themeColor="text1"/>
                <w:sz w:val="24"/>
                <w:szCs w:val="24"/>
              </w:rPr>
              <w:t xml:space="preserve">all levels of </w:t>
            </w:r>
            <w:r w:rsidR="640CC2AA" w:rsidRPr="00CD3BDE">
              <w:rPr>
                <w:rFonts w:ascii="Arial" w:hAnsi="Arial" w:cs="Arial"/>
                <w:color w:val="000000" w:themeColor="text1"/>
                <w:sz w:val="24"/>
                <w:szCs w:val="24"/>
              </w:rPr>
              <w:t>centres</w:t>
            </w:r>
            <w:r w:rsidR="32BF3D07" w:rsidRPr="00CD3BDE">
              <w:rPr>
                <w:rFonts w:ascii="Arial" w:hAnsi="Arial" w:cs="Arial"/>
                <w:color w:val="000000" w:themeColor="text1"/>
                <w:sz w:val="24"/>
                <w:szCs w:val="24"/>
              </w:rPr>
              <w:t xml:space="preserve"> listed in the hierarchy (set</w:t>
            </w:r>
            <w:r w:rsidRPr="00CD3BDE">
              <w:rPr>
                <w:rFonts w:ascii="Arial" w:hAnsi="Arial" w:cs="Arial"/>
                <w:color w:val="000000" w:themeColor="text1"/>
                <w:sz w:val="24"/>
                <w:szCs w:val="24"/>
              </w:rPr>
              <w:t xml:space="preserve"> out in Section 4) </w:t>
            </w:r>
            <w:r w:rsidR="640CC2AA" w:rsidRPr="00CD3BDE">
              <w:rPr>
                <w:rFonts w:ascii="Arial" w:hAnsi="Arial" w:cs="Arial"/>
                <w:color w:val="000000" w:themeColor="text1"/>
                <w:sz w:val="24"/>
                <w:szCs w:val="24"/>
              </w:rPr>
              <w:t>which should include identifying potential changes in the relevant sectors based on the analysis undertaken.</w:t>
            </w:r>
            <w:r w:rsidR="339744D0" w:rsidRPr="00CD3BDE">
              <w:rPr>
                <w:rFonts w:ascii="Arial" w:hAnsi="Arial" w:cs="Arial"/>
                <w:color w:val="000000" w:themeColor="text1"/>
                <w:sz w:val="24"/>
                <w:szCs w:val="24"/>
              </w:rPr>
              <w:t xml:space="preserve"> This should include an </w:t>
            </w:r>
            <w:r w:rsidR="640CC2AA" w:rsidRPr="00CD3BDE">
              <w:rPr>
                <w:rFonts w:ascii="Arial" w:hAnsi="Arial" w:cs="Arial"/>
                <w:color w:val="000000" w:themeColor="text1"/>
                <w:sz w:val="24"/>
                <w:szCs w:val="24"/>
              </w:rPr>
              <w:t xml:space="preserve">overview of trends in </w:t>
            </w:r>
            <w:r w:rsidR="339744D0" w:rsidRPr="00CD3BDE">
              <w:rPr>
                <w:rFonts w:ascii="Arial" w:hAnsi="Arial" w:cs="Arial"/>
                <w:color w:val="000000" w:themeColor="text1"/>
                <w:sz w:val="24"/>
                <w:szCs w:val="24"/>
              </w:rPr>
              <w:t xml:space="preserve">the </w:t>
            </w:r>
            <w:r w:rsidR="14CCEF18" w:rsidRPr="00CD3BDE">
              <w:rPr>
                <w:rFonts w:ascii="Arial" w:hAnsi="Arial" w:cs="Arial"/>
                <w:color w:val="000000" w:themeColor="text1"/>
                <w:sz w:val="24"/>
                <w:szCs w:val="24"/>
              </w:rPr>
              <w:t>Out-of-</w:t>
            </w:r>
            <w:r w:rsidR="4D4AC130" w:rsidRPr="00CD3BDE">
              <w:rPr>
                <w:rFonts w:ascii="Arial" w:hAnsi="Arial" w:cs="Arial"/>
                <w:color w:val="000000" w:themeColor="text1"/>
                <w:sz w:val="24"/>
                <w:szCs w:val="24"/>
              </w:rPr>
              <w:t>Centre</w:t>
            </w:r>
            <w:r w:rsidR="339744D0" w:rsidRPr="00CD3BDE">
              <w:rPr>
                <w:rFonts w:ascii="Arial" w:hAnsi="Arial" w:cs="Arial"/>
                <w:color w:val="000000" w:themeColor="text1"/>
                <w:sz w:val="24"/>
                <w:szCs w:val="24"/>
              </w:rPr>
              <w:t xml:space="preserve"> Retail Parks</w:t>
            </w:r>
            <w:r w:rsidR="1B761DEE" w:rsidRPr="00CD3BDE">
              <w:rPr>
                <w:rFonts w:ascii="Arial" w:hAnsi="Arial" w:cs="Arial"/>
                <w:color w:val="000000" w:themeColor="text1"/>
                <w:sz w:val="24"/>
                <w:szCs w:val="24"/>
              </w:rPr>
              <w:t xml:space="preserve"> or other out-of</w:t>
            </w:r>
            <w:r w:rsidR="012F26EB" w:rsidRPr="00CD3BDE">
              <w:rPr>
                <w:rFonts w:ascii="Arial" w:hAnsi="Arial" w:cs="Arial"/>
                <w:color w:val="000000" w:themeColor="text1"/>
                <w:sz w:val="24"/>
                <w:szCs w:val="24"/>
              </w:rPr>
              <w:t>-</w:t>
            </w:r>
            <w:r w:rsidR="1B761DEE" w:rsidRPr="00CD3BDE">
              <w:rPr>
                <w:rFonts w:ascii="Arial" w:hAnsi="Arial" w:cs="Arial"/>
                <w:color w:val="000000" w:themeColor="text1"/>
                <w:sz w:val="24"/>
                <w:szCs w:val="24"/>
              </w:rPr>
              <w:t>centre retail development</w:t>
            </w:r>
            <w:r w:rsidR="760E92F4" w:rsidRPr="00CD3BDE">
              <w:rPr>
                <w:rFonts w:ascii="Arial" w:hAnsi="Arial" w:cs="Arial"/>
                <w:color w:val="000000" w:themeColor="text1"/>
                <w:sz w:val="24"/>
                <w:szCs w:val="24"/>
              </w:rPr>
              <w:t xml:space="preserve"> (e.g. in the convenience sector)</w:t>
            </w:r>
            <w:r w:rsidR="339744D0" w:rsidRPr="00CD3BDE">
              <w:rPr>
                <w:rFonts w:ascii="Arial" w:hAnsi="Arial" w:cs="Arial"/>
                <w:color w:val="000000" w:themeColor="text1"/>
                <w:sz w:val="24"/>
                <w:szCs w:val="24"/>
              </w:rPr>
              <w:t>.</w:t>
            </w:r>
            <w:r w:rsidR="640CC2AA" w:rsidRPr="00CD3BDE">
              <w:rPr>
                <w:rFonts w:ascii="Arial" w:hAnsi="Arial" w:cs="Arial"/>
                <w:color w:val="000000" w:themeColor="text1"/>
                <w:sz w:val="24"/>
                <w:szCs w:val="24"/>
              </w:rPr>
              <w:t xml:space="preserve"> </w:t>
            </w:r>
            <w:r w:rsidR="1AEAF892" w:rsidRPr="00CD3BDE">
              <w:rPr>
                <w:rFonts w:ascii="Arial" w:hAnsi="Arial" w:cs="Arial"/>
                <w:color w:val="000000" w:themeColor="text1"/>
                <w:sz w:val="24"/>
                <w:szCs w:val="24"/>
              </w:rPr>
              <w:t>Observations on the causes of vacancy trends within the centres, and steps that could be taken to addresses the causes, should also be detailed.</w:t>
            </w:r>
          </w:p>
          <w:p w14:paraId="31643541" w14:textId="47B8FE86" w:rsidR="001D11A4" w:rsidRPr="00CD3BDE" w:rsidRDefault="001D11A4" w:rsidP="00B54547">
            <w:pPr>
              <w:contextualSpacing/>
              <w:jc w:val="both"/>
              <w:rPr>
                <w:rFonts w:ascii="Arial" w:hAnsi="Arial" w:cs="Arial"/>
                <w:color w:val="000000" w:themeColor="text1"/>
                <w:sz w:val="24"/>
                <w:szCs w:val="24"/>
              </w:rPr>
            </w:pPr>
          </w:p>
          <w:p w14:paraId="4DA43982" w14:textId="0042F8AF" w:rsidR="003549C0" w:rsidRPr="00CD3BDE" w:rsidRDefault="2E8E8453"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lastRenderedPageBreak/>
              <w:t>Policy recommendations</w:t>
            </w:r>
            <w:r w:rsidR="171C1F97" w:rsidRPr="00CD3BDE">
              <w:rPr>
                <w:rFonts w:ascii="Arial" w:hAnsi="Arial" w:cs="Arial"/>
                <w:color w:val="000000" w:themeColor="text1"/>
                <w:sz w:val="24"/>
                <w:szCs w:val="24"/>
              </w:rPr>
              <w:t xml:space="preserve"> are required</w:t>
            </w:r>
            <w:r w:rsidR="4F176DA7" w:rsidRPr="00CD3BDE">
              <w:rPr>
                <w:rFonts w:ascii="Arial" w:hAnsi="Arial" w:cs="Arial"/>
                <w:color w:val="000000" w:themeColor="text1"/>
                <w:sz w:val="24"/>
                <w:szCs w:val="24"/>
              </w:rPr>
              <w:t xml:space="preserve"> for all </w:t>
            </w:r>
            <w:r w:rsidR="0FBC3602" w:rsidRPr="00CD3BDE">
              <w:rPr>
                <w:rFonts w:ascii="Arial" w:hAnsi="Arial" w:cs="Arial"/>
                <w:color w:val="000000" w:themeColor="text1"/>
                <w:sz w:val="24"/>
                <w:szCs w:val="24"/>
              </w:rPr>
              <w:t xml:space="preserve">level of </w:t>
            </w:r>
            <w:r w:rsidR="4F176DA7" w:rsidRPr="00CD3BDE">
              <w:rPr>
                <w:rFonts w:ascii="Arial" w:hAnsi="Arial" w:cs="Arial"/>
                <w:color w:val="000000" w:themeColor="text1"/>
                <w:sz w:val="24"/>
                <w:szCs w:val="24"/>
              </w:rPr>
              <w:t>centres in the hierarchy (i.e. including the Local Centres and Centres of Neighbourhood Importance)</w:t>
            </w:r>
            <w:r w:rsidRPr="00CD3BDE">
              <w:rPr>
                <w:rFonts w:ascii="Arial" w:hAnsi="Arial" w:cs="Arial"/>
                <w:color w:val="000000" w:themeColor="text1"/>
                <w:sz w:val="24"/>
                <w:szCs w:val="24"/>
              </w:rPr>
              <w:t xml:space="preserve"> regarding the future role and function of the centres, including the type and mix of uses</w:t>
            </w:r>
            <w:r w:rsidR="4F176DA7" w:rsidRPr="00CD3BDE">
              <w:rPr>
                <w:rFonts w:ascii="Arial" w:hAnsi="Arial" w:cs="Arial"/>
                <w:color w:val="000000" w:themeColor="text1"/>
                <w:sz w:val="24"/>
                <w:szCs w:val="24"/>
              </w:rPr>
              <w:t xml:space="preserve"> needed</w:t>
            </w:r>
            <w:r w:rsidRPr="00CD3BDE">
              <w:rPr>
                <w:rFonts w:ascii="Arial" w:hAnsi="Arial" w:cs="Arial"/>
                <w:color w:val="000000" w:themeColor="text1"/>
                <w:sz w:val="24"/>
                <w:szCs w:val="24"/>
              </w:rPr>
              <w:t xml:space="preserve"> (e.g. the identification of opportunities at strategic and individual centre levels to provide more niche/specialist offer and the scope for meanwhi</w:t>
            </w:r>
            <w:r w:rsidR="000B7C5D" w:rsidRPr="00CD3BDE">
              <w:rPr>
                <w:rFonts w:ascii="Arial" w:hAnsi="Arial" w:cs="Arial"/>
                <w:color w:val="000000" w:themeColor="text1"/>
                <w:sz w:val="24"/>
                <w:szCs w:val="24"/>
              </w:rPr>
              <w:t>le and flexible workspace uses) and to also enable them to contribute towards 20 minute neighbourhood aspirations.</w:t>
            </w:r>
            <w:r w:rsidR="4CA3192A" w:rsidRPr="00CD3BDE">
              <w:rPr>
                <w:rFonts w:ascii="Arial" w:hAnsi="Arial" w:cs="Arial"/>
                <w:color w:val="000000" w:themeColor="text1"/>
                <w:sz w:val="24"/>
                <w:szCs w:val="24"/>
              </w:rPr>
              <w:t xml:space="preserve"> </w:t>
            </w:r>
            <w:r w:rsidR="2105EB1C" w:rsidRPr="00CD3BDE">
              <w:rPr>
                <w:rFonts w:ascii="Arial" w:hAnsi="Arial" w:cs="Arial"/>
                <w:color w:val="000000" w:themeColor="text1"/>
                <w:sz w:val="24"/>
                <w:szCs w:val="24"/>
              </w:rPr>
              <w:t>Account should be taken of any existing and emerging strategies that are being prepared by individual authorities, such as the Arnold Town Centre Masterplan by Gedling Borough Council.</w:t>
            </w:r>
          </w:p>
          <w:p w14:paraId="574320DF" w14:textId="77777777" w:rsidR="003549C0" w:rsidRPr="00CD3BDE" w:rsidRDefault="003549C0" w:rsidP="00B54547">
            <w:pPr>
              <w:jc w:val="both"/>
              <w:rPr>
                <w:rFonts w:ascii="Arial" w:hAnsi="Arial" w:cs="Arial"/>
                <w:color w:val="000000" w:themeColor="text1"/>
                <w:sz w:val="24"/>
                <w:szCs w:val="24"/>
              </w:rPr>
            </w:pPr>
          </w:p>
          <w:p w14:paraId="7B549284" w14:textId="3B25666C" w:rsidR="00661508" w:rsidRPr="00CD3BDE" w:rsidRDefault="088FD507"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Recommendations are also required regarding local plan policies and other measures, which can and should be implemented in Greater Nottingham, to guide the provision of housin</w:t>
            </w:r>
            <w:r w:rsidR="00CB6960" w:rsidRPr="00CD3BDE">
              <w:rPr>
                <w:rFonts w:ascii="Arial" w:hAnsi="Arial" w:cs="Arial"/>
                <w:color w:val="000000" w:themeColor="text1"/>
                <w:sz w:val="24"/>
                <w:szCs w:val="24"/>
              </w:rPr>
              <w:t xml:space="preserve">g in </w:t>
            </w:r>
            <w:r w:rsidR="339744D0" w:rsidRPr="00CD3BDE">
              <w:rPr>
                <w:rFonts w:ascii="Arial" w:hAnsi="Arial" w:cs="Arial"/>
                <w:color w:val="000000" w:themeColor="text1"/>
                <w:sz w:val="24"/>
                <w:szCs w:val="24"/>
              </w:rPr>
              <w:t xml:space="preserve">centres in the future and any policy recommendations to protect recognised centres in the future should also be given (particularly noting the analysis of the </w:t>
            </w:r>
            <w:r w:rsidR="475530AE" w:rsidRPr="00CD3BDE">
              <w:rPr>
                <w:rFonts w:ascii="Arial" w:hAnsi="Arial" w:cs="Arial"/>
                <w:color w:val="000000" w:themeColor="text1"/>
                <w:sz w:val="24"/>
                <w:szCs w:val="24"/>
              </w:rPr>
              <w:t>Out-of-</w:t>
            </w:r>
            <w:r w:rsidR="7AC89086" w:rsidRPr="00CD3BDE">
              <w:rPr>
                <w:rFonts w:ascii="Arial" w:hAnsi="Arial" w:cs="Arial"/>
                <w:color w:val="000000" w:themeColor="text1"/>
                <w:sz w:val="24"/>
                <w:szCs w:val="24"/>
              </w:rPr>
              <w:t>Centre</w:t>
            </w:r>
            <w:r w:rsidR="339744D0" w:rsidRPr="00CD3BDE">
              <w:rPr>
                <w:rFonts w:ascii="Arial" w:hAnsi="Arial" w:cs="Arial"/>
                <w:color w:val="000000" w:themeColor="text1"/>
                <w:sz w:val="24"/>
                <w:szCs w:val="24"/>
              </w:rPr>
              <w:t xml:space="preserve"> Retail Parks</w:t>
            </w:r>
            <w:r w:rsidR="4B12B5FE" w:rsidRPr="00CD3BDE">
              <w:rPr>
                <w:rFonts w:ascii="Arial" w:hAnsi="Arial" w:cs="Arial"/>
                <w:color w:val="000000" w:themeColor="text1"/>
                <w:sz w:val="24"/>
                <w:szCs w:val="24"/>
              </w:rPr>
              <w:t xml:space="preserve"> or other Out-of-Centre retail development</w:t>
            </w:r>
            <w:r w:rsidR="339744D0" w:rsidRPr="00CD3BDE">
              <w:rPr>
                <w:rFonts w:ascii="Arial" w:hAnsi="Arial" w:cs="Arial"/>
                <w:color w:val="000000" w:themeColor="text1"/>
                <w:sz w:val="24"/>
                <w:szCs w:val="24"/>
              </w:rPr>
              <w:t>).</w:t>
            </w:r>
          </w:p>
          <w:p w14:paraId="1E77170B" w14:textId="55024C7C" w:rsidR="003527BE" w:rsidRPr="00CD3BDE" w:rsidRDefault="003527BE" w:rsidP="00B54547">
            <w:pPr>
              <w:contextualSpacing/>
              <w:jc w:val="both"/>
              <w:rPr>
                <w:rFonts w:ascii="Arial" w:hAnsi="Arial" w:cs="Arial"/>
                <w:color w:val="000000" w:themeColor="text1"/>
                <w:sz w:val="24"/>
                <w:szCs w:val="24"/>
              </w:rPr>
            </w:pPr>
          </w:p>
          <w:p w14:paraId="330C50C8" w14:textId="7B4838D1" w:rsidR="000B196A" w:rsidRPr="00CD3BDE" w:rsidRDefault="7CBAA8BC"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A methodology</w:t>
            </w:r>
            <w:r w:rsidR="3EA88FEB" w:rsidRPr="00CD3BDE">
              <w:rPr>
                <w:rFonts w:ascii="Arial" w:hAnsi="Arial" w:cs="Arial"/>
                <w:color w:val="000000" w:themeColor="text1"/>
                <w:sz w:val="24"/>
                <w:szCs w:val="24"/>
              </w:rPr>
              <w:t xml:space="preserve"> </w:t>
            </w:r>
            <w:r w:rsidRPr="00CD3BDE">
              <w:rPr>
                <w:rFonts w:ascii="Arial" w:hAnsi="Arial" w:cs="Arial"/>
                <w:color w:val="000000" w:themeColor="text1"/>
                <w:sz w:val="24"/>
                <w:szCs w:val="24"/>
              </w:rPr>
              <w:t xml:space="preserve">to enable the partnership authorities </w:t>
            </w:r>
            <w:r w:rsidR="06D9A3B6" w:rsidRPr="00CD3BDE">
              <w:rPr>
                <w:rFonts w:ascii="Arial" w:hAnsi="Arial" w:cs="Arial"/>
                <w:color w:val="000000" w:themeColor="text1"/>
                <w:sz w:val="24"/>
                <w:szCs w:val="24"/>
              </w:rPr>
              <w:t xml:space="preserve">to </w:t>
            </w:r>
            <w:r w:rsidR="3EA88FEB" w:rsidRPr="00CD3BDE">
              <w:rPr>
                <w:rFonts w:ascii="Arial" w:hAnsi="Arial" w:cs="Arial"/>
                <w:color w:val="000000" w:themeColor="text1"/>
                <w:sz w:val="24"/>
                <w:szCs w:val="24"/>
              </w:rPr>
              <w:t>carry out future assessments of all centres in the hierarchy,</w:t>
            </w:r>
            <w:r w:rsidR="56E96E84" w:rsidRPr="00CD3BDE">
              <w:rPr>
                <w:rFonts w:ascii="Arial" w:hAnsi="Arial" w:cs="Arial"/>
                <w:color w:val="000000" w:themeColor="text1"/>
                <w:sz w:val="24"/>
                <w:szCs w:val="24"/>
              </w:rPr>
              <w:t xml:space="preserve"> </w:t>
            </w:r>
            <w:r w:rsidR="0A48C6F8" w:rsidRPr="00CD3BDE">
              <w:rPr>
                <w:rFonts w:ascii="Arial" w:hAnsi="Arial" w:cs="Arial"/>
                <w:color w:val="000000" w:themeColor="text1"/>
                <w:sz w:val="24"/>
                <w:szCs w:val="24"/>
              </w:rPr>
              <w:t xml:space="preserve">and also the </w:t>
            </w:r>
            <w:r w:rsidR="5F3F34E7" w:rsidRPr="00CD3BDE">
              <w:rPr>
                <w:rFonts w:ascii="Arial" w:hAnsi="Arial" w:cs="Arial"/>
                <w:color w:val="000000" w:themeColor="text1"/>
                <w:sz w:val="24"/>
                <w:szCs w:val="24"/>
              </w:rPr>
              <w:t>Out-of-</w:t>
            </w:r>
            <w:r w:rsidR="74971EFB" w:rsidRPr="00CD3BDE">
              <w:rPr>
                <w:rFonts w:ascii="Arial" w:hAnsi="Arial" w:cs="Arial"/>
                <w:color w:val="000000" w:themeColor="text1"/>
                <w:sz w:val="24"/>
                <w:szCs w:val="24"/>
              </w:rPr>
              <w:t>Centre</w:t>
            </w:r>
            <w:r w:rsidR="0A48C6F8" w:rsidRPr="00CD3BDE">
              <w:rPr>
                <w:rFonts w:ascii="Arial" w:hAnsi="Arial" w:cs="Arial"/>
                <w:color w:val="000000" w:themeColor="text1"/>
                <w:sz w:val="24"/>
                <w:szCs w:val="24"/>
              </w:rPr>
              <w:t xml:space="preserve"> Retail Parks</w:t>
            </w:r>
            <w:r w:rsidR="56E96E84" w:rsidRPr="00CD3BDE">
              <w:rPr>
                <w:rFonts w:ascii="Arial" w:hAnsi="Arial" w:cs="Arial"/>
                <w:color w:val="000000" w:themeColor="text1"/>
                <w:sz w:val="24"/>
                <w:szCs w:val="24"/>
              </w:rPr>
              <w:t>,</w:t>
            </w:r>
            <w:r w:rsidR="3EA88FEB" w:rsidRPr="00CD3BDE">
              <w:rPr>
                <w:rFonts w:ascii="Arial" w:hAnsi="Arial" w:cs="Arial"/>
                <w:color w:val="000000" w:themeColor="text1"/>
                <w:sz w:val="24"/>
                <w:szCs w:val="24"/>
              </w:rPr>
              <w:t xml:space="preserve"> using in-house staff, and taking into account data availability and limited resources. The methodology will enable the partnership authorities to </w:t>
            </w:r>
            <w:r w:rsidR="06D9A3B6" w:rsidRPr="00CD3BDE">
              <w:rPr>
                <w:rFonts w:ascii="Arial" w:hAnsi="Arial" w:cs="Arial"/>
                <w:color w:val="000000" w:themeColor="text1"/>
                <w:sz w:val="24"/>
                <w:szCs w:val="24"/>
              </w:rPr>
              <w:t xml:space="preserve">continue to monitor </w:t>
            </w:r>
            <w:r w:rsidRPr="00CD3BDE">
              <w:rPr>
                <w:rFonts w:ascii="Arial" w:hAnsi="Arial" w:cs="Arial"/>
                <w:color w:val="000000" w:themeColor="text1"/>
                <w:sz w:val="24"/>
                <w:szCs w:val="24"/>
              </w:rPr>
              <w:t xml:space="preserve">the vitality and viability of all </w:t>
            </w:r>
            <w:r w:rsidR="06D9A3B6" w:rsidRPr="00CD3BDE">
              <w:rPr>
                <w:rFonts w:ascii="Arial" w:hAnsi="Arial" w:cs="Arial"/>
                <w:color w:val="000000" w:themeColor="text1"/>
                <w:sz w:val="24"/>
                <w:szCs w:val="24"/>
              </w:rPr>
              <w:t>centres</w:t>
            </w:r>
            <w:r w:rsidRPr="00CD3BDE">
              <w:rPr>
                <w:rFonts w:ascii="Arial" w:hAnsi="Arial" w:cs="Arial"/>
                <w:color w:val="000000" w:themeColor="text1"/>
                <w:sz w:val="24"/>
                <w:szCs w:val="24"/>
              </w:rPr>
              <w:t xml:space="preserve"> in the hierarchy to ensure consistency and identification of </w:t>
            </w:r>
            <w:r w:rsidR="06D9A3B6" w:rsidRPr="00CD3BDE">
              <w:rPr>
                <w:rFonts w:ascii="Arial" w:hAnsi="Arial" w:cs="Arial"/>
                <w:color w:val="000000" w:themeColor="text1"/>
                <w:sz w:val="24"/>
                <w:szCs w:val="24"/>
              </w:rPr>
              <w:lastRenderedPageBreak/>
              <w:t>emerging trends</w:t>
            </w:r>
            <w:r w:rsidR="3EA88FEB" w:rsidRPr="00CD3BDE">
              <w:rPr>
                <w:rFonts w:ascii="Arial" w:hAnsi="Arial" w:cs="Arial"/>
                <w:color w:val="000000" w:themeColor="text1"/>
                <w:sz w:val="24"/>
                <w:szCs w:val="24"/>
              </w:rPr>
              <w:t xml:space="preserve"> and</w:t>
            </w:r>
            <w:r w:rsidRPr="00CD3BDE">
              <w:rPr>
                <w:rFonts w:ascii="Arial" w:hAnsi="Arial" w:cs="Arial"/>
                <w:color w:val="000000" w:themeColor="text1"/>
                <w:sz w:val="24"/>
                <w:szCs w:val="24"/>
              </w:rPr>
              <w:t xml:space="preserve"> should identify</w:t>
            </w:r>
            <w:r w:rsidR="06D9A3B6" w:rsidRPr="00CD3BDE">
              <w:rPr>
                <w:rFonts w:ascii="Arial" w:hAnsi="Arial" w:cs="Arial"/>
                <w:color w:val="000000" w:themeColor="text1"/>
                <w:sz w:val="24"/>
                <w:szCs w:val="24"/>
              </w:rPr>
              <w:t xml:space="preserve"> key</w:t>
            </w:r>
            <w:r w:rsidR="0A48C6F8" w:rsidRPr="00CD3BDE">
              <w:rPr>
                <w:rFonts w:ascii="Arial" w:hAnsi="Arial" w:cs="Arial"/>
                <w:color w:val="000000" w:themeColor="text1"/>
                <w:sz w:val="24"/>
                <w:szCs w:val="24"/>
              </w:rPr>
              <w:t xml:space="preserve"> data indicators/sources to use</w:t>
            </w:r>
            <w:r w:rsidR="06D9A3B6" w:rsidRPr="00CD3BDE">
              <w:rPr>
                <w:rFonts w:ascii="Arial" w:hAnsi="Arial" w:cs="Arial"/>
                <w:color w:val="000000" w:themeColor="text1"/>
                <w:sz w:val="24"/>
                <w:szCs w:val="24"/>
              </w:rPr>
              <w:t>.</w:t>
            </w:r>
          </w:p>
          <w:p w14:paraId="1AD0A381" w14:textId="3B5D1F53" w:rsidR="000B196A" w:rsidRPr="00CD3BDE" w:rsidRDefault="000B196A" w:rsidP="00B54547">
            <w:pPr>
              <w:contextualSpacing/>
              <w:jc w:val="both"/>
              <w:rPr>
                <w:rFonts w:ascii="Arial" w:hAnsi="Arial" w:cs="Arial"/>
                <w:color w:val="000000" w:themeColor="text1"/>
                <w:sz w:val="24"/>
                <w:szCs w:val="24"/>
              </w:rPr>
            </w:pPr>
          </w:p>
          <w:p w14:paraId="0E651474" w14:textId="77777777" w:rsidR="008E295F" w:rsidRPr="00CD3BDE" w:rsidRDefault="008E295F"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 xml:space="preserve">Recommendations highlighting any locations where there are shortages of retail facilities, the scale of retail facilities required and any policy recommendations restricting the size of these retail facilities. </w:t>
            </w:r>
          </w:p>
          <w:p w14:paraId="7E878053" w14:textId="77777777" w:rsidR="008E295F" w:rsidRPr="00CD3BDE" w:rsidRDefault="008E295F" w:rsidP="00B54547">
            <w:pPr>
              <w:contextualSpacing/>
              <w:jc w:val="both"/>
              <w:rPr>
                <w:rFonts w:ascii="Arial" w:hAnsi="Arial" w:cs="Arial"/>
                <w:color w:val="000000" w:themeColor="text1"/>
                <w:sz w:val="24"/>
                <w:szCs w:val="24"/>
              </w:rPr>
            </w:pPr>
          </w:p>
          <w:p w14:paraId="51DD8CC7" w14:textId="77777777" w:rsidR="003527BE" w:rsidRPr="00CD3BDE" w:rsidRDefault="003527BE" w:rsidP="00B54547">
            <w:pPr>
              <w:contextualSpacing/>
              <w:jc w:val="both"/>
              <w:rPr>
                <w:rFonts w:ascii="Arial" w:hAnsi="Arial" w:cs="Arial"/>
                <w:color w:val="000000" w:themeColor="text1"/>
                <w:sz w:val="24"/>
                <w:szCs w:val="24"/>
              </w:rPr>
            </w:pPr>
          </w:p>
          <w:p w14:paraId="7681502E" w14:textId="77777777" w:rsidR="000C5DAD" w:rsidRPr="00CD3BDE" w:rsidRDefault="000C5DAD" w:rsidP="00B54547">
            <w:pPr>
              <w:contextualSpacing/>
              <w:jc w:val="both"/>
              <w:rPr>
                <w:rFonts w:ascii="Arial" w:hAnsi="Arial" w:cs="Arial"/>
                <w:color w:val="000000" w:themeColor="text1"/>
                <w:sz w:val="24"/>
                <w:szCs w:val="24"/>
              </w:rPr>
            </w:pPr>
          </w:p>
        </w:tc>
      </w:tr>
      <w:tr w:rsidR="00C34531" w:rsidRPr="003527BE" w14:paraId="4734C894" w14:textId="77777777" w:rsidTr="0F64DCCE">
        <w:tc>
          <w:tcPr>
            <w:tcW w:w="0" w:type="auto"/>
          </w:tcPr>
          <w:p w14:paraId="3D1C6A97" w14:textId="3409A3FD" w:rsidR="00C34531" w:rsidRPr="003527BE" w:rsidRDefault="003F07AC" w:rsidP="00B54547">
            <w:pPr>
              <w:jc w:val="both"/>
              <w:rPr>
                <w:rFonts w:ascii="Arial" w:hAnsi="Arial" w:cs="Arial"/>
                <w:color w:val="000000" w:themeColor="text1"/>
                <w:sz w:val="24"/>
                <w:szCs w:val="24"/>
              </w:rPr>
            </w:pPr>
            <w:r>
              <w:rPr>
                <w:rFonts w:ascii="Arial" w:hAnsi="Arial" w:cs="Arial"/>
                <w:color w:val="000000" w:themeColor="text1"/>
                <w:sz w:val="24"/>
                <w:szCs w:val="24"/>
              </w:rPr>
              <w:lastRenderedPageBreak/>
              <w:t>3</w:t>
            </w:r>
          </w:p>
        </w:tc>
        <w:tc>
          <w:tcPr>
            <w:tcW w:w="6559" w:type="dxa"/>
          </w:tcPr>
          <w:p w14:paraId="0631EC4A" w14:textId="495D5E51" w:rsidR="00C34531" w:rsidRPr="00CD3BDE" w:rsidRDefault="00C34531"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 xml:space="preserve">Review the local impact assessment thresholds implemented in each of the </w:t>
            </w:r>
            <w:r w:rsidR="002A2F51">
              <w:rPr>
                <w:rFonts w:ascii="Arial" w:hAnsi="Arial" w:cs="Arial"/>
                <w:color w:val="000000" w:themeColor="text1"/>
                <w:sz w:val="24"/>
                <w:szCs w:val="24"/>
              </w:rPr>
              <w:t>Council</w:t>
            </w:r>
            <w:r w:rsidR="002A2F51" w:rsidRPr="00CD3BDE">
              <w:rPr>
                <w:rFonts w:ascii="Arial" w:hAnsi="Arial" w:cs="Arial"/>
                <w:color w:val="000000" w:themeColor="text1"/>
                <w:sz w:val="24"/>
                <w:szCs w:val="24"/>
              </w:rPr>
              <w:t xml:space="preserve"> </w:t>
            </w:r>
            <w:r w:rsidRPr="00CD3BDE">
              <w:rPr>
                <w:rFonts w:ascii="Arial" w:hAnsi="Arial" w:cs="Arial"/>
                <w:color w:val="000000" w:themeColor="text1"/>
                <w:sz w:val="24"/>
                <w:szCs w:val="24"/>
              </w:rPr>
              <w:t>areas</w:t>
            </w:r>
            <w:r w:rsidR="00B07CF4" w:rsidRPr="00CD3BDE">
              <w:rPr>
                <w:rFonts w:ascii="Arial" w:hAnsi="Arial" w:cs="Arial"/>
                <w:color w:val="000000" w:themeColor="text1"/>
                <w:sz w:val="24"/>
                <w:szCs w:val="24"/>
              </w:rPr>
              <w:t xml:space="preserve"> to assess whether</w:t>
            </w:r>
            <w:r w:rsidRPr="00CD3BDE">
              <w:rPr>
                <w:rFonts w:ascii="Arial" w:hAnsi="Arial" w:cs="Arial"/>
                <w:color w:val="000000" w:themeColor="text1"/>
                <w:sz w:val="24"/>
                <w:szCs w:val="24"/>
              </w:rPr>
              <w:t xml:space="preserve"> they</w:t>
            </w:r>
            <w:r w:rsidR="00B07CF4" w:rsidRPr="00CD3BDE">
              <w:rPr>
                <w:rFonts w:ascii="Arial" w:hAnsi="Arial" w:cs="Arial"/>
                <w:color w:val="000000" w:themeColor="text1"/>
                <w:sz w:val="24"/>
                <w:szCs w:val="24"/>
              </w:rPr>
              <w:t xml:space="preserve"> require amendment. </w:t>
            </w:r>
          </w:p>
        </w:tc>
        <w:tc>
          <w:tcPr>
            <w:tcW w:w="6573" w:type="dxa"/>
          </w:tcPr>
          <w:p w14:paraId="3DEDD023" w14:textId="4312CC17" w:rsidR="00EE08C6" w:rsidRPr="00CD3BDE" w:rsidRDefault="00C34531"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 xml:space="preserve">Recommend an appropriate </w:t>
            </w:r>
            <w:r w:rsidR="00523012" w:rsidRPr="00CD3BDE">
              <w:rPr>
                <w:rFonts w:ascii="Arial" w:hAnsi="Arial" w:cs="Arial"/>
                <w:color w:val="000000" w:themeColor="text1"/>
                <w:sz w:val="24"/>
                <w:szCs w:val="24"/>
              </w:rPr>
              <w:t xml:space="preserve">threshold for </w:t>
            </w:r>
            <w:r w:rsidRPr="00CD3BDE">
              <w:rPr>
                <w:rFonts w:ascii="Arial" w:hAnsi="Arial" w:cs="Arial"/>
                <w:color w:val="000000" w:themeColor="text1"/>
                <w:sz w:val="24"/>
                <w:szCs w:val="24"/>
              </w:rPr>
              <w:t>local impact assessment</w:t>
            </w:r>
            <w:r w:rsidR="00BD37BB">
              <w:rPr>
                <w:rFonts w:ascii="Arial" w:hAnsi="Arial" w:cs="Arial"/>
                <w:color w:val="000000" w:themeColor="text1"/>
                <w:sz w:val="24"/>
                <w:szCs w:val="24"/>
              </w:rPr>
              <w:t>s in out-of-</w:t>
            </w:r>
            <w:r w:rsidR="00523012" w:rsidRPr="00CD3BDE">
              <w:rPr>
                <w:rFonts w:ascii="Arial" w:hAnsi="Arial" w:cs="Arial"/>
                <w:color w:val="000000" w:themeColor="text1"/>
                <w:sz w:val="24"/>
                <w:szCs w:val="24"/>
              </w:rPr>
              <w:t>centre locations a</w:t>
            </w:r>
            <w:r w:rsidRPr="00CD3BDE">
              <w:rPr>
                <w:rFonts w:ascii="Arial" w:hAnsi="Arial" w:cs="Arial"/>
                <w:color w:val="000000" w:themeColor="text1"/>
                <w:sz w:val="24"/>
                <w:szCs w:val="24"/>
              </w:rPr>
              <w:t xml:space="preserve">nd the evidence required to ensure that they </w:t>
            </w:r>
            <w:r w:rsidR="00B07CF4" w:rsidRPr="00CD3BDE">
              <w:rPr>
                <w:rFonts w:ascii="Arial" w:hAnsi="Arial" w:cs="Arial"/>
                <w:color w:val="000000" w:themeColor="text1"/>
                <w:sz w:val="24"/>
                <w:szCs w:val="24"/>
              </w:rPr>
              <w:t>are found to be robust as a result of</w:t>
            </w:r>
            <w:r w:rsidRPr="00CD3BDE">
              <w:rPr>
                <w:rFonts w:ascii="Arial" w:hAnsi="Arial" w:cs="Arial"/>
                <w:color w:val="000000" w:themeColor="text1"/>
                <w:sz w:val="24"/>
                <w:szCs w:val="24"/>
              </w:rPr>
              <w:t xml:space="preserve"> Local Plan Examination.</w:t>
            </w:r>
            <w:r w:rsidR="00EE08C6" w:rsidRPr="00CD3BDE">
              <w:rPr>
                <w:rFonts w:ascii="Arial" w:hAnsi="Arial" w:cs="Arial"/>
                <w:color w:val="000000" w:themeColor="text1"/>
                <w:sz w:val="24"/>
                <w:szCs w:val="24"/>
              </w:rPr>
              <w:t xml:space="preserve"> </w:t>
            </w:r>
          </w:p>
          <w:p w14:paraId="64BF0539" w14:textId="77777777" w:rsidR="00EE08C6" w:rsidRPr="00CD3BDE" w:rsidRDefault="00EE08C6" w:rsidP="00B54547">
            <w:pPr>
              <w:contextualSpacing/>
              <w:jc w:val="both"/>
              <w:rPr>
                <w:rFonts w:ascii="Arial" w:hAnsi="Arial" w:cs="Arial"/>
                <w:color w:val="000000" w:themeColor="text1"/>
                <w:sz w:val="24"/>
                <w:szCs w:val="24"/>
              </w:rPr>
            </w:pPr>
          </w:p>
          <w:p w14:paraId="444286A9" w14:textId="3131D57B" w:rsidR="00C34531" w:rsidRPr="00CD3BDE" w:rsidRDefault="00EE08C6"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 xml:space="preserve">(It should be noted that Broxtowe Borough Council were not successful in implementing a threshold </w:t>
            </w:r>
            <w:r w:rsidR="00BD37BB">
              <w:rPr>
                <w:rFonts w:ascii="Arial" w:hAnsi="Arial" w:cs="Arial"/>
                <w:color w:val="000000" w:themeColor="text1"/>
                <w:sz w:val="24"/>
                <w:szCs w:val="24"/>
              </w:rPr>
              <w:t xml:space="preserve">below the figure stated in the NPPF due to the evidence being challenged as part </w:t>
            </w:r>
            <w:r w:rsidRPr="00CD3BDE">
              <w:rPr>
                <w:rFonts w:ascii="Arial" w:hAnsi="Arial" w:cs="Arial"/>
                <w:color w:val="000000" w:themeColor="text1"/>
                <w:sz w:val="24"/>
                <w:szCs w:val="24"/>
              </w:rPr>
              <w:t>of their Local Plan Part 2 Examination</w:t>
            </w:r>
            <w:r w:rsidR="00BD37BB">
              <w:rPr>
                <w:rFonts w:ascii="Arial" w:hAnsi="Arial" w:cs="Arial"/>
                <w:color w:val="000000" w:themeColor="text1"/>
                <w:sz w:val="24"/>
                <w:szCs w:val="24"/>
              </w:rPr>
              <w:t>).</w:t>
            </w:r>
          </w:p>
        </w:tc>
      </w:tr>
      <w:tr w:rsidR="000C5DAD" w:rsidRPr="003527BE" w14:paraId="5E76DB04" w14:textId="77777777" w:rsidTr="0F64DCCE">
        <w:tc>
          <w:tcPr>
            <w:tcW w:w="0" w:type="auto"/>
          </w:tcPr>
          <w:p w14:paraId="53D3963D" w14:textId="243EFACC" w:rsidR="000C5DAD" w:rsidRPr="003527BE" w:rsidRDefault="001D11A4" w:rsidP="00B54547">
            <w:pPr>
              <w:contextualSpacing/>
              <w:jc w:val="both"/>
              <w:rPr>
                <w:rFonts w:ascii="Arial" w:hAnsi="Arial" w:cs="Arial"/>
                <w:color w:val="000000" w:themeColor="text1"/>
                <w:sz w:val="24"/>
                <w:szCs w:val="24"/>
              </w:rPr>
            </w:pPr>
            <w:r>
              <w:rPr>
                <w:rFonts w:ascii="Arial" w:hAnsi="Arial" w:cs="Arial"/>
                <w:color w:val="000000" w:themeColor="text1"/>
                <w:sz w:val="24"/>
                <w:szCs w:val="24"/>
              </w:rPr>
              <w:t>4</w:t>
            </w:r>
          </w:p>
        </w:tc>
        <w:tc>
          <w:tcPr>
            <w:tcW w:w="6559" w:type="dxa"/>
          </w:tcPr>
          <w:p w14:paraId="273256F3" w14:textId="20AA390C" w:rsidR="000C5DAD" w:rsidRPr="00CD3BDE" w:rsidRDefault="00B82A60"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Investigate the impact o</w:t>
            </w:r>
            <w:r w:rsidR="00BD37BB">
              <w:rPr>
                <w:rFonts w:ascii="Arial" w:hAnsi="Arial" w:cs="Arial"/>
                <w:color w:val="000000" w:themeColor="text1"/>
                <w:sz w:val="24"/>
                <w:szCs w:val="24"/>
              </w:rPr>
              <w:t>f</w:t>
            </w:r>
            <w:r w:rsidR="000C5DAD" w:rsidRPr="00CD3BDE">
              <w:rPr>
                <w:rFonts w:ascii="Arial" w:hAnsi="Arial" w:cs="Arial"/>
                <w:color w:val="000000" w:themeColor="text1"/>
                <w:sz w:val="24"/>
                <w:szCs w:val="24"/>
              </w:rPr>
              <w:t xml:space="preserve"> the housing growth proposed in the Strategic Plan on retail and associated uses, paying particular regard to the strategic allocations. </w:t>
            </w:r>
          </w:p>
          <w:p w14:paraId="5C3434DC" w14:textId="40430E91" w:rsidR="00CD5794" w:rsidRPr="00CD3BDE" w:rsidRDefault="00CD5794" w:rsidP="00B54547">
            <w:pPr>
              <w:contextualSpacing/>
              <w:jc w:val="both"/>
              <w:rPr>
                <w:rFonts w:ascii="Arial" w:hAnsi="Arial" w:cs="Arial"/>
                <w:color w:val="000000" w:themeColor="text1"/>
                <w:sz w:val="24"/>
                <w:szCs w:val="24"/>
              </w:rPr>
            </w:pPr>
          </w:p>
          <w:p w14:paraId="513E6B56" w14:textId="77777777" w:rsidR="000C5DAD" w:rsidRPr="00CD3BDE" w:rsidRDefault="000C5DAD" w:rsidP="00B54547">
            <w:pPr>
              <w:contextualSpacing/>
              <w:jc w:val="both"/>
              <w:rPr>
                <w:rFonts w:ascii="Arial" w:hAnsi="Arial" w:cs="Arial"/>
                <w:color w:val="000000" w:themeColor="text1"/>
                <w:sz w:val="24"/>
                <w:szCs w:val="24"/>
              </w:rPr>
            </w:pPr>
          </w:p>
        </w:tc>
        <w:tc>
          <w:tcPr>
            <w:tcW w:w="6573" w:type="dxa"/>
          </w:tcPr>
          <w:p w14:paraId="7CBD1DAA" w14:textId="3156AB5F" w:rsidR="000C5DAD" w:rsidRPr="00CD3BDE" w:rsidRDefault="000C5DAD"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Policy recommendations stemming from the analysis of the impact o</w:t>
            </w:r>
            <w:r w:rsidR="00BD37BB">
              <w:rPr>
                <w:rFonts w:ascii="Arial" w:hAnsi="Arial" w:cs="Arial"/>
                <w:color w:val="000000" w:themeColor="text1"/>
                <w:sz w:val="24"/>
                <w:szCs w:val="24"/>
              </w:rPr>
              <w:t>f</w:t>
            </w:r>
            <w:r w:rsidRPr="00CD3BDE">
              <w:rPr>
                <w:rFonts w:ascii="Arial" w:hAnsi="Arial" w:cs="Arial"/>
                <w:color w:val="000000" w:themeColor="text1"/>
                <w:sz w:val="24"/>
                <w:szCs w:val="24"/>
              </w:rPr>
              <w:t xml:space="preserve"> housing growth in the Strategic Plan area on the centres</w:t>
            </w:r>
            <w:r w:rsidR="00523012" w:rsidRPr="00CD3BDE">
              <w:rPr>
                <w:rFonts w:ascii="Arial" w:hAnsi="Arial" w:cs="Arial"/>
                <w:color w:val="000000" w:themeColor="text1"/>
                <w:sz w:val="24"/>
                <w:szCs w:val="24"/>
              </w:rPr>
              <w:t xml:space="preserve"> and the uses required in them</w:t>
            </w:r>
            <w:r w:rsidRPr="00CD3BDE">
              <w:rPr>
                <w:rFonts w:ascii="Arial" w:hAnsi="Arial" w:cs="Arial"/>
                <w:color w:val="000000" w:themeColor="text1"/>
                <w:sz w:val="24"/>
                <w:szCs w:val="24"/>
              </w:rPr>
              <w:t>.</w:t>
            </w:r>
          </w:p>
          <w:p w14:paraId="16A73AEC" w14:textId="77777777" w:rsidR="00CD5794" w:rsidRPr="00CD3BDE" w:rsidRDefault="00CD5794" w:rsidP="00B54547">
            <w:pPr>
              <w:contextualSpacing/>
              <w:jc w:val="both"/>
              <w:rPr>
                <w:rFonts w:ascii="Arial" w:hAnsi="Arial" w:cs="Arial"/>
                <w:color w:val="000000" w:themeColor="text1"/>
                <w:sz w:val="24"/>
                <w:szCs w:val="24"/>
              </w:rPr>
            </w:pPr>
          </w:p>
          <w:p w14:paraId="7E27F88B" w14:textId="77777777" w:rsidR="000C5DAD" w:rsidRPr="00CD3BDE" w:rsidRDefault="000C5DAD" w:rsidP="00B54547">
            <w:pPr>
              <w:contextualSpacing/>
              <w:jc w:val="both"/>
              <w:rPr>
                <w:rFonts w:ascii="Arial" w:hAnsi="Arial" w:cs="Arial"/>
                <w:color w:val="000000" w:themeColor="text1"/>
                <w:sz w:val="24"/>
                <w:szCs w:val="24"/>
              </w:rPr>
            </w:pPr>
          </w:p>
        </w:tc>
      </w:tr>
      <w:tr w:rsidR="000C5DAD" w:rsidRPr="003527BE" w14:paraId="50FB2DEE" w14:textId="77777777" w:rsidTr="0F64DCCE">
        <w:tc>
          <w:tcPr>
            <w:tcW w:w="0" w:type="auto"/>
          </w:tcPr>
          <w:p w14:paraId="4BFCBC9A" w14:textId="18719A93" w:rsidR="000C5DAD" w:rsidRPr="003527BE" w:rsidRDefault="008E295F" w:rsidP="00B54547">
            <w:pPr>
              <w:contextualSpacing/>
              <w:jc w:val="both"/>
              <w:rPr>
                <w:rFonts w:ascii="Arial" w:hAnsi="Arial" w:cs="Arial"/>
                <w:sz w:val="24"/>
                <w:szCs w:val="24"/>
              </w:rPr>
            </w:pPr>
            <w:r>
              <w:rPr>
                <w:rFonts w:ascii="Arial" w:hAnsi="Arial" w:cs="Arial"/>
                <w:sz w:val="24"/>
                <w:szCs w:val="24"/>
              </w:rPr>
              <w:t>5</w:t>
            </w:r>
          </w:p>
        </w:tc>
        <w:tc>
          <w:tcPr>
            <w:tcW w:w="6559" w:type="dxa"/>
          </w:tcPr>
          <w:p w14:paraId="50260B40" w14:textId="518B9EDE" w:rsidR="000C5DAD" w:rsidRPr="00CD3BDE" w:rsidRDefault="000C5DAD"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Key local stakeholder and business views on the strengths, weaknesses, o</w:t>
            </w:r>
            <w:r w:rsidR="00151187" w:rsidRPr="00CD3BDE">
              <w:rPr>
                <w:rFonts w:ascii="Arial" w:hAnsi="Arial" w:cs="Arial"/>
                <w:color w:val="000000" w:themeColor="text1"/>
                <w:sz w:val="24"/>
                <w:szCs w:val="24"/>
              </w:rPr>
              <w:t>pportunities and threats to the Greater Nottingham</w:t>
            </w:r>
            <w:r w:rsidRPr="00CD3BDE">
              <w:rPr>
                <w:rFonts w:ascii="Arial" w:hAnsi="Arial" w:cs="Arial"/>
                <w:color w:val="000000" w:themeColor="text1"/>
                <w:sz w:val="24"/>
                <w:szCs w:val="24"/>
              </w:rPr>
              <w:t xml:space="preserve"> centre</w:t>
            </w:r>
            <w:r w:rsidR="00151187" w:rsidRPr="00CD3BDE">
              <w:rPr>
                <w:rFonts w:ascii="Arial" w:hAnsi="Arial" w:cs="Arial"/>
                <w:color w:val="000000" w:themeColor="text1"/>
                <w:sz w:val="24"/>
                <w:szCs w:val="24"/>
              </w:rPr>
              <w:t>s</w:t>
            </w:r>
            <w:r w:rsidRPr="00CD3BDE">
              <w:rPr>
                <w:rFonts w:ascii="Arial" w:hAnsi="Arial" w:cs="Arial"/>
                <w:color w:val="000000" w:themeColor="text1"/>
                <w:sz w:val="24"/>
                <w:szCs w:val="24"/>
              </w:rPr>
              <w:t xml:space="preserve"> as well as future requirements (inputs are required from health, education, leisure, tourism and cultural sectors</w:t>
            </w:r>
            <w:r w:rsidR="000B7C5D" w:rsidRPr="00CD3BDE">
              <w:rPr>
                <w:rFonts w:ascii="Arial" w:hAnsi="Arial" w:cs="Arial"/>
                <w:color w:val="000000" w:themeColor="text1"/>
                <w:sz w:val="24"/>
                <w:szCs w:val="24"/>
              </w:rPr>
              <w:t xml:space="preserve"> and shou</w:t>
            </w:r>
            <w:r w:rsidR="00151187" w:rsidRPr="00CD3BDE">
              <w:rPr>
                <w:rFonts w:ascii="Arial" w:hAnsi="Arial" w:cs="Arial"/>
                <w:color w:val="000000" w:themeColor="text1"/>
                <w:sz w:val="24"/>
                <w:szCs w:val="24"/>
              </w:rPr>
              <w:t>ld be agreed with the Commissioning Group</w:t>
            </w:r>
            <w:r w:rsidRPr="00CD3BDE">
              <w:rPr>
                <w:rFonts w:ascii="Arial" w:hAnsi="Arial" w:cs="Arial"/>
                <w:color w:val="000000" w:themeColor="text1"/>
                <w:sz w:val="24"/>
                <w:szCs w:val="24"/>
              </w:rPr>
              <w:t>). Please note that the council</w:t>
            </w:r>
            <w:r w:rsidR="00B82A60" w:rsidRPr="00CD3BDE">
              <w:rPr>
                <w:rFonts w:ascii="Arial" w:hAnsi="Arial" w:cs="Arial"/>
                <w:color w:val="000000" w:themeColor="text1"/>
                <w:sz w:val="24"/>
                <w:szCs w:val="24"/>
              </w:rPr>
              <w:t>s</w:t>
            </w:r>
            <w:r w:rsidRPr="00CD3BDE">
              <w:rPr>
                <w:rFonts w:ascii="Arial" w:hAnsi="Arial" w:cs="Arial"/>
                <w:color w:val="000000" w:themeColor="text1"/>
                <w:sz w:val="24"/>
                <w:szCs w:val="24"/>
              </w:rPr>
              <w:t xml:space="preserve"> </w:t>
            </w:r>
            <w:r w:rsidR="00B82A60" w:rsidRPr="00CD3BDE">
              <w:rPr>
                <w:rFonts w:ascii="Arial" w:hAnsi="Arial" w:cs="Arial"/>
                <w:color w:val="000000" w:themeColor="text1"/>
                <w:sz w:val="24"/>
                <w:szCs w:val="24"/>
              </w:rPr>
              <w:t xml:space="preserve">do </w:t>
            </w:r>
            <w:r w:rsidRPr="00CD3BDE">
              <w:rPr>
                <w:rFonts w:ascii="Arial" w:hAnsi="Arial" w:cs="Arial"/>
                <w:color w:val="000000" w:themeColor="text1"/>
                <w:sz w:val="24"/>
                <w:szCs w:val="24"/>
              </w:rPr>
              <w:t>not require on street survey or household inter</w:t>
            </w:r>
            <w:r w:rsidR="00151187" w:rsidRPr="00CD3BDE">
              <w:rPr>
                <w:rFonts w:ascii="Arial" w:hAnsi="Arial" w:cs="Arial"/>
                <w:color w:val="000000" w:themeColor="text1"/>
                <w:sz w:val="24"/>
                <w:szCs w:val="24"/>
              </w:rPr>
              <w:t>views as part of this study</w:t>
            </w:r>
            <w:r w:rsidRPr="00CD3BDE">
              <w:rPr>
                <w:rFonts w:ascii="Arial" w:hAnsi="Arial" w:cs="Arial"/>
                <w:color w:val="000000" w:themeColor="text1"/>
                <w:sz w:val="24"/>
                <w:szCs w:val="24"/>
              </w:rPr>
              <w:t>.</w:t>
            </w:r>
          </w:p>
        </w:tc>
        <w:tc>
          <w:tcPr>
            <w:tcW w:w="6573" w:type="dxa"/>
          </w:tcPr>
          <w:p w14:paraId="5E8A8764" w14:textId="0E468078" w:rsidR="000C5DAD" w:rsidRPr="00CD3BDE" w:rsidRDefault="000C5DAD" w:rsidP="00B54547">
            <w:pPr>
              <w:contextualSpacing/>
              <w:jc w:val="both"/>
              <w:rPr>
                <w:rFonts w:ascii="Arial" w:hAnsi="Arial" w:cs="Arial"/>
                <w:color w:val="000000" w:themeColor="text1"/>
                <w:sz w:val="24"/>
                <w:szCs w:val="24"/>
              </w:rPr>
            </w:pPr>
            <w:r w:rsidRPr="00CD3BDE">
              <w:rPr>
                <w:rFonts w:ascii="Arial" w:hAnsi="Arial" w:cs="Arial"/>
                <w:color w:val="000000" w:themeColor="text1"/>
                <w:sz w:val="24"/>
                <w:szCs w:val="24"/>
              </w:rPr>
              <w:t>Outcomes of the key stakeholder views on future requirement f</w:t>
            </w:r>
            <w:r w:rsidR="00214A3B" w:rsidRPr="00CD3BDE">
              <w:rPr>
                <w:rFonts w:ascii="Arial" w:hAnsi="Arial" w:cs="Arial"/>
                <w:color w:val="000000" w:themeColor="text1"/>
                <w:sz w:val="24"/>
                <w:szCs w:val="24"/>
              </w:rPr>
              <w:t>or the centres in the plan area written up into the final report, with an explanation of how these have influenced any policy recommendations</w:t>
            </w:r>
            <w:r w:rsidR="00151187" w:rsidRPr="00CD3BDE">
              <w:rPr>
                <w:rFonts w:ascii="Arial" w:hAnsi="Arial" w:cs="Arial"/>
                <w:color w:val="000000" w:themeColor="text1"/>
                <w:sz w:val="24"/>
                <w:szCs w:val="24"/>
              </w:rPr>
              <w:t>.</w:t>
            </w:r>
          </w:p>
          <w:p w14:paraId="0378EBD0" w14:textId="77777777" w:rsidR="000C5DAD" w:rsidRPr="00CD3BDE" w:rsidRDefault="000C5DAD" w:rsidP="00B54547">
            <w:pPr>
              <w:jc w:val="both"/>
              <w:rPr>
                <w:rFonts w:ascii="Arial" w:hAnsi="Arial" w:cs="Arial"/>
                <w:color w:val="000000" w:themeColor="text1"/>
                <w:sz w:val="24"/>
                <w:szCs w:val="24"/>
              </w:rPr>
            </w:pPr>
          </w:p>
        </w:tc>
      </w:tr>
      <w:tr w:rsidR="000C5DAD" w:rsidRPr="003527BE" w14:paraId="78931A86" w14:textId="77777777" w:rsidTr="0F64DCCE">
        <w:tc>
          <w:tcPr>
            <w:tcW w:w="0" w:type="auto"/>
          </w:tcPr>
          <w:p w14:paraId="4F1DD31C" w14:textId="22BADEC5" w:rsidR="000C5DAD" w:rsidRPr="003527BE" w:rsidRDefault="0070002D" w:rsidP="00B54547">
            <w:pPr>
              <w:jc w:val="both"/>
              <w:rPr>
                <w:rFonts w:ascii="Arial" w:hAnsi="Arial" w:cs="Arial"/>
                <w:sz w:val="24"/>
                <w:szCs w:val="24"/>
              </w:rPr>
            </w:pPr>
            <w:r>
              <w:rPr>
                <w:rFonts w:ascii="Arial" w:hAnsi="Arial" w:cs="Arial"/>
                <w:sz w:val="24"/>
                <w:szCs w:val="24"/>
              </w:rPr>
              <w:t>6</w:t>
            </w:r>
          </w:p>
        </w:tc>
        <w:tc>
          <w:tcPr>
            <w:tcW w:w="6559" w:type="dxa"/>
          </w:tcPr>
          <w:p w14:paraId="4638B63C" w14:textId="5544F09A" w:rsidR="000C5DAD" w:rsidRPr="00CD3BDE" w:rsidRDefault="008A0D70"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 xml:space="preserve">Analysis of the </w:t>
            </w:r>
            <w:r w:rsidR="007D5099" w:rsidRPr="00CD3BDE">
              <w:rPr>
                <w:rFonts w:ascii="Arial" w:hAnsi="Arial" w:cs="Arial"/>
                <w:color w:val="000000" w:themeColor="text1"/>
                <w:sz w:val="24"/>
                <w:szCs w:val="24"/>
              </w:rPr>
              <w:t>relevance and effectiveness of the Primary Shopping Areas, Frontages and Secondary Shopping Frontages designations in the adopted Greater Nottingham Aligned Core Strategies and the Local Plan Part 2 documents adopted by the Greater Nottingham authorities.</w:t>
            </w:r>
          </w:p>
        </w:tc>
        <w:tc>
          <w:tcPr>
            <w:tcW w:w="6573" w:type="dxa"/>
          </w:tcPr>
          <w:p w14:paraId="71663A46" w14:textId="53005EE1" w:rsidR="00E507ED" w:rsidRPr="00CD3BDE" w:rsidRDefault="008A0D70" w:rsidP="00B54547">
            <w:pPr>
              <w:jc w:val="both"/>
              <w:rPr>
                <w:rFonts w:ascii="Arial" w:hAnsi="Arial" w:cs="Arial"/>
                <w:color w:val="000000" w:themeColor="text1"/>
                <w:sz w:val="24"/>
                <w:szCs w:val="24"/>
              </w:rPr>
            </w:pPr>
            <w:r w:rsidRPr="00CD3BDE">
              <w:rPr>
                <w:rFonts w:ascii="Arial" w:hAnsi="Arial" w:cs="Arial"/>
                <w:color w:val="000000" w:themeColor="text1"/>
                <w:sz w:val="24"/>
                <w:szCs w:val="24"/>
              </w:rPr>
              <w:t xml:space="preserve">Recommendations </w:t>
            </w:r>
            <w:r w:rsidR="5C9663D6" w:rsidRPr="00CD3BDE">
              <w:rPr>
                <w:rFonts w:ascii="Arial" w:hAnsi="Arial" w:cs="Arial"/>
                <w:color w:val="000000" w:themeColor="text1"/>
                <w:sz w:val="24"/>
                <w:szCs w:val="24"/>
              </w:rPr>
              <w:t>on the desirability</w:t>
            </w:r>
            <w:r w:rsidR="4BA3F40E" w:rsidRPr="00CD3BDE">
              <w:rPr>
                <w:rFonts w:ascii="Arial" w:hAnsi="Arial" w:cs="Arial"/>
                <w:color w:val="000000" w:themeColor="text1"/>
                <w:sz w:val="24"/>
                <w:szCs w:val="24"/>
              </w:rPr>
              <w:t xml:space="preserve"> of maintaining or amending </w:t>
            </w:r>
            <w:r w:rsidR="5C9663D6" w:rsidRPr="00CD3BDE">
              <w:rPr>
                <w:rFonts w:ascii="Arial" w:hAnsi="Arial" w:cs="Arial"/>
                <w:color w:val="000000" w:themeColor="text1"/>
                <w:sz w:val="24"/>
                <w:szCs w:val="24"/>
              </w:rPr>
              <w:t xml:space="preserve">current </w:t>
            </w:r>
            <w:r w:rsidR="4BA3F40E" w:rsidRPr="00CD3BDE">
              <w:rPr>
                <w:rFonts w:ascii="Arial" w:hAnsi="Arial" w:cs="Arial"/>
                <w:color w:val="000000" w:themeColor="text1"/>
                <w:sz w:val="24"/>
                <w:szCs w:val="24"/>
              </w:rPr>
              <w:t xml:space="preserve">Greater Nottingham </w:t>
            </w:r>
            <w:r w:rsidR="5C9663D6" w:rsidRPr="00CD3BDE">
              <w:rPr>
                <w:rFonts w:ascii="Arial" w:hAnsi="Arial" w:cs="Arial"/>
                <w:color w:val="000000" w:themeColor="text1"/>
                <w:sz w:val="24"/>
                <w:szCs w:val="24"/>
              </w:rPr>
              <w:t>planning policy designation</w:t>
            </w:r>
            <w:r w:rsidR="4BA3F40E" w:rsidRPr="00CD3BDE">
              <w:rPr>
                <w:rFonts w:ascii="Arial" w:hAnsi="Arial" w:cs="Arial"/>
                <w:color w:val="000000" w:themeColor="text1"/>
                <w:sz w:val="24"/>
                <w:szCs w:val="24"/>
              </w:rPr>
              <w:t>s</w:t>
            </w:r>
            <w:r w:rsidR="5C9663D6" w:rsidRPr="00CD3BDE">
              <w:rPr>
                <w:rFonts w:ascii="Arial" w:hAnsi="Arial" w:cs="Arial"/>
                <w:color w:val="000000" w:themeColor="text1"/>
                <w:sz w:val="24"/>
                <w:szCs w:val="24"/>
              </w:rPr>
              <w:t xml:space="preserve"> of Primary Shopping</w:t>
            </w:r>
            <w:r w:rsidR="4BA3F40E" w:rsidRPr="00CD3BDE">
              <w:rPr>
                <w:rFonts w:ascii="Arial" w:hAnsi="Arial" w:cs="Arial"/>
                <w:color w:val="000000" w:themeColor="text1"/>
                <w:sz w:val="24"/>
                <w:szCs w:val="24"/>
              </w:rPr>
              <w:t xml:space="preserve"> Areas, </w:t>
            </w:r>
            <w:r w:rsidR="5C9663D6" w:rsidRPr="00CD3BDE">
              <w:rPr>
                <w:rFonts w:ascii="Arial" w:hAnsi="Arial" w:cs="Arial"/>
                <w:color w:val="000000" w:themeColor="text1"/>
                <w:sz w:val="24"/>
                <w:szCs w:val="24"/>
              </w:rPr>
              <w:t xml:space="preserve">Frontages and Secondary Shopping Frontages, bearing in mind the greater freedoms now allowed through the Use Classes Order 2020 and </w:t>
            </w:r>
            <w:r w:rsidR="290E00A5" w:rsidRPr="00CD3BDE">
              <w:rPr>
                <w:rFonts w:ascii="Arial" w:hAnsi="Arial" w:cs="Arial"/>
                <w:color w:val="000000" w:themeColor="text1"/>
                <w:sz w:val="24"/>
                <w:szCs w:val="24"/>
              </w:rPr>
              <w:t>p</w:t>
            </w:r>
            <w:r w:rsidR="5C9663D6" w:rsidRPr="00CD3BDE">
              <w:rPr>
                <w:rFonts w:ascii="Arial" w:hAnsi="Arial" w:cs="Arial"/>
                <w:color w:val="000000" w:themeColor="text1"/>
                <w:sz w:val="24"/>
                <w:szCs w:val="24"/>
              </w:rPr>
              <w:t xml:space="preserve">ermitted </w:t>
            </w:r>
            <w:r w:rsidR="7BFE32B4" w:rsidRPr="00CD3BDE">
              <w:rPr>
                <w:rFonts w:ascii="Arial" w:hAnsi="Arial" w:cs="Arial"/>
                <w:color w:val="000000" w:themeColor="text1"/>
                <w:sz w:val="24"/>
                <w:szCs w:val="24"/>
              </w:rPr>
              <w:t>d</w:t>
            </w:r>
            <w:r w:rsidR="5C9663D6" w:rsidRPr="00CD3BDE">
              <w:rPr>
                <w:rFonts w:ascii="Arial" w:hAnsi="Arial" w:cs="Arial"/>
                <w:color w:val="000000" w:themeColor="text1"/>
                <w:sz w:val="24"/>
                <w:szCs w:val="24"/>
              </w:rPr>
              <w:t xml:space="preserve">evelopment </w:t>
            </w:r>
            <w:r w:rsidR="2776EF28" w:rsidRPr="00CD3BDE">
              <w:rPr>
                <w:rFonts w:ascii="Arial" w:hAnsi="Arial" w:cs="Arial"/>
                <w:color w:val="000000" w:themeColor="text1"/>
                <w:sz w:val="24"/>
                <w:szCs w:val="24"/>
              </w:rPr>
              <w:t>r</w:t>
            </w:r>
            <w:r w:rsidR="5C9663D6" w:rsidRPr="00CD3BDE">
              <w:rPr>
                <w:rFonts w:ascii="Arial" w:hAnsi="Arial" w:cs="Arial"/>
                <w:color w:val="000000" w:themeColor="text1"/>
                <w:sz w:val="24"/>
                <w:szCs w:val="24"/>
              </w:rPr>
              <w:t xml:space="preserve">ights introduced during 2020 and 2021.  Advice is sought on </w:t>
            </w:r>
            <w:r w:rsidR="00931970" w:rsidRPr="00CD3BDE">
              <w:rPr>
                <w:rFonts w:ascii="Arial" w:hAnsi="Arial" w:cs="Arial"/>
                <w:color w:val="000000" w:themeColor="text1"/>
                <w:sz w:val="24"/>
                <w:szCs w:val="24"/>
              </w:rPr>
              <w:t xml:space="preserve">whether the Strategic Plan (and subsequent Part 2 </w:t>
            </w:r>
            <w:r w:rsidR="65DE0C7B" w:rsidRPr="00CD3BDE">
              <w:rPr>
                <w:rFonts w:ascii="Arial" w:hAnsi="Arial" w:cs="Arial"/>
                <w:color w:val="000000" w:themeColor="text1"/>
                <w:sz w:val="24"/>
                <w:szCs w:val="24"/>
              </w:rPr>
              <w:t xml:space="preserve">Local </w:t>
            </w:r>
            <w:r w:rsidR="00931970" w:rsidRPr="00CD3BDE">
              <w:rPr>
                <w:rFonts w:ascii="Arial" w:hAnsi="Arial" w:cs="Arial"/>
                <w:color w:val="000000" w:themeColor="text1"/>
                <w:sz w:val="24"/>
                <w:szCs w:val="24"/>
              </w:rPr>
              <w:t xml:space="preserve">Plans) </w:t>
            </w:r>
            <w:r w:rsidR="5C9663D6" w:rsidRPr="00CD3BDE">
              <w:rPr>
                <w:rFonts w:ascii="Arial" w:hAnsi="Arial" w:cs="Arial"/>
                <w:color w:val="000000" w:themeColor="text1"/>
                <w:sz w:val="24"/>
                <w:szCs w:val="24"/>
              </w:rPr>
              <w:t xml:space="preserve">should recognise a </w:t>
            </w:r>
            <w:r w:rsidR="5C9663D6" w:rsidRPr="00CD3BDE">
              <w:rPr>
                <w:rFonts w:ascii="Arial" w:hAnsi="Arial" w:cs="Arial"/>
                <w:color w:val="000000" w:themeColor="text1"/>
                <w:sz w:val="24"/>
                <w:szCs w:val="24"/>
              </w:rPr>
              <w:lastRenderedPageBreak/>
              <w:t>wider role and function for shopping areas presently covered by such designations, taking account of national advice and guidance on this matter.</w:t>
            </w:r>
            <w:r w:rsidR="00931970" w:rsidRPr="00CD3BDE">
              <w:rPr>
                <w:rFonts w:ascii="Arial" w:hAnsi="Arial" w:cs="Arial"/>
                <w:color w:val="000000" w:themeColor="text1"/>
                <w:sz w:val="24"/>
                <w:szCs w:val="24"/>
              </w:rPr>
              <w:t xml:space="preserve"> If these designations are deemed no longer useful, </w:t>
            </w:r>
            <w:r w:rsidR="4BA3F40E" w:rsidRPr="00CD3BDE">
              <w:rPr>
                <w:rFonts w:ascii="Arial" w:hAnsi="Arial" w:cs="Arial"/>
                <w:color w:val="000000" w:themeColor="text1"/>
                <w:sz w:val="24"/>
                <w:szCs w:val="24"/>
              </w:rPr>
              <w:t>then alternative designations should be suggested, in accordance with the outcomes of the analysis undertaken as part of the study.</w:t>
            </w:r>
          </w:p>
          <w:p w14:paraId="08B3E634" w14:textId="791916FD" w:rsidR="00E507ED" w:rsidRPr="00CD3BDE" w:rsidRDefault="00E507ED" w:rsidP="00B54547">
            <w:pPr>
              <w:jc w:val="both"/>
              <w:rPr>
                <w:rFonts w:ascii="Arial" w:hAnsi="Arial" w:cs="Arial"/>
                <w:color w:val="000000" w:themeColor="text1"/>
                <w:sz w:val="24"/>
                <w:szCs w:val="24"/>
              </w:rPr>
            </w:pPr>
          </w:p>
        </w:tc>
      </w:tr>
    </w:tbl>
    <w:p w14:paraId="6C76C797" w14:textId="0FB2BFA3" w:rsidR="000C5DAD" w:rsidRPr="000C5DAD" w:rsidRDefault="000C5DAD" w:rsidP="00B54547">
      <w:pPr>
        <w:tabs>
          <w:tab w:val="left" w:pos="1224"/>
        </w:tabs>
        <w:spacing w:after="0" w:line="240" w:lineRule="auto"/>
        <w:jc w:val="both"/>
        <w:rPr>
          <w:rFonts w:ascii="Arial" w:hAnsi="Arial" w:cs="Arial"/>
          <w:sz w:val="24"/>
          <w:szCs w:val="24"/>
        </w:rPr>
        <w:sectPr w:rsidR="000C5DAD" w:rsidRPr="000C5DAD" w:rsidSect="000C5DAD">
          <w:pgSz w:w="16838" w:h="11906" w:orient="landscape"/>
          <w:pgMar w:top="1440" w:right="1440" w:bottom="1440" w:left="1440" w:header="708" w:footer="708" w:gutter="0"/>
          <w:cols w:space="708"/>
          <w:docGrid w:linePitch="360"/>
        </w:sectPr>
      </w:pPr>
    </w:p>
    <w:p w14:paraId="0D6B0E01" w14:textId="6B529572" w:rsidR="00CD5794" w:rsidRPr="00CD5794" w:rsidRDefault="00CD5794" w:rsidP="00B54547">
      <w:pPr>
        <w:pStyle w:val="Heading1"/>
        <w:spacing w:before="0" w:line="240" w:lineRule="auto"/>
        <w:ind w:left="720" w:hanging="720"/>
        <w:jc w:val="both"/>
        <w:rPr>
          <w:szCs w:val="24"/>
        </w:rPr>
      </w:pPr>
      <w:bookmarkStart w:id="10" w:name="_Toc128996081"/>
      <w:bookmarkStart w:id="11" w:name="_Toc138837829"/>
      <w:r w:rsidRPr="00CD5794">
        <w:rPr>
          <w:szCs w:val="24"/>
        </w:rPr>
        <w:lastRenderedPageBreak/>
        <w:t>Method</w:t>
      </w:r>
      <w:bookmarkEnd w:id="10"/>
      <w:bookmarkEnd w:id="11"/>
    </w:p>
    <w:p w14:paraId="5F04EE44" w14:textId="77777777" w:rsidR="00CD5794" w:rsidRDefault="00CD5794" w:rsidP="00B54547">
      <w:pPr>
        <w:autoSpaceDE w:val="0"/>
        <w:autoSpaceDN w:val="0"/>
        <w:adjustRightInd w:val="0"/>
        <w:spacing w:after="0" w:line="240" w:lineRule="auto"/>
        <w:jc w:val="both"/>
        <w:rPr>
          <w:rFonts w:ascii="Arial" w:hAnsi="Arial" w:cs="Arial"/>
          <w:b/>
          <w:iCs/>
          <w:szCs w:val="24"/>
        </w:rPr>
      </w:pPr>
    </w:p>
    <w:p w14:paraId="5B358AFE" w14:textId="766AC88F" w:rsidR="00CD5794" w:rsidRPr="00CD5794" w:rsidRDefault="00CD5794" w:rsidP="00B54547">
      <w:pPr>
        <w:autoSpaceDE w:val="0"/>
        <w:autoSpaceDN w:val="0"/>
        <w:adjustRightInd w:val="0"/>
        <w:spacing w:after="0" w:line="240" w:lineRule="auto"/>
        <w:ind w:left="720"/>
        <w:jc w:val="both"/>
        <w:rPr>
          <w:rFonts w:ascii="Arial" w:hAnsi="Arial" w:cs="Arial"/>
          <w:sz w:val="24"/>
          <w:szCs w:val="24"/>
        </w:rPr>
      </w:pPr>
      <w:r w:rsidRPr="598428D3">
        <w:rPr>
          <w:rFonts w:ascii="Arial" w:hAnsi="Arial" w:cs="Arial"/>
          <w:sz w:val="24"/>
          <w:szCs w:val="24"/>
        </w:rPr>
        <w:t xml:space="preserve">The study will be overseen by a </w:t>
      </w:r>
      <w:r w:rsidR="52208286" w:rsidRPr="598428D3">
        <w:rPr>
          <w:rFonts w:ascii="Arial" w:hAnsi="Arial" w:cs="Arial"/>
          <w:sz w:val="24"/>
          <w:szCs w:val="24"/>
        </w:rPr>
        <w:t>Commissioning</w:t>
      </w:r>
      <w:r w:rsidRPr="598428D3">
        <w:rPr>
          <w:rFonts w:ascii="Arial" w:hAnsi="Arial" w:cs="Arial"/>
          <w:sz w:val="24"/>
          <w:szCs w:val="24"/>
        </w:rPr>
        <w:t xml:space="preserve"> </w:t>
      </w:r>
      <w:r w:rsidR="43438894" w:rsidRPr="598428D3">
        <w:rPr>
          <w:rFonts w:ascii="Arial" w:hAnsi="Arial" w:cs="Arial"/>
          <w:sz w:val="24"/>
          <w:szCs w:val="24"/>
        </w:rPr>
        <w:t>G</w:t>
      </w:r>
      <w:r w:rsidRPr="598428D3">
        <w:rPr>
          <w:rFonts w:ascii="Arial" w:hAnsi="Arial" w:cs="Arial"/>
          <w:sz w:val="24"/>
          <w:szCs w:val="24"/>
        </w:rPr>
        <w:t xml:space="preserve">roup of Greater Nottingham planning officers. </w:t>
      </w:r>
    </w:p>
    <w:p w14:paraId="3022242A" w14:textId="77777777" w:rsidR="00CD5794" w:rsidRPr="00CD5794" w:rsidRDefault="00CD5794" w:rsidP="00B54547">
      <w:pPr>
        <w:autoSpaceDE w:val="0"/>
        <w:autoSpaceDN w:val="0"/>
        <w:adjustRightInd w:val="0"/>
        <w:spacing w:after="0" w:line="240" w:lineRule="auto"/>
        <w:jc w:val="both"/>
        <w:rPr>
          <w:rFonts w:ascii="Arial" w:hAnsi="Arial" w:cs="Arial"/>
          <w:bCs/>
          <w:iCs/>
          <w:sz w:val="24"/>
          <w:szCs w:val="24"/>
        </w:rPr>
      </w:pPr>
    </w:p>
    <w:p w14:paraId="28D23CB2" w14:textId="0826852B" w:rsidR="00CD5794" w:rsidRPr="00CD5794" w:rsidRDefault="00CD5794" w:rsidP="00B54547">
      <w:pPr>
        <w:autoSpaceDE w:val="0"/>
        <w:autoSpaceDN w:val="0"/>
        <w:adjustRightInd w:val="0"/>
        <w:spacing w:after="0" w:line="240" w:lineRule="auto"/>
        <w:ind w:left="720"/>
        <w:jc w:val="both"/>
        <w:rPr>
          <w:rFonts w:ascii="Arial" w:hAnsi="Arial" w:cs="Arial"/>
          <w:sz w:val="24"/>
          <w:szCs w:val="24"/>
        </w:rPr>
      </w:pPr>
      <w:r w:rsidRPr="62A2BB40">
        <w:rPr>
          <w:rFonts w:ascii="Arial" w:hAnsi="Arial" w:cs="Arial"/>
          <w:sz w:val="24"/>
          <w:szCs w:val="24"/>
        </w:rPr>
        <w:t xml:space="preserve">The consultants will consult with relevant planning officers and other stakeholders including business improvement districts, chambers of commerce and other local and regional business groups. They will draw both on </w:t>
      </w:r>
      <w:r w:rsidR="29440E67" w:rsidRPr="62A2BB40">
        <w:rPr>
          <w:rFonts w:ascii="Arial" w:hAnsi="Arial" w:cs="Arial"/>
          <w:sz w:val="24"/>
          <w:szCs w:val="24"/>
        </w:rPr>
        <w:t>locally generated</w:t>
      </w:r>
      <w:r w:rsidRPr="62A2BB40">
        <w:rPr>
          <w:rFonts w:ascii="Arial" w:hAnsi="Arial" w:cs="Arial"/>
          <w:sz w:val="24"/>
          <w:szCs w:val="24"/>
        </w:rPr>
        <w:t xml:space="preserve"> evidence and wider literature and thinking on relevant issues. They will also have regard to relevant developments in national planning legislation and policy, including forthcoming changes to the National Planning Policy Framework and the Levelling-up and Regeneration Bill.</w:t>
      </w:r>
    </w:p>
    <w:p w14:paraId="246F3F8C" w14:textId="77777777" w:rsidR="00CD5794" w:rsidRPr="00CD5794" w:rsidRDefault="00CD5794" w:rsidP="00B54547">
      <w:pPr>
        <w:autoSpaceDE w:val="0"/>
        <w:autoSpaceDN w:val="0"/>
        <w:adjustRightInd w:val="0"/>
        <w:spacing w:after="0" w:line="240" w:lineRule="auto"/>
        <w:jc w:val="both"/>
        <w:rPr>
          <w:rFonts w:ascii="Arial" w:hAnsi="Arial" w:cs="Arial"/>
          <w:bCs/>
          <w:iCs/>
          <w:sz w:val="24"/>
          <w:szCs w:val="24"/>
        </w:rPr>
      </w:pPr>
    </w:p>
    <w:p w14:paraId="5AE5B141" w14:textId="77777777" w:rsidR="00CD5794" w:rsidRPr="00CD5794" w:rsidRDefault="00CD5794" w:rsidP="00B54547">
      <w:pPr>
        <w:autoSpaceDE w:val="0"/>
        <w:autoSpaceDN w:val="0"/>
        <w:adjustRightInd w:val="0"/>
        <w:spacing w:after="0" w:line="240" w:lineRule="auto"/>
        <w:ind w:firstLine="720"/>
        <w:jc w:val="both"/>
        <w:rPr>
          <w:rFonts w:ascii="Arial" w:hAnsi="Arial" w:cs="Arial"/>
          <w:bCs/>
          <w:iCs/>
          <w:sz w:val="24"/>
          <w:szCs w:val="24"/>
        </w:rPr>
      </w:pPr>
      <w:r w:rsidRPr="00CD5794">
        <w:rPr>
          <w:rFonts w:ascii="Arial" w:hAnsi="Arial" w:cs="Arial"/>
          <w:bCs/>
          <w:iCs/>
          <w:sz w:val="24"/>
          <w:szCs w:val="24"/>
        </w:rPr>
        <w:t>It is anticipated that the study will be based around the following key stages:</w:t>
      </w:r>
    </w:p>
    <w:p w14:paraId="38CDEAD2" w14:textId="77777777" w:rsidR="00CD5794" w:rsidRPr="00CD5794" w:rsidRDefault="00CD5794" w:rsidP="00B54547">
      <w:pPr>
        <w:autoSpaceDE w:val="0"/>
        <w:autoSpaceDN w:val="0"/>
        <w:adjustRightInd w:val="0"/>
        <w:spacing w:after="0" w:line="240" w:lineRule="auto"/>
        <w:jc w:val="both"/>
        <w:rPr>
          <w:rFonts w:ascii="Arial" w:hAnsi="Arial" w:cs="Arial"/>
          <w:bCs/>
          <w:iCs/>
          <w:sz w:val="24"/>
          <w:szCs w:val="24"/>
        </w:rPr>
      </w:pPr>
    </w:p>
    <w:p w14:paraId="4EB65CD2" w14:textId="77777777" w:rsidR="00CD5794" w:rsidRPr="00CD5794" w:rsidRDefault="00CD5794" w:rsidP="00B54547">
      <w:pPr>
        <w:pStyle w:val="ListParagraph"/>
        <w:numPr>
          <w:ilvl w:val="0"/>
          <w:numId w:val="25"/>
        </w:numPr>
        <w:autoSpaceDE w:val="0"/>
        <w:autoSpaceDN w:val="0"/>
        <w:adjustRightInd w:val="0"/>
        <w:spacing w:after="0" w:line="240" w:lineRule="auto"/>
        <w:ind w:left="1440" w:hanging="720"/>
        <w:jc w:val="both"/>
        <w:rPr>
          <w:rFonts w:cs="Arial"/>
          <w:b/>
          <w:bCs/>
          <w:iCs/>
          <w:szCs w:val="24"/>
        </w:rPr>
      </w:pPr>
      <w:r w:rsidRPr="00CD5794">
        <w:rPr>
          <w:rFonts w:cs="Arial"/>
          <w:b/>
          <w:bCs/>
          <w:iCs/>
          <w:szCs w:val="24"/>
        </w:rPr>
        <w:t>Inception</w:t>
      </w:r>
    </w:p>
    <w:p w14:paraId="4513B8A9"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
          <w:bCs/>
          <w:iCs/>
          <w:sz w:val="24"/>
          <w:szCs w:val="24"/>
        </w:rPr>
      </w:pPr>
    </w:p>
    <w:p w14:paraId="209FF31A" w14:textId="28E8BE9D" w:rsidR="00CD5794" w:rsidRPr="00CD5794" w:rsidRDefault="00B71DEA" w:rsidP="00B54547">
      <w:pPr>
        <w:autoSpaceDE w:val="0"/>
        <w:autoSpaceDN w:val="0"/>
        <w:adjustRightInd w:val="0"/>
        <w:spacing w:after="0" w:line="240" w:lineRule="auto"/>
        <w:ind w:left="1440"/>
        <w:jc w:val="both"/>
        <w:rPr>
          <w:rFonts w:ascii="Arial" w:hAnsi="Arial" w:cs="Arial"/>
          <w:bCs/>
          <w:iCs/>
          <w:sz w:val="24"/>
          <w:szCs w:val="24"/>
        </w:rPr>
      </w:pPr>
      <w:r>
        <w:rPr>
          <w:rFonts w:ascii="Arial" w:hAnsi="Arial" w:cs="Arial"/>
          <w:bCs/>
          <w:iCs/>
          <w:sz w:val="24"/>
          <w:szCs w:val="24"/>
        </w:rPr>
        <w:t xml:space="preserve">Meeting </w:t>
      </w:r>
      <w:r w:rsidR="00DA33F3">
        <w:rPr>
          <w:rFonts w:ascii="Arial" w:hAnsi="Arial" w:cs="Arial"/>
          <w:bCs/>
          <w:iCs/>
          <w:sz w:val="24"/>
          <w:szCs w:val="24"/>
        </w:rPr>
        <w:t xml:space="preserve">(virtual or face-to-face to be agreed) </w:t>
      </w:r>
      <w:r>
        <w:rPr>
          <w:rFonts w:ascii="Arial" w:hAnsi="Arial" w:cs="Arial"/>
          <w:bCs/>
          <w:iCs/>
          <w:sz w:val="24"/>
          <w:szCs w:val="24"/>
        </w:rPr>
        <w:t>with the Commissioning Group to confirm</w:t>
      </w:r>
      <w:r w:rsidR="00CD5794" w:rsidRPr="00CD5794">
        <w:rPr>
          <w:rFonts w:ascii="Arial" w:hAnsi="Arial" w:cs="Arial"/>
          <w:bCs/>
          <w:iCs/>
          <w:sz w:val="24"/>
          <w:szCs w:val="24"/>
        </w:rPr>
        <w:t xml:space="preserve"> </w:t>
      </w:r>
      <w:r w:rsidR="00BD37BB">
        <w:rPr>
          <w:rFonts w:ascii="Arial" w:hAnsi="Arial" w:cs="Arial"/>
          <w:bCs/>
          <w:iCs/>
          <w:sz w:val="24"/>
          <w:szCs w:val="24"/>
        </w:rPr>
        <w:t>the</w:t>
      </w:r>
      <w:r w:rsidR="00CD5794" w:rsidRPr="00CD5794">
        <w:rPr>
          <w:rFonts w:ascii="Arial" w:hAnsi="Arial" w:cs="Arial"/>
          <w:bCs/>
          <w:iCs/>
          <w:sz w:val="24"/>
          <w:szCs w:val="24"/>
        </w:rPr>
        <w:t xml:space="preserve"> project scope and timelines and agreement of arrangements for stakeholder engagement and exchange of data.</w:t>
      </w:r>
    </w:p>
    <w:p w14:paraId="333DFFC4"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Cs/>
          <w:iCs/>
          <w:sz w:val="24"/>
          <w:szCs w:val="24"/>
        </w:rPr>
      </w:pPr>
    </w:p>
    <w:p w14:paraId="6C89DB71" w14:textId="77777777" w:rsidR="00CD5794" w:rsidRPr="00CD5794" w:rsidRDefault="00CD5794" w:rsidP="00B54547">
      <w:pPr>
        <w:pStyle w:val="ListParagraph"/>
        <w:numPr>
          <w:ilvl w:val="0"/>
          <w:numId w:val="25"/>
        </w:numPr>
        <w:autoSpaceDE w:val="0"/>
        <w:autoSpaceDN w:val="0"/>
        <w:adjustRightInd w:val="0"/>
        <w:spacing w:after="0" w:line="240" w:lineRule="auto"/>
        <w:ind w:left="1440" w:hanging="720"/>
        <w:jc w:val="both"/>
        <w:rPr>
          <w:rFonts w:cs="Arial"/>
          <w:b/>
          <w:bCs/>
        </w:rPr>
      </w:pPr>
      <w:r w:rsidRPr="3EC2F802">
        <w:rPr>
          <w:rFonts w:cs="Arial"/>
          <w:b/>
          <w:bCs/>
        </w:rPr>
        <w:t>Quantitative assessment</w:t>
      </w:r>
    </w:p>
    <w:p w14:paraId="7FB464B3"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
          <w:iCs/>
          <w:sz w:val="24"/>
          <w:szCs w:val="24"/>
        </w:rPr>
      </w:pPr>
    </w:p>
    <w:p w14:paraId="46882189" w14:textId="1212E3F5" w:rsidR="00CD5794" w:rsidRPr="00CD5794" w:rsidRDefault="00CD5794" w:rsidP="00B54547">
      <w:pPr>
        <w:autoSpaceDE w:val="0"/>
        <w:autoSpaceDN w:val="0"/>
        <w:adjustRightInd w:val="0"/>
        <w:spacing w:after="0" w:line="240" w:lineRule="auto"/>
        <w:ind w:left="1440"/>
        <w:jc w:val="both"/>
        <w:rPr>
          <w:rFonts w:ascii="Arial" w:hAnsi="Arial" w:cs="Arial"/>
          <w:sz w:val="24"/>
          <w:szCs w:val="24"/>
        </w:rPr>
      </w:pPr>
      <w:r w:rsidRPr="3EC2F802">
        <w:rPr>
          <w:rFonts w:ascii="Arial" w:hAnsi="Arial" w:cs="Arial"/>
          <w:sz w:val="24"/>
          <w:szCs w:val="24"/>
        </w:rPr>
        <w:t xml:space="preserve">Completion of </w:t>
      </w:r>
      <w:r w:rsidR="5B008A74" w:rsidRPr="3EC2F802">
        <w:rPr>
          <w:rFonts w:ascii="Arial" w:hAnsi="Arial" w:cs="Arial"/>
          <w:sz w:val="24"/>
          <w:szCs w:val="24"/>
        </w:rPr>
        <w:t xml:space="preserve">quantitative </w:t>
      </w:r>
      <w:r w:rsidRPr="3EC2F802">
        <w:rPr>
          <w:rFonts w:ascii="Arial" w:hAnsi="Arial" w:cs="Arial"/>
          <w:sz w:val="24"/>
          <w:szCs w:val="24"/>
        </w:rPr>
        <w:t>elements listed</w:t>
      </w:r>
      <w:r w:rsidR="4D028E17" w:rsidRPr="3EC2F802">
        <w:rPr>
          <w:rFonts w:ascii="Arial" w:hAnsi="Arial" w:cs="Arial"/>
          <w:sz w:val="24"/>
          <w:szCs w:val="24"/>
        </w:rPr>
        <w:t xml:space="preserve"> in the</w:t>
      </w:r>
      <w:r w:rsidRPr="3EC2F802">
        <w:rPr>
          <w:rFonts w:ascii="Arial" w:hAnsi="Arial" w:cs="Arial"/>
          <w:sz w:val="24"/>
          <w:szCs w:val="24"/>
        </w:rPr>
        <w:t xml:space="preserve"> </w:t>
      </w:r>
      <w:r w:rsidR="469BF7B3" w:rsidRPr="3EC2F802">
        <w:rPr>
          <w:rFonts w:ascii="Arial" w:hAnsi="Arial" w:cs="Arial"/>
          <w:sz w:val="24"/>
          <w:szCs w:val="24"/>
        </w:rPr>
        <w:t xml:space="preserve">table </w:t>
      </w:r>
      <w:r w:rsidRPr="3EC2F802">
        <w:rPr>
          <w:rFonts w:ascii="Arial" w:hAnsi="Arial" w:cs="Arial"/>
          <w:sz w:val="24"/>
          <w:szCs w:val="24"/>
        </w:rPr>
        <w:t>above (</w:t>
      </w:r>
      <w:r w:rsidR="12FCF330" w:rsidRPr="3EC2F802">
        <w:rPr>
          <w:rFonts w:ascii="Arial" w:hAnsi="Arial" w:cs="Arial"/>
          <w:sz w:val="24"/>
          <w:szCs w:val="24"/>
        </w:rPr>
        <w:t>e.g.</w:t>
      </w:r>
      <w:r w:rsidR="1164C503" w:rsidRPr="3EC2F802">
        <w:rPr>
          <w:rFonts w:ascii="Arial" w:hAnsi="Arial" w:cs="Arial"/>
          <w:sz w:val="24"/>
          <w:szCs w:val="24"/>
        </w:rPr>
        <w:t xml:space="preserve"> </w:t>
      </w:r>
      <w:r w:rsidRPr="3EC2F802">
        <w:rPr>
          <w:rFonts w:ascii="Arial" w:hAnsi="Arial" w:cs="Arial"/>
          <w:sz w:val="24"/>
          <w:szCs w:val="24"/>
        </w:rPr>
        <w:t>quantification of r</w:t>
      </w:r>
      <w:r w:rsidR="00CB6960" w:rsidRPr="3EC2F802">
        <w:rPr>
          <w:rFonts w:ascii="Arial" w:hAnsi="Arial" w:cs="Arial"/>
          <w:sz w:val="24"/>
          <w:szCs w:val="24"/>
        </w:rPr>
        <w:t>elevant uses in and outside</w:t>
      </w:r>
      <w:r w:rsidRPr="3EC2F802">
        <w:rPr>
          <w:rFonts w:ascii="Arial" w:hAnsi="Arial" w:cs="Arial"/>
          <w:sz w:val="24"/>
          <w:szCs w:val="24"/>
        </w:rPr>
        <w:t xml:space="preserve"> centres and agreement of benc</w:t>
      </w:r>
      <w:r w:rsidR="000B7C5D" w:rsidRPr="3EC2F802">
        <w:rPr>
          <w:rFonts w:ascii="Arial" w:hAnsi="Arial" w:cs="Arial"/>
          <w:sz w:val="24"/>
          <w:szCs w:val="24"/>
        </w:rPr>
        <w:t>hmarks), with a Teams Meeting</w:t>
      </w:r>
      <w:r w:rsidR="00B71DEA" w:rsidRPr="3EC2F802">
        <w:rPr>
          <w:rFonts w:ascii="Arial" w:hAnsi="Arial" w:cs="Arial"/>
          <w:sz w:val="24"/>
          <w:szCs w:val="24"/>
        </w:rPr>
        <w:t xml:space="preserve"> with the Commissioning Group</w:t>
      </w:r>
      <w:r w:rsidRPr="3EC2F802">
        <w:rPr>
          <w:rFonts w:ascii="Arial" w:hAnsi="Arial" w:cs="Arial"/>
          <w:sz w:val="24"/>
          <w:szCs w:val="24"/>
        </w:rPr>
        <w:t xml:space="preserve"> to review findings.</w:t>
      </w:r>
    </w:p>
    <w:p w14:paraId="6F7B5E02"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Cs/>
          <w:iCs/>
          <w:sz w:val="24"/>
          <w:szCs w:val="24"/>
        </w:rPr>
      </w:pPr>
    </w:p>
    <w:p w14:paraId="6AD25960" w14:textId="77777777" w:rsidR="00CD5794" w:rsidRPr="00CD5794" w:rsidRDefault="00CD5794" w:rsidP="00B54547">
      <w:pPr>
        <w:pStyle w:val="ListParagraph"/>
        <w:numPr>
          <w:ilvl w:val="0"/>
          <w:numId w:val="25"/>
        </w:numPr>
        <w:autoSpaceDE w:val="0"/>
        <w:autoSpaceDN w:val="0"/>
        <w:adjustRightInd w:val="0"/>
        <w:spacing w:after="0" w:line="240" w:lineRule="auto"/>
        <w:ind w:left="1440" w:hanging="720"/>
        <w:jc w:val="both"/>
        <w:rPr>
          <w:rFonts w:cs="Arial"/>
          <w:b/>
          <w:iCs/>
          <w:szCs w:val="24"/>
        </w:rPr>
      </w:pPr>
      <w:r w:rsidRPr="00CD5794">
        <w:rPr>
          <w:rFonts w:cs="Arial"/>
          <w:b/>
          <w:iCs/>
          <w:szCs w:val="24"/>
        </w:rPr>
        <w:t>Review of trends</w:t>
      </w:r>
    </w:p>
    <w:p w14:paraId="22BBB263"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Cs/>
          <w:iCs/>
          <w:sz w:val="24"/>
          <w:szCs w:val="24"/>
        </w:rPr>
      </w:pPr>
    </w:p>
    <w:p w14:paraId="15B732D8" w14:textId="2F1DCB50" w:rsidR="00CD5794" w:rsidRPr="00CD5794" w:rsidRDefault="00CD5794" w:rsidP="00B54547">
      <w:pPr>
        <w:autoSpaceDE w:val="0"/>
        <w:autoSpaceDN w:val="0"/>
        <w:adjustRightInd w:val="0"/>
        <w:spacing w:after="0" w:line="240" w:lineRule="auto"/>
        <w:ind w:left="1440"/>
        <w:jc w:val="both"/>
        <w:rPr>
          <w:rFonts w:ascii="Arial" w:hAnsi="Arial" w:cs="Arial"/>
          <w:sz w:val="24"/>
          <w:szCs w:val="24"/>
        </w:rPr>
      </w:pPr>
      <w:r w:rsidRPr="3EC2F802">
        <w:rPr>
          <w:rFonts w:ascii="Arial" w:hAnsi="Arial" w:cs="Arial"/>
          <w:sz w:val="24"/>
          <w:szCs w:val="24"/>
        </w:rPr>
        <w:t xml:space="preserve">Completion of </w:t>
      </w:r>
      <w:r w:rsidR="55FA9239" w:rsidRPr="3EC2F802">
        <w:rPr>
          <w:rFonts w:ascii="Arial" w:hAnsi="Arial" w:cs="Arial"/>
          <w:sz w:val="24"/>
          <w:szCs w:val="24"/>
        </w:rPr>
        <w:t>trend analysis</w:t>
      </w:r>
      <w:r w:rsidRPr="3EC2F802">
        <w:rPr>
          <w:rFonts w:ascii="Arial" w:hAnsi="Arial" w:cs="Arial"/>
          <w:sz w:val="24"/>
          <w:szCs w:val="24"/>
        </w:rPr>
        <w:t xml:space="preserve"> </w:t>
      </w:r>
      <w:r w:rsidR="00BD37BB">
        <w:rPr>
          <w:rFonts w:ascii="Arial" w:hAnsi="Arial" w:cs="Arial"/>
          <w:sz w:val="24"/>
          <w:szCs w:val="24"/>
        </w:rPr>
        <w:t xml:space="preserve">including the </w:t>
      </w:r>
      <w:r w:rsidRPr="3EC2F802">
        <w:rPr>
          <w:rFonts w:ascii="Arial" w:hAnsi="Arial" w:cs="Arial"/>
          <w:sz w:val="24"/>
          <w:szCs w:val="24"/>
        </w:rPr>
        <w:t>review of developments in town centre-based sectors and impacts of legislation/policy changes and proposed planning r</w:t>
      </w:r>
      <w:r w:rsidR="00BD37BB">
        <w:rPr>
          <w:rFonts w:ascii="Arial" w:hAnsi="Arial" w:cs="Arial"/>
          <w:sz w:val="24"/>
          <w:szCs w:val="24"/>
        </w:rPr>
        <w:t>eforms</w:t>
      </w:r>
      <w:r w:rsidR="00B71DEA" w:rsidRPr="3EC2F802">
        <w:rPr>
          <w:rFonts w:ascii="Arial" w:hAnsi="Arial" w:cs="Arial"/>
          <w:sz w:val="24"/>
          <w:szCs w:val="24"/>
        </w:rPr>
        <w:t>.</w:t>
      </w:r>
    </w:p>
    <w:p w14:paraId="302648C2"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Cs/>
          <w:iCs/>
          <w:sz w:val="24"/>
          <w:szCs w:val="24"/>
        </w:rPr>
      </w:pPr>
    </w:p>
    <w:p w14:paraId="7AB2032F" w14:textId="77777777" w:rsidR="00CD5794" w:rsidRPr="00CD5794" w:rsidRDefault="00CD5794" w:rsidP="00B54547">
      <w:pPr>
        <w:pStyle w:val="ListParagraph"/>
        <w:numPr>
          <w:ilvl w:val="0"/>
          <w:numId w:val="25"/>
        </w:numPr>
        <w:autoSpaceDE w:val="0"/>
        <w:autoSpaceDN w:val="0"/>
        <w:adjustRightInd w:val="0"/>
        <w:spacing w:after="0" w:line="240" w:lineRule="auto"/>
        <w:ind w:left="1440" w:hanging="720"/>
        <w:jc w:val="both"/>
        <w:rPr>
          <w:rFonts w:cs="Arial"/>
          <w:b/>
          <w:iCs/>
          <w:szCs w:val="24"/>
        </w:rPr>
      </w:pPr>
      <w:r w:rsidRPr="00CD5794">
        <w:rPr>
          <w:rFonts w:cs="Arial"/>
          <w:b/>
          <w:iCs/>
          <w:szCs w:val="24"/>
        </w:rPr>
        <w:t>Policy recommendations</w:t>
      </w:r>
    </w:p>
    <w:p w14:paraId="1A310A01"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
          <w:iCs/>
          <w:sz w:val="24"/>
          <w:szCs w:val="24"/>
        </w:rPr>
      </w:pPr>
    </w:p>
    <w:p w14:paraId="66597970" w14:textId="2554529C" w:rsidR="00CD5794" w:rsidRPr="00CD5794" w:rsidRDefault="00CD5794" w:rsidP="00B54547">
      <w:pPr>
        <w:autoSpaceDE w:val="0"/>
        <w:autoSpaceDN w:val="0"/>
        <w:adjustRightInd w:val="0"/>
        <w:spacing w:after="0" w:line="240" w:lineRule="auto"/>
        <w:ind w:left="1440"/>
        <w:jc w:val="both"/>
        <w:rPr>
          <w:rFonts w:ascii="Arial" w:hAnsi="Arial" w:cs="Arial"/>
          <w:sz w:val="24"/>
          <w:szCs w:val="24"/>
        </w:rPr>
      </w:pPr>
      <w:r w:rsidRPr="3EC2F802">
        <w:rPr>
          <w:rFonts w:ascii="Arial" w:hAnsi="Arial" w:cs="Arial"/>
          <w:sz w:val="24"/>
          <w:szCs w:val="24"/>
        </w:rPr>
        <w:t xml:space="preserve">Completion of </w:t>
      </w:r>
      <w:r w:rsidR="3C60A205" w:rsidRPr="3EC2F802">
        <w:rPr>
          <w:rFonts w:ascii="Arial" w:hAnsi="Arial" w:cs="Arial"/>
          <w:sz w:val="24"/>
          <w:szCs w:val="24"/>
        </w:rPr>
        <w:t>the policy recommendations</w:t>
      </w:r>
      <w:r w:rsidR="00BD37BB">
        <w:rPr>
          <w:rFonts w:ascii="Arial" w:hAnsi="Arial" w:cs="Arial"/>
          <w:sz w:val="24"/>
          <w:szCs w:val="24"/>
        </w:rPr>
        <w:t xml:space="preserve">, </w:t>
      </w:r>
      <w:r w:rsidRPr="3EC2F802">
        <w:rPr>
          <w:rFonts w:ascii="Arial" w:hAnsi="Arial" w:cs="Arial"/>
          <w:sz w:val="24"/>
          <w:szCs w:val="24"/>
        </w:rPr>
        <w:t>identifying opportunities and making recommendations</w:t>
      </w:r>
      <w:r w:rsidR="2C5500B0" w:rsidRPr="3EC2F802">
        <w:rPr>
          <w:rFonts w:ascii="Arial" w:hAnsi="Arial" w:cs="Arial"/>
          <w:sz w:val="24"/>
          <w:szCs w:val="24"/>
        </w:rPr>
        <w:t xml:space="preserve"> for the Strategic Plan and highlighting what Part 2 Plans will need to consider</w:t>
      </w:r>
      <w:r w:rsidR="00B71DEA" w:rsidRPr="3EC2F802">
        <w:rPr>
          <w:rFonts w:ascii="Arial" w:hAnsi="Arial" w:cs="Arial"/>
          <w:sz w:val="24"/>
          <w:szCs w:val="24"/>
        </w:rPr>
        <w:t>.</w:t>
      </w:r>
    </w:p>
    <w:p w14:paraId="1194BCEB" w14:textId="77777777" w:rsidR="00CD5794" w:rsidRPr="00CD5794" w:rsidRDefault="00CD5794" w:rsidP="00B54547">
      <w:pPr>
        <w:autoSpaceDE w:val="0"/>
        <w:autoSpaceDN w:val="0"/>
        <w:adjustRightInd w:val="0"/>
        <w:spacing w:after="0" w:line="240" w:lineRule="auto"/>
        <w:ind w:left="1440" w:hanging="720"/>
        <w:jc w:val="both"/>
        <w:rPr>
          <w:rFonts w:ascii="Arial" w:hAnsi="Arial" w:cs="Arial"/>
          <w:bCs/>
          <w:iCs/>
          <w:sz w:val="24"/>
          <w:szCs w:val="24"/>
        </w:rPr>
      </w:pPr>
    </w:p>
    <w:p w14:paraId="1220472F" w14:textId="1CA65792" w:rsidR="00CD5794" w:rsidRDefault="00DA33F3" w:rsidP="00B54547">
      <w:pPr>
        <w:pStyle w:val="ListParagraph"/>
        <w:numPr>
          <w:ilvl w:val="0"/>
          <w:numId w:val="25"/>
        </w:numPr>
        <w:autoSpaceDE w:val="0"/>
        <w:autoSpaceDN w:val="0"/>
        <w:adjustRightInd w:val="0"/>
        <w:spacing w:after="0" w:line="240" w:lineRule="auto"/>
        <w:ind w:left="1440" w:hanging="720"/>
        <w:jc w:val="both"/>
        <w:rPr>
          <w:rFonts w:cs="Arial"/>
          <w:b/>
          <w:iCs/>
          <w:szCs w:val="24"/>
        </w:rPr>
      </w:pPr>
      <w:r>
        <w:rPr>
          <w:rFonts w:cs="Arial"/>
          <w:b/>
          <w:iCs/>
          <w:szCs w:val="24"/>
        </w:rPr>
        <w:t>Draft Report</w:t>
      </w:r>
    </w:p>
    <w:p w14:paraId="347A3270" w14:textId="77777777" w:rsidR="00DA33F3" w:rsidRPr="00DA33F3" w:rsidRDefault="00DA33F3" w:rsidP="00B54547">
      <w:pPr>
        <w:autoSpaceDE w:val="0"/>
        <w:autoSpaceDN w:val="0"/>
        <w:adjustRightInd w:val="0"/>
        <w:spacing w:after="0" w:line="240" w:lineRule="auto"/>
        <w:ind w:left="720"/>
        <w:jc w:val="both"/>
        <w:rPr>
          <w:rFonts w:cs="Arial"/>
          <w:b/>
          <w:iCs/>
          <w:szCs w:val="24"/>
        </w:rPr>
      </w:pPr>
    </w:p>
    <w:p w14:paraId="5EB40483" w14:textId="79F60E43" w:rsidR="00BE6A2E" w:rsidRPr="00B71DEA" w:rsidRDefault="00BE6A2E" w:rsidP="00B54547">
      <w:pPr>
        <w:autoSpaceDE w:val="0"/>
        <w:autoSpaceDN w:val="0"/>
        <w:adjustRightInd w:val="0"/>
        <w:spacing w:after="0" w:line="240" w:lineRule="auto"/>
        <w:ind w:left="1440"/>
        <w:jc w:val="both"/>
        <w:rPr>
          <w:rFonts w:ascii="Arial" w:hAnsi="Arial" w:cs="Arial"/>
          <w:iCs/>
          <w:sz w:val="24"/>
          <w:szCs w:val="24"/>
        </w:rPr>
      </w:pPr>
      <w:r w:rsidRPr="00B71DEA">
        <w:rPr>
          <w:rFonts w:ascii="Arial" w:hAnsi="Arial" w:cs="Arial"/>
          <w:iCs/>
          <w:sz w:val="24"/>
          <w:szCs w:val="24"/>
        </w:rPr>
        <w:t xml:space="preserve">Teams Meeting </w:t>
      </w:r>
      <w:r w:rsidR="00B71DEA" w:rsidRPr="00B71DEA">
        <w:rPr>
          <w:rFonts w:ascii="Arial" w:hAnsi="Arial" w:cs="Arial"/>
          <w:iCs/>
          <w:sz w:val="24"/>
          <w:szCs w:val="24"/>
        </w:rPr>
        <w:t xml:space="preserve">with the </w:t>
      </w:r>
      <w:r w:rsidR="00AF3F59">
        <w:rPr>
          <w:rFonts w:ascii="Arial" w:hAnsi="Arial" w:cs="Arial"/>
          <w:iCs/>
          <w:sz w:val="24"/>
          <w:szCs w:val="24"/>
        </w:rPr>
        <w:t>Commissioning Group</w:t>
      </w:r>
      <w:r w:rsidR="00B71DEA" w:rsidRPr="00B71DEA">
        <w:rPr>
          <w:rFonts w:ascii="Arial" w:hAnsi="Arial" w:cs="Arial"/>
          <w:iCs/>
          <w:sz w:val="24"/>
          <w:szCs w:val="24"/>
        </w:rPr>
        <w:t xml:space="preserve"> to recap </w:t>
      </w:r>
      <w:r w:rsidRPr="00B71DEA">
        <w:rPr>
          <w:rFonts w:ascii="Arial" w:hAnsi="Arial" w:cs="Arial"/>
          <w:iCs/>
          <w:sz w:val="24"/>
          <w:szCs w:val="24"/>
        </w:rPr>
        <w:t xml:space="preserve">the main findings and conclusions of the quantitative assessment, </w:t>
      </w:r>
      <w:r w:rsidR="00B71DEA" w:rsidRPr="00B71DEA">
        <w:rPr>
          <w:rFonts w:ascii="Arial" w:hAnsi="Arial" w:cs="Arial"/>
          <w:iCs/>
          <w:sz w:val="24"/>
          <w:szCs w:val="24"/>
        </w:rPr>
        <w:t xml:space="preserve">discuss </w:t>
      </w:r>
      <w:r w:rsidRPr="00B71DEA">
        <w:rPr>
          <w:rFonts w:ascii="Arial" w:hAnsi="Arial" w:cs="Arial"/>
          <w:iCs/>
          <w:sz w:val="24"/>
          <w:szCs w:val="24"/>
        </w:rPr>
        <w:t xml:space="preserve">the review of trends and policy recommendations </w:t>
      </w:r>
      <w:r w:rsidR="00B71DEA" w:rsidRPr="00B71DEA">
        <w:rPr>
          <w:rFonts w:ascii="Arial" w:hAnsi="Arial" w:cs="Arial"/>
          <w:iCs/>
          <w:sz w:val="24"/>
          <w:szCs w:val="24"/>
        </w:rPr>
        <w:t>and agree the finalisation of the report.</w:t>
      </w:r>
    </w:p>
    <w:p w14:paraId="25F3CD61" w14:textId="1491415D" w:rsidR="00BE6A2E" w:rsidRDefault="00BE6A2E" w:rsidP="00B54547">
      <w:pPr>
        <w:autoSpaceDE w:val="0"/>
        <w:autoSpaceDN w:val="0"/>
        <w:adjustRightInd w:val="0"/>
        <w:spacing w:after="0" w:line="240" w:lineRule="auto"/>
        <w:ind w:left="720"/>
        <w:jc w:val="both"/>
        <w:rPr>
          <w:rFonts w:cs="Arial"/>
          <w:b/>
          <w:iCs/>
          <w:sz w:val="24"/>
          <w:szCs w:val="24"/>
        </w:rPr>
      </w:pPr>
    </w:p>
    <w:p w14:paraId="23855099" w14:textId="77777777" w:rsidR="00473BF2" w:rsidRPr="00B71DEA" w:rsidRDefault="00473BF2" w:rsidP="00B54547">
      <w:pPr>
        <w:autoSpaceDE w:val="0"/>
        <w:autoSpaceDN w:val="0"/>
        <w:adjustRightInd w:val="0"/>
        <w:spacing w:after="0" w:line="240" w:lineRule="auto"/>
        <w:ind w:left="720"/>
        <w:jc w:val="both"/>
        <w:rPr>
          <w:rFonts w:cs="Arial"/>
          <w:b/>
          <w:iCs/>
          <w:sz w:val="24"/>
          <w:szCs w:val="24"/>
        </w:rPr>
      </w:pPr>
    </w:p>
    <w:p w14:paraId="235D3CE9" w14:textId="42029514" w:rsidR="00BE6A2E" w:rsidRPr="00B71DEA" w:rsidRDefault="00BE6A2E" w:rsidP="00B54547">
      <w:pPr>
        <w:pStyle w:val="ListParagraph"/>
        <w:numPr>
          <w:ilvl w:val="0"/>
          <w:numId w:val="25"/>
        </w:numPr>
        <w:autoSpaceDE w:val="0"/>
        <w:autoSpaceDN w:val="0"/>
        <w:adjustRightInd w:val="0"/>
        <w:spacing w:after="0" w:line="240" w:lineRule="auto"/>
        <w:ind w:left="1440" w:hanging="720"/>
        <w:jc w:val="both"/>
        <w:rPr>
          <w:rFonts w:cs="Arial"/>
          <w:b/>
          <w:iCs/>
          <w:szCs w:val="24"/>
        </w:rPr>
      </w:pPr>
      <w:r w:rsidRPr="00B71DEA">
        <w:rPr>
          <w:rFonts w:cs="Arial"/>
          <w:b/>
          <w:iCs/>
          <w:szCs w:val="24"/>
        </w:rPr>
        <w:t>Final Report</w:t>
      </w:r>
    </w:p>
    <w:p w14:paraId="06D6E27C" w14:textId="3836CD24" w:rsidR="00B71DEA" w:rsidRPr="00B71DEA" w:rsidRDefault="00B71DEA" w:rsidP="00B54547">
      <w:pPr>
        <w:autoSpaceDE w:val="0"/>
        <w:autoSpaceDN w:val="0"/>
        <w:adjustRightInd w:val="0"/>
        <w:spacing w:after="0" w:line="240" w:lineRule="auto"/>
        <w:ind w:left="1440"/>
        <w:jc w:val="both"/>
        <w:rPr>
          <w:rFonts w:ascii="Arial" w:hAnsi="Arial" w:cs="Arial"/>
          <w:sz w:val="24"/>
          <w:szCs w:val="24"/>
        </w:rPr>
      </w:pPr>
      <w:r w:rsidRPr="598428D3">
        <w:rPr>
          <w:rFonts w:ascii="Arial" w:hAnsi="Arial" w:cs="Arial"/>
          <w:sz w:val="24"/>
          <w:szCs w:val="24"/>
        </w:rPr>
        <w:t>Final report to include an Executive Summary and a presentation</w:t>
      </w:r>
      <w:r w:rsidR="00DA33F3" w:rsidRPr="598428D3">
        <w:rPr>
          <w:rFonts w:ascii="Arial" w:hAnsi="Arial" w:cs="Arial"/>
          <w:sz w:val="24"/>
          <w:szCs w:val="24"/>
        </w:rPr>
        <w:t xml:space="preserve"> (virtual or face-to-face to be agreed)</w:t>
      </w:r>
      <w:r w:rsidRPr="598428D3">
        <w:rPr>
          <w:rFonts w:ascii="Arial" w:hAnsi="Arial" w:cs="Arial"/>
          <w:sz w:val="24"/>
          <w:szCs w:val="24"/>
        </w:rPr>
        <w:t xml:space="preserve"> to </w:t>
      </w:r>
      <w:r w:rsidR="4CA438C7" w:rsidRPr="598428D3">
        <w:rPr>
          <w:rFonts w:ascii="Arial" w:hAnsi="Arial" w:cs="Arial"/>
          <w:sz w:val="24"/>
          <w:szCs w:val="24"/>
        </w:rPr>
        <w:t xml:space="preserve">the </w:t>
      </w:r>
      <w:r w:rsidRPr="598428D3">
        <w:rPr>
          <w:rFonts w:ascii="Arial" w:hAnsi="Arial" w:cs="Arial"/>
          <w:sz w:val="24"/>
          <w:szCs w:val="24"/>
        </w:rPr>
        <w:t>Greater Nottingham Planning Officer Group</w:t>
      </w:r>
      <w:r w:rsidR="332CD678" w:rsidRPr="598428D3">
        <w:rPr>
          <w:rFonts w:ascii="Arial" w:hAnsi="Arial" w:cs="Arial"/>
          <w:sz w:val="24"/>
          <w:szCs w:val="24"/>
        </w:rPr>
        <w:t xml:space="preserve"> and/or the Joint Planning Advisory </w:t>
      </w:r>
      <w:r w:rsidR="00BD37BB">
        <w:rPr>
          <w:rFonts w:ascii="Arial" w:hAnsi="Arial" w:cs="Arial"/>
          <w:sz w:val="24"/>
          <w:szCs w:val="24"/>
        </w:rPr>
        <w:t>Board</w:t>
      </w:r>
      <w:r w:rsidRPr="598428D3">
        <w:rPr>
          <w:rFonts w:ascii="Arial" w:hAnsi="Arial" w:cs="Arial"/>
          <w:sz w:val="24"/>
          <w:szCs w:val="24"/>
        </w:rPr>
        <w:t>.</w:t>
      </w:r>
    </w:p>
    <w:p w14:paraId="19576827" w14:textId="77777777" w:rsidR="00B71DEA" w:rsidRPr="00CD5794" w:rsidRDefault="00B71DEA" w:rsidP="00B54547">
      <w:pPr>
        <w:pStyle w:val="ListParagraph"/>
        <w:autoSpaceDE w:val="0"/>
        <w:autoSpaceDN w:val="0"/>
        <w:adjustRightInd w:val="0"/>
        <w:spacing w:after="0" w:line="240" w:lineRule="auto"/>
        <w:ind w:left="1440"/>
        <w:jc w:val="both"/>
        <w:rPr>
          <w:rFonts w:cs="Arial"/>
          <w:b/>
          <w:iCs/>
          <w:szCs w:val="24"/>
        </w:rPr>
      </w:pPr>
    </w:p>
    <w:p w14:paraId="7B57984F" w14:textId="77777777" w:rsidR="00CD5794" w:rsidRPr="00CD5794" w:rsidRDefault="00CD5794" w:rsidP="00B54547">
      <w:pPr>
        <w:autoSpaceDE w:val="0"/>
        <w:autoSpaceDN w:val="0"/>
        <w:adjustRightInd w:val="0"/>
        <w:spacing w:after="0" w:line="240" w:lineRule="auto"/>
        <w:jc w:val="both"/>
        <w:rPr>
          <w:rFonts w:ascii="Arial" w:hAnsi="Arial" w:cs="Arial"/>
          <w:b/>
          <w:iCs/>
          <w:sz w:val="24"/>
          <w:szCs w:val="24"/>
        </w:rPr>
      </w:pPr>
    </w:p>
    <w:p w14:paraId="0B7F221F" w14:textId="29691223" w:rsidR="00CD5794" w:rsidRPr="00CD5794" w:rsidRDefault="000C3E6C" w:rsidP="00B54547">
      <w:pPr>
        <w:pStyle w:val="Heading1"/>
        <w:spacing w:before="0" w:line="240" w:lineRule="auto"/>
        <w:ind w:left="720" w:hanging="720"/>
        <w:jc w:val="both"/>
      </w:pPr>
      <w:bookmarkStart w:id="12" w:name="_Toc138837830"/>
      <w:r>
        <w:t>Reporting a</w:t>
      </w:r>
      <w:r w:rsidR="00CD5794" w:rsidRPr="00CD5794">
        <w:t>nd Deliverables</w:t>
      </w:r>
      <w:bookmarkEnd w:id="12"/>
    </w:p>
    <w:p w14:paraId="3F8B3CB9" w14:textId="77777777" w:rsidR="00CD5794" w:rsidRDefault="00CD5794" w:rsidP="00B54547">
      <w:pPr>
        <w:spacing w:after="0" w:line="240" w:lineRule="auto"/>
        <w:jc w:val="both"/>
        <w:rPr>
          <w:rFonts w:ascii="Arial" w:hAnsi="Arial" w:cs="Arial"/>
          <w:sz w:val="24"/>
          <w:szCs w:val="24"/>
        </w:rPr>
      </w:pPr>
    </w:p>
    <w:p w14:paraId="434F7B65" w14:textId="1E5C05DF" w:rsidR="00CD5794" w:rsidRPr="00CD5794" w:rsidRDefault="00CD5794" w:rsidP="00B54547">
      <w:pPr>
        <w:spacing w:after="0" w:line="240" w:lineRule="auto"/>
        <w:ind w:left="720"/>
        <w:jc w:val="both"/>
        <w:rPr>
          <w:rFonts w:ascii="Arial" w:hAnsi="Arial" w:cs="Arial"/>
          <w:sz w:val="24"/>
          <w:szCs w:val="24"/>
        </w:rPr>
      </w:pPr>
      <w:r w:rsidRPr="598428D3">
        <w:rPr>
          <w:rFonts w:ascii="Arial" w:hAnsi="Arial" w:cs="Arial"/>
          <w:sz w:val="24"/>
          <w:szCs w:val="24"/>
        </w:rPr>
        <w:t xml:space="preserve">The study and its constituent elements will be the copyright of the Greater Nottingham authorities commissioning this work. It will be published on the Greater Nottingham </w:t>
      </w:r>
      <w:r w:rsidR="530ACF2B" w:rsidRPr="598428D3">
        <w:rPr>
          <w:rFonts w:ascii="Arial" w:hAnsi="Arial" w:cs="Arial"/>
          <w:sz w:val="24"/>
          <w:szCs w:val="24"/>
        </w:rPr>
        <w:t>Planning Partnership</w:t>
      </w:r>
      <w:r w:rsidRPr="598428D3">
        <w:rPr>
          <w:rFonts w:ascii="Arial" w:hAnsi="Arial" w:cs="Arial"/>
          <w:sz w:val="24"/>
          <w:szCs w:val="24"/>
        </w:rPr>
        <w:t xml:space="preserve"> website and should be prepared with this in mind.</w:t>
      </w:r>
    </w:p>
    <w:p w14:paraId="5B3DA54F" w14:textId="53205F2E"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598428D3">
        <w:rPr>
          <w:rFonts w:ascii="Arial" w:hAnsi="Arial" w:cs="Arial"/>
          <w:sz w:val="24"/>
          <w:szCs w:val="24"/>
        </w:rPr>
        <w:t xml:space="preserve">A </w:t>
      </w:r>
      <w:proofErr w:type="spellStart"/>
      <w:r w:rsidRPr="598428D3">
        <w:rPr>
          <w:rFonts w:ascii="Arial" w:hAnsi="Arial" w:cs="Arial"/>
          <w:sz w:val="24"/>
          <w:szCs w:val="24"/>
        </w:rPr>
        <w:t>Powerpoint</w:t>
      </w:r>
      <w:proofErr w:type="spellEnd"/>
      <w:r w:rsidRPr="598428D3">
        <w:rPr>
          <w:rFonts w:ascii="Arial" w:hAnsi="Arial" w:cs="Arial"/>
          <w:sz w:val="24"/>
          <w:szCs w:val="24"/>
        </w:rPr>
        <w:t xml:space="preserve"> presentation of the study findings to an appropriate grouping</w:t>
      </w:r>
      <w:r w:rsidR="0B491DF9" w:rsidRPr="598428D3">
        <w:rPr>
          <w:rFonts w:ascii="Arial" w:hAnsi="Arial" w:cs="Arial"/>
          <w:b/>
          <w:bCs/>
          <w:sz w:val="24"/>
          <w:szCs w:val="24"/>
        </w:rPr>
        <w:t xml:space="preserve"> </w:t>
      </w:r>
      <w:r w:rsidR="00BD37BB" w:rsidRPr="00BD37BB">
        <w:rPr>
          <w:rFonts w:ascii="Arial" w:hAnsi="Arial" w:cs="Arial"/>
          <w:bCs/>
          <w:sz w:val="24"/>
          <w:szCs w:val="24"/>
        </w:rPr>
        <w:t>i.e.</w:t>
      </w:r>
      <w:r w:rsidR="00BD37BB">
        <w:rPr>
          <w:rFonts w:ascii="Arial" w:hAnsi="Arial" w:cs="Arial"/>
          <w:b/>
          <w:bCs/>
          <w:sz w:val="24"/>
          <w:szCs w:val="24"/>
        </w:rPr>
        <w:t xml:space="preserve"> </w:t>
      </w:r>
      <w:r w:rsidR="0B491DF9" w:rsidRPr="598428D3">
        <w:rPr>
          <w:rFonts w:ascii="Arial" w:hAnsi="Arial" w:cs="Arial"/>
          <w:sz w:val="24"/>
          <w:szCs w:val="24"/>
        </w:rPr>
        <w:t xml:space="preserve">the Greater Nottingham Planning Officer Group and/or the Joint Planning Advisory </w:t>
      </w:r>
      <w:r w:rsidR="00BD37BB">
        <w:rPr>
          <w:rFonts w:ascii="Arial" w:hAnsi="Arial" w:cs="Arial"/>
          <w:sz w:val="24"/>
          <w:szCs w:val="24"/>
        </w:rPr>
        <w:t>Board</w:t>
      </w:r>
      <w:r w:rsidR="0B491DF9" w:rsidRPr="598428D3">
        <w:rPr>
          <w:rFonts w:ascii="Arial" w:hAnsi="Arial" w:cs="Arial"/>
          <w:sz w:val="24"/>
          <w:szCs w:val="24"/>
        </w:rPr>
        <w:t xml:space="preserve"> </w:t>
      </w:r>
      <w:r w:rsidRPr="598428D3">
        <w:rPr>
          <w:rFonts w:ascii="Arial" w:hAnsi="Arial" w:cs="Arial"/>
          <w:sz w:val="24"/>
          <w:szCs w:val="24"/>
        </w:rPr>
        <w:t xml:space="preserve">– to be </w:t>
      </w:r>
      <w:r w:rsidR="00DA33F3" w:rsidRPr="598428D3">
        <w:rPr>
          <w:rFonts w:ascii="Arial" w:hAnsi="Arial" w:cs="Arial"/>
          <w:sz w:val="24"/>
          <w:szCs w:val="24"/>
        </w:rPr>
        <w:t>agreed by the Commissioning Group</w:t>
      </w:r>
      <w:r w:rsidRPr="598428D3">
        <w:rPr>
          <w:rFonts w:ascii="Arial" w:hAnsi="Arial" w:cs="Arial"/>
          <w:sz w:val="24"/>
          <w:szCs w:val="24"/>
        </w:rPr>
        <w:t>;</w:t>
      </w:r>
    </w:p>
    <w:p w14:paraId="66FBBCCF"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 xml:space="preserve">Production of a first draft report. This to be available in an electronic Word format; </w:t>
      </w:r>
    </w:p>
    <w:p w14:paraId="46FCB02C" w14:textId="7CBDC541" w:rsidR="00DA33F3" w:rsidRDefault="00CD5794" w:rsidP="00B54547">
      <w:pPr>
        <w:numPr>
          <w:ilvl w:val="0"/>
          <w:numId w:val="26"/>
        </w:numPr>
        <w:spacing w:after="0" w:line="240" w:lineRule="auto"/>
        <w:ind w:hanging="361"/>
        <w:contextualSpacing/>
        <w:jc w:val="both"/>
        <w:rPr>
          <w:rFonts w:ascii="Arial" w:hAnsi="Arial" w:cs="Arial"/>
          <w:sz w:val="24"/>
          <w:szCs w:val="24"/>
        </w:rPr>
      </w:pPr>
      <w:r w:rsidRPr="3EC2F802">
        <w:rPr>
          <w:rFonts w:ascii="Arial" w:hAnsi="Arial" w:cs="Arial"/>
          <w:sz w:val="24"/>
          <w:szCs w:val="24"/>
        </w:rPr>
        <w:t>At least 3 meetings (using Microsoft Teams if virt</w:t>
      </w:r>
      <w:r w:rsidR="00B71DEA" w:rsidRPr="3EC2F802">
        <w:rPr>
          <w:rFonts w:ascii="Arial" w:hAnsi="Arial" w:cs="Arial"/>
          <w:sz w:val="24"/>
          <w:szCs w:val="24"/>
        </w:rPr>
        <w:t>ual) with the Commissioning Group</w:t>
      </w:r>
      <w:r w:rsidRPr="3EC2F802">
        <w:rPr>
          <w:rFonts w:ascii="Arial" w:hAnsi="Arial" w:cs="Arial"/>
          <w:sz w:val="24"/>
          <w:szCs w:val="24"/>
        </w:rPr>
        <w:t xml:space="preserve"> – at inception, </w:t>
      </w:r>
      <w:r w:rsidR="00DA33F3" w:rsidRPr="3EC2F802">
        <w:rPr>
          <w:rFonts w:ascii="Arial" w:hAnsi="Arial" w:cs="Arial"/>
          <w:sz w:val="24"/>
          <w:szCs w:val="24"/>
        </w:rPr>
        <w:t xml:space="preserve">concluding the quantitative assessment and </w:t>
      </w:r>
      <w:r w:rsidRPr="3EC2F802">
        <w:rPr>
          <w:rFonts w:ascii="Arial" w:hAnsi="Arial" w:cs="Arial"/>
          <w:sz w:val="24"/>
          <w:szCs w:val="24"/>
        </w:rPr>
        <w:t xml:space="preserve">draft report </w:t>
      </w:r>
      <w:r w:rsidR="00DA33F3" w:rsidRPr="3EC2F802">
        <w:rPr>
          <w:rFonts w:ascii="Arial" w:hAnsi="Arial" w:cs="Arial"/>
          <w:sz w:val="24"/>
          <w:szCs w:val="24"/>
        </w:rPr>
        <w:t xml:space="preserve">stages. The Inception meeting </w:t>
      </w:r>
      <w:r w:rsidRPr="3EC2F802">
        <w:rPr>
          <w:rFonts w:ascii="Arial" w:hAnsi="Arial" w:cs="Arial"/>
          <w:sz w:val="24"/>
          <w:szCs w:val="24"/>
        </w:rPr>
        <w:t>and presentation of final findings</w:t>
      </w:r>
      <w:r w:rsidR="00DA33F3" w:rsidRPr="3EC2F802">
        <w:rPr>
          <w:rFonts w:ascii="Arial" w:hAnsi="Arial" w:cs="Arial"/>
          <w:sz w:val="24"/>
          <w:szCs w:val="24"/>
        </w:rPr>
        <w:t xml:space="preserve"> will be virtual or face-to-face according to availability of officers and timings.</w:t>
      </w:r>
    </w:p>
    <w:p w14:paraId="62874DBA" w14:textId="2EBE1D38" w:rsidR="00CD5794" w:rsidRPr="00CD5794" w:rsidRDefault="00DA33F3" w:rsidP="00B54547">
      <w:pPr>
        <w:numPr>
          <w:ilvl w:val="0"/>
          <w:numId w:val="26"/>
        </w:numPr>
        <w:spacing w:after="0" w:line="240" w:lineRule="auto"/>
        <w:ind w:hanging="361"/>
        <w:contextualSpacing/>
        <w:jc w:val="both"/>
        <w:rPr>
          <w:rFonts w:ascii="Arial" w:hAnsi="Arial" w:cs="Arial"/>
          <w:sz w:val="24"/>
          <w:szCs w:val="24"/>
        </w:rPr>
      </w:pPr>
      <w:r>
        <w:rPr>
          <w:rFonts w:ascii="Arial" w:hAnsi="Arial" w:cs="Arial"/>
          <w:sz w:val="24"/>
          <w:szCs w:val="24"/>
        </w:rPr>
        <w:t>A</w:t>
      </w:r>
      <w:r w:rsidR="00CD5794" w:rsidRPr="00CD5794">
        <w:rPr>
          <w:rFonts w:ascii="Arial" w:hAnsi="Arial" w:cs="Arial"/>
          <w:sz w:val="24"/>
          <w:szCs w:val="24"/>
        </w:rPr>
        <w:t xml:space="preserve"> fortnightly e-mail providing a project update;</w:t>
      </w:r>
    </w:p>
    <w:p w14:paraId="7BBDD46C"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 readily accessible single point of contact from the consultant team accessible to any of the partner authorities;</w:t>
      </w:r>
    </w:p>
    <w:p w14:paraId="43A4304F" w14:textId="17584996" w:rsidR="00BD37BB" w:rsidRDefault="00CD5794" w:rsidP="00B54547">
      <w:pPr>
        <w:numPr>
          <w:ilvl w:val="0"/>
          <w:numId w:val="26"/>
        </w:numPr>
        <w:spacing w:after="0" w:line="240" w:lineRule="auto"/>
        <w:contextualSpacing/>
        <w:jc w:val="both"/>
        <w:rPr>
          <w:rFonts w:ascii="Arial" w:hAnsi="Arial" w:cs="Arial"/>
          <w:sz w:val="24"/>
          <w:szCs w:val="24"/>
        </w:rPr>
      </w:pPr>
      <w:r w:rsidRPr="62A2BB40">
        <w:rPr>
          <w:rFonts w:ascii="Arial" w:hAnsi="Arial" w:cs="Arial"/>
          <w:sz w:val="24"/>
          <w:szCs w:val="24"/>
        </w:rPr>
        <w:t>Electronic copies of final report (including an Executive Summary) and all appendices in a Word format</w:t>
      </w:r>
      <w:r w:rsidR="32CD76C5" w:rsidRPr="62A2BB40">
        <w:rPr>
          <w:rFonts w:ascii="Arial" w:hAnsi="Arial" w:cs="Arial"/>
          <w:sz w:val="24"/>
          <w:szCs w:val="24"/>
        </w:rPr>
        <w:t>.</w:t>
      </w:r>
      <w:r w:rsidRPr="62A2BB40">
        <w:rPr>
          <w:rFonts w:ascii="Arial" w:hAnsi="Arial" w:cs="Arial"/>
          <w:sz w:val="24"/>
          <w:szCs w:val="24"/>
        </w:rPr>
        <w:t xml:space="preserve"> The final report to include evidence, assessment and conclusions</w:t>
      </w:r>
      <w:r w:rsidR="00BD37BB">
        <w:rPr>
          <w:rFonts w:ascii="Arial" w:hAnsi="Arial" w:cs="Arial"/>
          <w:sz w:val="24"/>
          <w:szCs w:val="24"/>
        </w:rPr>
        <w:t xml:space="preserve">. </w:t>
      </w:r>
      <w:r w:rsidR="00BD37BB" w:rsidRPr="00CD5794">
        <w:rPr>
          <w:rFonts w:ascii="Arial" w:hAnsi="Arial" w:cs="Arial"/>
          <w:sz w:val="24"/>
          <w:szCs w:val="24"/>
        </w:rPr>
        <w:t>For clarity, findings or recommendations with a</w:t>
      </w:r>
      <w:r w:rsidR="00BD37BB">
        <w:rPr>
          <w:rFonts w:ascii="Arial" w:hAnsi="Arial" w:cs="Arial"/>
          <w:sz w:val="24"/>
          <w:szCs w:val="24"/>
        </w:rPr>
        <w:t xml:space="preserve"> </w:t>
      </w:r>
      <w:r w:rsidR="00BD37BB" w:rsidRPr="00CE25D6">
        <w:rPr>
          <w:rFonts w:ascii="Arial" w:hAnsi="Arial" w:cs="Arial"/>
          <w:sz w:val="24"/>
          <w:szCs w:val="24"/>
        </w:rPr>
        <w:t xml:space="preserve">with particular relevance to a specific </w:t>
      </w:r>
      <w:r w:rsidR="002A2F51">
        <w:rPr>
          <w:rFonts w:ascii="Arial" w:hAnsi="Arial" w:cs="Arial"/>
          <w:sz w:val="24"/>
          <w:szCs w:val="24"/>
        </w:rPr>
        <w:t xml:space="preserve">Council </w:t>
      </w:r>
      <w:r w:rsidR="009526CC">
        <w:rPr>
          <w:rFonts w:ascii="Arial" w:hAnsi="Arial" w:cs="Arial"/>
          <w:sz w:val="24"/>
          <w:szCs w:val="24"/>
        </w:rPr>
        <w:t>should be clearly stated;</w:t>
      </w:r>
    </w:p>
    <w:p w14:paraId="3C8B3D1A" w14:textId="3710E9B4" w:rsidR="00CD5794" w:rsidRPr="00CD5794" w:rsidRDefault="00BD37BB" w:rsidP="00B54547">
      <w:pPr>
        <w:numPr>
          <w:ilvl w:val="0"/>
          <w:numId w:val="26"/>
        </w:numPr>
        <w:spacing w:after="0" w:line="240" w:lineRule="auto"/>
        <w:ind w:hanging="361"/>
        <w:contextualSpacing/>
        <w:jc w:val="both"/>
        <w:rPr>
          <w:rFonts w:ascii="Arial" w:hAnsi="Arial" w:cs="Arial"/>
          <w:sz w:val="24"/>
          <w:szCs w:val="24"/>
        </w:rPr>
      </w:pPr>
      <w:r>
        <w:rPr>
          <w:rFonts w:ascii="Arial" w:hAnsi="Arial" w:cs="Arial"/>
          <w:sz w:val="24"/>
          <w:szCs w:val="24"/>
        </w:rPr>
        <w:t>T</w:t>
      </w:r>
      <w:r w:rsidRPr="00CD5794">
        <w:rPr>
          <w:rFonts w:ascii="Arial" w:hAnsi="Arial" w:cs="Arial"/>
          <w:sz w:val="24"/>
          <w:szCs w:val="24"/>
        </w:rPr>
        <w:t>he final report sh</w:t>
      </w:r>
      <w:r>
        <w:rPr>
          <w:rFonts w:ascii="Arial" w:hAnsi="Arial" w:cs="Arial"/>
          <w:sz w:val="24"/>
          <w:szCs w:val="24"/>
        </w:rPr>
        <w:t xml:space="preserve">ould be in an accessible format, in accordance with the </w:t>
      </w:r>
      <w:hyperlink r:id="rId21" w:history="1">
        <w:r w:rsidRPr="00525DF3">
          <w:rPr>
            <w:rStyle w:val="Hyperlink"/>
            <w:rFonts w:ascii="Arial" w:hAnsi="Arial" w:cs="Arial"/>
            <w:sz w:val="24"/>
            <w:szCs w:val="24"/>
          </w:rPr>
          <w:t>Government’s accessibility guidance</w:t>
        </w:r>
      </w:hyperlink>
      <w:r>
        <w:rPr>
          <w:rFonts w:ascii="Arial" w:hAnsi="Arial" w:cs="Arial"/>
          <w:sz w:val="24"/>
          <w:szCs w:val="24"/>
        </w:rPr>
        <w:t xml:space="preserve"> </w:t>
      </w:r>
      <w:r w:rsidRPr="00CD5794">
        <w:rPr>
          <w:rFonts w:ascii="Arial" w:hAnsi="Arial" w:cs="Arial"/>
          <w:sz w:val="24"/>
          <w:szCs w:val="24"/>
        </w:rPr>
        <w:t>(format to be agreed with the commissioning body</w:t>
      </w:r>
      <w:r>
        <w:rPr>
          <w:rFonts w:ascii="Arial" w:hAnsi="Arial" w:cs="Arial"/>
          <w:sz w:val="24"/>
          <w:szCs w:val="24"/>
        </w:rPr>
        <w:t>)</w:t>
      </w:r>
      <w:r w:rsidRPr="00CD5794">
        <w:rPr>
          <w:rFonts w:ascii="Arial" w:hAnsi="Arial" w:cs="Arial"/>
          <w:sz w:val="24"/>
          <w:szCs w:val="24"/>
        </w:rPr>
        <w:t>;</w:t>
      </w:r>
    </w:p>
    <w:p w14:paraId="10B9CC78" w14:textId="47358FCF" w:rsidR="00CD5794" w:rsidRPr="00B54547" w:rsidRDefault="00CD5794" w:rsidP="00B54547">
      <w:pPr>
        <w:numPr>
          <w:ilvl w:val="0"/>
          <w:numId w:val="26"/>
        </w:numPr>
        <w:spacing w:after="0" w:line="240" w:lineRule="auto"/>
        <w:ind w:hanging="361"/>
        <w:contextualSpacing/>
        <w:jc w:val="both"/>
        <w:rPr>
          <w:rFonts w:ascii="Arial" w:hAnsi="Arial" w:cs="Arial"/>
          <w:sz w:val="24"/>
          <w:szCs w:val="24"/>
        </w:rPr>
      </w:pPr>
      <w:r w:rsidRPr="3EC2F802">
        <w:rPr>
          <w:rFonts w:ascii="Arial" w:hAnsi="Arial" w:cs="Arial"/>
          <w:sz w:val="24"/>
          <w:szCs w:val="24"/>
        </w:rPr>
        <w:t>Any raw data files including mapped data should be made available in a format</w:t>
      </w:r>
      <w:r w:rsidR="2F812F55" w:rsidRPr="3EC2F802">
        <w:rPr>
          <w:rFonts w:ascii="Arial" w:hAnsi="Arial" w:cs="Arial"/>
          <w:sz w:val="24"/>
          <w:szCs w:val="24"/>
        </w:rPr>
        <w:t xml:space="preserve"> agre</w:t>
      </w:r>
      <w:r w:rsidR="009526CC">
        <w:rPr>
          <w:rFonts w:ascii="Arial" w:hAnsi="Arial" w:cs="Arial"/>
          <w:sz w:val="24"/>
          <w:szCs w:val="24"/>
        </w:rPr>
        <w:t>ed with the Commissioning Group</w:t>
      </w:r>
      <w:r w:rsidRPr="00B54547">
        <w:rPr>
          <w:rFonts w:ascii="Arial" w:hAnsi="Arial" w:cs="Arial"/>
          <w:sz w:val="24"/>
          <w:szCs w:val="24"/>
        </w:rPr>
        <w:t xml:space="preserve">.  </w:t>
      </w:r>
    </w:p>
    <w:p w14:paraId="42E5D470" w14:textId="77777777" w:rsidR="00CD5794" w:rsidRPr="00CD5794" w:rsidRDefault="00CD5794" w:rsidP="00B54547">
      <w:pPr>
        <w:spacing w:after="0" w:line="240" w:lineRule="auto"/>
        <w:ind w:left="1495"/>
        <w:contextualSpacing/>
        <w:jc w:val="both"/>
        <w:rPr>
          <w:rFonts w:ascii="Arial" w:hAnsi="Arial" w:cs="Arial"/>
          <w:sz w:val="24"/>
          <w:szCs w:val="24"/>
        </w:rPr>
      </w:pPr>
    </w:p>
    <w:p w14:paraId="0613930D" w14:textId="48FA158E" w:rsidR="00CD5794" w:rsidRDefault="00CD5794" w:rsidP="00B54547">
      <w:pPr>
        <w:spacing w:after="0" w:line="240" w:lineRule="auto"/>
        <w:ind w:firstLine="720"/>
        <w:jc w:val="both"/>
        <w:rPr>
          <w:rFonts w:ascii="Arial" w:hAnsi="Arial" w:cs="Arial"/>
          <w:sz w:val="24"/>
          <w:szCs w:val="24"/>
        </w:rPr>
      </w:pPr>
      <w:r w:rsidRPr="00CD5794">
        <w:rPr>
          <w:rFonts w:ascii="Arial" w:hAnsi="Arial" w:cs="Arial"/>
          <w:sz w:val="24"/>
          <w:szCs w:val="24"/>
        </w:rPr>
        <w:t>The consultant team will be expected to demonstrate:</w:t>
      </w:r>
    </w:p>
    <w:p w14:paraId="3D19CD37" w14:textId="77777777" w:rsidR="00B54547" w:rsidRPr="00CD5794" w:rsidRDefault="00B54547" w:rsidP="00B54547">
      <w:pPr>
        <w:spacing w:after="0" w:line="240" w:lineRule="auto"/>
        <w:ind w:firstLine="720"/>
        <w:jc w:val="both"/>
        <w:rPr>
          <w:rFonts w:ascii="Arial" w:hAnsi="Arial" w:cs="Arial"/>
          <w:sz w:val="24"/>
          <w:szCs w:val="24"/>
        </w:rPr>
      </w:pPr>
    </w:p>
    <w:p w14:paraId="37FCFC57" w14:textId="7B022D19"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An appreciation of the National Planning Policy Framework and Permitted Development/Use Classes Order rights and the implic</w:t>
      </w:r>
      <w:r w:rsidR="00CB6960">
        <w:rPr>
          <w:rFonts w:ascii="Arial" w:hAnsi="Arial" w:cs="Arial"/>
          <w:sz w:val="24"/>
          <w:szCs w:val="24"/>
        </w:rPr>
        <w:t xml:space="preserve">ations around planning for </w:t>
      </w:r>
      <w:r w:rsidRPr="00CD5794">
        <w:rPr>
          <w:rFonts w:ascii="Arial" w:hAnsi="Arial" w:cs="Arial"/>
          <w:sz w:val="24"/>
          <w:szCs w:val="24"/>
        </w:rPr>
        <w:t xml:space="preserve">centres, and an awareness of </w:t>
      </w:r>
      <w:r w:rsidR="00525DF3">
        <w:rPr>
          <w:rFonts w:ascii="Arial" w:hAnsi="Arial" w:cs="Arial"/>
          <w:sz w:val="24"/>
          <w:szCs w:val="24"/>
        </w:rPr>
        <w:t xml:space="preserve">any </w:t>
      </w:r>
      <w:r w:rsidRPr="00CD5794">
        <w:rPr>
          <w:rFonts w:ascii="Arial" w:hAnsi="Arial" w:cs="Arial"/>
          <w:sz w:val="24"/>
          <w:szCs w:val="24"/>
        </w:rPr>
        <w:t>forthcoming amendments to these;</w:t>
      </w:r>
    </w:p>
    <w:p w14:paraId="7F696C4B"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An understanding of relevant national planning practice guidance as well as best practice for such work;</w:t>
      </w:r>
    </w:p>
    <w:p w14:paraId="0A6C7F85"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The ability to analyse data and generate robust economic forecasts;</w:t>
      </w:r>
    </w:p>
    <w:p w14:paraId="5ABE504F"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lastRenderedPageBreak/>
        <w:t>An understanding of issues around quantitative and qualitative assessment for main town centre uses;</w:t>
      </w:r>
    </w:p>
    <w:p w14:paraId="521BD36B"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 track record of having successfully engaged with key stakeholders;</w:t>
      </w:r>
    </w:p>
    <w:p w14:paraId="108A9F38"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 track record of undertaking such studies which have been considered robust at Examination;</w:t>
      </w:r>
    </w:p>
    <w:p w14:paraId="310AD7AC"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Effective primary data collection methods;</w:t>
      </w:r>
    </w:p>
    <w:p w14:paraId="0800C165"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Strong project management skills with a history of delivering projects on time and within agreed budgets; and</w:t>
      </w:r>
    </w:p>
    <w:p w14:paraId="2008065A" w14:textId="77777777" w:rsidR="00CD5794" w:rsidRPr="00CD5794" w:rsidRDefault="00CD5794" w:rsidP="00B54547">
      <w:pPr>
        <w:numPr>
          <w:ilvl w:val="0"/>
          <w:numId w:val="26"/>
        </w:numPr>
        <w:spacing w:after="0" w:line="240" w:lineRule="auto"/>
        <w:ind w:hanging="361"/>
        <w:contextualSpacing/>
        <w:jc w:val="both"/>
        <w:rPr>
          <w:rFonts w:ascii="Arial" w:hAnsi="Arial" w:cs="Arial"/>
          <w:sz w:val="24"/>
          <w:szCs w:val="24"/>
        </w:rPr>
      </w:pPr>
      <w:r w:rsidRPr="00CD5794">
        <w:rPr>
          <w:rFonts w:ascii="Arial" w:hAnsi="Arial" w:cs="Arial"/>
          <w:sz w:val="24"/>
          <w:szCs w:val="24"/>
        </w:rPr>
        <w:t>A robust approach to Risk Management.</w:t>
      </w:r>
    </w:p>
    <w:p w14:paraId="6EE8692F" w14:textId="77777777" w:rsidR="00CD5794" w:rsidRPr="00CD5794" w:rsidRDefault="00CD5794" w:rsidP="00B54547">
      <w:pPr>
        <w:spacing w:after="0" w:line="240" w:lineRule="auto"/>
        <w:ind w:left="729"/>
        <w:contextualSpacing/>
        <w:jc w:val="both"/>
        <w:rPr>
          <w:rFonts w:ascii="Arial" w:hAnsi="Arial" w:cs="Arial"/>
          <w:sz w:val="24"/>
          <w:szCs w:val="24"/>
        </w:rPr>
      </w:pPr>
    </w:p>
    <w:p w14:paraId="30881CFF" w14:textId="3D10347B" w:rsidR="00CD5794" w:rsidRPr="00CD5794" w:rsidRDefault="002A2F51" w:rsidP="00B54547">
      <w:pPr>
        <w:pStyle w:val="Heading1"/>
        <w:spacing w:before="0" w:line="240" w:lineRule="auto"/>
        <w:ind w:left="720" w:hanging="630"/>
        <w:jc w:val="both"/>
        <w:rPr>
          <w:rStyle w:val="Heading1Char"/>
          <w:rFonts w:cs="Arial"/>
          <w:b/>
          <w:szCs w:val="24"/>
        </w:rPr>
      </w:pPr>
      <w:bookmarkStart w:id="13" w:name="_Toc128996084"/>
      <w:bookmarkStart w:id="14" w:name="_Toc138837831"/>
      <w:r>
        <w:rPr>
          <w:rStyle w:val="Heading1Char"/>
          <w:rFonts w:cs="Arial"/>
          <w:b/>
          <w:szCs w:val="24"/>
        </w:rPr>
        <w:t xml:space="preserve">Contract and </w:t>
      </w:r>
      <w:r w:rsidR="00CD5794" w:rsidRPr="00CD5794">
        <w:rPr>
          <w:rStyle w:val="Heading1Char"/>
          <w:rFonts w:cs="Arial"/>
          <w:b/>
          <w:szCs w:val="24"/>
        </w:rPr>
        <w:t>Working Arrangements</w:t>
      </w:r>
      <w:bookmarkEnd w:id="13"/>
      <w:bookmarkEnd w:id="14"/>
    </w:p>
    <w:p w14:paraId="70CD2B17" w14:textId="77777777" w:rsidR="00CD5794" w:rsidRPr="00CD5794" w:rsidRDefault="00CD5794" w:rsidP="00B54547">
      <w:pPr>
        <w:spacing w:after="0" w:line="240" w:lineRule="auto"/>
        <w:jc w:val="both"/>
        <w:rPr>
          <w:rFonts w:ascii="Arial" w:hAnsi="Arial" w:cs="Arial"/>
          <w:sz w:val="24"/>
          <w:szCs w:val="24"/>
        </w:rPr>
      </w:pPr>
    </w:p>
    <w:p w14:paraId="25E5E952" w14:textId="03091930" w:rsidR="002A2F51" w:rsidRDefault="002A2F51" w:rsidP="00B54547">
      <w:pPr>
        <w:autoSpaceDE w:val="0"/>
        <w:autoSpaceDN w:val="0"/>
        <w:adjustRightInd w:val="0"/>
        <w:spacing w:after="0" w:line="240" w:lineRule="auto"/>
        <w:ind w:left="709"/>
        <w:jc w:val="both"/>
        <w:rPr>
          <w:rFonts w:ascii="Arial" w:eastAsia="Times New Roman" w:hAnsi="Arial" w:cs="Arial"/>
          <w:sz w:val="24"/>
          <w:szCs w:val="24"/>
          <w:lang w:eastAsia="en-GB"/>
        </w:rPr>
      </w:pPr>
      <w:r>
        <w:rPr>
          <w:rFonts w:ascii="Arial" w:hAnsi="Arial" w:cs="Arial"/>
          <w:sz w:val="24"/>
          <w:szCs w:val="24"/>
        </w:rPr>
        <w:t xml:space="preserve">Broxtowe Borough </w:t>
      </w:r>
      <w:r w:rsidRPr="00F64892">
        <w:rPr>
          <w:rFonts w:ascii="Arial" w:hAnsi="Arial" w:cs="Arial"/>
          <w:sz w:val="24"/>
          <w:szCs w:val="24"/>
        </w:rPr>
        <w:t>Council is the contracting organisation</w:t>
      </w:r>
      <w:r>
        <w:rPr>
          <w:rFonts w:ascii="Arial" w:hAnsi="Arial" w:cs="Arial"/>
          <w:sz w:val="24"/>
          <w:szCs w:val="24"/>
        </w:rPr>
        <w:t>.</w:t>
      </w:r>
    </w:p>
    <w:p w14:paraId="4F9F90E2" w14:textId="77777777" w:rsidR="002A2F51" w:rsidRDefault="002A2F51" w:rsidP="00B54547">
      <w:pPr>
        <w:autoSpaceDE w:val="0"/>
        <w:autoSpaceDN w:val="0"/>
        <w:adjustRightInd w:val="0"/>
        <w:spacing w:after="0" w:line="240" w:lineRule="auto"/>
        <w:ind w:left="709"/>
        <w:jc w:val="both"/>
        <w:rPr>
          <w:rFonts w:ascii="Arial" w:eastAsia="Times New Roman" w:hAnsi="Arial" w:cs="Arial"/>
          <w:sz w:val="24"/>
          <w:szCs w:val="24"/>
          <w:lang w:eastAsia="en-GB"/>
        </w:rPr>
      </w:pPr>
    </w:p>
    <w:p w14:paraId="09FB0400" w14:textId="7C94E849" w:rsidR="00CD5794" w:rsidRPr="00CD5794" w:rsidRDefault="00CD5794" w:rsidP="00B54547">
      <w:pPr>
        <w:autoSpaceDE w:val="0"/>
        <w:autoSpaceDN w:val="0"/>
        <w:adjustRightInd w:val="0"/>
        <w:spacing w:after="0" w:line="240" w:lineRule="auto"/>
        <w:ind w:left="709"/>
        <w:jc w:val="both"/>
        <w:rPr>
          <w:rFonts w:ascii="Arial" w:eastAsia="Times New Roman" w:hAnsi="Arial" w:cs="Arial"/>
          <w:sz w:val="24"/>
          <w:szCs w:val="24"/>
          <w:lang w:eastAsia="en-GB"/>
        </w:rPr>
      </w:pPr>
      <w:r w:rsidRPr="00CD5794">
        <w:rPr>
          <w:rFonts w:ascii="Arial" w:eastAsia="Times New Roman" w:hAnsi="Arial" w:cs="Arial"/>
          <w:sz w:val="24"/>
          <w:szCs w:val="24"/>
          <w:lang w:eastAsia="en-GB"/>
        </w:rPr>
        <w:t xml:space="preserve">The study will be managed by a Commissioning Group selected from the participating </w:t>
      </w:r>
      <w:r w:rsidR="00BB5B82">
        <w:rPr>
          <w:rFonts w:ascii="Arial" w:eastAsia="Times New Roman" w:hAnsi="Arial" w:cs="Arial"/>
          <w:sz w:val="24"/>
          <w:szCs w:val="24"/>
          <w:lang w:eastAsia="en-GB"/>
        </w:rPr>
        <w:t>Council</w:t>
      </w:r>
      <w:r w:rsidR="002A2F51">
        <w:rPr>
          <w:rFonts w:ascii="Arial" w:eastAsia="Times New Roman" w:hAnsi="Arial" w:cs="Arial"/>
          <w:sz w:val="24"/>
          <w:szCs w:val="24"/>
          <w:lang w:eastAsia="en-GB"/>
        </w:rPr>
        <w:t>s</w:t>
      </w:r>
      <w:r w:rsidR="00BB5B82">
        <w:rPr>
          <w:rFonts w:ascii="Arial" w:eastAsia="Times New Roman" w:hAnsi="Arial" w:cs="Arial"/>
          <w:sz w:val="24"/>
          <w:szCs w:val="24"/>
          <w:lang w:eastAsia="en-GB"/>
        </w:rPr>
        <w:t>’</w:t>
      </w:r>
      <w:r w:rsidR="002A2F51">
        <w:rPr>
          <w:rFonts w:ascii="Arial" w:eastAsia="Times New Roman" w:hAnsi="Arial" w:cs="Arial"/>
          <w:sz w:val="24"/>
          <w:szCs w:val="24"/>
          <w:lang w:eastAsia="en-GB"/>
        </w:rPr>
        <w:t xml:space="preserve"> </w:t>
      </w:r>
      <w:r w:rsidRPr="00CD5794">
        <w:rPr>
          <w:rFonts w:ascii="Arial" w:eastAsia="Times New Roman" w:hAnsi="Arial" w:cs="Arial"/>
          <w:sz w:val="24"/>
          <w:szCs w:val="24"/>
          <w:lang w:eastAsia="en-GB"/>
        </w:rPr>
        <w:t>who will provide overall direction and input to the study.  The Commissioning Group will also need to agree the methodology</w:t>
      </w:r>
      <w:r w:rsidR="0048438C">
        <w:rPr>
          <w:rFonts w:ascii="Arial" w:eastAsia="Times New Roman" w:hAnsi="Arial" w:cs="Arial"/>
          <w:sz w:val="24"/>
          <w:szCs w:val="24"/>
          <w:lang w:eastAsia="en-GB"/>
        </w:rPr>
        <w:t>, data sources and indicators</w:t>
      </w:r>
      <w:r w:rsidRPr="00CD5794">
        <w:rPr>
          <w:rFonts w:ascii="Arial" w:eastAsia="Times New Roman" w:hAnsi="Arial" w:cs="Arial"/>
          <w:sz w:val="24"/>
          <w:szCs w:val="24"/>
          <w:lang w:eastAsia="en-GB"/>
        </w:rPr>
        <w:t xml:space="preserve"> for </w:t>
      </w:r>
      <w:r w:rsidR="0048438C">
        <w:rPr>
          <w:rFonts w:ascii="Arial" w:eastAsia="Times New Roman" w:hAnsi="Arial" w:cs="Arial"/>
          <w:sz w:val="24"/>
          <w:szCs w:val="24"/>
          <w:lang w:eastAsia="en-GB"/>
        </w:rPr>
        <w:t>the</w:t>
      </w:r>
      <w:r w:rsidRPr="00CD5794">
        <w:rPr>
          <w:rFonts w:ascii="Arial" w:eastAsia="Times New Roman" w:hAnsi="Arial" w:cs="Arial"/>
          <w:sz w:val="24"/>
          <w:szCs w:val="24"/>
          <w:lang w:eastAsia="en-GB"/>
        </w:rPr>
        <w:t xml:space="preserve"> centre assessments.</w:t>
      </w:r>
    </w:p>
    <w:p w14:paraId="7DD5242D" w14:textId="77777777" w:rsidR="00CD5794" w:rsidRPr="00CD5794" w:rsidRDefault="00CD5794" w:rsidP="00B54547">
      <w:pPr>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74D9CAAE" w14:textId="3C766B92" w:rsidR="00CD5794" w:rsidRPr="00CD5794" w:rsidRDefault="0048438C" w:rsidP="00B54547">
      <w:pPr>
        <w:autoSpaceDE w:val="0"/>
        <w:autoSpaceDN w:val="0"/>
        <w:adjustRightInd w:val="0"/>
        <w:spacing w:after="0" w:line="240" w:lineRule="auto"/>
        <w:ind w:left="709"/>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There will be overall project lead officers within the Commissioning Group and the Greater Nottingham </w:t>
      </w:r>
      <w:r w:rsidR="00CD5794" w:rsidRPr="00CD5794">
        <w:rPr>
          <w:rFonts w:ascii="Arial" w:eastAsia="Times New Roman" w:hAnsi="Arial" w:cs="Arial"/>
          <w:sz w:val="24"/>
          <w:szCs w:val="24"/>
          <w:lang w:eastAsia="en-GB"/>
        </w:rPr>
        <w:t xml:space="preserve">Councils will also provide a single point of contact for the Consultants to liaise with for each </w:t>
      </w:r>
      <w:r w:rsidR="002A2F51">
        <w:rPr>
          <w:rFonts w:ascii="Arial" w:eastAsia="Times New Roman" w:hAnsi="Arial" w:cs="Arial"/>
          <w:sz w:val="24"/>
          <w:szCs w:val="24"/>
          <w:lang w:eastAsia="en-GB"/>
        </w:rPr>
        <w:t>Council</w:t>
      </w:r>
      <w:r w:rsidR="00CD5794" w:rsidRPr="00CD5794">
        <w:rPr>
          <w:rFonts w:ascii="Arial" w:eastAsia="Times New Roman" w:hAnsi="Arial" w:cs="Arial"/>
          <w:sz w:val="24"/>
          <w:szCs w:val="24"/>
          <w:lang w:eastAsia="en-GB"/>
        </w:rPr>
        <w:t>.</w:t>
      </w:r>
    </w:p>
    <w:p w14:paraId="62416A9F" w14:textId="77777777" w:rsidR="00CD5794" w:rsidRPr="00CD5794" w:rsidRDefault="00CD5794" w:rsidP="00B54547">
      <w:pPr>
        <w:spacing w:after="0" w:line="240" w:lineRule="auto"/>
        <w:ind w:left="720"/>
        <w:jc w:val="both"/>
        <w:rPr>
          <w:rFonts w:ascii="Arial" w:eastAsia="Calibri" w:hAnsi="Arial" w:cs="Arial"/>
          <w:b/>
          <w:sz w:val="24"/>
          <w:szCs w:val="24"/>
        </w:rPr>
      </w:pPr>
    </w:p>
    <w:p w14:paraId="02A447E2" w14:textId="77777777" w:rsidR="00CD5794" w:rsidRPr="00CD5794" w:rsidRDefault="00CD5794" w:rsidP="00B54547">
      <w:pPr>
        <w:pStyle w:val="Heading1"/>
        <w:spacing w:before="0" w:line="240" w:lineRule="auto"/>
        <w:ind w:left="720" w:hanging="630"/>
        <w:jc w:val="both"/>
        <w:rPr>
          <w:rFonts w:cs="Arial"/>
          <w:szCs w:val="24"/>
        </w:rPr>
      </w:pPr>
      <w:bookmarkStart w:id="15" w:name="_Toc128996085"/>
      <w:bookmarkStart w:id="16" w:name="_Toc138837832"/>
      <w:r w:rsidRPr="00CD5794">
        <w:rPr>
          <w:rFonts w:cs="Arial"/>
          <w:szCs w:val="24"/>
        </w:rPr>
        <w:t>Budget Available</w:t>
      </w:r>
      <w:bookmarkEnd w:id="15"/>
      <w:bookmarkEnd w:id="16"/>
    </w:p>
    <w:p w14:paraId="2E66C81F" w14:textId="77777777" w:rsidR="00CD5794" w:rsidRDefault="00CD5794" w:rsidP="00B54547">
      <w:pPr>
        <w:spacing w:after="0" w:line="240" w:lineRule="auto"/>
        <w:jc w:val="both"/>
        <w:rPr>
          <w:rFonts w:ascii="Arial" w:hAnsi="Arial" w:cs="Arial"/>
          <w:sz w:val="24"/>
          <w:szCs w:val="24"/>
        </w:rPr>
      </w:pPr>
    </w:p>
    <w:p w14:paraId="687C20F1" w14:textId="38827C53" w:rsidR="00CD5794" w:rsidRDefault="00BB5B82" w:rsidP="00473BF2">
      <w:pPr>
        <w:spacing w:after="0" w:line="240" w:lineRule="auto"/>
        <w:ind w:left="709"/>
        <w:jc w:val="both"/>
        <w:rPr>
          <w:rFonts w:ascii="Arial" w:eastAsia="Calibri" w:hAnsi="Arial" w:cs="Arial"/>
          <w:b/>
          <w:sz w:val="24"/>
          <w:szCs w:val="24"/>
        </w:rPr>
      </w:pPr>
      <w:r>
        <w:rPr>
          <w:rFonts w:ascii="Arial" w:eastAsia="Calibri" w:hAnsi="Arial" w:cs="Arial"/>
          <w:sz w:val="24"/>
          <w:szCs w:val="24"/>
        </w:rPr>
        <w:t>C</w:t>
      </w:r>
      <w:r w:rsidR="00473BF2" w:rsidRPr="00473BF2">
        <w:rPr>
          <w:rFonts w:ascii="Arial" w:eastAsia="Calibri" w:hAnsi="Arial" w:cs="Arial"/>
          <w:sz w:val="24"/>
          <w:szCs w:val="24"/>
        </w:rPr>
        <w:t xml:space="preserve">osts for these services </w:t>
      </w:r>
      <w:r w:rsidRPr="00BB5B82">
        <w:rPr>
          <w:rFonts w:ascii="Arial" w:eastAsia="Calibri" w:hAnsi="Arial" w:cs="Arial"/>
          <w:sz w:val="24"/>
          <w:szCs w:val="24"/>
        </w:rPr>
        <w:t>cost isn’t expected to exceed £60,000 (excluding VAT)</w:t>
      </w:r>
      <w:r w:rsidR="00473BF2" w:rsidRPr="00473BF2">
        <w:rPr>
          <w:rFonts w:ascii="Arial" w:eastAsia="Calibri" w:hAnsi="Arial" w:cs="Arial"/>
          <w:sz w:val="24"/>
          <w:szCs w:val="24"/>
        </w:rPr>
        <w:t>.</w:t>
      </w:r>
    </w:p>
    <w:p w14:paraId="7D2AF0F2" w14:textId="5D450D57" w:rsidR="005E5007" w:rsidRDefault="005E5007" w:rsidP="00B54547">
      <w:pPr>
        <w:spacing w:after="0" w:line="240" w:lineRule="auto"/>
        <w:jc w:val="both"/>
        <w:rPr>
          <w:rFonts w:ascii="Arial" w:eastAsia="Calibri" w:hAnsi="Arial" w:cs="Arial"/>
          <w:b/>
          <w:sz w:val="24"/>
          <w:szCs w:val="24"/>
        </w:rPr>
      </w:pPr>
      <w:r>
        <w:rPr>
          <w:rFonts w:ascii="Arial" w:eastAsia="Calibri" w:hAnsi="Arial" w:cs="Arial"/>
          <w:b/>
          <w:sz w:val="24"/>
          <w:szCs w:val="24"/>
        </w:rPr>
        <w:br w:type="page"/>
      </w:r>
    </w:p>
    <w:p w14:paraId="3D1DA2AA" w14:textId="78FFD196" w:rsidR="005E5007" w:rsidRDefault="005E5007" w:rsidP="00B54547">
      <w:pPr>
        <w:spacing w:after="0" w:line="240" w:lineRule="auto"/>
        <w:ind w:left="720"/>
        <w:jc w:val="both"/>
        <w:rPr>
          <w:rFonts w:ascii="Arial" w:eastAsia="Calibri" w:hAnsi="Arial" w:cs="Arial"/>
          <w:b/>
          <w:sz w:val="24"/>
          <w:szCs w:val="24"/>
        </w:rPr>
      </w:pPr>
      <w:r>
        <w:rPr>
          <w:rFonts w:ascii="Arial" w:eastAsia="Calibri" w:hAnsi="Arial" w:cs="Arial"/>
          <w:b/>
          <w:sz w:val="24"/>
          <w:szCs w:val="24"/>
        </w:rPr>
        <w:lastRenderedPageBreak/>
        <w:t>APPE</w:t>
      </w:r>
      <w:r w:rsidR="007F3667">
        <w:rPr>
          <w:rFonts w:ascii="Arial" w:eastAsia="Calibri" w:hAnsi="Arial" w:cs="Arial"/>
          <w:b/>
          <w:sz w:val="24"/>
          <w:szCs w:val="24"/>
        </w:rPr>
        <w:t>NDIX 1: Plan</w:t>
      </w:r>
      <w:r w:rsidR="009526CC">
        <w:rPr>
          <w:rFonts w:ascii="Arial" w:eastAsia="Calibri" w:hAnsi="Arial" w:cs="Arial"/>
          <w:b/>
          <w:sz w:val="24"/>
          <w:szCs w:val="24"/>
        </w:rPr>
        <w:t xml:space="preserve"> of the Study</w:t>
      </w:r>
      <w:r w:rsidR="007F3667">
        <w:rPr>
          <w:rFonts w:ascii="Arial" w:eastAsia="Calibri" w:hAnsi="Arial" w:cs="Arial"/>
          <w:b/>
          <w:sz w:val="24"/>
          <w:szCs w:val="24"/>
        </w:rPr>
        <w:t xml:space="preserve"> Area </w:t>
      </w:r>
    </w:p>
    <w:p w14:paraId="09186048" w14:textId="77777777" w:rsidR="00473BF2" w:rsidRDefault="00473BF2" w:rsidP="00B54547">
      <w:pPr>
        <w:spacing w:after="0" w:line="240" w:lineRule="auto"/>
        <w:ind w:left="720"/>
        <w:jc w:val="both"/>
        <w:rPr>
          <w:rFonts w:ascii="Arial" w:eastAsia="Calibri" w:hAnsi="Arial" w:cs="Arial"/>
          <w:b/>
          <w:sz w:val="24"/>
          <w:szCs w:val="24"/>
        </w:rPr>
      </w:pPr>
    </w:p>
    <w:p w14:paraId="4B876C42" w14:textId="0CC1E542" w:rsidR="007F3667" w:rsidRDefault="007F3667" w:rsidP="00B54547">
      <w:pPr>
        <w:spacing w:after="0" w:line="240" w:lineRule="auto"/>
        <w:ind w:left="720"/>
        <w:jc w:val="both"/>
        <w:rPr>
          <w:rFonts w:ascii="Arial" w:eastAsia="Calibri" w:hAnsi="Arial" w:cs="Arial"/>
          <w:b/>
          <w:sz w:val="24"/>
          <w:szCs w:val="24"/>
        </w:rPr>
      </w:pPr>
      <w:r w:rsidRPr="007F3667">
        <w:rPr>
          <w:rFonts w:ascii="Arial" w:eastAsia="Calibri" w:hAnsi="Arial" w:cs="Arial"/>
          <w:b/>
          <w:noProof/>
          <w:sz w:val="24"/>
          <w:szCs w:val="24"/>
          <w:lang w:eastAsia="en-GB"/>
        </w:rPr>
        <w:drawing>
          <wp:inline distT="0" distB="0" distL="0" distR="0" wp14:anchorId="6C57EE40" wp14:editId="4A41B101">
            <wp:extent cx="5943600" cy="4108907"/>
            <wp:effectExtent l="0" t="0" r="0" b="6350"/>
            <wp:docPr id="1" name="Picture 1" descr="X:\POLICIES AND STRATEGIES\Draft\1 - GN Strategic Plan\2 - Preferred Approach Consultation\Preferred Approach Doc\2 All Photographs\Maps\StrategicPlanAreaBoundary_v1_wH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OLICIES AND STRATEGIES\Draft\1 - GN Strategic Plan\2 - Preferred Approach Consultation\Preferred Approach Doc\2 All Photographs\Maps\StrategicPlanAreaBoundary_v1_wHS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108907"/>
                    </a:xfrm>
                    <a:prstGeom prst="rect">
                      <a:avLst/>
                    </a:prstGeom>
                    <a:noFill/>
                    <a:ln>
                      <a:noFill/>
                    </a:ln>
                  </pic:spPr>
                </pic:pic>
              </a:graphicData>
            </a:graphic>
          </wp:inline>
        </w:drawing>
      </w:r>
    </w:p>
    <w:p w14:paraId="33D3AA6C" w14:textId="77777777" w:rsidR="00345B0A" w:rsidRDefault="00345B0A" w:rsidP="00B54547">
      <w:pPr>
        <w:spacing w:after="0" w:line="240" w:lineRule="auto"/>
        <w:ind w:left="720"/>
        <w:jc w:val="both"/>
        <w:rPr>
          <w:rFonts w:ascii="Arial" w:eastAsia="Calibri" w:hAnsi="Arial" w:cs="Arial"/>
          <w:b/>
          <w:sz w:val="24"/>
          <w:szCs w:val="24"/>
        </w:rPr>
      </w:pPr>
    </w:p>
    <w:p w14:paraId="477B9734" w14:textId="77777777" w:rsidR="00345B0A" w:rsidRDefault="00345B0A" w:rsidP="00B54547">
      <w:pPr>
        <w:spacing w:after="0" w:line="240" w:lineRule="auto"/>
        <w:ind w:left="720"/>
        <w:jc w:val="both"/>
        <w:rPr>
          <w:rFonts w:ascii="Arial" w:eastAsia="Calibri" w:hAnsi="Arial" w:cs="Arial"/>
          <w:b/>
          <w:sz w:val="24"/>
          <w:szCs w:val="24"/>
        </w:rPr>
      </w:pPr>
    </w:p>
    <w:p w14:paraId="1D13969E" w14:textId="77777777" w:rsidR="00345B0A" w:rsidRDefault="00345B0A" w:rsidP="00B54547">
      <w:pPr>
        <w:spacing w:after="0" w:line="240" w:lineRule="auto"/>
        <w:ind w:left="720"/>
        <w:jc w:val="both"/>
        <w:rPr>
          <w:rFonts w:ascii="Arial" w:eastAsia="Calibri" w:hAnsi="Arial" w:cs="Arial"/>
          <w:b/>
          <w:sz w:val="24"/>
          <w:szCs w:val="24"/>
        </w:rPr>
      </w:pPr>
    </w:p>
    <w:p w14:paraId="0206D143" w14:textId="742D4367" w:rsidR="007F3667" w:rsidRDefault="007F3667" w:rsidP="00B54547">
      <w:pPr>
        <w:spacing w:after="0" w:line="240" w:lineRule="auto"/>
        <w:ind w:left="720"/>
        <w:jc w:val="both"/>
        <w:rPr>
          <w:rFonts w:ascii="Arial" w:eastAsia="Calibri" w:hAnsi="Arial" w:cs="Arial"/>
          <w:b/>
          <w:sz w:val="24"/>
          <w:szCs w:val="24"/>
        </w:rPr>
      </w:pPr>
      <w:r>
        <w:rPr>
          <w:rFonts w:ascii="Arial" w:eastAsia="Calibri" w:hAnsi="Arial" w:cs="Arial"/>
          <w:b/>
          <w:sz w:val="24"/>
          <w:szCs w:val="24"/>
        </w:rPr>
        <w:t xml:space="preserve">APPENDIX 2: Local Plans </w:t>
      </w:r>
    </w:p>
    <w:p w14:paraId="077FAE6C" w14:textId="77777777" w:rsidR="00473BF2" w:rsidRDefault="00473BF2" w:rsidP="00B54547">
      <w:pPr>
        <w:spacing w:after="0" w:line="240" w:lineRule="auto"/>
        <w:ind w:left="720"/>
        <w:jc w:val="both"/>
        <w:rPr>
          <w:rFonts w:ascii="Arial" w:eastAsia="Calibri" w:hAnsi="Arial" w:cs="Arial"/>
          <w:b/>
          <w:sz w:val="24"/>
          <w:szCs w:val="24"/>
        </w:rPr>
      </w:pPr>
    </w:p>
    <w:p w14:paraId="7714468B" w14:textId="1EE261C1" w:rsidR="007F3667" w:rsidRDefault="00300A5D" w:rsidP="00B54547">
      <w:pPr>
        <w:spacing w:after="0" w:line="240" w:lineRule="auto"/>
        <w:ind w:left="720"/>
        <w:jc w:val="both"/>
        <w:rPr>
          <w:rFonts w:ascii="Arial" w:eastAsia="Calibri" w:hAnsi="Arial" w:cs="Arial"/>
          <w:b/>
          <w:sz w:val="24"/>
          <w:szCs w:val="24"/>
        </w:rPr>
      </w:pPr>
      <w:hyperlink r:id="rId23" w:history="1">
        <w:r w:rsidR="007F3667" w:rsidRPr="007F3667">
          <w:rPr>
            <w:rStyle w:val="Hyperlink"/>
            <w:rFonts w:ascii="Arial" w:eastAsia="Calibri" w:hAnsi="Arial" w:cs="Arial"/>
            <w:b/>
            <w:sz w:val="24"/>
            <w:szCs w:val="24"/>
          </w:rPr>
          <w:t>Aligned Core Strategy</w:t>
        </w:r>
      </w:hyperlink>
      <w:r w:rsidR="007F3667">
        <w:rPr>
          <w:rFonts w:ascii="Arial" w:eastAsia="Calibri" w:hAnsi="Arial" w:cs="Arial"/>
          <w:b/>
          <w:sz w:val="24"/>
          <w:szCs w:val="24"/>
        </w:rPr>
        <w:t xml:space="preserve"> </w:t>
      </w:r>
    </w:p>
    <w:p w14:paraId="6C6E0866" w14:textId="6DCCE7E7" w:rsidR="007F3667" w:rsidRDefault="00300A5D" w:rsidP="00B54547">
      <w:pPr>
        <w:spacing w:after="0" w:line="240" w:lineRule="auto"/>
        <w:ind w:left="720"/>
        <w:jc w:val="both"/>
        <w:rPr>
          <w:rFonts w:ascii="Arial" w:eastAsia="Calibri" w:hAnsi="Arial" w:cs="Arial"/>
          <w:b/>
          <w:sz w:val="24"/>
          <w:szCs w:val="24"/>
        </w:rPr>
      </w:pPr>
      <w:hyperlink r:id="rId24" w:history="1">
        <w:r w:rsidR="007F3667" w:rsidRPr="007F3667">
          <w:rPr>
            <w:rStyle w:val="Hyperlink"/>
            <w:rFonts w:ascii="Arial" w:eastAsia="Calibri" w:hAnsi="Arial" w:cs="Arial"/>
            <w:b/>
            <w:sz w:val="24"/>
            <w:szCs w:val="24"/>
          </w:rPr>
          <w:t>Broxtowe Part 2 Local Plan</w:t>
        </w:r>
      </w:hyperlink>
    </w:p>
    <w:p w14:paraId="6EDCA42C" w14:textId="68E96AFF" w:rsidR="007F3667" w:rsidRDefault="00300A5D" w:rsidP="00B54547">
      <w:pPr>
        <w:spacing w:after="0" w:line="240" w:lineRule="auto"/>
        <w:ind w:left="720"/>
        <w:jc w:val="both"/>
        <w:rPr>
          <w:rFonts w:ascii="Arial" w:eastAsia="Calibri" w:hAnsi="Arial" w:cs="Arial"/>
          <w:b/>
          <w:sz w:val="24"/>
          <w:szCs w:val="24"/>
        </w:rPr>
      </w:pPr>
      <w:hyperlink r:id="rId25" w:history="1">
        <w:r w:rsidR="007F3667" w:rsidRPr="007F3667">
          <w:rPr>
            <w:rStyle w:val="Hyperlink"/>
            <w:rFonts w:ascii="Arial" w:eastAsia="Calibri" w:hAnsi="Arial" w:cs="Arial"/>
            <w:b/>
            <w:sz w:val="24"/>
            <w:szCs w:val="24"/>
          </w:rPr>
          <w:t>Gedling Part 2 Local Plan</w:t>
        </w:r>
      </w:hyperlink>
      <w:r w:rsidR="007F3667">
        <w:rPr>
          <w:rFonts w:ascii="Arial" w:eastAsia="Calibri" w:hAnsi="Arial" w:cs="Arial"/>
          <w:b/>
          <w:sz w:val="24"/>
          <w:szCs w:val="24"/>
        </w:rPr>
        <w:t xml:space="preserve"> </w:t>
      </w:r>
    </w:p>
    <w:p w14:paraId="4CBC3509" w14:textId="5DBAAFFF" w:rsidR="007F3667" w:rsidRDefault="00300A5D" w:rsidP="00B54547">
      <w:pPr>
        <w:spacing w:after="0" w:line="240" w:lineRule="auto"/>
        <w:ind w:left="720"/>
        <w:jc w:val="both"/>
        <w:rPr>
          <w:rFonts w:ascii="Arial" w:eastAsia="Calibri" w:hAnsi="Arial" w:cs="Arial"/>
          <w:b/>
          <w:sz w:val="24"/>
          <w:szCs w:val="24"/>
        </w:rPr>
      </w:pPr>
      <w:hyperlink r:id="rId26" w:history="1">
        <w:r w:rsidR="007F3667" w:rsidRPr="007F3667">
          <w:rPr>
            <w:rStyle w:val="Hyperlink"/>
            <w:rFonts w:ascii="Arial" w:eastAsia="Calibri" w:hAnsi="Arial" w:cs="Arial"/>
            <w:b/>
            <w:sz w:val="24"/>
            <w:szCs w:val="24"/>
          </w:rPr>
          <w:t>Nottingham City Part 2 Local Plan</w:t>
        </w:r>
      </w:hyperlink>
      <w:r w:rsidR="007F3667">
        <w:rPr>
          <w:rFonts w:ascii="Arial" w:eastAsia="Calibri" w:hAnsi="Arial" w:cs="Arial"/>
          <w:b/>
          <w:sz w:val="24"/>
          <w:szCs w:val="24"/>
        </w:rPr>
        <w:t xml:space="preserve"> </w:t>
      </w:r>
    </w:p>
    <w:p w14:paraId="747584A3" w14:textId="5DFEB109" w:rsidR="007F3667" w:rsidRDefault="00300A5D" w:rsidP="00B54547">
      <w:pPr>
        <w:spacing w:after="0" w:line="240" w:lineRule="auto"/>
        <w:ind w:left="720"/>
        <w:jc w:val="both"/>
        <w:rPr>
          <w:rFonts w:ascii="Arial" w:eastAsia="Calibri" w:hAnsi="Arial" w:cs="Arial"/>
          <w:b/>
          <w:sz w:val="24"/>
          <w:szCs w:val="24"/>
        </w:rPr>
      </w:pPr>
      <w:hyperlink r:id="rId27" w:history="1">
        <w:r w:rsidR="007F3667" w:rsidRPr="007F3667">
          <w:rPr>
            <w:rStyle w:val="Hyperlink"/>
            <w:rFonts w:ascii="Arial" w:eastAsia="Calibri" w:hAnsi="Arial" w:cs="Arial"/>
            <w:b/>
            <w:sz w:val="24"/>
            <w:szCs w:val="24"/>
          </w:rPr>
          <w:t>Rushcliffe Part 2 Local Plan</w:t>
        </w:r>
      </w:hyperlink>
      <w:r w:rsidR="007F3667">
        <w:rPr>
          <w:rFonts w:ascii="Arial" w:eastAsia="Calibri" w:hAnsi="Arial" w:cs="Arial"/>
          <w:b/>
          <w:sz w:val="24"/>
          <w:szCs w:val="24"/>
        </w:rPr>
        <w:t xml:space="preserve"> </w:t>
      </w:r>
    </w:p>
    <w:p w14:paraId="480BD584" w14:textId="77777777" w:rsidR="00473BF2" w:rsidRDefault="00473BF2" w:rsidP="00B54547">
      <w:pPr>
        <w:spacing w:after="0" w:line="240" w:lineRule="auto"/>
        <w:ind w:left="720"/>
        <w:jc w:val="both"/>
        <w:rPr>
          <w:rFonts w:ascii="Arial" w:eastAsia="Calibri" w:hAnsi="Arial" w:cs="Arial"/>
          <w:b/>
          <w:sz w:val="24"/>
          <w:szCs w:val="24"/>
        </w:rPr>
      </w:pPr>
    </w:p>
    <w:p w14:paraId="085D3D43" w14:textId="60C912F4" w:rsidR="00DA33F3" w:rsidRPr="00345B0A" w:rsidRDefault="00345B0A" w:rsidP="00B54547">
      <w:pPr>
        <w:spacing w:after="0" w:line="240" w:lineRule="auto"/>
        <w:jc w:val="both"/>
        <w:rPr>
          <w:rFonts w:eastAsia="Calibri" w:cs="Arial"/>
        </w:rPr>
      </w:pPr>
      <w:r w:rsidRPr="00345B0A">
        <w:rPr>
          <w:rFonts w:ascii="Arial" w:eastAsia="Calibri" w:hAnsi="Arial" w:cs="Arial"/>
          <w:sz w:val="24"/>
          <w:szCs w:val="24"/>
        </w:rPr>
        <w:tab/>
        <w:t xml:space="preserve">Copies of other relevant studies will be provided at the inception meeting. </w:t>
      </w:r>
    </w:p>
    <w:p w14:paraId="3F503AEE" w14:textId="77777777" w:rsidR="00DA33F3" w:rsidRPr="005E5007" w:rsidRDefault="00DA33F3" w:rsidP="00B54547">
      <w:pPr>
        <w:pStyle w:val="ListParagraph"/>
        <w:spacing w:after="0" w:line="240" w:lineRule="auto"/>
        <w:ind w:left="1440"/>
        <w:jc w:val="both"/>
        <w:rPr>
          <w:rFonts w:eastAsia="Calibri" w:cs="Arial"/>
          <w:szCs w:val="24"/>
        </w:rPr>
      </w:pPr>
    </w:p>
    <w:p w14:paraId="3F90D092" w14:textId="77777777" w:rsidR="005E5007" w:rsidRPr="005E5007" w:rsidRDefault="005E5007" w:rsidP="00B54547">
      <w:pPr>
        <w:spacing w:after="0" w:line="240" w:lineRule="auto"/>
        <w:ind w:left="720"/>
        <w:jc w:val="both"/>
        <w:rPr>
          <w:rFonts w:ascii="Arial" w:eastAsia="Calibri" w:hAnsi="Arial" w:cs="Arial"/>
          <w:sz w:val="24"/>
          <w:szCs w:val="24"/>
        </w:rPr>
      </w:pPr>
    </w:p>
    <w:p w14:paraId="2508E39B" w14:textId="37F1EB00" w:rsidR="00DA5E85" w:rsidRDefault="00DA5E85" w:rsidP="00B54547">
      <w:pPr>
        <w:pStyle w:val="Heading1"/>
        <w:numPr>
          <w:ilvl w:val="0"/>
          <w:numId w:val="0"/>
        </w:numPr>
        <w:spacing w:before="0" w:line="240" w:lineRule="auto"/>
        <w:jc w:val="both"/>
      </w:pPr>
    </w:p>
    <w:p w14:paraId="1B486150" w14:textId="77777777" w:rsidR="00B54547" w:rsidRDefault="00B54547">
      <w:pPr>
        <w:pStyle w:val="Heading1"/>
        <w:numPr>
          <w:ilvl w:val="0"/>
          <w:numId w:val="0"/>
        </w:numPr>
        <w:spacing w:before="0" w:line="240" w:lineRule="auto"/>
        <w:jc w:val="both"/>
      </w:pPr>
    </w:p>
    <w:sectPr w:rsidR="00B54547">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D69AA8" w16cex:dateUtc="2023-04-04T11:46:00Z"/>
  <w16cex:commentExtensible w16cex:durableId="27D69B36" w16cex:dateUtc="2023-04-04T11:48:00Z"/>
  <w16cex:commentExtensible w16cex:durableId="27D69C38" w16cex:dateUtc="2023-04-04T11:53:00Z"/>
  <w16cex:commentExtensible w16cex:durableId="27D69C6F" w16cex:dateUtc="2023-04-04T11:54:00Z"/>
  <w16cex:commentExtensible w16cex:durableId="27D69CB7" w16cex:dateUtc="2023-04-04T11:55:00Z"/>
  <w16cex:commentExtensible w16cex:durableId="27D69D74" w16cex:dateUtc="2023-04-04T11:58:00Z"/>
  <w16cex:commentExtensible w16cex:durableId="27D69E83" w16cex:dateUtc="2023-04-04T12:02:00Z"/>
  <w16cex:commentExtensible w16cex:durableId="27D69EE6" w16cex:dateUtc="2023-04-04T12:04:00Z"/>
  <w16cex:commentExtensible w16cex:durableId="27D6A050" w16cex:dateUtc="2023-04-04T12:10:00Z"/>
  <w16cex:commentExtensible w16cex:durableId="27D6A1A7" w16cex:dateUtc="2023-04-04T12:16:00Z"/>
  <w16cex:commentExtensible w16cex:durableId="27D6A1D3" w16cex:dateUtc="2023-04-04T12:17:00Z"/>
  <w16cex:commentExtensible w16cex:durableId="27D6A201" w16cex:dateUtc="2023-04-04T12:17:00Z"/>
  <w16cex:commentExtensible w16cex:durableId="27D6A43E" w16cex:dateUtc="2023-04-04T12:27:00Z"/>
  <w16cex:commentExtensible w16cex:durableId="27D6A4AF" w16cex:dateUtc="2023-04-04T12:29:00Z"/>
  <w16cex:commentExtensible w16cex:durableId="27D6A562" w16cex:dateUtc="2023-04-04T12:32:00Z"/>
  <w16cex:commentExtensible w16cex:durableId="27D6A5E0" w16cex:dateUtc="2023-04-04T12:34:00Z"/>
  <w16cex:commentExtensible w16cex:durableId="27D6A6C9" w16cex:dateUtc="2023-04-04T12:38:00Z"/>
  <w16cex:commentExtensible w16cex:durableId="27D6A71C" w16cex:dateUtc="2023-04-04T12:39:00Z"/>
  <w16cex:commentExtensible w16cex:durableId="27D6A75B" w16cex:dateUtc="2023-04-04T12:40:00Z"/>
  <w16cex:commentExtensible w16cex:durableId="57E8AEF1" w16cex:dateUtc="2023-05-25T20:07:37.306Z"/>
  <w16cex:commentExtensible w16cex:durableId="4AE2C88D" w16cex:dateUtc="2023-05-25T20:12:00.759Z"/>
  <w16cex:commentExtensible w16cex:durableId="254FF09C" w16cex:dateUtc="2023-05-25T20:35:43.289Z"/>
</w16cex:commentsExtensible>
</file>

<file path=word/commentsIds.xml><?xml version="1.0" encoding="utf-8"?>
<w16cid:commentsIds xmlns:mc="http://schemas.openxmlformats.org/markup-compatibility/2006" xmlns:w16cid="http://schemas.microsoft.com/office/word/2016/wordml/cid" mc:Ignorable="w16cid">
  <w16cid:commentId w16cid:paraId="7A977803" w16cid:durableId="27D69788"/>
  <w16cid:commentId w16cid:paraId="511B000B" w16cid:durableId="27D69AA8"/>
  <w16cid:commentId w16cid:paraId="069ADE59" w16cid:durableId="27D69789"/>
  <w16cid:commentId w16cid:paraId="52F8C07E" w16cid:durableId="27D69B36"/>
  <w16cid:commentId w16cid:paraId="036150C6" w16cid:durableId="27D6978A"/>
  <w16cid:commentId w16cid:paraId="3CF92224" w16cid:durableId="27D69C38"/>
  <w16cid:commentId w16cid:paraId="792796EA" w16cid:durableId="27D6978B"/>
  <w16cid:commentId w16cid:paraId="153AE0FE" w16cid:durableId="27D6978C"/>
  <w16cid:commentId w16cid:paraId="0B887D37" w16cid:durableId="27D6978D"/>
  <w16cid:commentId w16cid:paraId="571B72BB" w16cid:durableId="27D6978E"/>
  <w16cid:commentId w16cid:paraId="65A69DB0" w16cid:durableId="27D69C6F"/>
  <w16cid:commentId w16cid:paraId="3CDB102F" w16cid:durableId="27D6978F"/>
  <w16cid:commentId w16cid:paraId="307BB722" w16cid:durableId="27D69790"/>
  <w16cid:commentId w16cid:paraId="7C538B11" w16cid:durableId="27D69CB7"/>
  <w16cid:commentId w16cid:paraId="228D5EC9" w16cid:durableId="27D69791"/>
  <w16cid:commentId w16cid:paraId="748549BA" w16cid:durableId="27D69D74"/>
  <w16cid:commentId w16cid:paraId="573C215C" w16cid:durableId="27D69792"/>
  <w16cid:commentId w16cid:paraId="1704B632" w16cid:durableId="27D69E83"/>
  <w16cid:commentId w16cid:paraId="7CD49D72" w16cid:durableId="27D69793"/>
  <w16cid:commentId w16cid:paraId="3C69EA71" w16cid:durableId="27D69794"/>
  <w16cid:commentId w16cid:paraId="0AA5F756" w16cid:durableId="27D69EE6"/>
  <w16cid:commentId w16cid:paraId="0CAA2146" w16cid:durableId="27D69795"/>
  <w16cid:commentId w16cid:paraId="008D53EE" w16cid:durableId="27D6A050"/>
  <w16cid:commentId w16cid:paraId="3C221E2E" w16cid:durableId="27D69796"/>
  <w16cid:commentId w16cid:paraId="09421397" w16cid:durableId="27D6A1A7"/>
  <w16cid:commentId w16cid:paraId="7B10C707" w16cid:durableId="27D69797"/>
  <w16cid:commentId w16cid:paraId="62E2BDDF" w16cid:durableId="27D69798"/>
  <w16cid:commentId w16cid:paraId="23631514" w16cid:durableId="27D6A1D3"/>
  <w16cid:commentId w16cid:paraId="181EC261" w16cid:durableId="27D69799"/>
  <w16cid:commentId w16cid:paraId="19D5C044" w16cid:durableId="27D6A201"/>
  <w16cid:commentId w16cid:paraId="0B88D618" w16cid:durableId="27D6979A"/>
  <w16cid:commentId w16cid:paraId="03D8F7D0" w16cid:durableId="27D6A43E"/>
  <w16cid:commentId w16cid:paraId="52DE2EE5" w16cid:durableId="27D6979B"/>
  <w16cid:commentId w16cid:paraId="08DFDBF4" w16cid:durableId="27D6A4AF"/>
  <w16cid:commentId w16cid:paraId="16445FB1" w16cid:durableId="27D6979C"/>
  <w16cid:commentId w16cid:paraId="1DB70FE5" w16cid:durableId="27D6979D"/>
  <w16cid:commentId w16cid:paraId="77F8A8B2" w16cid:durableId="27D6A562"/>
  <w16cid:commentId w16cid:paraId="703D83FD" w16cid:durableId="27D6979E"/>
  <w16cid:commentId w16cid:paraId="4B3F2E89" w16cid:durableId="27D6A5E0"/>
  <w16cid:commentId w16cid:paraId="59C9DF11" w16cid:durableId="27D6979F"/>
  <w16cid:commentId w16cid:paraId="26F71478" w16cid:durableId="27D6A6C9"/>
  <w16cid:commentId w16cid:paraId="58E631FF" w16cid:durableId="27D697A0"/>
  <w16cid:commentId w16cid:paraId="602D1FD3" w16cid:durableId="27D6A71C"/>
  <w16cid:commentId w16cid:paraId="260451FD" w16cid:durableId="27D697A1"/>
  <w16cid:commentId w16cid:paraId="6F455907" w16cid:durableId="27D6A75B"/>
  <w16cid:commentId w16cid:paraId="61FF89D0" w16cid:durableId="27D697A2"/>
  <w16cid:commentId w16cid:paraId="4841387C" w16cid:durableId="27D697A3"/>
  <w16cid:commentId w16cid:paraId="4FC45945" w16cid:durableId="27D697A4"/>
  <w16cid:commentId w16cid:paraId="42F067D7" w16cid:durableId="27D697A5"/>
  <w16cid:commentId w16cid:paraId="4F76540C" w16cid:durableId="27D697A6"/>
  <w16cid:commentId w16cid:paraId="27B178D5" w16cid:durableId="27D697A7"/>
  <w16cid:commentId w16cid:paraId="04715384" w16cid:durableId="27D697A9"/>
  <w16cid:commentId w16cid:paraId="0B551168" w16cid:durableId="27D697AA"/>
  <w16cid:commentId w16cid:paraId="5615E54E" w16cid:durableId="27D697AB"/>
  <w16cid:commentId w16cid:paraId="79D89E91" w16cid:durableId="63D8BFF2"/>
  <w16cid:commentId w16cid:paraId="04D0A746" w16cid:durableId="7348B1B2"/>
  <w16cid:commentId w16cid:paraId="3D7404A6" w16cid:durableId="61BF4C56"/>
  <w16cid:commentId w16cid:paraId="1DA48590" w16cid:durableId="1875D529"/>
  <w16cid:commentId w16cid:paraId="673041DC" w16cid:durableId="2566B38A"/>
  <w16cid:commentId w16cid:paraId="556E2981" w16cid:durableId="567C4448"/>
  <w16cid:commentId w16cid:paraId="4B46D235" w16cid:durableId="57E8AEF1"/>
  <w16cid:commentId w16cid:paraId="2A3EE86B" w16cid:durableId="4AE2C88D"/>
  <w16cid:commentId w16cid:paraId="2BEF8B21" w16cid:durableId="254FF0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07315" w14:textId="77777777" w:rsidR="005D61FB" w:rsidRDefault="005D61FB" w:rsidP="0086403F">
      <w:pPr>
        <w:spacing w:after="0" w:line="240" w:lineRule="auto"/>
      </w:pPr>
      <w:r>
        <w:separator/>
      </w:r>
    </w:p>
  </w:endnote>
  <w:endnote w:type="continuationSeparator" w:id="0">
    <w:p w14:paraId="272A5D01" w14:textId="77777777" w:rsidR="005D61FB" w:rsidRDefault="005D61FB" w:rsidP="0086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AD80" w14:textId="77777777" w:rsidR="00C32576" w:rsidRDefault="00C32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098367"/>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3DCEB256" w14:textId="7735ABB8" w:rsidR="00BD37BB" w:rsidRPr="00CD3BDE" w:rsidRDefault="00BD37BB" w:rsidP="00CD3BDE">
            <w:pPr>
              <w:pStyle w:val="Footer"/>
              <w:jc w:val="center"/>
              <w:rPr>
                <w:sz w:val="24"/>
                <w:szCs w:val="24"/>
              </w:rPr>
            </w:pPr>
            <w:r w:rsidRPr="00CD3BDE">
              <w:rPr>
                <w:rFonts w:ascii="Arial" w:hAnsi="Arial" w:cs="Arial"/>
                <w:sz w:val="24"/>
                <w:szCs w:val="24"/>
              </w:rPr>
              <w:t xml:space="preserve">Page </w:t>
            </w:r>
            <w:r w:rsidRPr="00CD3BDE">
              <w:rPr>
                <w:rFonts w:ascii="Arial" w:hAnsi="Arial" w:cs="Arial"/>
                <w:b/>
                <w:bCs/>
                <w:sz w:val="24"/>
                <w:szCs w:val="24"/>
              </w:rPr>
              <w:fldChar w:fldCharType="begin"/>
            </w:r>
            <w:r w:rsidRPr="00CD3BDE">
              <w:rPr>
                <w:rFonts w:ascii="Arial" w:hAnsi="Arial" w:cs="Arial"/>
                <w:b/>
                <w:bCs/>
                <w:sz w:val="24"/>
                <w:szCs w:val="24"/>
              </w:rPr>
              <w:instrText xml:space="preserve"> PAGE </w:instrText>
            </w:r>
            <w:r w:rsidRPr="00CD3BDE">
              <w:rPr>
                <w:rFonts w:ascii="Arial" w:hAnsi="Arial" w:cs="Arial"/>
                <w:b/>
                <w:bCs/>
                <w:sz w:val="24"/>
                <w:szCs w:val="24"/>
              </w:rPr>
              <w:fldChar w:fldCharType="separate"/>
            </w:r>
            <w:r w:rsidR="00300A5D">
              <w:rPr>
                <w:rFonts w:ascii="Arial" w:hAnsi="Arial" w:cs="Arial"/>
                <w:b/>
                <w:bCs/>
                <w:noProof/>
                <w:sz w:val="24"/>
                <w:szCs w:val="24"/>
              </w:rPr>
              <w:t>15</w:t>
            </w:r>
            <w:r w:rsidRPr="00CD3BDE">
              <w:rPr>
                <w:rFonts w:ascii="Arial" w:hAnsi="Arial" w:cs="Arial"/>
                <w:b/>
                <w:bCs/>
                <w:sz w:val="24"/>
                <w:szCs w:val="24"/>
              </w:rPr>
              <w:fldChar w:fldCharType="end"/>
            </w:r>
            <w:r w:rsidRPr="00CD3BDE">
              <w:rPr>
                <w:rFonts w:ascii="Arial" w:hAnsi="Arial" w:cs="Arial"/>
                <w:sz w:val="24"/>
                <w:szCs w:val="24"/>
              </w:rPr>
              <w:t xml:space="preserve"> of </w:t>
            </w:r>
            <w:r w:rsidRPr="00CD3BDE">
              <w:rPr>
                <w:rFonts w:ascii="Arial" w:hAnsi="Arial" w:cs="Arial"/>
                <w:b/>
                <w:bCs/>
                <w:sz w:val="24"/>
                <w:szCs w:val="24"/>
              </w:rPr>
              <w:fldChar w:fldCharType="begin"/>
            </w:r>
            <w:r w:rsidRPr="00CD3BDE">
              <w:rPr>
                <w:rFonts w:ascii="Arial" w:hAnsi="Arial" w:cs="Arial"/>
                <w:b/>
                <w:bCs/>
                <w:sz w:val="24"/>
                <w:szCs w:val="24"/>
              </w:rPr>
              <w:instrText xml:space="preserve"> NUMPAGES  </w:instrText>
            </w:r>
            <w:r w:rsidRPr="00CD3BDE">
              <w:rPr>
                <w:rFonts w:ascii="Arial" w:hAnsi="Arial" w:cs="Arial"/>
                <w:b/>
                <w:bCs/>
                <w:sz w:val="24"/>
                <w:szCs w:val="24"/>
              </w:rPr>
              <w:fldChar w:fldCharType="separate"/>
            </w:r>
            <w:r w:rsidR="00300A5D">
              <w:rPr>
                <w:rFonts w:ascii="Arial" w:hAnsi="Arial" w:cs="Arial"/>
                <w:b/>
                <w:bCs/>
                <w:noProof/>
                <w:sz w:val="24"/>
                <w:szCs w:val="24"/>
              </w:rPr>
              <w:t>16</w:t>
            </w:r>
            <w:r w:rsidRPr="00CD3BDE">
              <w:rPr>
                <w:rFonts w:ascii="Arial" w:hAnsi="Arial" w:cs="Arial"/>
                <w:b/>
                <w:bCs/>
                <w:sz w:val="24"/>
                <w:szCs w:val="24"/>
              </w:rPr>
              <w:fldChar w:fldCharType="end"/>
            </w:r>
          </w:p>
        </w:sdtContent>
      </w:sdt>
    </w:sdtContent>
  </w:sdt>
  <w:p w14:paraId="3F1DF6B4" w14:textId="77777777" w:rsidR="00BD37BB" w:rsidRDefault="00BD3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59965"/>
      <w:docPartObj>
        <w:docPartGallery w:val="Page Numbers (Bottom of Page)"/>
        <w:docPartUnique/>
      </w:docPartObj>
    </w:sdtPr>
    <w:sdtEndPr/>
    <w:sdtContent>
      <w:sdt>
        <w:sdtPr>
          <w:id w:val="1728636285"/>
          <w:docPartObj>
            <w:docPartGallery w:val="Page Numbers (Top of Page)"/>
            <w:docPartUnique/>
          </w:docPartObj>
        </w:sdtPr>
        <w:sdtEndPr/>
        <w:sdtContent>
          <w:p w14:paraId="03714A1F" w14:textId="42665D7C" w:rsidR="00BD37BB" w:rsidRDefault="00BD37BB">
            <w:pPr>
              <w:pStyle w:val="Footer"/>
              <w:jc w:val="center"/>
            </w:pPr>
            <w:r w:rsidRPr="00CD3BDE">
              <w:rPr>
                <w:rFonts w:ascii="Arial" w:hAnsi="Arial" w:cs="Arial"/>
                <w:sz w:val="24"/>
                <w:szCs w:val="24"/>
              </w:rPr>
              <w:t xml:space="preserve">Page </w:t>
            </w:r>
            <w:r w:rsidRPr="00CD3BDE">
              <w:rPr>
                <w:rFonts w:ascii="Arial" w:hAnsi="Arial" w:cs="Arial"/>
                <w:b/>
                <w:bCs/>
                <w:sz w:val="24"/>
                <w:szCs w:val="24"/>
              </w:rPr>
              <w:fldChar w:fldCharType="begin"/>
            </w:r>
            <w:r w:rsidRPr="00CD3BDE">
              <w:rPr>
                <w:rFonts w:ascii="Arial" w:hAnsi="Arial" w:cs="Arial"/>
                <w:b/>
                <w:bCs/>
                <w:sz w:val="24"/>
                <w:szCs w:val="24"/>
              </w:rPr>
              <w:instrText xml:space="preserve"> PAGE </w:instrText>
            </w:r>
            <w:r w:rsidRPr="00CD3BDE">
              <w:rPr>
                <w:rFonts w:ascii="Arial" w:hAnsi="Arial" w:cs="Arial"/>
                <w:b/>
                <w:bCs/>
                <w:sz w:val="24"/>
                <w:szCs w:val="24"/>
              </w:rPr>
              <w:fldChar w:fldCharType="separate"/>
            </w:r>
            <w:r w:rsidR="00300A5D">
              <w:rPr>
                <w:rFonts w:ascii="Arial" w:hAnsi="Arial" w:cs="Arial"/>
                <w:b/>
                <w:bCs/>
                <w:noProof/>
                <w:sz w:val="24"/>
                <w:szCs w:val="24"/>
              </w:rPr>
              <w:t>1</w:t>
            </w:r>
            <w:r w:rsidRPr="00CD3BDE">
              <w:rPr>
                <w:rFonts w:ascii="Arial" w:hAnsi="Arial" w:cs="Arial"/>
                <w:b/>
                <w:bCs/>
                <w:sz w:val="24"/>
                <w:szCs w:val="24"/>
              </w:rPr>
              <w:fldChar w:fldCharType="end"/>
            </w:r>
            <w:r w:rsidRPr="00CD3BDE">
              <w:rPr>
                <w:rFonts w:ascii="Arial" w:hAnsi="Arial" w:cs="Arial"/>
                <w:sz w:val="24"/>
                <w:szCs w:val="24"/>
              </w:rPr>
              <w:t xml:space="preserve"> of </w:t>
            </w:r>
            <w:r w:rsidRPr="00CD3BDE">
              <w:rPr>
                <w:rFonts w:ascii="Arial" w:hAnsi="Arial" w:cs="Arial"/>
                <w:b/>
                <w:bCs/>
                <w:sz w:val="24"/>
                <w:szCs w:val="24"/>
              </w:rPr>
              <w:fldChar w:fldCharType="begin"/>
            </w:r>
            <w:r w:rsidRPr="00CD3BDE">
              <w:rPr>
                <w:rFonts w:ascii="Arial" w:hAnsi="Arial" w:cs="Arial"/>
                <w:b/>
                <w:bCs/>
                <w:sz w:val="24"/>
                <w:szCs w:val="24"/>
              </w:rPr>
              <w:instrText xml:space="preserve"> NUMPAGES  </w:instrText>
            </w:r>
            <w:r w:rsidRPr="00CD3BDE">
              <w:rPr>
                <w:rFonts w:ascii="Arial" w:hAnsi="Arial" w:cs="Arial"/>
                <w:b/>
                <w:bCs/>
                <w:sz w:val="24"/>
                <w:szCs w:val="24"/>
              </w:rPr>
              <w:fldChar w:fldCharType="separate"/>
            </w:r>
            <w:r w:rsidR="00300A5D">
              <w:rPr>
                <w:rFonts w:ascii="Arial" w:hAnsi="Arial" w:cs="Arial"/>
                <w:b/>
                <w:bCs/>
                <w:noProof/>
                <w:sz w:val="24"/>
                <w:szCs w:val="24"/>
              </w:rPr>
              <w:t>16</w:t>
            </w:r>
            <w:r w:rsidRPr="00CD3BDE">
              <w:rPr>
                <w:rFonts w:ascii="Arial" w:hAnsi="Arial" w:cs="Arial"/>
                <w:b/>
                <w:bCs/>
                <w:sz w:val="24"/>
                <w:szCs w:val="24"/>
              </w:rPr>
              <w:fldChar w:fldCharType="end"/>
            </w:r>
          </w:p>
        </w:sdtContent>
      </w:sdt>
    </w:sdtContent>
  </w:sdt>
  <w:p w14:paraId="7909AE51" w14:textId="77777777" w:rsidR="00BD37BB" w:rsidRDefault="00BD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14C8" w14:textId="77777777" w:rsidR="005D61FB" w:rsidRDefault="005D61FB" w:rsidP="0086403F">
      <w:pPr>
        <w:spacing w:after="0" w:line="240" w:lineRule="auto"/>
      </w:pPr>
      <w:r>
        <w:separator/>
      </w:r>
    </w:p>
  </w:footnote>
  <w:footnote w:type="continuationSeparator" w:id="0">
    <w:p w14:paraId="35209FB7" w14:textId="77777777" w:rsidR="005D61FB" w:rsidRDefault="005D61FB" w:rsidP="00864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359A4" w14:textId="778C61D0" w:rsidR="00C32576" w:rsidRDefault="00300A5D">
    <w:pPr>
      <w:pStyle w:val="Header"/>
    </w:pPr>
    <w:r>
      <w:rPr>
        <w:noProof/>
      </w:rPr>
      <w:pict w14:anchorId="6A5FC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500298" o:spid="_x0000_s614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FE188" w14:textId="678591D4" w:rsidR="00C32576" w:rsidRDefault="00300A5D">
    <w:pPr>
      <w:pStyle w:val="Header"/>
    </w:pPr>
    <w:r>
      <w:rPr>
        <w:noProof/>
      </w:rPr>
      <w:pict w14:anchorId="31A37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500299" o:spid="_x0000_s614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F14F" w14:textId="20E0A899" w:rsidR="00C32576" w:rsidRDefault="00300A5D">
    <w:pPr>
      <w:pStyle w:val="Header"/>
    </w:pPr>
    <w:r>
      <w:rPr>
        <w:noProof/>
      </w:rPr>
      <w:pict w14:anchorId="4F80F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5500297" o:spid="_x0000_s614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int2:observations>
    <int2:textHash int2:hashCode="2s5vXI+8vE18qm" int2:id="B5TFiTbw">
      <int2:state int2:type="AugLoop_Text_Critique" int2:value="Rejected"/>
    </int2:textHash>
    <int2:textHash int2:hashCode="59ED/tMe0b3EGa" int2:id="pCrDBwhf">
      <int2:state int2:type="AugLoop_Text_Critique" int2:value="Rejected"/>
    </int2:textHash>
    <int2:textHash int2:hashCode="a3GdK0Ai5jDpyi" int2:id="GPPUkxG4">
      <int2:state int2:type="AugLoop_Text_Critique" int2:value="Rejected"/>
    </int2:textHash>
    <int2:textHash int2:hashCode="4i1KXLv5gEn+1C" int2:id="VgkmoSP9">
      <int2:state int2:type="AugLoop_Text_Critique" int2:value="Rejected"/>
    </int2:textHash>
    <int2:textHash int2:hashCode="/eAco35xAceYQl" int2:id="P9HdZj6j">
      <int2:state int2:type="AugLoop_Text_Critique" int2:value="Rejected"/>
    </int2:textHash>
    <int2:textHash int2:hashCode="nVtsH2eSdcI/aw" int2:id="PHmtwBdl">
      <int2:state int2:type="AugLoop_Text_Critique" int2:value="Rejected"/>
    </int2:textHash>
    <int2:textHash int2:hashCode="fV7iOu05ZrRImQ" int2:id="4kXQjiit">
      <int2:state int2:type="AugLoop_Text_Critique" int2:value="Rejected"/>
    </int2:textHash>
    <int2:textHash int2:hashCode="160BWw+9/59hnf" int2:id="JshDM90Z">
      <int2:state int2:type="AugLoop_Text_Critique" int2:value="Rejected"/>
    </int2:textHash>
    <int2:textHash int2:hashCode="dGACp52Wr8lIxH" int2:id="ZPxdSovV">
      <int2:state int2:type="AugLoop_Text_Critique" int2:value="Rejected"/>
    </int2:textHash>
    <int2:textHash int2:hashCode="lyy5+bIuwcrANb" int2:id="nJtuP7c5">
      <int2:state int2:type="AugLoop_Text_Critique" int2:value="Rejected"/>
    </int2:textHash>
    <int2:textHash int2:hashCode="yeftEOr9K65cAI" int2:id="gJvMD5v5">
      <int2:state int2:type="AugLoop_Text_Critique" int2:value="Rejected"/>
    </int2:textHash>
    <int2:textHash int2:hashCode="eau1i5i5uVReyz" int2:id="ynK6bTRP">
      <int2:state int2:type="AugLoop_Text_Critique" int2:value="Rejected"/>
    </int2:textHash>
    <int2:textHash int2:hashCode="8LTZ8KejK/eOkE" int2:id="K0A84uPO">
      <int2:state int2:type="AugLoop_Text_Critique" int2:value="Rejected"/>
    </int2:textHash>
    <int2:textHash int2:hashCode="StWDryLC59QMHJ" int2:id="BOgyyYlv">
      <int2:state int2:type="AugLoop_Text_Critique" int2:value="Rejected"/>
    </int2:textHash>
    <int2:bookmark int2:bookmarkName="_Int_men5Ehla" int2:invalidationBookmarkName="" int2:hashCode="QnFif08L72EEqV" int2:id="sOuxoRZr">
      <int2:state int2:type="AugLoop_Text_Critique" int2:value="Rejected"/>
    </int2:bookmark>
    <int2:bookmark int2:bookmarkName="_Int_5nlQzsJ6" int2:invalidationBookmarkName="" int2:hashCode="zlKhbhbbvZmKN7" int2:id="RkDPtfri">
      <int2:state int2:type="AugLoop_Text_Critique" int2:value="Rejected"/>
    </int2:bookmark>
    <int2:bookmark int2:bookmarkName="_Int_6MLwZGnx" int2:invalidationBookmarkName="" int2:hashCode="UoZJY0NatBcALw" int2:id="MfV5ULXj">
      <int2:state int2:type="AugLoop_Text_Critique" int2:value="Rejected"/>
    </int2:bookmark>
    <int2:bookmark int2:bookmarkName="_Int_bMZiDX2U" int2:invalidationBookmarkName="" int2:hashCode="7iN8n/J/XNdG6b" int2:id="YSmHRxfZ">
      <int2:state int2:type="AugLoop_Text_Critique" int2:value="Rejected"/>
    </int2:bookmark>
    <int2:bookmark int2:bookmarkName="_Int_VvjR6OKW" int2:invalidationBookmarkName="" int2:hashCode="64dYEoWNJ7Issr" int2:id="EhkoBfNA">
      <int2:state int2:type="AugLoop_Text_Critique" int2:value="Rejected"/>
    </int2:bookmark>
    <int2:bookmark int2:bookmarkName="_Int_w47NlPSp" int2:invalidationBookmarkName="" int2:hashCode="G8nx8WXRF/UKHC" int2:id="PuzYoo9b">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A08"/>
    <w:multiLevelType w:val="hybridMultilevel"/>
    <w:tmpl w:val="279CF31C"/>
    <w:lvl w:ilvl="0" w:tplc="0809000F">
      <w:start w:val="1"/>
      <w:numFmt w:val="decimal"/>
      <w:lvlText w:val="%1."/>
      <w:lvlJc w:val="left"/>
      <w:pPr>
        <w:ind w:left="786" w:hanging="360"/>
      </w:p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 w15:restartNumberingAfterBreak="0">
    <w:nsid w:val="06911E5D"/>
    <w:multiLevelType w:val="hybridMultilevel"/>
    <w:tmpl w:val="BEC8B8DC"/>
    <w:lvl w:ilvl="0" w:tplc="08090001">
      <w:start w:val="1"/>
      <w:numFmt w:val="bullet"/>
      <w:lvlText w:val=""/>
      <w:lvlJc w:val="left"/>
      <w:pPr>
        <w:ind w:left="1495"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82E04D50">
      <w:numFmt w:val="bullet"/>
      <w:lvlText w:val="•"/>
      <w:lvlJc w:val="left"/>
      <w:pPr>
        <w:ind w:left="3240" w:hanging="360"/>
      </w:pPr>
      <w:rPr>
        <w:rFonts w:ascii="Arial" w:eastAsiaTheme="minorHAnsi" w:hAnsi="Arial" w:cs="Aria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0E6D02"/>
    <w:multiLevelType w:val="hybridMultilevel"/>
    <w:tmpl w:val="8044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C4D65"/>
    <w:multiLevelType w:val="hybridMultilevel"/>
    <w:tmpl w:val="9B4E89A0"/>
    <w:lvl w:ilvl="0" w:tplc="5A4809A4">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C12C5"/>
    <w:multiLevelType w:val="hybridMultilevel"/>
    <w:tmpl w:val="6AD87FAA"/>
    <w:lvl w:ilvl="0" w:tplc="D17CF95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B33F92"/>
    <w:multiLevelType w:val="hybridMultilevel"/>
    <w:tmpl w:val="4620A22A"/>
    <w:lvl w:ilvl="0" w:tplc="D17CF95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783EDB"/>
    <w:multiLevelType w:val="hybridMultilevel"/>
    <w:tmpl w:val="13F4F146"/>
    <w:lvl w:ilvl="0" w:tplc="C30083F4">
      <w:start w:val="1"/>
      <w:numFmt w:val="bullet"/>
      <w:lvlText w:val="·"/>
      <w:lvlJc w:val="left"/>
      <w:pPr>
        <w:ind w:left="1440" w:hanging="360"/>
      </w:pPr>
      <w:rPr>
        <w:rFonts w:ascii="Symbol" w:hAnsi="Symbol" w:hint="default"/>
      </w:rPr>
    </w:lvl>
    <w:lvl w:ilvl="1" w:tplc="C2D4B058">
      <w:start w:val="1"/>
      <w:numFmt w:val="bullet"/>
      <w:lvlText w:val="o"/>
      <w:lvlJc w:val="left"/>
      <w:pPr>
        <w:ind w:left="2160" w:hanging="360"/>
      </w:pPr>
      <w:rPr>
        <w:rFonts w:ascii="Courier New" w:hAnsi="Courier New" w:hint="default"/>
      </w:rPr>
    </w:lvl>
    <w:lvl w:ilvl="2" w:tplc="B61E40D4">
      <w:start w:val="1"/>
      <w:numFmt w:val="bullet"/>
      <w:lvlText w:val=""/>
      <w:lvlJc w:val="left"/>
      <w:pPr>
        <w:ind w:left="2880" w:hanging="360"/>
      </w:pPr>
      <w:rPr>
        <w:rFonts w:ascii="Wingdings" w:hAnsi="Wingdings" w:hint="default"/>
      </w:rPr>
    </w:lvl>
    <w:lvl w:ilvl="3" w:tplc="91DC30E4">
      <w:start w:val="1"/>
      <w:numFmt w:val="bullet"/>
      <w:lvlText w:val=""/>
      <w:lvlJc w:val="left"/>
      <w:pPr>
        <w:ind w:left="3600" w:hanging="360"/>
      </w:pPr>
      <w:rPr>
        <w:rFonts w:ascii="Symbol" w:hAnsi="Symbol" w:hint="default"/>
      </w:rPr>
    </w:lvl>
    <w:lvl w:ilvl="4" w:tplc="23CCAC06">
      <w:start w:val="1"/>
      <w:numFmt w:val="bullet"/>
      <w:lvlText w:val="o"/>
      <w:lvlJc w:val="left"/>
      <w:pPr>
        <w:ind w:left="4320" w:hanging="360"/>
      </w:pPr>
      <w:rPr>
        <w:rFonts w:ascii="Courier New" w:hAnsi="Courier New" w:hint="default"/>
      </w:rPr>
    </w:lvl>
    <w:lvl w:ilvl="5" w:tplc="D9486286">
      <w:start w:val="1"/>
      <w:numFmt w:val="bullet"/>
      <w:lvlText w:val=""/>
      <w:lvlJc w:val="left"/>
      <w:pPr>
        <w:ind w:left="5040" w:hanging="360"/>
      </w:pPr>
      <w:rPr>
        <w:rFonts w:ascii="Wingdings" w:hAnsi="Wingdings" w:hint="default"/>
      </w:rPr>
    </w:lvl>
    <w:lvl w:ilvl="6" w:tplc="208AB014">
      <w:start w:val="1"/>
      <w:numFmt w:val="bullet"/>
      <w:lvlText w:val=""/>
      <w:lvlJc w:val="left"/>
      <w:pPr>
        <w:ind w:left="5760" w:hanging="360"/>
      </w:pPr>
      <w:rPr>
        <w:rFonts w:ascii="Symbol" w:hAnsi="Symbol" w:hint="default"/>
      </w:rPr>
    </w:lvl>
    <w:lvl w:ilvl="7" w:tplc="5E02F002">
      <w:start w:val="1"/>
      <w:numFmt w:val="bullet"/>
      <w:lvlText w:val="o"/>
      <w:lvlJc w:val="left"/>
      <w:pPr>
        <w:ind w:left="6480" w:hanging="360"/>
      </w:pPr>
      <w:rPr>
        <w:rFonts w:ascii="Courier New" w:hAnsi="Courier New" w:hint="default"/>
      </w:rPr>
    </w:lvl>
    <w:lvl w:ilvl="8" w:tplc="2964663E">
      <w:start w:val="1"/>
      <w:numFmt w:val="bullet"/>
      <w:lvlText w:val=""/>
      <w:lvlJc w:val="left"/>
      <w:pPr>
        <w:ind w:left="7200" w:hanging="360"/>
      </w:pPr>
      <w:rPr>
        <w:rFonts w:ascii="Wingdings" w:hAnsi="Wingdings" w:hint="default"/>
      </w:rPr>
    </w:lvl>
  </w:abstractNum>
  <w:abstractNum w:abstractNumId="7" w15:restartNumberingAfterBreak="0">
    <w:nsid w:val="19AA52EB"/>
    <w:multiLevelType w:val="hybridMultilevel"/>
    <w:tmpl w:val="A6768AF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8" w15:restartNumberingAfterBreak="0">
    <w:nsid w:val="1D410E0D"/>
    <w:multiLevelType w:val="multilevel"/>
    <w:tmpl w:val="90E4E41A"/>
    <w:lvl w:ilvl="0">
      <w:start w:val="1"/>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02059"/>
    <w:multiLevelType w:val="hybridMultilevel"/>
    <w:tmpl w:val="55A40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E0"/>
    <w:multiLevelType w:val="hybridMultilevel"/>
    <w:tmpl w:val="E16E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A45D2"/>
    <w:multiLevelType w:val="hybridMultilevel"/>
    <w:tmpl w:val="807C9598"/>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6E970F1"/>
    <w:multiLevelType w:val="multilevel"/>
    <w:tmpl w:val="3720432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7F6B13"/>
    <w:multiLevelType w:val="hybridMultilevel"/>
    <w:tmpl w:val="0B6815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8D6634B"/>
    <w:multiLevelType w:val="hybridMultilevel"/>
    <w:tmpl w:val="19ECFC78"/>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5" w15:restartNumberingAfterBreak="0">
    <w:nsid w:val="2EAE0FB6"/>
    <w:multiLevelType w:val="hybridMultilevel"/>
    <w:tmpl w:val="8D48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44F6D"/>
    <w:multiLevelType w:val="hybridMultilevel"/>
    <w:tmpl w:val="E5DCB950"/>
    <w:lvl w:ilvl="0" w:tplc="C36EFD9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E41DC"/>
    <w:multiLevelType w:val="hybridMultilevel"/>
    <w:tmpl w:val="89DC5B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36CDD682"/>
    <w:multiLevelType w:val="hybridMultilevel"/>
    <w:tmpl w:val="71C65688"/>
    <w:lvl w:ilvl="0" w:tplc="F0628A7C">
      <w:start w:val="1"/>
      <w:numFmt w:val="bullet"/>
      <w:lvlText w:val="·"/>
      <w:lvlJc w:val="left"/>
      <w:pPr>
        <w:ind w:left="720" w:hanging="360"/>
      </w:pPr>
      <w:rPr>
        <w:rFonts w:ascii="Symbol" w:hAnsi="Symbol" w:hint="default"/>
      </w:rPr>
    </w:lvl>
    <w:lvl w:ilvl="1" w:tplc="21D8B7E6">
      <w:start w:val="1"/>
      <w:numFmt w:val="bullet"/>
      <w:lvlText w:val="o"/>
      <w:lvlJc w:val="left"/>
      <w:pPr>
        <w:ind w:left="1440" w:hanging="360"/>
      </w:pPr>
      <w:rPr>
        <w:rFonts w:ascii="Courier New" w:hAnsi="Courier New" w:hint="default"/>
      </w:rPr>
    </w:lvl>
    <w:lvl w:ilvl="2" w:tplc="A82AF3B6">
      <w:start w:val="1"/>
      <w:numFmt w:val="bullet"/>
      <w:lvlText w:val=""/>
      <w:lvlJc w:val="left"/>
      <w:pPr>
        <w:ind w:left="2160" w:hanging="360"/>
      </w:pPr>
      <w:rPr>
        <w:rFonts w:ascii="Wingdings" w:hAnsi="Wingdings" w:hint="default"/>
      </w:rPr>
    </w:lvl>
    <w:lvl w:ilvl="3" w:tplc="49885570">
      <w:start w:val="1"/>
      <w:numFmt w:val="bullet"/>
      <w:lvlText w:val=""/>
      <w:lvlJc w:val="left"/>
      <w:pPr>
        <w:ind w:left="2880" w:hanging="360"/>
      </w:pPr>
      <w:rPr>
        <w:rFonts w:ascii="Symbol" w:hAnsi="Symbol" w:hint="default"/>
      </w:rPr>
    </w:lvl>
    <w:lvl w:ilvl="4" w:tplc="414A2A8C">
      <w:start w:val="1"/>
      <w:numFmt w:val="bullet"/>
      <w:lvlText w:val="o"/>
      <w:lvlJc w:val="left"/>
      <w:pPr>
        <w:ind w:left="3600" w:hanging="360"/>
      </w:pPr>
      <w:rPr>
        <w:rFonts w:ascii="Courier New" w:hAnsi="Courier New" w:hint="default"/>
      </w:rPr>
    </w:lvl>
    <w:lvl w:ilvl="5" w:tplc="C868EBF6">
      <w:start w:val="1"/>
      <w:numFmt w:val="bullet"/>
      <w:lvlText w:val=""/>
      <w:lvlJc w:val="left"/>
      <w:pPr>
        <w:ind w:left="4320" w:hanging="360"/>
      </w:pPr>
      <w:rPr>
        <w:rFonts w:ascii="Wingdings" w:hAnsi="Wingdings" w:hint="default"/>
      </w:rPr>
    </w:lvl>
    <w:lvl w:ilvl="6" w:tplc="FE8836CE">
      <w:start w:val="1"/>
      <w:numFmt w:val="bullet"/>
      <w:lvlText w:val=""/>
      <w:lvlJc w:val="left"/>
      <w:pPr>
        <w:ind w:left="5040" w:hanging="360"/>
      </w:pPr>
      <w:rPr>
        <w:rFonts w:ascii="Symbol" w:hAnsi="Symbol" w:hint="default"/>
      </w:rPr>
    </w:lvl>
    <w:lvl w:ilvl="7" w:tplc="F2FE8098">
      <w:start w:val="1"/>
      <w:numFmt w:val="bullet"/>
      <w:lvlText w:val="o"/>
      <w:lvlJc w:val="left"/>
      <w:pPr>
        <w:ind w:left="5760" w:hanging="360"/>
      </w:pPr>
      <w:rPr>
        <w:rFonts w:ascii="Courier New" w:hAnsi="Courier New" w:hint="default"/>
      </w:rPr>
    </w:lvl>
    <w:lvl w:ilvl="8" w:tplc="C0425D76">
      <w:start w:val="1"/>
      <w:numFmt w:val="bullet"/>
      <w:lvlText w:val=""/>
      <w:lvlJc w:val="left"/>
      <w:pPr>
        <w:ind w:left="6480" w:hanging="360"/>
      </w:pPr>
      <w:rPr>
        <w:rFonts w:ascii="Wingdings" w:hAnsi="Wingdings" w:hint="default"/>
      </w:rPr>
    </w:lvl>
  </w:abstractNum>
  <w:abstractNum w:abstractNumId="19" w15:restartNumberingAfterBreak="0">
    <w:nsid w:val="3728418B"/>
    <w:multiLevelType w:val="hybridMultilevel"/>
    <w:tmpl w:val="6E36A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8560018"/>
    <w:multiLevelType w:val="hybridMultilevel"/>
    <w:tmpl w:val="45FC5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A21B95"/>
    <w:multiLevelType w:val="hybridMultilevel"/>
    <w:tmpl w:val="313AC506"/>
    <w:lvl w:ilvl="0" w:tplc="32D213CE">
      <w:start w:val="1"/>
      <w:numFmt w:val="lowerLetter"/>
      <w:lvlText w:val="%1)"/>
      <w:lvlJc w:val="left"/>
      <w:pPr>
        <w:ind w:left="1080" w:hanging="360"/>
      </w:pPr>
      <w:rPr>
        <w:rFonts w:hint="default"/>
        <w:b/>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FA7ABD"/>
    <w:multiLevelType w:val="hybridMultilevel"/>
    <w:tmpl w:val="E9260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304F6"/>
    <w:multiLevelType w:val="multilevel"/>
    <w:tmpl w:val="128E29C8"/>
    <w:lvl w:ilvl="0">
      <w:start w:val="1"/>
      <w:numFmt w:val="decimal"/>
      <w:lvlText w:val="%1."/>
      <w:lvlJc w:val="left"/>
      <w:pPr>
        <w:ind w:left="720" w:hanging="360"/>
      </w:pPr>
      <w:rPr>
        <w:rFonts w:hint="default"/>
      </w:rPr>
    </w:lvl>
    <w:lvl w:ilvl="1">
      <w:start w:val="1"/>
      <w:numFmt w:val="bullet"/>
      <w:lvlText w:val=""/>
      <w:lvlJc w:val="left"/>
      <w:pPr>
        <w:ind w:left="831" w:hanging="40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83647E"/>
    <w:multiLevelType w:val="hybridMultilevel"/>
    <w:tmpl w:val="01185C92"/>
    <w:lvl w:ilvl="0" w:tplc="1D70B3D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E21DAA"/>
    <w:multiLevelType w:val="hybridMultilevel"/>
    <w:tmpl w:val="C03A0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057F3"/>
    <w:multiLevelType w:val="hybridMultilevel"/>
    <w:tmpl w:val="CF6AB6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9DD3481"/>
    <w:multiLevelType w:val="hybridMultilevel"/>
    <w:tmpl w:val="42727678"/>
    <w:lvl w:ilvl="0" w:tplc="52A26EE0">
      <w:start w:val="1"/>
      <w:numFmt w:val="bullet"/>
      <w:lvlText w:val="·"/>
      <w:lvlJc w:val="left"/>
      <w:pPr>
        <w:ind w:left="720" w:hanging="360"/>
      </w:pPr>
      <w:rPr>
        <w:rFonts w:ascii="Symbol" w:hAnsi="Symbol" w:hint="default"/>
      </w:rPr>
    </w:lvl>
    <w:lvl w:ilvl="1" w:tplc="E4BEDAD6">
      <w:start w:val="1"/>
      <w:numFmt w:val="bullet"/>
      <w:lvlText w:val="o"/>
      <w:lvlJc w:val="left"/>
      <w:pPr>
        <w:ind w:left="1440" w:hanging="360"/>
      </w:pPr>
      <w:rPr>
        <w:rFonts w:ascii="Courier New" w:hAnsi="Courier New" w:hint="default"/>
      </w:rPr>
    </w:lvl>
    <w:lvl w:ilvl="2" w:tplc="F95CC0DC">
      <w:start w:val="1"/>
      <w:numFmt w:val="bullet"/>
      <w:lvlText w:val=""/>
      <w:lvlJc w:val="left"/>
      <w:pPr>
        <w:ind w:left="2160" w:hanging="360"/>
      </w:pPr>
      <w:rPr>
        <w:rFonts w:ascii="Wingdings" w:hAnsi="Wingdings" w:hint="default"/>
      </w:rPr>
    </w:lvl>
    <w:lvl w:ilvl="3" w:tplc="7076E00A">
      <w:start w:val="1"/>
      <w:numFmt w:val="bullet"/>
      <w:lvlText w:val=""/>
      <w:lvlJc w:val="left"/>
      <w:pPr>
        <w:ind w:left="2880" w:hanging="360"/>
      </w:pPr>
      <w:rPr>
        <w:rFonts w:ascii="Symbol" w:hAnsi="Symbol" w:hint="default"/>
      </w:rPr>
    </w:lvl>
    <w:lvl w:ilvl="4" w:tplc="7246490A">
      <w:start w:val="1"/>
      <w:numFmt w:val="bullet"/>
      <w:lvlText w:val="o"/>
      <w:lvlJc w:val="left"/>
      <w:pPr>
        <w:ind w:left="3600" w:hanging="360"/>
      </w:pPr>
      <w:rPr>
        <w:rFonts w:ascii="Courier New" w:hAnsi="Courier New" w:hint="default"/>
      </w:rPr>
    </w:lvl>
    <w:lvl w:ilvl="5" w:tplc="5EC879E2">
      <w:start w:val="1"/>
      <w:numFmt w:val="bullet"/>
      <w:lvlText w:val=""/>
      <w:lvlJc w:val="left"/>
      <w:pPr>
        <w:ind w:left="4320" w:hanging="360"/>
      </w:pPr>
      <w:rPr>
        <w:rFonts w:ascii="Wingdings" w:hAnsi="Wingdings" w:hint="default"/>
      </w:rPr>
    </w:lvl>
    <w:lvl w:ilvl="6" w:tplc="7564ECE8">
      <w:start w:val="1"/>
      <w:numFmt w:val="bullet"/>
      <w:lvlText w:val=""/>
      <w:lvlJc w:val="left"/>
      <w:pPr>
        <w:ind w:left="5040" w:hanging="360"/>
      </w:pPr>
      <w:rPr>
        <w:rFonts w:ascii="Symbol" w:hAnsi="Symbol" w:hint="default"/>
      </w:rPr>
    </w:lvl>
    <w:lvl w:ilvl="7" w:tplc="4534388A">
      <w:start w:val="1"/>
      <w:numFmt w:val="bullet"/>
      <w:lvlText w:val="o"/>
      <w:lvlJc w:val="left"/>
      <w:pPr>
        <w:ind w:left="5760" w:hanging="360"/>
      </w:pPr>
      <w:rPr>
        <w:rFonts w:ascii="Courier New" w:hAnsi="Courier New" w:hint="default"/>
      </w:rPr>
    </w:lvl>
    <w:lvl w:ilvl="8" w:tplc="71F43ACE">
      <w:start w:val="1"/>
      <w:numFmt w:val="bullet"/>
      <w:lvlText w:val=""/>
      <w:lvlJc w:val="left"/>
      <w:pPr>
        <w:ind w:left="6480" w:hanging="360"/>
      </w:pPr>
      <w:rPr>
        <w:rFonts w:ascii="Wingdings" w:hAnsi="Wingdings" w:hint="default"/>
      </w:rPr>
    </w:lvl>
  </w:abstractNum>
  <w:abstractNum w:abstractNumId="28" w15:restartNumberingAfterBreak="0">
    <w:nsid w:val="6FDB74BD"/>
    <w:multiLevelType w:val="hybridMultilevel"/>
    <w:tmpl w:val="703AD09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71FD5944"/>
    <w:multiLevelType w:val="multilevel"/>
    <w:tmpl w:val="AFFAA63C"/>
    <w:lvl w:ilvl="0">
      <w:start w:val="15"/>
      <w:numFmt w:val="decimal"/>
      <w:lvlText w:val="%1.0"/>
      <w:lvlJc w:val="left"/>
      <w:pPr>
        <w:ind w:left="1440" w:hanging="720"/>
      </w:pPr>
      <w:rPr>
        <w:rFonts w:hint="default"/>
      </w:rPr>
    </w:lvl>
    <w:lvl w:ilvl="1">
      <w:start w:val="1"/>
      <w:numFmt w:val="decimal"/>
      <w:lvlText w:val="%1.%2"/>
      <w:lvlJc w:val="left"/>
      <w:pPr>
        <w:ind w:left="2160" w:hanging="720"/>
      </w:pPr>
      <w:rPr>
        <w:rFonts w:ascii="Arial" w:hAnsi="Arial" w:cs="Arial" w:hint="default"/>
        <w:b w:val="0"/>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0" w15:restartNumberingAfterBreak="0">
    <w:nsid w:val="7EBF4948"/>
    <w:multiLevelType w:val="hybridMultilevel"/>
    <w:tmpl w:val="642439B2"/>
    <w:lvl w:ilvl="0" w:tplc="CF068D7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8"/>
  </w:num>
  <w:num w:numId="3">
    <w:abstractNumId w:val="6"/>
  </w:num>
  <w:num w:numId="4">
    <w:abstractNumId w:val="24"/>
  </w:num>
  <w:num w:numId="5">
    <w:abstractNumId w:val="3"/>
  </w:num>
  <w:num w:numId="6">
    <w:abstractNumId w:val="12"/>
  </w:num>
  <w:num w:numId="7">
    <w:abstractNumId w:val="8"/>
  </w:num>
  <w:num w:numId="8">
    <w:abstractNumId w:val="7"/>
  </w:num>
  <w:num w:numId="9">
    <w:abstractNumId w:val="11"/>
  </w:num>
  <w:num w:numId="10">
    <w:abstractNumId w:val="26"/>
  </w:num>
  <w:num w:numId="11">
    <w:abstractNumId w:val="1"/>
  </w:num>
  <w:num w:numId="12">
    <w:abstractNumId w:val="16"/>
  </w:num>
  <w:num w:numId="13">
    <w:abstractNumId w:val="23"/>
  </w:num>
  <w:num w:numId="14">
    <w:abstractNumId w:val="17"/>
  </w:num>
  <w:num w:numId="15">
    <w:abstractNumId w:val="29"/>
  </w:num>
  <w:num w:numId="16">
    <w:abstractNumId w:val="28"/>
  </w:num>
  <w:num w:numId="17">
    <w:abstractNumId w:val="25"/>
  </w:num>
  <w:num w:numId="18">
    <w:abstractNumId w:val="20"/>
  </w:num>
  <w:num w:numId="19">
    <w:abstractNumId w:val="5"/>
  </w:num>
  <w:num w:numId="20">
    <w:abstractNumId w:val="22"/>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num>
  <w:num w:numId="23">
    <w:abstractNumId w:val="4"/>
  </w:num>
  <w:num w:numId="24">
    <w:abstractNumId w:val="2"/>
  </w:num>
  <w:num w:numId="25">
    <w:abstractNumId w:val="20"/>
  </w:num>
  <w:num w:numId="26">
    <w:abstractNumId w:val="1"/>
  </w:num>
  <w:num w:numId="2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7"/>
  </w:num>
  <w:num w:numId="30">
    <w:abstractNumId w:val="2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9"/>
  </w:num>
  <w:num w:numId="34">
    <w:abstractNumId w:val="10"/>
  </w:num>
  <w:num w:numId="35">
    <w:abstractNumId w:val="30"/>
  </w:num>
  <w:num w:numId="36">
    <w:abstractNumId w:val="2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3F"/>
    <w:rsid w:val="000064E3"/>
    <w:rsid w:val="0002039C"/>
    <w:rsid w:val="0006461C"/>
    <w:rsid w:val="000A199F"/>
    <w:rsid w:val="000B196A"/>
    <w:rsid w:val="000B1DBD"/>
    <w:rsid w:val="000B713A"/>
    <w:rsid w:val="000B7C5D"/>
    <w:rsid w:val="000C3E6C"/>
    <w:rsid w:val="000C4D3F"/>
    <w:rsid w:val="000C5DAD"/>
    <w:rsid w:val="000F733F"/>
    <w:rsid w:val="001464DE"/>
    <w:rsid w:val="00151187"/>
    <w:rsid w:val="00165675"/>
    <w:rsid w:val="00176856"/>
    <w:rsid w:val="001A0FEB"/>
    <w:rsid w:val="001A1643"/>
    <w:rsid w:val="001A342E"/>
    <w:rsid w:val="001B1158"/>
    <w:rsid w:val="001B628B"/>
    <w:rsid w:val="001D11A4"/>
    <w:rsid w:val="001E0ADD"/>
    <w:rsid w:val="00203A36"/>
    <w:rsid w:val="00214A3B"/>
    <w:rsid w:val="0023603F"/>
    <w:rsid w:val="0023689A"/>
    <w:rsid w:val="002416D8"/>
    <w:rsid w:val="00245845"/>
    <w:rsid w:val="0027602A"/>
    <w:rsid w:val="002A2F51"/>
    <w:rsid w:val="002A6142"/>
    <w:rsid w:val="002D1729"/>
    <w:rsid w:val="00300A5D"/>
    <w:rsid w:val="003114F9"/>
    <w:rsid w:val="003211DB"/>
    <w:rsid w:val="00334083"/>
    <w:rsid w:val="00344C43"/>
    <w:rsid w:val="003451C7"/>
    <w:rsid w:val="00345B0A"/>
    <w:rsid w:val="00350980"/>
    <w:rsid w:val="003527BE"/>
    <w:rsid w:val="003549C0"/>
    <w:rsid w:val="0035705D"/>
    <w:rsid w:val="00367787"/>
    <w:rsid w:val="0038314B"/>
    <w:rsid w:val="003C3185"/>
    <w:rsid w:val="003E02B5"/>
    <w:rsid w:val="003F07AC"/>
    <w:rsid w:val="003F3CBE"/>
    <w:rsid w:val="00402658"/>
    <w:rsid w:val="00407077"/>
    <w:rsid w:val="00423D2B"/>
    <w:rsid w:val="00440658"/>
    <w:rsid w:val="00441903"/>
    <w:rsid w:val="004563B8"/>
    <w:rsid w:val="00473405"/>
    <w:rsid w:val="00473BF2"/>
    <w:rsid w:val="0048438C"/>
    <w:rsid w:val="0049383C"/>
    <w:rsid w:val="00495BD1"/>
    <w:rsid w:val="0049639B"/>
    <w:rsid w:val="004A115A"/>
    <w:rsid w:val="004A71CF"/>
    <w:rsid w:val="004C3771"/>
    <w:rsid w:val="004D4D5A"/>
    <w:rsid w:val="004F2867"/>
    <w:rsid w:val="004F5AF6"/>
    <w:rsid w:val="005020DE"/>
    <w:rsid w:val="0050602F"/>
    <w:rsid w:val="00515106"/>
    <w:rsid w:val="00523012"/>
    <w:rsid w:val="00525DF3"/>
    <w:rsid w:val="0053495D"/>
    <w:rsid w:val="00541F68"/>
    <w:rsid w:val="00560DE1"/>
    <w:rsid w:val="005670C0"/>
    <w:rsid w:val="00573A1D"/>
    <w:rsid w:val="00577818"/>
    <w:rsid w:val="00591920"/>
    <w:rsid w:val="005A7CC2"/>
    <w:rsid w:val="005D61FB"/>
    <w:rsid w:val="005D66A1"/>
    <w:rsid w:val="005E5007"/>
    <w:rsid w:val="005E66DE"/>
    <w:rsid w:val="005F7E74"/>
    <w:rsid w:val="00607167"/>
    <w:rsid w:val="0062609E"/>
    <w:rsid w:val="0064254D"/>
    <w:rsid w:val="00661508"/>
    <w:rsid w:val="00680230"/>
    <w:rsid w:val="006B0921"/>
    <w:rsid w:val="006D3EB9"/>
    <w:rsid w:val="006D6AB7"/>
    <w:rsid w:val="006E012D"/>
    <w:rsid w:val="0070002D"/>
    <w:rsid w:val="00732046"/>
    <w:rsid w:val="00735D5D"/>
    <w:rsid w:val="00737A9D"/>
    <w:rsid w:val="00753416"/>
    <w:rsid w:val="00790789"/>
    <w:rsid w:val="007C0585"/>
    <w:rsid w:val="007C69F0"/>
    <w:rsid w:val="007D1DAC"/>
    <w:rsid w:val="007D5099"/>
    <w:rsid w:val="007F3667"/>
    <w:rsid w:val="008009BA"/>
    <w:rsid w:val="00817A6B"/>
    <w:rsid w:val="00823A9A"/>
    <w:rsid w:val="00842BE7"/>
    <w:rsid w:val="0086403F"/>
    <w:rsid w:val="00873FD1"/>
    <w:rsid w:val="008A0D70"/>
    <w:rsid w:val="008B0F45"/>
    <w:rsid w:val="008B2A68"/>
    <w:rsid w:val="008B2E88"/>
    <w:rsid w:val="008B53ED"/>
    <w:rsid w:val="008E295F"/>
    <w:rsid w:val="008F4C1C"/>
    <w:rsid w:val="00931970"/>
    <w:rsid w:val="009526CC"/>
    <w:rsid w:val="00976BA2"/>
    <w:rsid w:val="00997684"/>
    <w:rsid w:val="009A75F4"/>
    <w:rsid w:val="009C2804"/>
    <w:rsid w:val="009C543C"/>
    <w:rsid w:val="00A0397C"/>
    <w:rsid w:val="00A247AF"/>
    <w:rsid w:val="00A36FB6"/>
    <w:rsid w:val="00A87C5C"/>
    <w:rsid w:val="00AA6046"/>
    <w:rsid w:val="00AB1ED6"/>
    <w:rsid w:val="00AB38D2"/>
    <w:rsid w:val="00AB5CA4"/>
    <w:rsid w:val="00AB6EF5"/>
    <w:rsid w:val="00AF3F59"/>
    <w:rsid w:val="00B07CF4"/>
    <w:rsid w:val="00B21155"/>
    <w:rsid w:val="00B26604"/>
    <w:rsid w:val="00B54547"/>
    <w:rsid w:val="00B651C9"/>
    <w:rsid w:val="00B71DEA"/>
    <w:rsid w:val="00B82A60"/>
    <w:rsid w:val="00B82D5A"/>
    <w:rsid w:val="00BB5B82"/>
    <w:rsid w:val="00BC4D84"/>
    <w:rsid w:val="00BD37BB"/>
    <w:rsid w:val="00BD3E7D"/>
    <w:rsid w:val="00BE6A2E"/>
    <w:rsid w:val="00BF30AF"/>
    <w:rsid w:val="00C16CDD"/>
    <w:rsid w:val="00C2057D"/>
    <w:rsid w:val="00C32401"/>
    <w:rsid w:val="00C32576"/>
    <w:rsid w:val="00C34531"/>
    <w:rsid w:val="00C4422D"/>
    <w:rsid w:val="00C47115"/>
    <w:rsid w:val="00C66CEB"/>
    <w:rsid w:val="00C80957"/>
    <w:rsid w:val="00C947CC"/>
    <w:rsid w:val="00CA0783"/>
    <w:rsid w:val="00CB6960"/>
    <w:rsid w:val="00CC3F4E"/>
    <w:rsid w:val="00CD30F6"/>
    <w:rsid w:val="00CD3BDE"/>
    <w:rsid w:val="00CD5009"/>
    <w:rsid w:val="00CD5794"/>
    <w:rsid w:val="00CE25D6"/>
    <w:rsid w:val="00CE4ECD"/>
    <w:rsid w:val="00D10BF5"/>
    <w:rsid w:val="00D313DF"/>
    <w:rsid w:val="00D72428"/>
    <w:rsid w:val="00DA0B3A"/>
    <w:rsid w:val="00DA33F3"/>
    <w:rsid w:val="00DA5E85"/>
    <w:rsid w:val="00DB3509"/>
    <w:rsid w:val="00DE76D9"/>
    <w:rsid w:val="00E01322"/>
    <w:rsid w:val="00E07B27"/>
    <w:rsid w:val="00E507ED"/>
    <w:rsid w:val="00EA47A4"/>
    <w:rsid w:val="00EA5999"/>
    <w:rsid w:val="00EC4ADA"/>
    <w:rsid w:val="00EC7C19"/>
    <w:rsid w:val="00ED4637"/>
    <w:rsid w:val="00EE08C6"/>
    <w:rsid w:val="00EE3404"/>
    <w:rsid w:val="00EE4A72"/>
    <w:rsid w:val="00EE6B91"/>
    <w:rsid w:val="00EE7D59"/>
    <w:rsid w:val="00F0059E"/>
    <w:rsid w:val="00F31AE3"/>
    <w:rsid w:val="00F44DC5"/>
    <w:rsid w:val="00F6106B"/>
    <w:rsid w:val="00F6688F"/>
    <w:rsid w:val="00F82B65"/>
    <w:rsid w:val="00F85DC7"/>
    <w:rsid w:val="00FB2129"/>
    <w:rsid w:val="00FBB8DB"/>
    <w:rsid w:val="00FD7D22"/>
    <w:rsid w:val="00FE7BBD"/>
    <w:rsid w:val="00FF16AE"/>
    <w:rsid w:val="00FF4C17"/>
    <w:rsid w:val="012B06D8"/>
    <w:rsid w:val="012F26EB"/>
    <w:rsid w:val="022221B7"/>
    <w:rsid w:val="02671A41"/>
    <w:rsid w:val="0552A416"/>
    <w:rsid w:val="05EB2807"/>
    <w:rsid w:val="06D9A3B6"/>
    <w:rsid w:val="077810C4"/>
    <w:rsid w:val="084E66D2"/>
    <w:rsid w:val="088FD507"/>
    <w:rsid w:val="08EDA263"/>
    <w:rsid w:val="091706DF"/>
    <w:rsid w:val="0A1E2D52"/>
    <w:rsid w:val="0A48C6F8"/>
    <w:rsid w:val="0A9F312D"/>
    <w:rsid w:val="0B0FA831"/>
    <w:rsid w:val="0B491DF9"/>
    <w:rsid w:val="0C40353C"/>
    <w:rsid w:val="0CD6C292"/>
    <w:rsid w:val="0DCB5FD2"/>
    <w:rsid w:val="0DFF5396"/>
    <w:rsid w:val="0E3E2144"/>
    <w:rsid w:val="0F64DCCE"/>
    <w:rsid w:val="0F742911"/>
    <w:rsid w:val="0FBC3602"/>
    <w:rsid w:val="0FC14AB8"/>
    <w:rsid w:val="111A63E5"/>
    <w:rsid w:val="1164C503"/>
    <w:rsid w:val="11988B30"/>
    <w:rsid w:val="12214AC9"/>
    <w:rsid w:val="12FCF330"/>
    <w:rsid w:val="133121B6"/>
    <w:rsid w:val="13B5BA15"/>
    <w:rsid w:val="14CCEF18"/>
    <w:rsid w:val="16280839"/>
    <w:rsid w:val="167F841A"/>
    <w:rsid w:val="16BCED51"/>
    <w:rsid w:val="171C1F97"/>
    <w:rsid w:val="172D2032"/>
    <w:rsid w:val="1863C6AC"/>
    <w:rsid w:val="19267470"/>
    <w:rsid w:val="19A9ADFB"/>
    <w:rsid w:val="1A0EF6E0"/>
    <w:rsid w:val="1A1DC7E2"/>
    <w:rsid w:val="1AA71E72"/>
    <w:rsid w:val="1AC033FE"/>
    <w:rsid w:val="1AEAF892"/>
    <w:rsid w:val="1B761DEE"/>
    <w:rsid w:val="1B8B7F63"/>
    <w:rsid w:val="1C65779E"/>
    <w:rsid w:val="1D4EC237"/>
    <w:rsid w:val="1D56A179"/>
    <w:rsid w:val="1D82B5FB"/>
    <w:rsid w:val="1DD658F8"/>
    <w:rsid w:val="1E0147FF"/>
    <w:rsid w:val="1E9CEA82"/>
    <w:rsid w:val="1EA24C93"/>
    <w:rsid w:val="1EDC567C"/>
    <w:rsid w:val="1F350104"/>
    <w:rsid w:val="1FB371F7"/>
    <w:rsid w:val="20542374"/>
    <w:rsid w:val="2105EB1C"/>
    <w:rsid w:val="21B2F0C6"/>
    <w:rsid w:val="232058ED"/>
    <w:rsid w:val="23307972"/>
    <w:rsid w:val="2365D7C0"/>
    <w:rsid w:val="24E4C064"/>
    <w:rsid w:val="24FDFBAC"/>
    <w:rsid w:val="26908A1D"/>
    <w:rsid w:val="2699CC0D"/>
    <w:rsid w:val="2776EF28"/>
    <w:rsid w:val="28359C6E"/>
    <w:rsid w:val="286A1065"/>
    <w:rsid w:val="28806BA0"/>
    <w:rsid w:val="290E00A5"/>
    <w:rsid w:val="29440E67"/>
    <w:rsid w:val="29D7825D"/>
    <w:rsid w:val="29FB05BA"/>
    <w:rsid w:val="2A73FCB9"/>
    <w:rsid w:val="2ABC01B2"/>
    <w:rsid w:val="2AF45000"/>
    <w:rsid w:val="2B7FBA2F"/>
    <w:rsid w:val="2C5500B0"/>
    <w:rsid w:val="2D1778FE"/>
    <w:rsid w:val="2D593569"/>
    <w:rsid w:val="2D766E7B"/>
    <w:rsid w:val="2E271489"/>
    <w:rsid w:val="2E8E8453"/>
    <w:rsid w:val="2EA61394"/>
    <w:rsid w:val="2EACE0FD"/>
    <w:rsid w:val="2EEF6D47"/>
    <w:rsid w:val="2F812F55"/>
    <w:rsid w:val="2FC7C123"/>
    <w:rsid w:val="30BFA8DF"/>
    <w:rsid w:val="31BE8764"/>
    <w:rsid w:val="32BF3D07"/>
    <w:rsid w:val="32CD76C5"/>
    <w:rsid w:val="32DC1756"/>
    <w:rsid w:val="332CD678"/>
    <w:rsid w:val="339744D0"/>
    <w:rsid w:val="35836AFD"/>
    <w:rsid w:val="360DDEB9"/>
    <w:rsid w:val="36801E5F"/>
    <w:rsid w:val="3696A325"/>
    <w:rsid w:val="36AA3E07"/>
    <w:rsid w:val="38823589"/>
    <w:rsid w:val="38BD48FD"/>
    <w:rsid w:val="38D5970D"/>
    <w:rsid w:val="392E5729"/>
    <w:rsid w:val="39AAADBC"/>
    <w:rsid w:val="3A3F6417"/>
    <w:rsid w:val="3A52722E"/>
    <w:rsid w:val="3ACB1EBC"/>
    <w:rsid w:val="3AE4B3FA"/>
    <w:rsid w:val="3C5DFB90"/>
    <w:rsid w:val="3C60A205"/>
    <w:rsid w:val="3C99555E"/>
    <w:rsid w:val="3D35139F"/>
    <w:rsid w:val="3EA88FEB"/>
    <w:rsid w:val="3EC2F802"/>
    <w:rsid w:val="3F4A6DD1"/>
    <w:rsid w:val="4021C859"/>
    <w:rsid w:val="40B9D541"/>
    <w:rsid w:val="40CC0DB1"/>
    <w:rsid w:val="415FF579"/>
    <w:rsid w:val="42CD3D14"/>
    <w:rsid w:val="42CEF068"/>
    <w:rsid w:val="42D7FDF6"/>
    <w:rsid w:val="42FBC5DA"/>
    <w:rsid w:val="43438894"/>
    <w:rsid w:val="449D816C"/>
    <w:rsid w:val="464F6D2B"/>
    <w:rsid w:val="469BF7B3"/>
    <w:rsid w:val="475530AE"/>
    <w:rsid w:val="47D7BBFB"/>
    <w:rsid w:val="49D4BBB0"/>
    <w:rsid w:val="4A3C173A"/>
    <w:rsid w:val="4B12B5FE"/>
    <w:rsid w:val="4B708C11"/>
    <w:rsid w:val="4BA3F40E"/>
    <w:rsid w:val="4BABBB37"/>
    <w:rsid w:val="4C1004AE"/>
    <w:rsid w:val="4CA3192A"/>
    <w:rsid w:val="4CA438C7"/>
    <w:rsid w:val="4D028E17"/>
    <w:rsid w:val="4D4AC130"/>
    <w:rsid w:val="4E17DD41"/>
    <w:rsid w:val="4EA82CD3"/>
    <w:rsid w:val="4F0F885D"/>
    <w:rsid w:val="4F176DA7"/>
    <w:rsid w:val="5096411F"/>
    <w:rsid w:val="50AB58BE"/>
    <w:rsid w:val="50D5FA53"/>
    <w:rsid w:val="517916EE"/>
    <w:rsid w:val="51F16CAE"/>
    <w:rsid w:val="52208286"/>
    <w:rsid w:val="5247291F"/>
    <w:rsid w:val="526C14CB"/>
    <w:rsid w:val="530ACF2B"/>
    <w:rsid w:val="5314E74F"/>
    <w:rsid w:val="531FC25B"/>
    <w:rsid w:val="53C905C4"/>
    <w:rsid w:val="546DE37D"/>
    <w:rsid w:val="54865B1A"/>
    <w:rsid w:val="54BB92BC"/>
    <w:rsid w:val="55035CDE"/>
    <w:rsid w:val="558D1104"/>
    <w:rsid w:val="55A26910"/>
    <w:rsid w:val="55FA9239"/>
    <w:rsid w:val="564C8811"/>
    <w:rsid w:val="56E96E84"/>
    <w:rsid w:val="570F8DE1"/>
    <w:rsid w:val="57414DF8"/>
    <w:rsid w:val="5757CB6E"/>
    <w:rsid w:val="583D5300"/>
    <w:rsid w:val="5847B582"/>
    <w:rsid w:val="58AB5E42"/>
    <w:rsid w:val="598428D3"/>
    <w:rsid w:val="59A51F3D"/>
    <w:rsid w:val="5A0E010B"/>
    <w:rsid w:val="5A6BDA9E"/>
    <w:rsid w:val="5B008A74"/>
    <w:rsid w:val="5B391124"/>
    <w:rsid w:val="5B8E9D61"/>
    <w:rsid w:val="5C87AD03"/>
    <w:rsid w:val="5C9230AA"/>
    <w:rsid w:val="5C9663D6"/>
    <w:rsid w:val="5D24CE52"/>
    <w:rsid w:val="5D605D0F"/>
    <w:rsid w:val="5DCF4A1D"/>
    <w:rsid w:val="5E3A3D67"/>
    <w:rsid w:val="5EE3FF20"/>
    <w:rsid w:val="5F00AE1B"/>
    <w:rsid w:val="5F2EC7A2"/>
    <w:rsid w:val="5F3F34E7"/>
    <w:rsid w:val="6023914C"/>
    <w:rsid w:val="6038279E"/>
    <w:rsid w:val="6055B0B1"/>
    <w:rsid w:val="60E263D7"/>
    <w:rsid w:val="613312AB"/>
    <w:rsid w:val="61B7E4AE"/>
    <w:rsid w:val="61E49C59"/>
    <w:rsid w:val="629827AF"/>
    <w:rsid w:val="62A2BB40"/>
    <w:rsid w:val="640CC2AA"/>
    <w:rsid w:val="648EAC17"/>
    <w:rsid w:val="65DE0C7B"/>
    <w:rsid w:val="665DE296"/>
    <w:rsid w:val="67B44C92"/>
    <w:rsid w:val="68EE92D8"/>
    <w:rsid w:val="6A6E6606"/>
    <w:rsid w:val="6BA43391"/>
    <w:rsid w:val="6CF0BDEB"/>
    <w:rsid w:val="6D07680D"/>
    <w:rsid w:val="6D25C86B"/>
    <w:rsid w:val="7069BC70"/>
    <w:rsid w:val="71051F21"/>
    <w:rsid w:val="71903A13"/>
    <w:rsid w:val="72EE9D45"/>
    <w:rsid w:val="73008A05"/>
    <w:rsid w:val="731FCB4D"/>
    <w:rsid w:val="73223761"/>
    <w:rsid w:val="7379435E"/>
    <w:rsid w:val="738DD9B0"/>
    <w:rsid w:val="7402A11C"/>
    <w:rsid w:val="7413C22D"/>
    <w:rsid w:val="74712B1A"/>
    <w:rsid w:val="74971EFB"/>
    <w:rsid w:val="7533E881"/>
    <w:rsid w:val="760E92F4"/>
    <w:rsid w:val="761AF77D"/>
    <w:rsid w:val="76263E07"/>
    <w:rsid w:val="7723908A"/>
    <w:rsid w:val="776745FB"/>
    <w:rsid w:val="780558D5"/>
    <w:rsid w:val="78E9CB43"/>
    <w:rsid w:val="79449C3D"/>
    <w:rsid w:val="7A134AA3"/>
    <w:rsid w:val="7AC89086"/>
    <w:rsid w:val="7AF9AF2A"/>
    <w:rsid w:val="7B4440D2"/>
    <w:rsid w:val="7B6B2CE6"/>
    <w:rsid w:val="7BFE32B4"/>
    <w:rsid w:val="7C79BB68"/>
    <w:rsid w:val="7CA6FB1F"/>
    <w:rsid w:val="7CBAA8BC"/>
    <w:rsid w:val="7D13939D"/>
    <w:rsid w:val="7D353A6A"/>
    <w:rsid w:val="7D7FEA77"/>
    <w:rsid w:val="7EB49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4A80E585"/>
  <w15:chartTrackingRefBased/>
  <w15:docId w15:val="{312D015F-C99F-41F5-B854-720DF4EE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403F"/>
    <w:pPr>
      <w:keepNext/>
      <w:keepLines/>
      <w:numPr>
        <w:numId w:val="5"/>
      </w:numPr>
      <w:spacing w:before="240" w:after="0"/>
      <w:ind w:left="360"/>
      <w:outlineLvl w:val="0"/>
    </w:pPr>
    <w:rPr>
      <w:rFonts w:ascii="Arial" w:eastAsiaTheme="majorEastAsia" w:hAnsi="Arial" w:cstheme="majorBidi"/>
      <w:b/>
      <w:color w:val="000000" w:themeColor="text1"/>
      <w:sz w:val="24"/>
      <w:szCs w:val="32"/>
    </w:rPr>
  </w:style>
  <w:style w:type="paragraph" w:styleId="Heading2">
    <w:name w:val="heading 2"/>
    <w:basedOn w:val="Normal"/>
    <w:next w:val="Normal"/>
    <w:link w:val="Heading2Char"/>
    <w:uiPriority w:val="9"/>
    <w:unhideWhenUsed/>
    <w:qFormat/>
    <w:rsid w:val="0086403F"/>
    <w:pPr>
      <w:keepNext/>
      <w:keepLines/>
      <w:spacing w:before="40" w:after="0"/>
      <w:outlineLvl w:val="1"/>
    </w:pPr>
    <w:rPr>
      <w:rFonts w:ascii="Arial" w:eastAsiaTheme="majorEastAsia" w:hAnsi="Arial" w:cstheme="majorBidi"/>
      <w:color w:val="000000" w:themeColor="text1"/>
      <w:sz w:val="24"/>
      <w:szCs w:val="26"/>
      <w:u w:val="single"/>
    </w:rPr>
  </w:style>
  <w:style w:type="paragraph" w:styleId="Heading3">
    <w:name w:val="heading 3"/>
    <w:aliases w:val="Body"/>
    <w:basedOn w:val="Normal"/>
    <w:next w:val="Normal"/>
    <w:link w:val="Heading3Char"/>
    <w:uiPriority w:val="9"/>
    <w:unhideWhenUsed/>
    <w:qFormat/>
    <w:rsid w:val="0086403F"/>
    <w:pPr>
      <w:keepNext/>
      <w:keepLines/>
      <w:spacing w:before="40" w:after="0"/>
      <w:outlineLvl w:val="2"/>
    </w:pPr>
    <w:rPr>
      <w:rFonts w:ascii="Arial" w:eastAsiaTheme="majorEastAsia" w:hAnsi="Arial"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03F"/>
    <w:rPr>
      <w:rFonts w:ascii="Arial" w:eastAsiaTheme="majorEastAsia" w:hAnsi="Arial" w:cstheme="majorBidi"/>
      <w:b/>
      <w:color w:val="000000" w:themeColor="text1"/>
      <w:sz w:val="24"/>
      <w:szCs w:val="32"/>
      <w:lang w:val="en-GB"/>
    </w:rPr>
  </w:style>
  <w:style w:type="character" w:customStyle="1" w:styleId="Heading2Char">
    <w:name w:val="Heading 2 Char"/>
    <w:basedOn w:val="DefaultParagraphFont"/>
    <w:link w:val="Heading2"/>
    <w:uiPriority w:val="9"/>
    <w:rsid w:val="0086403F"/>
    <w:rPr>
      <w:rFonts w:ascii="Arial" w:eastAsiaTheme="majorEastAsia" w:hAnsi="Arial" w:cstheme="majorBidi"/>
      <w:color w:val="000000" w:themeColor="text1"/>
      <w:sz w:val="24"/>
      <w:szCs w:val="26"/>
      <w:u w:val="single"/>
      <w:lang w:val="en-GB"/>
    </w:rPr>
  </w:style>
  <w:style w:type="character" w:customStyle="1" w:styleId="Heading3Char">
    <w:name w:val="Heading 3 Char"/>
    <w:aliases w:val="Body Char"/>
    <w:basedOn w:val="DefaultParagraphFont"/>
    <w:link w:val="Heading3"/>
    <w:uiPriority w:val="9"/>
    <w:rsid w:val="0086403F"/>
    <w:rPr>
      <w:rFonts w:ascii="Arial" w:eastAsiaTheme="majorEastAsia" w:hAnsi="Arial" w:cstheme="majorBidi"/>
      <w:color w:val="000000" w:themeColor="text1"/>
      <w:sz w:val="24"/>
      <w:szCs w:val="24"/>
      <w:lang w:val="en-GB"/>
    </w:rPr>
  </w:style>
  <w:style w:type="paragraph" w:styleId="TOCHeading">
    <w:name w:val="TOC Heading"/>
    <w:basedOn w:val="Heading1"/>
    <w:next w:val="Normal"/>
    <w:uiPriority w:val="39"/>
    <w:unhideWhenUsed/>
    <w:qFormat/>
    <w:rsid w:val="0086403F"/>
    <w:pPr>
      <w:numPr>
        <w:numId w:val="0"/>
      </w:num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73BF2"/>
    <w:pPr>
      <w:tabs>
        <w:tab w:val="left" w:pos="440"/>
        <w:tab w:val="right" w:leader="dot" w:pos="9016"/>
      </w:tabs>
      <w:spacing w:after="100"/>
    </w:pPr>
  </w:style>
  <w:style w:type="character" w:styleId="Hyperlink">
    <w:name w:val="Hyperlink"/>
    <w:basedOn w:val="DefaultParagraphFont"/>
    <w:uiPriority w:val="99"/>
    <w:unhideWhenUsed/>
    <w:rsid w:val="0086403F"/>
    <w:rPr>
      <w:color w:val="0563C1" w:themeColor="hyperlink"/>
      <w:u w:val="single"/>
    </w:rPr>
  </w:style>
  <w:style w:type="paragraph" w:styleId="FootnoteText">
    <w:name w:val="footnote text"/>
    <w:basedOn w:val="Normal"/>
    <w:link w:val="FootnoteTextChar"/>
    <w:semiHidden/>
    <w:unhideWhenUsed/>
    <w:rsid w:val="0086403F"/>
    <w:pPr>
      <w:spacing w:after="0" w:line="240" w:lineRule="auto"/>
    </w:pPr>
    <w:rPr>
      <w:rFonts w:ascii="Calibri" w:hAnsi="Calibri"/>
      <w:sz w:val="20"/>
      <w:szCs w:val="20"/>
    </w:rPr>
  </w:style>
  <w:style w:type="character" w:customStyle="1" w:styleId="FootnoteTextChar">
    <w:name w:val="Footnote Text Char"/>
    <w:basedOn w:val="DefaultParagraphFont"/>
    <w:link w:val="FootnoteText"/>
    <w:semiHidden/>
    <w:rsid w:val="0086403F"/>
    <w:rPr>
      <w:rFonts w:ascii="Calibri" w:hAnsi="Calibri"/>
      <w:sz w:val="20"/>
      <w:szCs w:val="20"/>
      <w:lang w:val="en-GB"/>
    </w:rPr>
  </w:style>
  <w:style w:type="character" w:styleId="FootnoteReference">
    <w:name w:val="footnote reference"/>
    <w:basedOn w:val="DefaultParagraphFont"/>
    <w:uiPriority w:val="99"/>
    <w:semiHidden/>
    <w:unhideWhenUsed/>
    <w:rsid w:val="0086403F"/>
    <w:rPr>
      <w:vertAlign w:val="superscript"/>
    </w:rPr>
  </w:style>
  <w:style w:type="paragraph" w:styleId="ListParagraph">
    <w:name w:val="List Paragraph"/>
    <w:basedOn w:val="Normal"/>
    <w:uiPriority w:val="34"/>
    <w:qFormat/>
    <w:rsid w:val="0086403F"/>
    <w:pPr>
      <w:spacing w:after="200" w:line="276" w:lineRule="auto"/>
      <w:ind w:left="720"/>
      <w:contextualSpacing/>
    </w:pPr>
    <w:rPr>
      <w:rFonts w:ascii="Arial" w:hAnsi="Arial"/>
      <w:sz w:val="24"/>
    </w:rPr>
  </w:style>
  <w:style w:type="paragraph" w:styleId="CommentText">
    <w:name w:val="annotation text"/>
    <w:basedOn w:val="Normal"/>
    <w:link w:val="CommentTextChar"/>
    <w:uiPriority w:val="99"/>
    <w:unhideWhenUsed/>
    <w:rsid w:val="0086403F"/>
    <w:pPr>
      <w:spacing w:after="200" w:line="240" w:lineRule="auto"/>
    </w:pPr>
    <w:rPr>
      <w:rFonts w:ascii="Arial" w:hAnsi="Arial"/>
      <w:sz w:val="20"/>
      <w:szCs w:val="20"/>
    </w:rPr>
  </w:style>
  <w:style w:type="character" w:customStyle="1" w:styleId="CommentTextChar">
    <w:name w:val="Comment Text Char"/>
    <w:basedOn w:val="DefaultParagraphFont"/>
    <w:link w:val="CommentText"/>
    <w:uiPriority w:val="99"/>
    <w:rsid w:val="0086403F"/>
    <w:rPr>
      <w:rFonts w:ascii="Arial" w:hAnsi="Arial"/>
      <w:sz w:val="20"/>
      <w:szCs w:val="20"/>
      <w:lang w:val="en-GB"/>
    </w:rPr>
  </w:style>
  <w:style w:type="character" w:styleId="CommentReference">
    <w:name w:val="annotation reference"/>
    <w:basedOn w:val="DefaultParagraphFont"/>
    <w:uiPriority w:val="99"/>
    <w:semiHidden/>
    <w:unhideWhenUsed/>
    <w:rsid w:val="0086403F"/>
    <w:rPr>
      <w:sz w:val="16"/>
      <w:szCs w:val="16"/>
    </w:rPr>
  </w:style>
  <w:style w:type="paragraph" w:styleId="BalloonText">
    <w:name w:val="Balloon Text"/>
    <w:basedOn w:val="Normal"/>
    <w:link w:val="BalloonTextChar"/>
    <w:uiPriority w:val="99"/>
    <w:semiHidden/>
    <w:unhideWhenUsed/>
    <w:rsid w:val="00864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03F"/>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CA0783"/>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CA0783"/>
    <w:rPr>
      <w:rFonts w:ascii="Arial" w:hAnsi="Arial"/>
      <w:b/>
      <w:bCs/>
      <w:sz w:val="20"/>
      <w:szCs w:val="20"/>
      <w:lang w:val="en-GB"/>
    </w:rPr>
  </w:style>
  <w:style w:type="paragraph" w:styleId="NoSpacing">
    <w:name w:val="No Spacing"/>
    <w:uiPriority w:val="1"/>
    <w:qFormat/>
    <w:rsid w:val="00165675"/>
    <w:pPr>
      <w:spacing w:after="0" w:line="240" w:lineRule="auto"/>
    </w:pPr>
    <w:rPr>
      <w:lang w:val="en-GB"/>
    </w:rPr>
  </w:style>
  <w:style w:type="paragraph" w:styleId="TOC2">
    <w:name w:val="toc 2"/>
    <w:basedOn w:val="Normal"/>
    <w:next w:val="Normal"/>
    <w:autoRedefine/>
    <w:uiPriority w:val="39"/>
    <w:unhideWhenUsed/>
    <w:rsid w:val="000C4D3F"/>
    <w:pPr>
      <w:spacing w:after="100"/>
      <w:ind w:left="220"/>
    </w:pPr>
  </w:style>
  <w:style w:type="table" w:styleId="TableGrid">
    <w:name w:val="Table Grid"/>
    <w:basedOn w:val="TableNormal"/>
    <w:uiPriority w:val="39"/>
    <w:rsid w:val="000C5DA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7BE"/>
    <w:rPr>
      <w:lang w:val="en-GB"/>
    </w:rPr>
  </w:style>
  <w:style w:type="paragraph" w:styleId="Footer">
    <w:name w:val="footer"/>
    <w:basedOn w:val="Normal"/>
    <w:link w:val="FooterChar"/>
    <w:uiPriority w:val="99"/>
    <w:unhideWhenUsed/>
    <w:rsid w:val="00352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7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12108">
      <w:bodyDiv w:val="1"/>
      <w:marLeft w:val="0"/>
      <w:marRight w:val="0"/>
      <w:marTop w:val="0"/>
      <w:marBottom w:val="0"/>
      <w:divBdr>
        <w:top w:val="none" w:sz="0" w:space="0" w:color="auto"/>
        <w:left w:val="none" w:sz="0" w:space="0" w:color="auto"/>
        <w:bottom w:val="none" w:sz="0" w:space="0" w:color="auto"/>
        <w:right w:val="none" w:sz="0" w:space="0" w:color="auto"/>
      </w:divBdr>
    </w:div>
    <w:div w:id="626357675">
      <w:bodyDiv w:val="1"/>
      <w:marLeft w:val="0"/>
      <w:marRight w:val="0"/>
      <w:marTop w:val="0"/>
      <w:marBottom w:val="0"/>
      <w:divBdr>
        <w:top w:val="none" w:sz="0" w:space="0" w:color="auto"/>
        <w:left w:val="none" w:sz="0" w:space="0" w:color="auto"/>
        <w:bottom w:val="none" w:sz="0" w:space="0" w:color="auto"/>
        <w:right w:val="none" w:sz="0" w:space="0" w:color="auto"/>
      </w:divBdr>
    </w:div>
    <w:div w:id="687565847">
      <w:bodyDiv w:val="1"/>
      <w:marLeft w:val="0"/>
      <w:marRight w:val="0"/>
      <w:marTop w:val="0"/>
      <w:marBottom w:val="0"/>
      <w:divBdr>
        <w:top w:val="none" w:sz="0" w:space="0" w:color="auto"/>
        <w:left w:val="none" w:sz="0" w:space="0" w:color="auto"/>
        <w:bottom w:val="none" w:sz="0" w:space="0" w:color="auto"/>
        <w:right w:val="none" w:sz="0" w:space="0" w:color="auto"/>
      </w:divBdr>
    </w:div>
    <w:div w:id="824785656">
      <w:bodyDiv w:val="1"/>
      <w:marLeft w:val="0"/>
      <w:marRight w:val="0"/>
      <w:marTop w:val="0"/>
      <w:marBottom w:val="0"/>
      <w:divBdr>
        <w:top w:val="none" w:sz="0" w:space="0" w:color="auto"/>
        <w:left w:val="none" w:sz="0" w:space="0" w:color="auto"/>
        <w:bottom w:val="none" w:sz="0" w:space="0" w:color="auto"/>
        <w:right w:val="none" w:sz="0" w:space="0" w:color="auto"/>
      </w:divBdr>
    </w:div>
    <w:div w:id="936863332">
      <w:bodyDiv w:val="1"/>
      <w:marLeft w:val="0"/>
      <w:marRight w:val="0"/>
      <w:marTop w:val="0"/>
      <w:marBottom w:val="0"/>
      <w:divBdr>
        <w:top w:val="none" w:sz="0" w:space="0" w:color="auto"/>
        <w:left w:val="none" w:sz="0" w:space="0" w:color="auto"/>
        <w:bottom w:val="none" w:sz="0" w:space="0" w:color="auto"/>
        <w:right w:val="none" w:sz="0" w:space="0" w:color="auto"/>
      </w:divBdr>
    </w:div>
    <w:div w:id="1238788967">
      <w:bodyDiv w:val="1"/>
      <w:marLeft w:val="0"/>
      <w:marRight w:val="0"/>
      <w:marTop w:val="0"/>
      <w:marBottom w:val="0"/>
      <w:divBdr>
        <w:top w:val="none" w:sz="0" w:space="0" w:color="auto"/>
        <w:left w:val="none" w:sz="0" w:space="0" w:color="auto"/>
        <w:bottom w:val="none" w:sz="0" w:space="0" w:color="auto"/>
        <w:right w:val="none" w:sz="0" w:space="0" w:color="auto"/>
      </w:divBdr>
    </w:div>
    <w:div w:id="1442190234">
      <w:bodyDiv w:val="1"/>
      <w:marLeft w:val="0"/>
      <w:marRight w:val="0"/>
      <w:marTop w:val="0"/>
      <w:marBottom w:val="0"/>
      <w:divBdr>
        <w:top w:val="none" w:sz="0" w:space="0" w:color="auto"/>
        <w:left w:val="none" w:sz="0" w:space="0" w:color="auto"/>
        <w:bottom w:val="none" w:sz="0" w:space="0" w:color="auto"/>
        <w:right w:val="none" w:sz="0" w:space="0" w:color="auto"/>
      </w:divBdr>
    </w:div>
    <w:div w:id="1519276379">
      <w:bodyDiv w:val="1"/>
      <w:marLeft w:val="0"/>
      <w:marRight w:val="0"/>
      <w:marTop w:val="0"/>
      <w:marBottom w:val="0"/>
      <w:divBdr>
        <w:top w:val="none" w:sz="0" w:space="0" w:color="auto"/>
        <w:left w:val="none" w:sz="0" w:space="0" w:color="auto"/>
        <w:bottom w:val="none" w:sz="0" w:space="0" w:color="auto"/>
        <w:right w:val="none" w:sz="0" w:space="0" w:color="auto"/>
      </w:divBdr>
    </w:div>
    <w:div w:id="174837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nottinghamcity.gov.uk/media/3332773/land-and-planning-policies-document-lapp-2020.pdf" TargetMode="External"/><Relationship Id="rId3" Type="http://schemas.openxmlformats.org/officeDocument/2006/relationships/customXml" Target="../customXml/item3.xml"/><Relationship Id="rId21" Type="http://schemas.openxmlformats.org/officeDocument/2006/relationships/hyperlink" Target="https://www.gov.uk/guidance/publishing-accessible-docu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edling.gov.uk/media/gedlingboroughcouncil/documents/planningpolicy/acsandlpd/LPD.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roxtowe.gov.uk/media/3865/gnrs_final_report_15-09-22_with_appcs-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broxtowe.gov.uk/media/7088/part-2-local-plan-adopted-october-2019.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ottinghamcity.gov.uk/media/3332772/the-nottingham-city-aligned-core-strategy-ac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nplan.org.uk/consultations" TargetMode="External"/><Relationship Id="R8a9e09addf3b4fac" Type="http://schemas.microsoft.com/office/2020/10/relationships/intelligence" Target="intelligence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s://www.rushcliffe.gov.uk/media/s3cezsuy/rushcliffe-local-plan-part-2_adoption-version.pdf"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BB4F5A156A64987F4EA0E3AE42723" ma:contentTypeVersion="12" ma:contentTypeDescription="Create a new document." ma:contentTypeScope="" ma:versionID="ff02852da58d15eba96c7655f2001de3">
  <xsd:schema xmlns:xsd="http://www.w3.org/2001/XMLSchema" xmlns:xs="http://www.w3.org/2001/XMLSchema" xmlns:p="http://schemas.microsoft.com/office/2006/metadata/properties" xmlns:ns2="4c396156-4915-4840-b9ec-2925ee2ca9d7" xmlns:ns3="b1400ff3-85cd-467c-8a89-ccf6744a79d5" targetNamespace="http://schemas.microsoft.com/office/2006/metadata/properties" ma:root="true" ma:fieldsID="e976128161c3df04805cacd3a6e9cafc" ns2:_="" ns3:_="">
    <xsd:import namespace="4c396156-4915-4840-b9ec-2925ee2ca9d7"/>
    <xsd:import namespace="b1400ff3-85cd-467c-8a89-ccf6744a7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96156-4915-4840-b9ec-2925ee2ca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ead0dd-f964-4ef9-8e58-aedd6ddb98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00ff3-85cd-467c-8a89-ccf6744a79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50bd6d-bb52-4509-8918-6ce23e32b047}" ma:internalName="TaxCatchAll" ma:showField="CatchAllData" ma:web="b1400ff3-85cd-467c-8a89-ccf6744a7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400ff3-85cd-467c-8a89-ccf6744a79d5" xsi:nil="true"/>
    <lcf76f155ced4ddcb4097134ff3c332f xmlns="4c396156-4915-4840-b9ec-2925ee2ca9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EBAF-DB18-419C-84F4-7FB858F54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96156-4915-4840-b9ec-2925ee2ca9d7"/>
    <ds:schemaRef ds:uri="b1400ff3-85cd-467c-8a89-ccf6744a7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0F0EE-A13D-4451-82F5-018200BAC558}">
  <ds:schemaRefs>
    <ds:schemaRef ds:uri="http://schemas.microsoft.com/sharepoint/v3/contenttype/forms"/>
  </ds:schemaRefs>
</ds:datastoreItem>
</file>

<file path=customXml/itemProps3.xml><?xml version="1.0" encoding="utf-8"?>
<ds:datastoreItem xmlns:ds="http://schemas.openxmlformats.org/officeDocument/2006/customXml" ds:itemID="{8E380E92-3FC2-4DE5-801F-354E64FC59A9}">
  <ds:schemaRefs>
    <ds:schemaRef ds:uri="http://schemas.microsoft.com/office/2006/metadata/properties"/>
    <ds:schemaRef ds:uri="http://schemas.microsoft.com/office/infopath/2007/PartnerControls"/>
    <ds:schemaRef ds:uri="b1400ff3-85cd-467c-8a89-ccf6744a79d5"/>
    <ds:schemaRef ds:uri="4c396156-4915-4840-b9ec-2925ee2ca9d7"/>
  </ds:schemaRefs>
</ds:datastoreItem>
</file>

<file path=customXml/itemProps4.xml><?xml version="1.0" encoding="utf-8"?>
<ds:datastoreItem xmlns:ds="http://schemas.openxmlformats.org/officeDocument/2006/customXml" ds:itemID="{906BD624-EA4F-4437-A269-D1533B7C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Mark</dc:creator>
  <cp:keywords/>
  <dc:description/>
  <cp:lastModifiedBy>Steve Cotterill</cp:lastModifiedBy>
  <cp:revision>6</cp:revision>
  <dcterms:created xsi:type="dcterms:W3CDTF">2023-06-21T13:31:00Z</dcterms:created>
  <dcterms:modified xsi:type="dcterms:W3CDTF">2023-06-28T08:43:00Z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0x010100A6FBB4F5A156A64987F4EA0E3AE42723</vt:lpwstr>
  </property>
  <property fmtid="{D5CDD505-2E9C-101B-9397-08002B2CF9AE}" pid="3" name="MediaServiceImageTags">
    <vt:lpwstr/>
  </property>
</Properties>
</file>