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7F2BD" w14:textId="77777777" w:rsidR="00E1741F" w:rsidRPr="00E1741F" w:rsidRDefault="00E1741F" w:rsidP="00E1741F">
      <w:pPr>
        <w:shd w:val="clear" w:color="auto" w:fill="FFFFFF"/>
        <w:spacing w:before="120" w:line="160" w:lineRule="atLeast"/>
        <w:outlineLvl w:val="0"/>
        <w:rPr>
          <w:rFonts w:asciiTheme="minorHAnsi" w:eastAsia="Times New Roman" w:hAnsiTheme="minorHAnsi" w:cstheme="minorHAnsi"/>
          <w:b/>
          <w:bCs/>
          <w:color w:val="0B0C0C"/>
          <w:kern w:val="36"/>
          <w:sz w:val="28"/>
          <w:szCs w:val="28"/>
          <w:lang w:eastAsia="en-GB"/>
        </w:rPr>
      </w:pPr>
      <w:r w:rsidRPr="00E1741F">
        <w:rPr>
          <w:rFonts w:asciiTheme="minorHAnsi" w:eastAsia="Times New Roman" w:hAnsiTheme="minorHAnsi" w:cstheme="minorHAnsi"/>
          <w:b/>
          <w:bCs/>
          <w:color w:val="0B0C0C"/>
          <w:kern w:val="36"/>
          <w:sz w:val="28"/>
          <w:szCs w:val="28"/>
          <w:lang w:eastAsia="en-GB"/>
        </w:rPr>
        <w:t>Primary Care Escalation Framework 21.836</w:t>
      </w:r>
    </w:p>
    <w:p w14:paraId="2B85398C" w14:textId="61ECA993" w:rsidR="00E1741F" w:rsidRPr="00E1741F" w:rsidRDefault="00E1741F" w:rsidP="00E1741F">
      <w:pPr>
        <w:shd w:val="clear" w:color="auto" w:fill="FFFFFF"/>
        <w:spacing w:before="120" w:line="160" w:lineRule="atLeast"/>
        <w:outlineLvl w:val="0"/>
        <w:rPr>
          <w:rFonts w:asciiTheme="minorHAnsi" w:eastAsia="Times New Roman" w:hAnsiTheme="minorHAnsi" w:cstheme="minorHAnsi"/>
          <w:b/>
          <w:bCs/>
          <w:color w:val="0B0C0C"/>
          <w:kern w:val="36"/>
          <w:sz w:val="28"/>
          <w:szCs w:val="28"/>
          <w:lang w:eastAsia="en-GB"/>
        </w:rPr>
      </w:pPr>
      <w:r w:rsidRPr="00E1741F">
        <w:rPr>
          <w:rFonts w:asciiTheme="minorHAnsi" w:eastAsia="Times New Roman" w:hAnsiTheme="minorHAnsi" w:cstheme="minorHAnsi"/>
          <w:b/>
          <w:bCs/>
          <w:color w:val="0B0C0C"/>
          <w:kern w:val="36"/>
          <w:sz w:val="28"/>
          <w:szCs w:val="28"/>
          <w:lang w:eastAsia="en-GB"/>
        </w:rPr>
        <w:t>Award Explanation</w:t>
      </w:r>
      <w:r w:rsidR="00FF2F7D">
        <w:rPr>
          <w:rFonts w:asciiTheme="minorHAnsi" w:eastAsia="Times New Roman" w:hAnsiTheme="minorHAnsi" w:cstheme="minorHAnsi"/>
          <w:b/>
          <w:bCs/>
          <w:color w:val="0B0C0C"/>
          <w:kern w:val="36"/>
          <w:sz w:val="28"/>
          <w:szCs w:val="28"/>
          <w:lang w:eastAsia="en-GB"/>
        </w:rPr>
        <w:t xml:space="preserve"> (attachment for Contracts Finder notice)</w:t>
      </w:r>
    </w:p>
    <w:p w14:paraId="0276C1C7" w14:textId="06AC61FD" w:rsidR="00E1741F" w:rsidRPr="00E1741F" w:rsidRDefault="00E1741F" w:rsidP="00E1741F">
      <w:pPr>
        <w:shd w:val="clear" w:color="auto" w:fill="FFFFFF"/>
        <w:spacing w:before="330" w:line="300" w:lineRule="atLeast"/>
        <w:outlineLvl w:val="0"/>
        <w:rPr>
          <w:rFonts w:asciiTheme="minorHAnsi" w:eastAsia="Times New Roman" w:hAnsiTheme="minorHAnsi" w:cstheme="minorHAnsi"/>
          <w:b/>
          <w:bCs/>
          <w:color w:val="0B0C0C"/>
          <w:kern w:val="36"/>
          <w:sz w:val="28"/>
          <w:szCs w:val="28"/>
          <w:lang w:eastAsia="en-GB"/>
        </w:rPr>
      </w:pPr>
      <w:r w:rsidRPr="00E1741F">
        <w:rPr>
          <w:rFonts w:asciiTheme="minorHAnsi" w:hAnsiTheme="minorHAnsi" w:cstheme="minorHAnsi"/>
          <w:color w:val="0B0C0C"/>
          <w:sz w:val="28"/>
          <w:szCs w:val="28"/>
          <w:shd w:val="clear" w:color="auto" w:fill="FFFFFF"/>
        </w:rPr>
        <w:t>NHS Brighton and Hove Clinical Commissioning Group, and also on behalf of NHS East Sussex Clinical Commissioning Group, and NHS West Sussex Clinical Commissioning Group</w:t>
      </w:r>
    </w:p>
    <w:p w14:paraId="1D0A6DF5" w14:textId="31C03AA6" w:rsidR="00C3700E" w:rsidRPr="00E1741F" w:rsidRDefault="00C3700E">
      <w:pPr>
        <w:rPr>
          <w:rFonts w:asciiTheme="minorHAnsi" w:hAnsiTheme="minorHAnsi" w:cstheme="minorHAnsi"/>
          <w:sz w:val="20"/>
          <w:szCs w:val="20"/>
        </w:rPr>
      </w:pPr>
    </w:p>
    <w:p w14:paraId="3696BBCF" w14:textId="77777777" w:rsidR="00C3700E" w:rsidRDefault="00C3700E"/>
    <w:p w14:paraId="251FE17C" w14:textId="77777777" w:rsidR="00C3700E" w:rsidRDefault="00C3700E" w:rsidP="00C3700E">
      <w:pPr>
        <w:spacing w:after="160" w:line="259" w:lineRule="auto"/>
      </w:pPr>
      <w:r>
        <w:t>Sussex CCG's have successfully bid for funding through the October 2021 nationally announced 'Winter Access Fund' (WAF) . It is a requirement for the WAF to be allocated in this financial year , which would not align with timescales for a full procurement. As a transformational piece of work the plan is that the PCEF will extend into 2022/23, with outputs evaluated to determine any further extensions. The PCEF will be part of a range of initiative funded as part of the WAF.</w:t>
      </w:r>
    </w:p>
    <w:p w14:paraId="531A206C" w14:textId="77777777" w:rsidR="00C3700E" w:rsidRDefault="00C3700E" w:rsidP="00C3700E">
      <w:pPr>
        <w:spacing w:after="160" w:line="259" w:lineRule="auto"/>
      </w:pPr>
      <w:r>
        <w:t>Due to the funding window and requirement for rapid mobilisation Here – Care Unbound Ltd as the lead contractor subcontracting to Improved Access Service (IAS) providers are the only viable providers to deliver the Primary Care Escalation Framework, rapidly, at scale across Sussex and mobilise within the required timescales across all three CCG footprints, particularly where federated due to their local expertise, existing relationships with primary care, direct delivery of some services and support to practices and primary care networks.</w:t>
      </w:r>
    </w:p>
    <w:p w14:paraId="2C5AA8ED" w14:textId="77777777" w:rsidR="00C3700E" w:rsidRDefault="00C3700E" w:rsidP="00C3700E">
      <w:pPr>
        <w:spacing w:after="160" w:line="259" w:lineRule="auto"/>
      </w:pPr>
      <w:r>
        <w:t>Here, are well placed to work across primary care in Sussex. Here have led on establishing an alliance of federations, including Innovation in Primary Care (IPC), Alliance for Better Care (ABC) in West Sussex, South Downs Health Care (SDHC) and Integrated Family Healthcare (IFH) in East Sussex. This collaboration was originally formed as an provider initiative to enable a joint approach across IAS providers to respond to wider system requests and not exclusively for the purposes of delivering the PCEF.</w:t>
      </w:r>
    </w:p>
    <w:p w14:paraId="2D0F4FD6" w14:textId="77777777" w:rsidR="00C3700E" w:rsidRDefault="00C3700E" w:rsidP="00C3700E">
      <w:pPr>
        <w:spacing w:after="160" w:line="259" w:lineRule="auto"/>
      </w:pPr>
      <w:r>
        <w:t>Here has been linking with wider Federations both in their role as the link with primary care and as resilience providers - on of the goal of this project is to allow immediate resilience support from IA services.</w:t>
      </w:r>
    </w:p>
    <w:p w14:paraId="3F768003" w14:textId="77777777" w:rsidR="00C3700E" w:rsidRDefault="00C3700E" w:rsidP="00C3700E">
      <w:pPr>
        <w:spacing w:after="160" w:line="259" w:lineRule="auto"/>
      </w:pPr>
      <w:r>
        <w:t>Here has proven track record in developing bespoke technical solutions with primary care and commissioners in B&amp;H and HWLH. For example:</w:t>
      </w:r>
    </w:p>
    <w:p w14:paraId="4019C091" w14:textId="77777777" w:rsidR="00C3700E" w:rsidRDefault="00C3700E" w:rsidP="00C3700E">
      <w:pPr>
        <w:spacing w:after="160" w:line="259" w:lineRule="auto"/>
      </w:pPr>
      <w:r>
        <w:t>• Practice Covid resilience survey tool developed in 2020.</w:t>
      </w:r>
    </w:p>
    <w:p w14:paraId="36FD4D79" w14:textId="77777777" w:rsidR="00C3700E" w:rsidRDefault="00C3700E" w:rsidP="00C3700E">
      <w:pPr>
        <w:spacing w:after="160" w:line="259" w:lineRule="auto"/>
      </w:pPr>
      <w:r>
        <w:t>• Racecourse vax site analytics dashboards used by all participating practices</w:t>
      </w:r>
    </w:p>
    <w:p w14:paraId="2E91E9C8" w14:textId="77777777" w:rsidR="00C3700E" w:rsidRDefault="00C3700E" w:rsidP="00C3700E">
      <w:pPr>
        <w:spacing w:after="160" w:line="259" w:lineRule="auto"/>
      </w:pPr>
      <w:r>
        <w:t>• PCN analytics tools/dashboards in use in B&amp;H</w:t>
      </w:r>
    </w:p>
    <w:p w14:paraId="2EC27ACB" w14:textId="77777777" w:rsidR="00C3700E" w:rsidRDefault="00C3700E" w:rsidP="00C3700E">
      <w:pPr>
        <w:spacing w:after="160" w:line="259" w:lineRule="auto"/>
      </w:pPr>
      <w:r>
        <w:t>IAS providers are supportive of the proposals which are seen as a collaborative effort</w:t>
      </w:r>
    </w:p>
    <w:p w14:paraId="75ED8F1E" w14:textId="77777777" w:rsidR="00C3700E" w:rsidRDefault="00C3700E" w:rsidP="00C3700E">
      <w:pPr>
        <w:spacing w:after="160" w:line="259" w:lineRule="auto"/>
      </w:pPr>
      <w:r>
        <w:t>with Here as primary contract holder.</w:t>
      </w:r>
    </w:p>
    <w:p w14:paraId="359855C7" w14:textId="77777777" w:rsidR="00C3700E" w:rsidRDefault="00C3700E" w:rsidP="00C3700E">
      <w:pPr>
        <w:spacing w:after="160" w:line="259" w:lineRule="auto"/>
      </w:pPr>
      <w:r>
        <w:t>Due to the funding framework and timescales the CCG needs to use the existing alliance of federations and IAS providers which has been established for delivery of the PCEF, due to their specialist expertise and relationships rapidly mobilise the PCEF at scale linking with wider Federations both in their role as the link with primary care and as resilience providers. The goal of this project is to allow immediate resilience support from IAS - hence contracting with the IAS provider partnership.</w:t>
      </w:r>
    </w:p>
    <w:p w14:paraId="301F9214" w14:textId="77777777" w:rsidR="00C3700E" w:rsidRDefault="00C3700E" w:rsidP="00C3700E">
      <w:pPr>
        <w:spacing w:after="160" w:line="259" w:lineRule="auto"/>
      </w:pPr>
      <w:r>
        <w:lastRenderedPageBreak/>
        <w:t>The proposed rapid prototyping approach employed by Here reduces the risk of system redundancy and means iterations of the solution will be developed throughout its lifetime.</w:t>
      </w:r>
    </w:p>
    <w:p w14:paraId="4633DA7D" w14:textId="77777777" w:rsidR="00C3700E" w:rsidRDefault="00C3700E" w:rsidP="00C3700E">
      <w:pPr>
        <w:spacing w:after="160" w:line="259" w:lineRule="auto"/>
      </w:pPr>
      <w:r>
        <w:t>Here has significant experience of system integration within primary care they already provide system resilience through IAS and the Urgent Treatment Centre. This has included providing dedicated capacity to support individual practices when necessary.</w:t>
      </w:r>
    </w:p>
    <w:p w14:paraId="3D9F58D6" w14:textId="292F71A9" w:rsidR="00C3700E" w:rsidRDefault="00C3700E" w:rsidP="00DD7A58">
      <w:pPr>
        <w:spacing w:after="160" w:line="259" w:lineRule="auto"/>
      </w:pPr>
      <w:r>
        <w:t>Here and all the IAS providers currently have existing information sharing agreements in place with their respective practices. These information sharing agreements have been developed between practices and IAS providers over a number of years, bespoke to meet the data sharing requirements for each of the 161 individual practices. The information sharing agreements are a key and critical element of delivery of the PCEF. Putting in place such arrangements with a new provider would involve building trusting relationships and negotiation with 161 individual practices on the terms of the agreement and buy-in to the intentions of the supplier in terms of the uses of the data. The IAS providers have built up this trust over several years, and for a new provider to get this in place during a 3-6 month mobilisation period would be unrealistic</w:t>
      </w:r>
      <w:r w:rsidR="00DD7A58">
        <w:t>.</w:t>
      </w:r>
    </w:p>
    <w:sectPr w:rsidR="00C37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0E"/>
    <w:rsid w:val="00C3700E"/>
    <w:rsid w:val="00DD7A58"/>
    <w:rsid w:val="00E1741F"/>
    <w:rsid w:val="00FF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8819"/>
  <w15:chartTrackingRefBased/>
  <w15:docId w15:val="{746589AA-73AA-4010-97EB-E747EC6C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0E"/>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E1741F"/>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1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0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3607</Characters>
  <Application>Microsoft Office Word</Application>
  <DocSecurity>0</DocSecurity>
  <Lines>30</Lines>
  <Paragraphs>8</Paragraphs>
  <ScaleCrop>false</ScaleCrop>
  <Company>Portsmouth Hospitals NHS Trust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Christopher - Associate Director of Procurement</dc:creator>
  <cp:keywords/>
  <dc:description/>
  <cp:lastModifiedBy>McCarthy Christopher - Associate Director of Procurement</cp:lastModifiedBy>
  <cp:revision>4</cp:revision>
  <dcterms:created xsi:type="dcterms:W3CDTF">2021-12-23T17:13:00Z</dcterms:created>
  <dcterms:modified xsi:type="dcterms:W3CDTF">2021-12-23T17:17:00Z</dcterms:modified>
</cp:coreProperties>
</file>