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FE6D5F">
        <w:trPr>
          <w:trHeight w:val="433"/>
          <w:jc w:val="center"/>
        </w:trPr>
        <w:tc>
          <w:tcPr>
            <w:tcW w:w="9709" w:type="dxa"/>
            <w:shd w:val="clear" w:color="auto" w:fill="006D68"/>
          </w:tcPr>
          <w:p w:rsidR="00AF4C0F" w:rsidRPr="002C62C2" w:rsidRDefault="00AF4C0F" w:rsidP="00A52A42">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A52A42">
              <w:rPr>
                <w:rFonts w:asciiTheme="minorHAnsi" w:hAnsiTheme="minorHAnsi" w:cstheme="minorHAnsi"/>
                <w:b/>
                <w:iCs/>
                <w:color w:val="FFFFFF" w:themeColor="background1"/>
                <w:sz w:val="24"/>
              </w:rPr>
              <w:t>Human Factors Technical Support</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0462A5" w:rsidRDefault="000462A5" w:rsidP="001D6FA6">
            <w:pPr>
              <w:pStyle w:val="TSNumberedParagraph11"/>
              <w:jc w:val="both"/>
              <w:rPr>
                <w:rFonts w:asciiTheme="minorHAnsi" w:hAnsiTheme="minorHAnsi" w:cstheme="minorHAnsi"/>
              </w:rPr>
            </w:pPr>
            <w:r>
              <w:rPr>
                <w:rFonts w:asciiTheme="minorHAnsi" w:hAnsiTheme="minorHAnsi" w:cstheme="minorHAnsi"/>
              </w:rPr>
              <w:t>ONR is</w:t>
            </w:r>
            <w:r w:rsidRPr="000462A5">
              <w:rPr>
                <w:rFonts w:asciiTheme="minorHAnsi" w:hAnsiTheme="minorHAnsi" w:cstheme="minorHAnsi"/>
              </w:rPr>
              <w:t xml:space="preserve"> the UK's independent nuclear regulatory body, with the legal authority to regulate nuclear safety, security and conventional health and safety at licensed</w:t>
            </w:r>
            <w:r>
              <w:rPr>
                <w:rFonts w:asciiTheme="minorHAnsi" w:hAnsiTheme="minorHAnsi" w:cstheme="minorHAnsi"/>
              </w:rPr>
              <w:t xml:space="preserve"> nuclear sites</w:t>
            </w:r>
            <w:r w:rsidRPr="000462A5">
              <w:rPr>
                <w:rFonts w:asciiTheme="minorHAnsi" w:hAnsiTheme="minorHAnsi" w:cstheme="minorHAnsi"/>
              </w:rPr>
              <w:t xml:space="preserve"> in GB. </w:t>
            </w:r>
            <w:r w:rsidR="0080312E">
              <w:rPr>
                <w:rFonts w:asciiTheme="minorHAnsi" w:hAnsiTheme="minorHAnsi" w:cstheme="minorHAnsi"/>
              </w:rPr>
              <w:t xml:space="preserve"> </w:t>
            </w:r>
            <w:r w:rsidRPr="000462A5">
              <w:rPr>
                <w:rFonts w:asciiTheme="minorHAnsi" w:hAnsiTheme="minorHAnsi" w:cstheme="minorHAnsi"/>
              </w:rPr>
              <w:t xml:space="preserve">This includes the existing fleet of operating reactors, fuel cycle facilities, waste management and decommissioning sites, as well as licensed defence sites (except for security, which remains within MoD’s remit, and non-safeguarded material), together with the regulation of the design and construction of new nuclear facilities. </w:t>
            </w:r>
            <w:r w:rsidR="0080312E">
              <w:rPr>
                <w:rFonts w:asciiTheme="minorHAnsi" w:hAnsiTheme="minorHAnsi" w:cstheme="minorHAnsi"/>
              </w:rPr>
              <w:t xml:space="preserve"> </w:t>
            </w:r>
            <w:r>
              <w:rPr>
                <w:rFonts w:asciiTheme="minorHAnsi" w:hAnsiTheme="minorHAnsi" w:cstheme="minorHAnsi"/>
              </w:rPr>
              <w:t>ONR</w:t>
            </w:r>
            <w:r w:rsidRPr="000462A5">
              <w:rPr>
                <w:rFonts w:asciiTheme="minorHAnsi" w:hAnsiTheme="minorHAnsi" w:cstheme="minorHAnsi"/>
              </w:rPr>
              <w:t xml:space="preserve"> also regulate the transport of nuclear and radioactive materials. </w:t>
            </w:r>
          </w:p>
          <w:p w:rsidR="000462A5" w:rsidRPr="001D6FA6" w:rsidRDefault="000462A5" w:rsidP="001D6FA6">
            <w:pPr>
              <w:pStyle w:val="TSNumberedParagraph11"/>
              <w:jc w:val="both"/>
              <w:rPr>
                <w:rFonts w:asciiTheme="minorHAnsi" w:hAnsiTheme="minorHAnsi" w:cstheme="minorHAnsi"/>
              </w:rPr>
            </w:pPr>
            <w:r w:rsidRPr="00A52A42">
              <w:rPr>
                <w:rFonts w:asciiTheme="minorHAnsi" w:hAnsiTheme="minorHAnsi" w:cstheme="minorHAnsi"/>
              </w:rPr>
              <w:t xml:space="preserve">Our mission is to provide efficient and effective regulation of the nuclear industry, holding it to account on behalf of the public. </w:t>
            </w:r>
            <w:r w:rsidR="0080312E">
              <w:rPr>
                <w:rFonts w:asciiTheme="minorHAnsi" w:hAnsiTheme="minorHAnsi" w:cstheme="minorHAnsi"/>
              </w:rPr>
              <w:t xml:space="preserve"> </w:t>
            </w:r>
            <w:r w:rsidRPr="00A52A42">
              <w:rPr>
                <w:rFonts w:asciiTheme="minorHAnsi" w:hAnsiTheme="minorHAnsi" w:cstheme="minorHAnsi"/>
              </w:rPr>
              <w:t xml:space="preserve">In areas where the law is not prescriptive, the UK operates a goal-setting approach to nuclear safety, nuclear security and conventional health and safety. </w:t>
            </w:r>
            <w:r w:rsidR="0080312E">
              <w:rPr>
                <w:rFonts w:asciiTheme="minorHAnsi" w:hAnsiTheme="minorHAnsi" w:cstheme="minorHAnsi"/>
              </w:rPr>
              <w:t xml:space="preserve"> </w:t>
            </w:r>
            <w:r w:rsidRPr="00A52A42">
              <w:rPr>
                <w:rFonts w:asciiTheme="minorHAnsi" w:hAnsiTheme="minorHAnsi" w:cstheme="minorHAnsi"/>
              </w:rPr>
              <w:t xml:space="preserve">We seek to ensure the required high standards of safety and security in the nuclear sector are met. </w:t>
            </w:r>
            <w:r w:rsidR="0080312E">
              <w:rPr>
                <w:rFonts w:asciiTheme="minorHAnsi" w:hAnsiTheme="minorHAnsi" w:cstheme="minorHAnsi"/>
              </w:rPr>
              <w:t xml:space="preserve"> </w:t>
            </w:r>
            <w:r w:rsidRPr="00A52A42">
              <w:rPr>
                <w:rFonts w:asciiTheme="minorHAnsi" w:hAnsiTheme="minorHAnsi" w:cstheme="minorHAnsi"/>
              </w:rPr>
              <w:t>Our duty is to ensure that the nuclear industry reduces r</w:t>
            </w:r>
            <w:r w:rsidR="0080312E">
              <w:rPr>
                <w:rFonts w:asciiTheme="minorHAnsi" w:hAnsiTheme="minorHAnsi" w:cstheme="minorHAnsi"/>
              </w:rPr>
              <w:t>isks to workers and the public So Far As Is Reasonably P</w:t>
            </w:r>
            <w:r w:rsidRPr="00A52A42">
              <w:rPr>
                <w:rFonts w:asciiTheme="minorHAnsi" w:hAnsiTheme="minorHAnsi" w:cstheme="minorHAnsi"/>
              </w:rPr>
              <w:t xml:space="preserve">racticable (SFAIRP), controls hazards effectively and has a culture of continuous improvement. </w:t>
            </w:r>
          </w:p>
          <w:p w:rsidR="000462A5" w:rsidRPr="000462A5" w:rsidRDefault="000462A5" w:rsidP="001D6FA6">
            <w:pPr>
              <w:pStyle w:val="TSNumberedParagraph11"/>
              <w:jc w:val="both"/>
              <w:rPr>
                <w:rFonts w:asciiTheme="minorHAnsi" w:hAnsiTheme="minorHAnsi" w:cstheme="minorHAnsi"/>
              </w:rPr>
            </w:pPr>
            <w:r w:rsidRPr="000462A5">
              <w:rPr>
                <w:rFonts w:asciiTheme="minorHAnsi" w:hAnsiTheme="minorHAnsi" w:cstheme="minorHAnsi"/>
              </w:rPr>
              <w:t>Our regulatory structure has developed since ONR became a Public Corporation in 2014, under the Energy Act 2013, and we will continue to evolve to ensure that our functions retain a strong focus on the industry sectors we regulate. We have five divisions wi</w:t>
            </w:r>
            <w:r>
              <w:rPr>
                <w:rFonts w:asciiTheme="minorHAnsi" w:hAnsiTheme="minorHAnsi" w:cstheme="minorHAnsi"/>
              </w:rPr>
              <w:t>thin the Regulatory Directorate</w:t>
            </w:r>
            <w:r w:rsidR="00586D02">
              <w:rPr>
                <w:rFonts w:asciiTheme="minorHAnsi" w:hAnsiTheme="minorHAnsi" w:cstheme="minorHAnsi"/>
              </w:rPr>
              <w:t>:</w:t>
            </w:r>
          </w:p>
          <w:p w:rsidR="000462A5" w:rsidRPr="006E6294" w:rsidRDefault="00586D02" w:rsidP="000462A5">
            <w:pPr>
              <w:pStyle w:val="TSBullet1Square"/>
              <w:rPr>
                <w:rFonts w:asciiTheme="minorHAnsi" w:hAnsiTheme="minorHAnsi" w:cstheme="minorHAnsi"/>
              </w:rPr>
            </w:pPr>
            <w:r>
              <w:rPr>
                <w:rFonts w:asciiTheme="minorHAnsi" w:hAnsiTheme="minorHAnsi" w:cstheme="minorHAnsi"/>
              </w:rPr>
              <w:t>New Reactors</w:t>
            </w:r>
            <w:r w:rsidR="000462A5" w:rsidRPr="006E6294">
              <w:rPr>
                <w:rFonts w:asciiTheme="minorHAnsi" w:hAnsiTheme="minorHAnsi" w:cstheme="minorHAnsi"/>
              </w:rPr>
              <w:t xml:space="preserve"> </w:t>
            </w:r>
          </w:p>
          <w:p w:rsidR="000462A5" w:rsidRPr="006E6294" w:rsidRDefault="000462A5" w:rsidP="000462A5">
            <w:pPr>
              <w:pStyle w:val="TSBullet1Square"/>
              <w:rPr>
                <w:rFonts w:asciiTheme="minorHAnsi" w:hAnsiTheme="minorHAnsi" w:cstheme="minorHAnsi"/>
              </w:rPr>
            </w:pPr>
            <w:r w:rsidRPr="006E6294">
              <w:rPr>
                <w:rFonts w:asciiTheme="minorHAnsi" w:hAnsiTheme="minorHAnsi" w:cstheme="minorHAnsi"/>
              </w:rPr>
              <w:t>Operating Facilities</w:t>
            </w:r>
            <w:r w:rsidR="00586D02">
              <w:rPr>
                <w:rFonts w:asciiTheme="minorHAnsi" w:hAnsiTheme="minorHAnsi" w:cstheme="minorHAnsi"/>
              </w:rPr>
              <w:t xml:space="preserve"> (Operational Power Stations, Propulsion and Weapons)</w:t>
            </w:r>
            <w:r w:rsidRPr="006E6294">
              <w:rPr>
                <w:rFonts w:asciiTheme="minorHAnsi" w:hAnsiTheme="minorHAnsi" w:cstheme="minorHAnsi"/>
              </w:rPr>
              <w:t xml:space="preserve"> </w:t>
            </w:r>
          </w:p>
          <w:p w:rsidR="000462A5" w:rsidRPr="006E6294" w:rsidRDefault="000462A5" w:rsidP="000462A5">
            <w:pPr>
              <w:pStyle w:val="TSBullet1Square"/>
              <w:rPr>
                <w:rFonts w:asciiTheme="minorHAnsi" w:hAnsiTheme="minorHAnsi" w:cstheme="minorHAnsi"/>
              </w:rPr>
            </w:pPr>
            <w:r w:rsidRPr="006E6294">
              <w:rPr>
                <w:rFonts w:asciiTheme="minorHAnsi" w:hAnsiTheme="minorHAnsi" w:cstheme="minorHAnsi"/>
              </w:rPr>
              <w:t>Sellafield, Decommissioning, Fuel and Waste</w:t>
            </w:r>
            <w:r w:rsidR="00BB37AA">
              <w:rPr>
                <w:rFonts w:asciiTheme="minorHAnsi" w:hAnsiTheme="minorHAnsi" w:cstheme="minorHAnsi"/>
              </w:rPr>
              <w:t xml:space="preserve"> (SDFW)</w:t>
            </w:r>
            <w:r w:rsidRPr="006E6294">
              <w:rPr>
                <w:rFonts w:asciiTheme="minorHAnsi" w:hAnsiTheme="minorHAnsi" w:cstheme="minorHAnsi"/>
              </w:rPr>
              <w:t xml:space="preserve"> </w:t>
            </w:r>
          </w:p>
          <w:p w:rsidR="000462A5" w:rsidRPr="006E6294" w:rsidRDefault="00586D02" w:rsidP="000462A5">
            <w:pPr>
              <w:pStyle w:val="TSBullet1Square"/>
              <w:rPr>
                <w:rFonts w:asciiTheme="minorHAnsi" w:hAnsiTheme="minorHAnsi" w:cstheme="minorHAnsi"/>
              </w:rPr>
            </w:pPr>
            <w:r>
              <w:rPr>
                <w:rFonts w:asciiTheme="minorHAnsi" w:hAnsiTheme="minorHAnsi" w:cstheme="minorHAnsi"/>
              </w:rPr>
              <w:t>Technical</w:t>
            </w:r>
          </w:p>
          <w:p w:rsidR="000462A5" w:rsidRPr="006E6294" w:rsidRDefault="000462A5" w:rsidP="000462A5">
            <w:pPr>
              <w:pStyle w:val="TSBullet1Square"/>
              <w:rPr>
                <w:rFonts w:asciiTheme="minorHAnsi" w:hAnsiTheme="minorHAnsi" w:cstheme="minorHAnsi"/>
              </w:rPr>
            </w:pPr>
            <w:r w:rsidRPr="006E6294">
              <w:rPr>
                <w:rFonts w:asciiTheme="minorHAnsi" w:hAnsiTheme="minorHAnsi" w:cstheme="minorHAnsi"/>
              </w:rPr>
              <w:t>Civil Nuclear Security and Safeguards</w:t>
            </w:r>
          </w:p>
          <w:p w:rsidR="000462A5" w:rsidRPr="000462A5" w:rsidRDefault="000462A5" w:rsidP="001D6FA6">
            <w:pPr>
              <w:pStyle w:val="TSNumberedParagraph11"/>
              <w:jc w:val="both"/>
              <w:rPr>
                <w:rFonts w:asciiTheme="minorHAnsi" w:hAnsiTheme="minorHAnsi" w:cstheme="minorHAnsi"/>
              </w:rPr>
            </w:pPr>
            <w:r w:rsidRPr="000462A5">
              <w:rPr>
                <w:rFonts w:asciiTheme="minorHAnsi" w:hAnsiTheme="minorHAnsi" w:cstheme="minorHAnsi"/>
              </w:rPr>
              <w:t>ONR is currently face</w:t>
            </w:r>
            <w:r w:rsidR="0080312E">
              <w:rPr>
                <w:rFonts w:asciiTheme="minorHAnsi" w:hAnsiTheme="minorHAnsi" w:cstheme="minorHAnsi"/>
              </w:rPr>
              <w:t>d with an internal shortage of Suitably Qualified and E</w:t>
            </w:r>
            <w:r w:rsidRPr="000462A5">
              <w:rPr>
                <w:rFonts w:asciiTheme="minorHAnsi" w:hAnsiTheme="minorHAnsi" w:cstheme="minorHAnsi"/>
              </w:rPr>
              <w:t xml:space="preserve">xperienced </w:t>
            </w:r>
            <w:r w:rsidR="007E1767">
              <w:rPr>
                <w:rFonts w:asciiTheme="minorHAnsi" w:hAnsiTheme="minorHAnsi" w:cstheme="minorHAnsi"/>
              </w:rPr>
              <w:t xml:space="preserve">Persons (SQEPs) in the discipline of </w:t>
            </w:r>
            <w:r w:rsidRPr="000462A5">
              <w:rPr>
                <w:rFonts w:asciiTheme="minorHAnsi" w:hAnsiTheme="minorHAnsi" w:cstheme="minorHAnsi"/>
              </w:rPr>
              <w:t xml:space="preserve">Human Factors (HF).  This is impacting the capability of the HF discipline to </w:t>
            </w:r>
            <w:r w:rsidR="0080312E">
              <w:rPr>
                <w:rFonts w:asciiTheme="minorHAnsi" w:hAnsiTheme="minorHAnsi" w:cstheme="minorHAnsi"/>
              </w:rPr>
              <w:t xml:space="preserve">support inspection, </w:t>
            </w:r>
            <w:r w:rsidRPr="000462A5">
              <w:rPr>
                <w:rFonts w:asciiTheme="minorHAnsi" w:hAnsiTheme="minorHAnsi" w:cstheme="minorHAnsi"/>
              </w:rPr>
              <w:t>assessment</w:t>
            </w:r>
            <w:r w:rsidR="0080312E">
              <w:rPr>
                <w:rFonts w:asciiTheme="minorHAnsi" w:hAnsiTheme="minorHAnsi" w:cstheme="minorHAnsi"/>
              </w:rPr>
              <w:t xml:space="preserve"> and other discipline specific</w:t>
            </w:r>
            <w:r w:rsidRPr="000462A5">
              <w:rPr>
                <w:rFonts w:asciiTheme="minorHAnsi" w:hAnsiTheme="minorHAnsi" w:cstheme="minorHAnsi"/>
              </w:rPr>
              <w:t xml:space="preserve"> activities.  These activities require specialist HF support to inform wider ONR regulatory judgements.  </w:t>
            </w:r>
          </w:p>
          <w:p w:rsidR="000462A5" w:rsidRDefault="00A52A42" w:rsidP="001D6FA6">
            <w:pPr>
              <w:pStyle w:val="TSNumberedParagraph11"/>
              <w:jc w:val="both"/>
              <w:rPr>
                <w:rFonts w:asciiTheme="minorHAnsi" w:hAnsiTheme="minorHAnsi" w:cstheme="minorHAnsi"/>
              </w:rPr>
            </w:pPr>
            <w:r>
              <w:rPr>
                <w:rFonts w:asciiTheme="minorHAnsi" w:hAnsiTheme="minorHAnsi" w:cstheme="minorHAnsi"/>
              </w:rPr>
              <w:t>Therefore, ONR is looking for</w:t>
            </w:r>
            <w:r w:rsidR="00EF2014">
              <w:rPr>
                <w:rFonts w:asciiTheme="minorHAnsi" w:hAnsiTheme="minorHAnsi" w:cstheme="minorHAnsi"/>
              </w:rPr>
              <w:t xml:space="preserve"> ‘call-off’</w:t>
            </w:r>
            <w:r w:rsidR="00110F81">
              <w:rPr>
                <w:rFonts w:asciiTheme="minorHAnsi" w:hAnsiTheme="minorHAnsi" w:cstheme="minorHAnsi"/>
              </w:rPr>
              <w:t xml:space="preserve"> HF</w:t>
            </w:r>
            <w:r>
              <w:rPr>
                <w:rFonts w:asciiTheme="minorHAnsi" w:hAnsiTheme="minorHAnsi" w:cstheme="minorHAnsi"/>
              </w:rPr>
              <w:t xml:space="preserve"> Technical Support</w:t>
            </w:r>
            <w:r w:rsidR="00357B96">
              <w:rPr>
                <w:rFonts w:asciiTheme="minorHAnsi" w:hAnsiTheme="minorHAnsi" w:cstheme="minorHAnsi"/>
              </w:rPr>
              <w:t xml:space="preserve"> for a maximum of 150 days</w:t>
            </w:r>
            <w:r w:rsidR="003C25DD">
              <w:rPr>
                <w:rFonts w:asciiTheme="minorHAnsi" w:hAnsiTheme="minorHAnsi" w:cstheme="minorHAnsi"/>
              </w:rPr>
              <w:t xml:space="preserve"> over the next 18 months</w:t>
            </w:r>
            <w:r w:rsidR="00357B96">
              <w:rPr>
                <w:rFonts w:asciiTheme="minorHAnsi" w:hAnsiTheme="minorHAnsi" w:cstheme="minorHAnsi"/>
              </w:rPr>
              <w:t>,</w:t>
            </w:r>
            <w:r>
              <w:rPr>
                <w:rFonts w:asciiTheme="minorHAnsi" w:hAnsiTheme="minorHAnsi" w:cstheme="minorHAnsi"/>
              </w:rPr>
              <w:t xml:space="preserve"> in the following areas</w:t>
            </w:r>
            <w:r w:rsidR="00586D02">
              <w:rPr>
                <w:rFonts w:asciiTheme="minorHAnsi" w:hAnsiTheme="minorHAnsi" w:cstheme="minorHAnsi"/>
              </w:rPr>
              <w:t>:</w:t>
            </w:r>
          </w:p>
          <w:p w:rsidR="00A52A42" w:rsidRPr="00A52A42" w:rsidRDefault="004F6EF0" w:rsidP="00A52A42">
            <w:pPr>
              <w:pStyle w:val="TSBullet1Square"/>
              <w:rPr>
                <w:rFonts w:asciiTheme="minorHAnsi" w:hAnsiTheme="minorHAnsi" w:cstheme="minorHAnsi"/>
              </w:rPr>
            </w:pPr>
            <w:r>
              <w:rPr>
                <w:rFonts w:asciiTheme="minorHAnsi" w:hAnsiTheme="minorHAnsi" w:cstheme="minorHAnsi"/>
              </w:rPr>
              <w:t xml:space="preserve">HF inspection in support of the </w:t>
            </w:r>
            <w:r w:rsidR="00A52A42" w:rsidRPr="00A52A42">
              <w:rPr>
                <w:rFonts w:asciiTheme="minorHAnsi" w:hAnsiTheme="minorHAnsi" w:cstheme="minorHAnsi"/>
              </w:rPr>
              <w:t xml:space="preserve">Operating Facilities and/or </w:t>
            </w:r>
            <w:r w:rsidR="00BB37AA">
              <w:rPr>
                <w:rFonts w:asciiTheme="minorHAnsi" w:hAnsiTheme="minorHAnsi" w:cstheme="minorHAnsi"/>
              </w:rPr>
              <w:t>S</w:t>
            </w:r>
            <w:r w:rsidR="0080312E">
              <w:rPr>
                <w:rFonts w:asciiTheme="minorHAnsi" w:hAnsiTheme="minorHAnsi" w:cstheme="minorHAnsi"/>
              </w:rPr>
              <w:t xml:space="preserve">ellafield, Decommissioning, </w:t>
            </w:r>
            <w:r w:rsidR="00BB37AA">
              <w:rPr>
                <w:rFonts w:asciiTheme="minorHAnsi" w:hAnsiTheme="minorHAnsi" w:cstheme="minorHAnsi"/>
              </w:rPr>
              <w:t>F</w:t>
            </w:r>
            <w:r w:rsidR="0080312E">
              <w:rPr>
                <w:rFonts w:asciiTheme="minorHAnsi" w:hAnsiTheme="minorHAnsi" w:cstheme="minorHAnsi"/>
              </w:rPr>
              <w:t xml:space="preserve">uel and </w:t>
            </w:r>
            <w:r w:rsidR="00BB37AA">
              <w:rPr>
                <w:rFonts w:asciiTheme="minorHAnsi" w:hAnsiTheme="minorHAnsi" w:cstheme="minorHAnsi"/>
              </w:rPr>
              <w:t>W</w:t>
            </w:r>
            <w:r w:rsidR="0080312E">
              <w:rPr>
                <w:rFonts w:asciiTheme="minorHAnsi" w:hAnsiTheme="minorHAnsi" w:cstheme="minorHAnsi"/>
              </w:rPr>
              <w:t>aste (SDFW)</w:t>
            </w:r>
            <w:r w:rsidR="00A52A42" w:rsidRPr="00A52A42">
              <w:rPr>
                <w:rFonts w:asciiTheme="minorHAnsi" w:hAnsiTheme="minorHAnsi" w:cstheme="minorHAnsi"/>
              </w:rPr>
              <w:t xml:space="preserve"> </w:t>
            </w:r>
            <w:r>
              <w:rPr>
                <w:rFonts w:asciiTheme="minorHAnsi" w:hAnsiTheme="minorHAnsi" w:cstheme="minorHAnsi"/>
              </w:rPr>
              <w:t>divisions</w:t>
            </w:r>
          </w:p>
          <w:p w:rsidR="00A52A42" w:rsidRDefault="004F6EF0" w:rsidP="00A52A42">
            <w:pPr>
              <w:pStyle w:val="TSBullet1Square"/>
              <w:rPr>
                <w:rFonts w:asciiTheme="minorHAnsi" w:hAnsiTheme="minorHAnsi" w:cstheme="minorHAnsi"/>
              </w:rPr>
            </w:pPr>
            <w:r>
              <w:rPr>
                <w:rFonts w:asciiTheme="minorHAnsi" w:hAnsiTheme="minorHAnsi" w:cstheme="minorHAnsi"/>
              </w:rPr>
              <w:t xml:space="preserve">HF assessment in support of the </w:t>
            </w:r>
            <w:r w:rsidR="00A52A42" w:rsidRPr="00A52A42">
              <w:rPr>
                <w:rFonts w:asciiTheme="minorHAnsi" w:hAnsiTheme="minorHAnsi" w:cstheme="minorHAnsi"/>
              </w:rPr>
              <w:t xml:space="preserve">Operating Facilities and/or </w:t>
            </w:r>
            <w:r w:rsidR="00BB37AA">
              <w:rPr>
                <w:rFonts w:asciiTheme="minorHAnsi" w:hAnsiTheme="minorHAnsi" w:cstheme="minorHAnsi"/>
              </w:rPr>
              <w:t>SDFW</w:t>
            </w:r>
            <w:r w:rsidR="00A52A42" w:rsidRPr="00A52A42">
              <w:rPr>
                <w:rFonts w:asciiTheme="minorHAnsi" w:hAnsiTheme="minorHAnsi" w:cstheme="minorHAnsi"/>
              </w:rPr>
              <w:t xml:space="preserve"> </w:t>
            </w:r>
            <w:r>
              <w:rPr>
                <w:rFonts w:asciiTheme="minorHAnsi" w:hAnsiTheme="minorHAnsi" w:cstheme="minorHAnsi"/>
              </w:rPr>
              <w:t>divisions</w:t>
            </w:r>
          </w:p>
          <w:p w:rsidR="00A52A42" w:rsidRPr="000462A5" w:rsidRDefault="0040222B" w:rsidP="00A52A42">
            <w:pPr>
              <w:pStyle w:val="TSBullet1Square"/>
              <w:rPr>
                <w:rFonts w:asciiTheme="minorHAnsi" w:hAnsiTheme="minorHAnsi" w:cstheme="minorHAnsi"/>
              </w:rPr>
            </w:pPr>
            <w:r>
              <w:rPr>
                <w:rFonts w:asciiTheme="minorHAnsi" w:hAnsiTheme="minorHAnsi" w:cstheme="minorHAnsi"/>
              </w:rPr>
              <w:t xml:space="preserve">HF </w:t>
            </w:r>
            <w:r w:rsidR="004F6EF0">
              <w:rPr>
                <w:rFonts w:asciiTheme="minorHAnsi" w:hAnsiTheme="minorHAnsi" w:cstheme="minorHAnsi"/>
              </w:rPr>
              <w:t xml:space="preserve">assessment in support of </w:t>
            </w:r>
            <w:r w:rsidR="00A52A42">
              <w:rPr>
                <w:rFonts w:asciiTheme="minorHAnsi" w:hAnsiTheme="minorHAnsi" w:cstheme="minorHAnsi"/>
              </w:rPr>
              <w:t xml:space="preserve">New Build </w:t>
            </w:r>
            <w:r w:rsidR="004F6EF0">
              <w:rPr>
                <w:rFonts w:asciiTheme="minorHAnsi" w:hAnsiTheme="minorHAnsi" w:cstheme="minorHAnsi"/>
              </w:rPr>
              <w:t>and Licensing activities</w:t>
            </w:r>
          </w:p>
          <w:p w:rsidR="00357B96" w:rsidRDefault="004F6EF0" w:rsidP="004F6EF0">
            <w:pPr>
              <w:pStyle w:val="TSBullet1Square"/>
              <w:rPr>
                <w:rFonts w:asciiTheme="minorHAnsi" w:hAnsiTheme="minorHAnsi" w:cstheme="minorHAnsi"/>
              </w:rPr>
            </w:pPr>
            <w:r>
              <w:rPr>
                <w:rFonts w:asciiTheme="minorHAnsi" w:hAnsiTheme="minorHAnsi" w:cstheme="minorHAnsi"/>
              </w:rPr>
              <w:t xml:space="preserve">HF support to the Human and Organisational Capability </w:t>
            </w:r>
            <w:r w:rsidR="00A52A42">
              <w:rPr>
                <w:rFonts w:asciiTheme="minorHAnsi" w:hAnsiTheme="minorHAnsi" w:cstheme="minorHAnsi"/>
              </w:rPr>
              <w:t>Specialism</w:t>
            </w:r>
            <w:r w:rsidR="0040222B">
              <w:rPr>
                <w:rFonts w:asciiTheme="minorHAnsi" w:hAnsiTheme="minorHAnsi" w:cstheme="minorHAnsi"/>
              </w:rPr>
              <w:t xml:space="preserve">. </w:t>
            </w:r>
            <w:r>
              <w:rPr>
                <w:rFonts w:asciiTheme="minorHAnsi" w:hAnsiTheme="minorHAnsi" w:cstheme="minorHAnsi"/>
              </w:rPr>
              <w:t xml:space="preserve"> This includes support to </w:t>
            </w:r>
            <w:r w:rsidR="00A52A42">
              <w:rPr>
                <w:rFonts w:asciiTheme="minorHAnsi" w:hAnsiTheme="minorHAnsi" w:cstheme="minorHAnsi"/>
              </w:rPr>
              <w:t xml:space="preserve">activities </w:t>
            </w:r>
            <w:r>
              <w:rPr>
                <w:rFonts w:asciiTheme="minorHAnsi" w:hAnsiTheme="minorHAnsi" w:cstheme="minorHAnsi"/>
              </w:rPr>
              <w:t>such as research and maintenance of HF aspects of the regulatory framework</w:t>
            </w:r>
            <w:r w:rsidR="0099431B">
              <w:rPr>
                <w:rFonts w:asciiTheme="minorHAnsi" w:hAnsiTheme="minorHAnsi" w:cstheme="minorHAnsi"/>
              </w:rPr>
              <w:t xml:space="preserve"> </w:t>
            </w:r>
          </w:p>
          <w:p w:rsidR="001D6FA6" w:rsidRDefault="001D6FA6" w:rsidP="001D6FA6">
            <w:pPr>
              <w:pStyle w:val="TSBullet1Square"/>
              <w:numPr>
                <w:ilvl w:val="0"/>
                <w:numId w:val="0"/>
              </w:numPr>
              <w:ind w:left="1440"/>
              <w:rPr>
                <w:rFonts w:asciiTheme="minorHAnsi" w:hAnsiTheme="minorHAnsi" w:cstheme="minorHAnsi"/>
              </w:rPr>
            </w:pPr>
          </w:p>
          <w:p w:rsidR="00B3374A" w:rsidRPr="00357B96" w:rsidRDefault="00B3374A" w:rsidP="001D6FA6">
            <w:pPr>
              <w:pStyle w:val="TSBullet1Square"/>
              <w:numPr>
                <w:ilvl w:val="0"/>
                <w:numId w:val="0"/>
              </w:numPr>
              <w:ind w:left="1440"/>
              <w:rPr>
                <w:rFonts w:asciiTheme="minorHAnsi" w:hAnsiTheme="minorHAnsi" w:cstheme="minorHAnsi"/>
              </w:rPr>
            </w:pPr>
          </w:p>
        </w:tc>
      </w:tr>
      <w:tr w:rsidR="00AF4C0F" w:rsidTr="00971BA8">
        <w:trPr>
          <w:jc w:val="center"/>
        </w:trPr>
        <w:tc>
          <w:tcPr>
            <w:tcW w:w="9709" w:type="dxa"/>
          </w:tcPr>
          <w:p w:rsidR="00AF4C0F" w:rsidRPr="001D6FA6" w:rsidRDefault="00AF4C0F" w:rsidP="001D6FA6">
            <w:pPr>
              <w:pStyle w:val="TSHeadingNumbered1"/>
              <w:tabs>
                <w:tab w:val="left" w:pos="0"/>
              </w:tabs>
              <w:ind w:left="0" w:firstLine="0"/>
              <w:jc w:val="both"/>
              <w:rPr>
                <w:rFonts w:asciiTheme="minorHAnsi" w:hAnsiTheme="minorHAnsi" w:cstheme="minorHAnsi"/>
              </w:rPr>
            </w:pPr>
            <w:r w:rsidRPr="001D6FA6">
              <w:rPr>
                <w:rFonts w:asciiTheme="minorHAnsi" w:hAnsiTheme="minorHAnsi" w:cstheme="minorHAnsi"/>
              </w:rPr>
              <w:lastRenderedPageBreak/>
              <w:t>SCOPE OF THE SERVICES REQUIRED</w:t>
            </w:r>
          </w:p>
          <w:p w:rsidR="006B553A" w:rsidRPr="006B553A" w:rsidRDefault="000F2B30" w:rsidP="001D6FA6">
            <w:pPr>
              <w:pStyle w:val="TSNumberedParagraph11"/>
              <w:jc w:val="both"/>
              <w:rPr>
                <w:rFonts w:asciiTheme="minorHAnsi" w:hAnsiTheme="minorHAnsi" w:cstheme="minorHAnsi"/>
              </w:rPr>
            </w:pPr>
            <w:r>
              <w:rPr>
                <w:rFonts w:asciiTheme="minorHAnsi" w:hAnsiTheme="minorHAnsi" w:cstheme="minorHAnsi"/>
              </w:rPr>
              <w:t>A high-level outline of the activities</w:t>
            </w:r>
            <w:r w:rsidR="00E544C2">
              <w:rPr>
                <w:rFonts w:asciiTheme="minorHAnsi" w:hAnsiTheme="minorHAnsi" w:cstheme="minorHAnsi"/>
              </w:rPr>
              <w:t xml:space="preserve"> that may be </w:t>
            </w:r>
            <w:r>
              <w:rPr>
                <w:rFonts w:asciiTheme="minorHAnsi" w:hAnsiTheme="minorHAnsi" w:cstheme="minorHAnsi"/>
              </w:rPr>
              <w:t>required under each of these areas is provided below.</w:t>
            </w:r>
            <w:r w:rsidR="00E544C2">
              <w:rPr>
                <w:rFonts w:asciiTheme="minorHAnsi" w:hAnsiTheme="minorHAnsi" w:cstheme="minorHAnsi"/>
              </w:rPr>
              <w:t xml:space="preserve">  </w:t>
            </w:r>
            <w:r w:rsidR="00E544C2" w:rsidRPr="00DB6B99">
              <w:rPr>
                <w:rFonts w:asciiTheme="minorHAnsi" w:hAnsiTheme="minorHAnsi" w:cstheme="minorHAnsi"/>
                <w:b/>
              </w:rPr>
              <w:t xml:space="preserve">It is important to note that these are given as an illustration of the types of </w:t>
            </w:r>
            <w:r w:rsidR="00DB6B99" w:rsidRPr="00DB6B99">
              <w:rPr>
                <w:rFonts w:asciiTheme="minorHAnsi" w:hAnsiTheme="minorHAnsi" w:cstheme="minorHAnsi"/>
                <w:b/>
              </w:rPr>
              <w:t>HF support t</w:t>
            </w:r>
            <w:r w:rsidR="00DB6B99">
              <w:rPr>
                <w:rFonts w:asciiTheme="minorHAnsi" w:hAnsiTheme="minorHAnsi" w:cstheme="minorHAnsi"/>
                <w:b/>
              </w:rPr>
              <w:t>hat may be requested</w:t>
            </w:r>
            <w:r w:rsidR="00DB6B99" w:rsidRPr="00DB6B99">
              <w:rPr>
                <w:rFonts w:asciiTheme="minorHAnsi" w:hAnsiTheme="minorHAnsi" w:cstheme="minorHAnsi"/>
                <w:b/>
              </w:rPr>
              <w:t xml:space="preserve"> during the call-off contract and are not intended to form a definitive list of activities required.</w:t>
            </w:r>
          </w:p>
          <w:p w:rsidR="005700C4" w:rsidRDefault="005700C4" w:rsidP="001D6FA6">
            <w:pPr>
              <w:pStyle w:val="TSBullet1Square"/>
              <w:numPr>
                <w:ilvl w:val="0"/>
                <w:numId w:val="0"/>
              </w:numPr>
              <w:jc w:val="both"/>
              <w:rPr>
                <w:rFonts w:asciiTheme="minorHAnsi" w:hAnsiTheme="minorHAnsi" w:cstheme="minorHAnsi"/>
                <w:b/>
              </w:rPr>
            </w:pPr>
            <w:r w:rsidRPr="006B553A">
              <w:rPr>
                <w:rFonts w:asciiTheme="minorHAnsi" w:hAnsiTheme="minorHAnsi" w:cstheme="minorHAnsi"/>
                <w:b/>
              </w:rPr>
              <w:t>Inspection Activities</w:t>
            </w:r>
          </w:p>
          <w:p w:rsidR="0080312E" w:rsidRPr="00962038" w:rsidRDefault="005700C4" w:rsidP="001D6FA6">
            <w:pPr>
              <w:pStyle w:val="TSNumberedParagraph11"/>
              <w:tabs>
                <w:tab w:val="clear" w:pos="-31680"/>
              </w:tabs>
              <w:jc w:val="both"/>
              <w:rPr>
                <w:rFonts w:asciiTheme="minorHAnsi" w:hAnsiTheme="minorHAnsi" w:cstheme="minorHAnsi"/>
              </w:rPr>
            </w:pPr>
            <w:r w:rsidRPr="006B553A">
              <w:rPr>
                <w:rFonts w:asciiTheme="minorHAnsi" w:hAnsiTheme="minorHAnsi" w:cstheme="minorHAnsi"/>
                <w:b/>
              </w:rPr>
              <w:t>Licence Compliance Inspection</w:t>
            </w:r>
            <w:r w:rsidR="00962038">
              <w:rPr>
                <w:rFonts w:asciiTheme="minorHAnsi" w:hAnsiTheme="minorHAnsi" w:cstheme="minorHAnsi"/>
              </w:rPr>
              <w:t xml:space="preserve"> – Individual Licence C</w:t>
            </w:r>
            <w:r w:rsidRPr="006B553A">
              <w:rPr>
                <w:rFonts w:asciiTheme="minorHAnsi" w:hAnsiTheme="minorHAnsi" w:cstheme="minorHAnsi"/>
              </w:rPr>
              <w:t xml:space="preserve">ondition </w:t>
            </w:r>
            <w:r w:rsidR="00962038">
              <w:rPr>
                <w:rFonts w:asciiTheme="minorHAnsi" w:hAnsiTheme="minorHAnsi" w:cstheme="minorHAnsi"/>
              </w:rPr>
              <w:t xml:space="preserve">(LC) </w:t>
            </w:r>
            <w:r w:rsidRPr="006B553A">
              <w:rPr>
                <w:rFonts w:asciiTheme="minorHAnsi" w:hAnsiTheme="minorHAnsi" w:cstheme="minorHAnsi"/>
              </w:rPr>
              <w:t>compliance is inspected</w:t>
            </w:r>
            <w:r w:rsidR="00962038">
              <w:rPr>
                <w:rFonts w:asciiTheme="minorHAnsi" w:hAnsiTheme="minorHAnsi" w:cstheme="minorHAnsi"/>
              </w:rPr>
              <w:t xml:space="preserve"> through planned inspections</w:t>
            </w:r>
            <w:r w:rsidRPr="006B553A">
              <w:rPr>
                <w:rFonts w:asciiTheme="minorHAnsi" w:hAnsiTheme="minorHAnsi" w:cstheme="minorHAnsi"/>
              </w:rPr>
              <w:t>,</w:t>
            </w:r>
            <w:r w:rsidR="00962038">
              <w:rPr>
                <w:rFonts w:asciiTheme="minorHAnsi" w:hAnsiTheme="minorHAnsi" w:cstheme="minorHAnsi"/>
              </w:rPr>
              <w:t xml:space="preserve"> on a sample basis according to information derived from Safety Cases and other operational intelligence.</w:t>
            </w:r>
            <w:r w:rsidRPr="006B553A">
              <w:rPr>
                <w:rFonts w:asciiTheme="minorHAnsi" w:hAnsiTheme="minorHAnsi" w:cstheme="minorHAnsi"/>
              </w:rPr>
              <w:t xml:space="preserve"> </w:t>
            </w:r>
            <w:r w:rsidR="00962038">
              <w:rPr>
                <w:rFonts w:asciiTheme="minorHAnsi" w:hAnsiTheme="minorHAnsi" w:cstheme="minorHAnsi"/>
              </w:rPr>
              <w:t xml:space="preserve"> </w:t>
            </w:r>
            <w:r w:rsidRPr="006B553A">
              <w:rPr>
                <w:rFonts w:asciiTheme="minorHAnsi" w:hAnsiTheme="minorHAnsi" w:cstheme="minorHAnsi"/>
              </w:rPr>
              <w:t xml:space="preserve">These may be combined into themed inspections </w:t>
            </w:r>
            <w:r w:rsidR="00962038">
              <w:rPr>
                <w:rFonts w:asciiTheme="minorHAnsi" w:hAnsiTheme="minorHAnsi" w:cstheme="minorHAnsi"/>
              </w:rPr>
              <w:t xml:space="preserve">as detailed </w:t>
            </w:r>
            <w:r w:rsidRPr="006B553A">
              <w:rPr>
                <w:rFonts w:asciiTheme="minorHAnsi" w:hAnsiTheme="minorHAnsi" w:cstheme="minorHAnsi"/>
              </w:rPr>
              <w:t>below, or be combined with inspections of other relevant statutory provisions</w:t>
            </w:r>
            <w:r w:rsidR="00962038">
              <w:rPr>
                <w:rFonts w:asciiTheme="minorHAnsi" w:hAnsiTheme="minorHAnsi" w:cstheme="minorHAnsi"/>
              </w:rPr>
              <w:t>.</w:t>
            </w:r>
            <w:r w:rsidRPr="006B553A">
              <w:rPr>
                <w:rFonts w:asciiTheme="minorHAnsi" w:hAnsiTheme="minorHAnsi" w:cstheme="minorHAnsi"/>
              </w:rPr>
              <w:t xml:space="preserve">  HF SQEPs </w:t>
            </w:r>
            <w:r w:rsidR="00962038">
              <w:rPr>
                <w:rFonts w:asciiTheme="minorHAnsi" w:hAnsiTheme="minorHAnsi" w:cstheme="minorHAnsi"/>
              </w:rPr>
              <w:t>can</w:t>
            </w:r>
            <w:r w:rsidRPr="006B553A">
              <w:rPr>
                <w:rFonts w:asciiTheme="minorHAnsi" w:hAnsiTheme="minorHAnsi" w:cstheme="minorHAnsi"/>
              </w:rPr>
              <w:t xml:space="preserve"> be required to support </w:t>
            </w:r>
            <w:r w:rsidR="00962038">
              <w:rPr>
                <w:rFonts w:asciiTheme="minorHAnsi" w:hAnsiTheme="minorHAnsi" w:cstheme="minorHAnsi"/>
              </w:rPr>
              <w:t>a variety of LC Compliance Inspections, most commonly</w:t>
            </w:r>
            <w:r w:rsidRPr="006B553A">
              <w:rPr>
                <w:rFonts w:asciiTheme="minorHAnsi" w:hAnsiTheme="minorHAnsi" w:cstheme="minorHAnsi"/>
              </w:rPr>
              <w:t xml:space="preserve"> </w:t>
            </w:r>
            <w:r w:rsidR="00962038">
              <w:rPr>
                <w:rFonts w:asciiTheme="minorHAnsi" w:hAnsiTheme="minorHAnsi" w:cstheme="minorHAnsi"/>
              </w:rPr>
              <w:t>Incidents on Site (LC7), Training (</w:t>
            </w:r>
            <w:r w:rsidRPr="006B553A">
              <w:rPr>
                <w:rFonts w:asciiTheme="minorHAnsi" w:hAnsiTheme="minorHAnsi" w:cstheme="minorHAnsi"/>
              </w:rPr>
              <w:t>LC10</w:t>
            </w:r>
            <w:r w:rsidR="00BA4B11">
              <w:rPr>
                <w:rFonts w:asciiTheme="minorHAnsi" w:hAnsiTheme="minorHAnsi" w:cstheme="minorHAnsi"/>
              </w:rPr>
              <w:t>)</w:t>
            </w:r>
            <w:r w:rsidR="00962038">
              <w:rPr>
                <w:rFonts w:asciiTheme="minorHAnsi" w:hAnsiTheme="minorHAnsi" w:cstheme="minorHAnsi"/>
              </w:rPr>
              <w:t>, Operating Rules (LC23), Operating Instructions (LC24)</w:t>
            </w:r>
            <w:r w:rsidR="0099431B">
              <w:rPr>
                <w:rFonts w:asciiTheme="minorHAnsi" w:hAnsiTheme="minorHAnsi" w:cstheme="minorHAnsi"/>
              </w:rPr>
              <w:t xml:space="preserve">, Control and Supervision (LC 26), Safety Mechanisms (LC 27), </w:t>
            </w:r>
            <w:r w:rsidR="007E1767">
              <w:rPr>
                <w:rFonts w:asciiTheme="minorHAnsi" w:hAnsiTheme="minorHAnsi" w:cstheme="minorHAnsi"/>
              </w:rPr>
              <w:t xml:space="preserve">Examination, Inspection, Maintenance and Testing </w:t>
            </w:r>
            <w:r w:rsidR="0099431B">
              <w:rPr>
                <w:rFonts w:asciiTheme="minorHAnsi" w:hAnsiTheme="minorHAnsi" w:cstheme="minorHAnsi"/>
              </w:rPr>
              <w:t>EMIT (LC 28)</w:t>
            </w:r>
            <w:r w:rsidR="00BA4B11">
              <w:rPr>
                <w:rFonts w:asciiTheme="minorHAnsi" w:hAnsiTheme="minorHAnsi" w:cstheme="minorHAnsi"/>
              </w:rPr>
              <w:t xml:space="preserve"> and </w:t>
            </w:r>
            <w:r w:rsidR="00962038">
              <w:rPr>
                <w:rFonts w:asciiTheme="minorHAnsi" w:hAnsiTheme="minorHAnsi" w:cstheme="minorHAnsi"/>
              </w:rPr>
              <w:t>Organisational Capability (LC36)</w:t>
            </w:r>
            <w:r w:rsidRPr="006B553A">
              <w:rPr>
                <w:rFonts w:asciiTheme="minorHAnsi" w:hAnsiTheme="minorHAnsi" w:cstheme="minorHAnsi"/>
              </w:rPr>
              <w:t xml:space="preserve">.  </w:t>
            </w:r>
          </w:p>
          <w:p w:rsidR="005700C4" w:rsidRPr="006B553A" w:rsidRDefault="005700C4" w:rsidP="001D6FA6">
            <w:pPr>
              <w:pStyle w:val="TSNumberedParagraph11"/>
              <w:jc w:val="both"/>
              <w:rPr>
                <w:rFonts w:asciiTheme="minorHAnsi" w:hAnsiTheme="minorHAnsi" w:cstheme="minorHAnsi"/>
              </w:rPr>
            </w:pPr>
            <w:r w:rsidRPr="006B553A">
              <w:rPr>
                <w:rFonts w:asciiTheme="minorHAnsi" w:hAnsiTheme="minorHAnsi" w:cstheme="minorHAnsi"/>
                <w:b/>
              </w:rPr>
              <w:t>Themed Compliance Inspections</w:t>
            </w:r>
            <w:r w:rsidR="00962038">
              <w:rPr>
                <w:rFonts w:asciiTheme="minorHAnsi" w:hAnsiTheme="minorHAnsi" w:cstheme="minorHAnsi"/>
              </w:rPr>
              <w:t xml:space="preserve"> – LC compliance</w:t>
            </w:r>
            <w:r w:rsidRPr="006B553A">
              <w:rPr>
                <w:rFonts w:asciiTheme="minorHAnsi" w:hAnsiTheme="minorHAnsi" w:cstheme="minorHAnsi"/>
              </w:rPr>
              <w:t xml:space="preserve"> may be evaluated under the framework of an over-arching themed or cross-cutting inspection, particularly where a subject of regulatory interest reads across more than a single LC. </w:t>
            </w:r>
            <w:r w:rsidR="00962038">
              <w:rPr>
                <w:rFonts w:asciiTheme="minorHAnsi" w:hAnsiTheme="minorHAnsi" w:cstheme="minorHAnsi"/>
              </w:rPr>
              <w:t xml:space="preserve"> </w:t>
            </w:r>
            <w:r w:rsidRPr="006B553A">
              <w:rPr>
                <w:rFonts w:asciiTheme="minorHAnsi" w:hAnsiTheme="minorHAnsi" w:cstheme="minorHAnsi"/>
              </w:rPr>
              <w:t xml:space="preserve">Such inspections may be cross functional in nature, drawing upon </w:t>
            </w:r>
            <w:r w:rsidR="00BA4B11">
              <w:rPr>
                <w:rFonts w:asciiTheme="minorHAnsi" w:hAnsiTheme="minorHAnsi" w:cstheme="minorHAnsi"/>
              </w:rPr>
              <w:t>Site I</w:t>
            </w:r>
            <w:r w:rsidRPr="006B553A">
              <w:rPr>
                <w:rFonts w:asciiTheme="minorHAnsi" w:hAnsiTheme="minorHAnsi" w:cstheme="minorHAnsi"/>
              </w:rPr>
              <w:t>nspector and specialist resource where relevant.   For example, HF SQEPs can be required to suppor</w:t>
            </w:r>
            <w:r w:rsidR="00BA4B11">
              <w:rPr>
                <w:rFonts w:asciiTheme="minorHAnsi" w:hAnsiTheme="minorHAnsi" w:cstheme="minorHAnsi"/>
              </w:rPr>
              <w:t>t Conduct of Operations,</w:t>
            </w:r>
            <w:r w:rsidRPr="006B553A">
              <w:rPr>
                <w:rFonts w:asciiTheme="minorHAnsi" w:hAnsiTheme="minorHAnsi" w:cstheme="minorHAnsi"/>
              </w:rPr>
              <w:t xml:space="preserve"> Organisational Learning</w:t>
            </w:r>
            <w:r w:rsidR="00BA4B11">
              <w:rPr>
                <w:rFonts w:asciiTheme="minorHAnsi" w:hAnsiTheme="minorHAnsi" w:cstheme="minorHAnsi"/>
              </w:rPr>
              <w:t xml:space="preserve"> and Engineering Governance</w:t>
            </w:r>
            <w:r w:rsidRPr="006B553A">
              <w:rPr>
                <w:rFonts w:asciiTheme="minorHAnsi" w:hAnsiTheme="minorHAnsi" w:cstheme="minorHAnsi"/>
              </w:rPr>
              <w:t xml:space="preserve"> inspections.</w:t>
            </w:r>
          </w:p>
          <w:p w:rsidR="005700C4" w:rsidRDefault="005700C4" w:rsidP="001D6FA6">
            <w:pPr>
              <w:pStyle w:val="TSNumberedParagraph11"/>
              <w:jc w:val="both"/>
              <w:rPr>
                <w:rFonts w:asciiTheme="minorHAnsi" w:hAnsiTheme="minorHAnsi" w:cstheme="minorHAnsi"/>
              </w:rPr>
            </w:pPr>
            <w:r w:rsidRPr="006B553A">
              <w:rPr>
                <w:rFonts w:asciiTheme="minorHAnsi" w:hAnsiTheme="minorHAnsi" w:cstheme="minorHAnsi"/>
                <w:b/>
              </w:rPr>
              <w:t>System Based Inspections (SBIs)</w:t>
            </w:r>
            <w:r w:rsidRPr="006B553A">
              <w:rPr>
                <w:rFonts w:asciiTheme="minorHAnsi" w:hAnsiTheme="minorHAnsi" w:cstheme="minorHAnsi"/>
              </w:rPr>
              <w:t xml:space="preserve"> - SBIs are an essential element of ONR’s overall intervention </w:t>
            </w:r>
            <w:r w:rsidR="007E1767">
              <w:rPr>
                <w:rFonts w:asciiTheme="minorHAnsi" w:hAnsiTheme="minorHAnsi" w:cstheme="minorHAnsi"/>
              </w:rPr>
              <w:t xml:space="preserve">strategy </w:t>
            </w:r>
            <w:r w:rsidRPr="006B553A">
              <w:rPr>
                <w:rFonts w:asciiTheme="minorHAnsi" w:hAnsiTheme="minorHAnsi" w:cstheme="minorHAnsi"/>
              </w:rPr>
              <w:t xml:space="preserve">on a nuclear site and consist of a series of inspections which are intended to establish that the basic elements of a site/facility safety case as implemented in Safety Systems and Structures (SSS) are fit for purpose and that they will </w:t>
            </w:r>
            <w:r w:rsidR="00E25E91">
              <w:rPr>
                <w:rFonts w:asciiTheme="minorHAnsi" w:hAnsiTheme="minorHAnsi" w:cstheme="minorHAnsi"/>
              </w:rPr>
              <w:t>deliver</w:t>
            </w:r>
            <w:r w:rsidR="00E25E91" w:rsidRPr="006B553A">
              <w:rPr>
                <w:rFonts w:asciiTheme="minorHAnsi" w:hAnsiTheme="minorHAnsi" w:cstheme="minorHAnsi"/>
              </w:rPr>
              <w:t xml:space="preserve"> </w:t>
            </w:r>
            <w:r w:rsidRPr="006B553A">
              <w:rPr>
                <w:rFonts w:asciiTheme="minorHAnsi" w:hAnsiTheme="minorHAnsi" w:cstheme="minorHAnsi"/>
              </w:rPr>
              <w:t xml:space="preserve">their </w:t>
            </w:r>
            <w:r w:rsidR="00E25E91">
              <w:rPr>
                <w:rFonts w:asciiTheme="minorHAnsi" w:hAnsiTheme="minorHAnsi" w:cstheme="minorHAnsi"/>
              </w:rPr>
              <w:t xml:space="preserve">defined </w:t>
            </w:r>
            <w:r w:rsidRPr="006B553A">
              <w:rPr>
                <w:rFonts w:asciiTheme="minorHAnsi" w:hAnsiTheme="minorHAnsi" w:cstheme="minorHAnsi"/>
              </w:rPr>
              <w:t>safety functio</w:t>
            </w:r>
            <w:r w:rsidR="00BA4B11">
              <w:rPr>
                <w:rFonts w:asciiTheme="minorHAnsi" w:hAnsiTheme="minorHAnsi" w:cstheme="minorHAnsi"/>
              </w:rPr>
              <w:t xml:space="preserve">nal requirements.  </w:t>
            </w:r>
            <w:r w:rsidRPr="006B553A">
              <w:rPr>
                <w:rFonts w:asciiTheme="minorHAnsi" w:hAnsiTheme="minorHAnsi" w:cstheme="minorHAnsi"/>
              </w:rPr>
              <w:t>HF SQEPs</w:t>
            </w:r>
            <w:r w:rsidR="00BA4B11">
              <w:rPr>
                <w:rFonts w:asciiTheme="minorHAnsi" w:hAnsiTheme="minorHAnsi" w:cstheme="minorHAnsi"/>
              </w:rPr>
              <w:t xml:space="preserve"> can be required to provide HF support to a variety of SBIs on </w:t>
            </w:r>
            <w:r w:rsidR="00FB1331">
              <w:rPr>
                <w:rFonts w:asciiTheme="minorHAnsi" w:hAnsiTheme="minorHAnsi" w:cstheme="minorHAnsi"/>
              </w:rPr>
              <w:t>Safety S</w:t>
            </w:r>
            <w:r w:rsidR="00BA4B11">
              <w:rPr>
                <w:rFonts w:asciiTheme="minorHAnsi" w:hAnsiTheme="minorHAnsi" w:cstheme="minorHAnsi"/>
              </w:rPr>
              <w:t>ystems such as Reactor Post-Trip Systems, Data Processing Systems or Fuelling Machine and Decay Store.</w:t>
            </w:r>
          </w:p>
          <w:p w:rsidR="00FB1331" w:rsidRPr="00FB1331" w:rsidRDefault="00FB1331" w:rsidP="001D6FA6">
            <w:pPr>
              <w:pStyle w:val="TSNumberedParagraph11"/>
              <w:jc w:val="both"/>
              <w:rPr>
                <w:rFonts w:asciiTheme="minorHAnsi" w:hAnsiTheme="minorHAnsi" w:cstheme="minorHAnsi"/>
              </w:rPr>
            </w:pPr>
            <w:r w:rsidRPr="00FB1331">
              <w:rPr>
                <w:rFonts w:asciiTheme="minorHAnsi" w:hAnsiTheme="minorHAnsi" w:cstheme="minorHAnsi"/>
              </w:rPr>
              <w:t xml:space="preserve">For all Inspection activities the Technical Support Contractor (TSC) HF SQEP will be accompanied </w:t>
            </w:r>
            <w:r>
              <w:rPr>
                <w:rFonts w:asciiTheme="minorHAnsi" w:hAnsiTheme="minorHAnsi" w:cstheme="minorHAnsi"/>
              </w:rPr>
              <w:t xml:space="preserve">on site </w:t>
            </w:r>
            <w:r w:rsidRPr="00FB1331">
              <w:rPr>
                <w:rFonts w:asciiTheme="minorHAnsi" w:hAnsiTheme="minorHAnsi" w:cstheme="minorHAnsi"/>
              </w:rPr>
              <w:t>by an ONR Site Inspector, Project Inspector, Human Factors</w:t>
            </w:r>
            <w:r>
              <w:rPr>
                <w:rFonts w:asciiTheme="minorHAnsi" w:hAnsiTheme="minorHAnsi" w:cstheme="minorHAnsi"/>
              </w:rPr>
              <w:t xml:space="preserve"> Inspector</w:t>
            </w:r>
            <w:r w:rsidRPr="00FB1331">
              <w:rPr>
                <w:rFonts w:asciiTheme="minorHAnsi" w:hAnsiTheme="minorHAnsi" w:cstheme="minorHAnsi"/>
              </w:rPr>
              <w:t xml:space="preserve"> or other Specialist Inspector. </w:t>
            </w:r>
            <w:r w:rsidR="007B2A25">
              <w:rPr>
                <w:rFonts w:asciiTheme="minorHAnsi" w:hAnsiTheme="minorHAnsi" w:cstheme="minorHAnsi"/>
              </w:rPr>
              <w:t xml:space="preserve"> The HF </w:t>
            </w:r>
            <w:r w:rsidR="007B2A25" w:rsidRPr="00FB1331">
              <w:rPr>
                <w:rFonts w:asciiTheme="minorHAnsi" w:hAnsiTheme="minorHAnsi" w:cstheme="minorHAnsi"/>
              </w:rPr>
              <w:t>TSC</w:t>
            </w:r>
            <w:r w:rsidR="007B2A25">
              <w:rPr>
                <w:rFonts w:asciiTheme="minorHAnsi" w:hAnsiTheme="minorHAnsi" w:cstheme="minorHAnsi"/>
              </w:rPr>
              <w:t xml:space="preserve"> will be expected to provide evidence, both verbally and in written form, to support inspection ratings and associated regulatory judgements.</w:t>
            </w:r>
          </w:p>
          <w:p w:rsidR="005700C4" w:rsidRPr="006B553A" w:rsidRDefault="006B553A" w:rsidP="001D6FA6">
            <w:pPr>
              <w:pStyle w:val="TSNumberedParagraph11"/>
              <w:numPr>
                <w:ilvl w:val="0"/>
                <w:numId w:val="0"/>
              </w:numPr>
              <w:jc w:val="both"/>
              <w:rPr>
                <w:rFonts w:asciiTheme="minorHAnsi" w:hAnsiTheme="minorHAnsi" w:cstheme="minorHAnsi"/>
                <w:b/>
              </w:rPr>
            </w:pPr>
            <w:r w:rsidRPr="006B553A">
              <w:rPr>
                <w:rFonts w:asciiTheme="minorHAnsi" w:hAnsiTheme="minorHAnsi" w:cstheme="minorHAnsi"/>
                <w:b/>
              </w:rPr>
              <w:t>Assessment Activities</w:t>
            </w:r>
          </w:p>
          <w:p w:rsidR="00962038" w:rsidRPr="007738E4" w:rsidRDefault="00962038" w:rsidP="001D6FA6">
            <w:pPr>
              <w:pStyle w:val="TSNumberedParagraph11"/>
              <w:jc w:val="both"/>
              <w:rPr>
                <w:rFonts w:asciiTheme="minorHAnsi" w:hAnsiTheme="minorHAnsi" w:cstheme="minorHAnsi"/>
              </w:rPr>
            </w:pPr>
            <w:r w:rsidRPr="007738E4">
              <w:rPr>
                <w:rFonts w:asciiTheme="minorHAnsi" w:hAnsiTheme="minorHAnsi" w:cstheme="minorHAnsi"/>
              </w:rPr>
              <w:t xml:space="preserve">Before ONR can permission key activities, we assess </w:t>
            </w:r>
            <w:r w:rsidR="00110F81" w:rsidRPr="007738E4">
              <w:rPr>
                <w:rFonts w:asciiTheme="minorHAnsi" w:hAnsiTheme="minorHAnsi" w:cstheme="minorHAnsi"/>
              </w:rPr>
              <w:t>licensee</w:t>
            </w:r>
            <w:r w:rsidRPr="007738E4">
              <w:rPr>
                <w:rFonts w:asciiTheme="minorHAnsi" w:hAnsiTheme="minorHAnsi" w:cstheme="minorHAnsi"/>
              </w:rPr>
              <w:t xml:space="preserve"> </w:t>
            </w:r>
            <w:r w:rsidR="002A5906">
              <w:rPr>
                <w:rFonts w:asciiTheme="minorHAnsi" w:hAnsiTheme="minorHAnsi" w:cstheme="minorHAnsi"/>
              </w:rPr>
              <w:t>S</w:t>
            </w:r>
            <w:r w:rsidR="002A5906" w:rsidRPr="007738E4">
              <w:rPr>
                <w:rFonts w:asciiTheme="minorHAnsi" w:hAnsiTheme="minorHAnsi" w:cstheme="minorHAnsi"/>
              </w:rPr>
              <w:t xml:space="preserve">afety </w:t>
            </w:r>
            <w:r w:rsidR="002A5906">
              <w:rPr>
                <w:rFonts w:asciiTheme="minorHAnsi" w:hAnsiTheme="minorHAnsi" w:cstheme="minorHAnsi"/>
              </w:rPr>
              <w:t>Cases</w:t>
            </w:r>
            <w:r w:rsidRPr="007738E4">
              <w:rPr>
                <w:rFonts w:asciiTheme="minorHAnsi" w:hAnsiTheme="minorHAnsi" w:cstheme="minorHAnsi"/>
              </w:rPr>
              <w:t>, on a sample basis</w:t>
            </w:r>
            <w:r w:rsidR="002A5906">
              <w:rPr>
                <w:rFonts w:asciiTheme="minorHAnsi" w:hAnsiTheme="minorHAnsi" w:cstheme="minorHAnsi"/>
              </w:rPr>
              <w:t xml:space="preserve">, targeting the areas of greatest </w:t>
            </w:r>
            <w:r w:rsidR="002A5906" w:rsidRPr="00F86724">
              <w:rPr>
                <w:rFonts w:asciiTheme="minorHAnsi" w:hAnsiTheme="minorHAnsi" w:cstheme="minorHAnsi"/>
              </w:rPr>
              <w:t xml:space="preserve">risks or </w:t>
            </w:r>
            <w:r w:rsidR="002A5906">
              <w:rPr>
                <w:rFonts w:asciiTheme="minorHAnsi" w:hAnsiTheme="minorHAnsi" w:cstheme="minorHAnsi"/>
              </w:rPr>
              <w:t xml:space="preserve">where hazards are </w:t>
            </w:r>
            <w:r w:rsidR="002A5906" w:rsidRPr="00F86724">
              <w:rPr>
                <w:rFonts w:asciiTheme="minorHAnsi" w:hAnsiTheme="minorHAnsi" w:cstheme="minorHAnsi"/>
              </w:rPr>
              <w:t>least well controlled</w:t>
            </w:r>
            <w:r w:rsidRPr="007738E4">
              <w:rPr>
                <w:rFonts w:asciiTheme="minorHAnsi" w:hAnsiTheme="minorHAnsi" w:cstheme="minorHAnsi"/>
              </w:rPr>
              <w:t xml:space="preserve">, to ensure that the </w:t>
            </w:r>
            <w:r w:rsidR="002A5906">
              <w:rPr>
                <w:rFonts w:asciiTheme="minorHAnsi" w:hAnsiTheme="minorHAnsi" w:cstheme="minorHAnsi"/>
              </w:rPr>
              <w:t xml:space="preserve">licensee has demonstrated that the risks </w:t>
            </w:r>
            <w:r w:rsidR="00F86724">
              <w:rPr>
                <w:rFonts w:asciiTheme="minorHAnsi" w:hAnsiTheme="minorHAnsi" w:cstheme="minorHAnsi"/>
              </w:rPr>
              <w:t xml:space="preserve">arising from these activities </w:t>
            </w:r>
            <w:r w:rsidR="002A5906">
              <w:rPr>
                <w:rFonts w:asciiTheme="minorHAnsi" w:hAnsiTheme="minorHAnsi" w:cstheme="minorHAnsi"/>
              </w:rPr>
              <w:t>are reduced S</w:t>
            </w:r>
            <w:r w:rsidR="007738E4">
              <w:rPr>
                <w:rFonts w:asciiTheme="minorHAnsi" w:hAnsiTheme="minorHAnsi" w:cstheme="minorHAnsi"/>
              </w:rPr>
              <w:t xml:space="preserve">o </w:t>
            </w:r>
            <w:r w:rsidR="002A5906">
              <w:rPr>
                <w:rFonts w:asciiTheme="minorHAnsi" w:hAnsiTheme="minorHAnsi" w:cstheme="minorHAnsi"/>
              </w:rPr>
              <w:t>F</w:t>
            </w:r>
            <w:r w:rsidR="007738E4">
              <w:rPr>
                <w:rFonts w:asciiTheme="minorHAnsi" w:hAnsiTheme="minorHAnsi" w:cstheme="minorHAnsi"/>
              </w:rPr>
              <w:t xml:space="preserve">ar </w:t>
            </w:r>
            <w:r w:rsidR="002A5906">
              <w:rPr>
                <w:rFonts w:asciiTheme="minorHAnsi" w:hAnsiTheme="minorHAnsi" w:cstheme="minorHAnsi"/>
              </w:rPr>
              <w:t>A</w:t>
            </w:r>
            <w:r w:rsidR="007738E4">
              <w:rPr>
                <w:rFonts w:asciiTheme="minorHAnsi" w:hAnsiTheme="minorHAnsi" w:cstheme="minorHAnsi"/>
              </w:rPr>
              <w:t xml:space="preserve">s </w:t>
            </w:r>
            <w:r w:rsidR="002A5906">
              <w:rPr>
                <w:rFonts w:asciiTheme="minorHAnsi" w:hAnsiTheme="minorHAnsi" w:cstheme="minorHAnsi"/>
              </w:rPr>
              <w:t>I</w:t>
            </w:r>
            <w:r w:rsidR="007738E4">
              <w:rPr>
                <w:rFonts w:asciiTheme="minorHAnsi" w:hAnsiTheme="minorHAnsi" w:cstheme="minorHAnsi"/>
              </w:rPr>
              <w:t xml:space="preserve">s </w:t>
            </w:r>
            <w:r w:rsidR="002A5906">
              <w:rPr>
                <w:rFonts w:asciiTheme="minorHAnsi" w:hAnsiTheme="minorHAnsi" w:cstheme="minorHAnsi"/>
              </w:rPr>
              <w:t>R</w:t>
            </w:r>
            <w:r w:rsidR="007738E4">
              <w:rPr>
                <w:rFonts w:asciiTheme="minorHAnsi" w:hAnsiTheme="minorHAnsi" w:cstheme="minorHAnsi"/>
              </w:rPr>
              <w:t xml:space="preserve">easonably </w:t>
            </w:r>
            <w:r w:rsidR="002A5906">
              <w:rPr>
                <w:rFonts w:asciiTheme="minorHAnsi" w:hAnsiTheme="minorHAnsi" w:cstheme="minorHAnsi"/>
              </w:rPr>
              <w:t>P</w:t>
            </w:r>
            <w:r w:rsidR="007738E4">
              <w:rPr>
                <w:rFonts w:asciiTheme="minorHAnsi" w:hAnsiTheme="minorHAnsi" w:cstheme="minorHAnsi"/>
              </w:rPr>
              <w:t>racticable (SFAIRP)</w:t>
            </w:r>
            <w:r w:rsidRPr="007738E4">
              <w:rPr>
                <w:rFonts w:asciiTheme="minorHAnsi" w:hAnsiTheme="minorHAnsi" w:cstheme="minorHAnsi"/>
              </w:rPr>
              <w:t>.</w:t>
            </w:r>
          </w:p>
          <w:p w:rsidR="00583D42" w:rsidRPr="006B553A" w:rsidRDefault="00FB1331" w:rsidP="001D6FA6">
            <w:pPr>
              <w:pStyle w:val="TSNumberedParagraph11"/>
              <w:jc w:val="both"/>
              <w:rPr>
                <w:rFonts w:asciiTheme="minorHAnsi" w:hAnsiTheme="minorHAnsi" w:cstheme="minorHAnsi"/>
              </w:rPr>
            </w:pPr>
            <w:r>
              <w:rPr>
                <w:rFonts w:asciiTheme="minorHAnsi" w:hAnsiTheme="minorHAnsi" w:cstheme="minorHAnsi"/>
              </w:rPr>
              <w:t>T</w:t>
            </w:r>
            <w:r w:rsidR="00583D42" w:rsidRPr="006B553A">
              <w:rPr>
                <w:rFonts w:asciiTheme="minorHAnsi" w:hAnsiTheme="minorHAnsi" w:cstheme="minorHAnsi"/>
              </w:rPr>
              <w:t>SC HF SQEPs will be required to</w:t>
            </w:r>
            <w:r>
              <w:rPr>
                <w:rFonts w:asciiTheme="minorHAnsi" w:hAnsiTheme="minorHAnsi" w:cstheme="minorHAnsi"/>
              </w:rPr>
              <w:t xml:space="preserve"> assess the HF elements of any Safety C</w:t>
            </w:r>
            <w:r w:rsidR="00583D42" w:rsidRPr="006B553A">
              <w:rPr>
                <w:rFonts w:asciiTheme="minorHAnsi" w:hAnsiTheme="minorHAnsi" w:cstheme="minorHAnsi"/>
              </w:rPr>
              <w:t xml:space="preserve">ases and provide formal documented advice and guidance to the leading ONR HF Inspector to inform their judgement.  The assessment will need to be </w:t>
            </w:r>
            <w:r w:rsidR="002A5906">
              <w:rPr>
                <w:rFonts w:asciiTheme="minorHAnsi" w:hAnsiTheme="minorHAnsi" w:cstheme="minorHAnsi"/>
              </w:rPr>
              <w:t>informed</w:t>
            </w:r>
            <w:r w:rsidR="002A5906" w:rsidRPr="006B553A">
              <w:rPr>
                <w:rFonts w:asciiTheme="minorHAnsi" w:hAnsiTheme="minorHAnsi" w:cstheme="minorHAnsi"/>
              </w:rPr>
              <w:t xml:space="preserve"> </w:t>
            </w:r>
            <w:r w:rsidR="002A5906">
              <w:rPr>
                <w:rFonts w:asciiTheme="minorHAnsi" w:hAnsiTheme="minorHAnsi" w:cstheme="minorHAnsi"/>
              </w:rPr>
              <w:t xml:space="preserve">by ONR </w:t>
            </w:r>
            <w:r w:rsidR="00583D42" w:rsidRPr="006B553A">
              <w:rPr>
                <w:rFonts w:asciiTheme="minorHAnsi" w:hAnsiTheme="minorHAnsi" w:cstheme="minorHAnsi"/>
              </w:rPr>
              <w:t>Safety Assessment Principles</w:t>
            </w:r>
            <w:r>
              <w:rPr>
                <w:rFonts w:asciiTheme="minorHAnsi" w:hAnsiTheme="minorHAnsi" w:cstheme="minorHAnsi"/>
              </w:rPr>
              <w:t xml:space="preserve"> (SAPs</w:t>
            </w:r>
            <w:r w:rsidR="002A5906">
              <w:rPr>
                <w:rFonts w:asciiTheme="minorHAnsi" w:hAnsiTheme="minorHAnsi" w:cstheme="minorHAnsi"/>
              </w:rPr>
              <w:t>) and</w:t>
            </w:r>
            <w:r w:rsidR="002A5906" w:rsidRPr="006B553A">
              <w:rPr>
                <w:rFonts w:asciiTheme="minorHAnsi" w:hAnsiTheme="minorHAnsi" w:cstheme="minorHAnsi"/>
              </w:rPr>
              <w:t xml:space="preserve"> </w:t>
            </w:r>
            <w:r>
              <w:rPr>
                <w:rFonts w:asciiTheme="minorHAnsi" w:hAnsiTheme="minorHAnsi" w:cstheme="minorHAnsi"/>
              </w:rPr>
              <w:t xml:space="preserve">Technical Assessment Guides (TAGs) </w:t>
            </w:r>
            <w:r w:rsidR="002A5906">
              <w:rPr>
                <w:rFonts w:asciiTheme="minorHAnsi" w:hAnsiTheme="minorHAnsi" w:cstheme="minorHAnsi"/>
              </w:rPr>
              <w:t>in addition to</w:t>
            </w:r>
            <w:r w:rsidR="002A5906" w:rsidRPr="006B553A">
              <w:rPr>
                <w:rFonts w:asciiTheme="minorHAnsi" w:hAnsiTheme="minorHAnsi" w:cstheme="minorHAnsi"/>
              </w:rPr>
              <w:t xml:space="preserve"> </w:t>
            </w:r>
            <w:r w:rsidR="002A5906">
              <w:rPr>
                <w:rFonts w:asciiTheme="minorHAnsi" w:hAnsiTheme="minorHAnsi" w:cstheme="minorHAnsi"/>
              </w:rPr>
              <w:t xml:space="preserve">HF </w:t>
            </w:r>
            <w:r w:rsidR="00583D42" w:rsidRPr="006B553A">
              <w:rPr>
                <w:rFonts w:asciiTheme="minorHAnsi" w:hAnsiTheme="minorHAnsi" w:cstheme="minorHAnsi"/>
              </w:rPr>
              <w:t>codes, standards and guidance</w:t>
            </w:r>
            <w:r w:rsidR="002A5906">
              <w:rPr>
                <w:rFonts w:asciiTheme="minorHAnsi" w:hAnsiTheme="minorHAnsi" w:cstheme="minorHAnsi"/>
              </w:rPr>
              <w:t xml:space="preserve"> considered as Relevant Good Practice (RGP)</w:t>
            </w:r>
            <w:r w:rsidR="00583D42" w:rsidRPr="006B553A">
              <w:rPr>
                <w:rFonts w:asciiTheme="minorHAnsi" w:hAnsiTheme="minorHAnsi" w:cstheme="minorHAnsi"/>
              </w:rPr>
              <w:t>.</w:t>
            </w:r>
          </w:p>
          <w:p w:rsidR="00C11A87" w:rsidRDefault="00110F81" w:rsidP="001D6FA6">
            <w:pPr>
              <w:pStyle w:val="TSNumberedParagraph11"/>
              <w:jc w:val="both"/>
              <w:rPr>
                <w:rFonts w:asciiTheme="minorHAnsi" w:hAnsiTheme="minorHAnsi" w:cstheme="minorHAnsi"/>
              </w:rPr>
            </w:pPr>
            <w:r>
              <w:rPr>
                <w:rFonts w:asciiTheme="minorHAnsi" w:hAnsiTheme="minorHAnsi" w:cstheme="minorHAnsi"/>
                <w:b/>
              </w:rPr>
              <w:t xml:space="preserve">Assessment </w:t>
            </w:r>
            <w:r w:rsidR="00E71EE1">
              <w:rPr>
                <w:rFonts w:asciiTheme="minorHAnsi" w:hAnsiTheme="minorHAnsi" w:cstheme="minorHAnsi"/>
                <w:b/>
              </w:rPr>
              <w:t>to S</w:t>
            </w:r>
            <w:r w:rsidR="006B553A">
              <w:rPr>
                <w:rFonts w:asciiTheme="minorHAnsi" w:hAnsiTheme="minorHAnsi" w:cstheme="minorHAnsi"/>
                <w:b/>
              </w:rPr>
              <w:t>upport P</w:t>
            </w:r>
            <w:r w:rsidR="006B553A" w:rsidRPr="006B553A">
              <w:rPr>
                <w:rFonts w:asciiTheme="minorHAnsi" w:hAnsiTheme="minorHAnsi" w:cstheme="minorHAnsi"/>
                <w:b/>
              </w:rPr>
              <w:t>ermissioning</w:t>
            </w:r>
            <w:r w:rsidR="006B553A" w:rsidRPr="006B553A">
              <w:rPr>
                <w:rFonts w:asciiTheme="minorHAnsi" w:hAnsiTheme="minorHAnsi" w:cstheme="minorHAnsi"/>
              </w:rPr>
              <w:t xml:space="preserve"> - The permissionin</w:t>
            </w:r>
            <w:r w:rsidR="00D92BDA">
              <w:rPr>
                <w:rFonts w:asciiTheme="minorHAnsi" w:hAnsiTheme="minorHAnsi" w:cstheme="minorHAnsi"/>
              </w:rPr>
              <w:t>g process enables ONR to assess</w:t>
            </w:r>
            <w:r w:rsidR="006B553A" w:rsidRPr="006B553A">
              <w:rPr>
                <w:rFonts w:asciiTheme="minorHAnsi" w:hAnsiTheme="minorHAnsi" w:cstheme="minorHAnsi"/>
              </w:rPr>
              <w:t xml:space="preserve"> the activities of duty holders and to respond to duty holders who require permission to start, continue or cease specified activities under relevant legislation.  </w:t>
            </w:r>
            <w:r w:rsidR="00D92BDA">
              <w:rPr>
                <w:rFonts w:asciiTheme="minorHAnsi" w:hAnsiTheme="minorHAnsi" w:cstheme="minorHAnsi"/>
              </w:rPr>
              <w:t>Through the permissioning process,</w:t>
            </w:r>
            <w:r w:rsidR="006B553A" w:rsidRPr="006B553A">
              <w:rPr>
                <w:rFonts w:asciiTheme="minorHAnsi" w:hAnsiTheme="minorHAnsi" w:cstheme="minorHAnsi"/>
              </w:rPr>
              <w:t xml:space="preserve"> ONR exercises suitable, proportionate, targeted, regulatory oversight on such activities.  </w:t>
            </w:r>
            <w:r w:rsidR="0099431B">
              <w:rPr>
                <w:rFonts w:asciiTheme="minorHAnsi" w:hAnsiTheme="minorHAnsi" w:cstheme="minorHAnsi"/>
              </w:rPr>
              <w:t xml:space="preserve">Permissioning support can be undertaken at various stages of the lifecycle and frequently involves readiness inspection, where judgement is required on whether the </w:t>
            </w:r>
            <w:r w:rsidR="00D574ED">
              <w:rPr>
                <w:rFonts w:asciiTheme="minorHAnsi" w:hAnsiTheme="minorHAnsi" w:cstheme="minorHAnsi"/>
              </w:rPr>
              <w:t>Licensee is</w:t>
            </w:r>
            <w:r w:rsidR="0099431B">
              <w:rPr>
                <w:rFonts w:asciiTheme="minorHAnsi" w:hAnsiTheme="minorHAnsi" w:cstheme="minorHAnsi"/>
              </w:rPr>
              <w:t xml:space="preserve"> ready to commence an activity </w:t>
            </w:r>
            <w:r w:rsidR="0099431B">
              <w:rPr>
                <w:rFonts w:asciiTheme="minorHAnsi" w:hAnsiTheme="minorHAnsi" w:cstheme="minorHAnsi"/>
              </w:rPr>
              <w:lastRenderedPageBreak/>
              <w:t>and compliant with relevant LCs.  This can include those identified above a</w:t>
            </w:r>
            <w:r w:rsidR="00D574ED">
              <w:rPr>
                <w:rFonts w:asciiTheme="minorHAnsi" w:hAnsiTheme="minorHAnsi" w:cstheme="minorHAnsi"/>
              </w:rPr>
              <w:t>s well as LCs 19-22.</w:t>
            </w:r>
          </w:p>
          <w:p w:rsidR="00C11A87" w:rsidRDefault="006B553A" w:rsidP="001D6FA6">
            <w:pPr>
              <w:pStyle w:val="TSNumberedParagraph11"/>
              <w:jc w:val="both"/>
              <w:rPr>
                <w:rFonts w:asciiTheme="minorHAnsi" w:hAnsiTheme="minorHAnsi" w:cstheme="minorHAnsi"/>
              </w:rPr>
            </w:pPr>
            <w:r w:rsidRPr="00C11A87">
              <w:rPr>
                <w:rFonts w:asciiTheme="minorHAnsi" w:hAnsiTheme="minorHAnsi" w:cstheme="minorHAnsi"/>
                <w:b/>
              </w:rPr>
              <w:t>Assessment of Periodic Safety Reviews (PSR)</w:t>
            </w:r>
            <w:r w:rsidRPr="00C11A87">
              <w:rPr>
                <w:rFonts w:asciiTheme="minorHAnsi" w:hAnsiTheme="minorHAnsi" w:cstheme="minorHAnsi"/>
              </w:rPr>
              <w:t xml:space="preserve"> - The objective of PSR is to determine by mean</w:t>
            </w:r>
            <w:r w:rsidR="00C11A87">
              <w:rPr>
                <w:rFonts w:asciiTheme="minorHAnsi" w:hAnsiTheme="minorHAnsi" w:cstheme="minorHAnsi"/>
              </w:rPr>
              <w:t>s of a comprehensive assessment</w:t>
            </w:r>
            <w:r w:rsidR="007738E4">
              <w:rPr>
                <w:rFonts w:asciiTheme="minorHAnsi" w:hAnsiTheme="minorHAnsi" w:cstheme="minorHAnsi"/>
              </w:rPr>
              <w:t xml:space="preserve"> </w:t>
            </w:r>
            <w:r w:rsidR="00493468">
              <w:rPr>
                <w:rFonts w:asciiTheme="minorHAnsi" w:hAnsiTheme="minorHAnsi" w:cstheme="minorHAnsi"/>
              </w:rPr>
              <w:t>which considers the following.</w:t>
            </w:r>
          </w:p>
          <w:p w:rsidR="00F86724" w:rsidRPr="006B553A" w:rsidRDefault="00F86724" w:rsidP="001D6FA6">
            <w:pPr>
              <w:pStyle w:val="TSBullet1Square"/>
              <w:jc w:val="both"/>
              <w:rPr>
                <w:rFonts w:asciiTheme="minorHAnsi" w:hAnsiTheme="minorHAnsi" w:cstheme="minorHAnsi"/>
              </w:rPr>
            </w:pPr>
            <w:r w:rsidRPr="006B553A">
              <w:rPr>
                <w:rFonts w:asciiTheme="minorHAnsi" w:hAnsiTheme="minorHAnsi" w:cstheme="minorHAnsi"/>
              </w:rPr>
              <w:t>The extent to which the plant conforms to current national and/or international safety standards and operating practices</w:t>
            </w:r>
            <w:r>
              <w:rPr>
                <w:rFonts w:asciiTheme="minorHAnsi" w:hAnsiTheme="minorHAnsi" w:cstheme="minorHAnsi"/>
              </w:rPr>
              <w:t>.</w:t>
            </w:r>
          </w:p>
          <w:p w:rsidR="00F86724" w:rsidRDefault="00F86724" w:rsidP="001D6FA6">
            <w:pPr>
              <w:pStyle w:val="TSBullet1Square"/>
              <w:jc w:val="both"/>
              <w:rPr>
                <w:rFonts w:asciiTheme="minorHAnsi" w:hAnsiTheme="minorHAnsi" w:cstheme="minorHAnsi"/>
              </w:rPr>
            </w:pPr>
            <w:r w:rsidRPr="006B553A">
              <w:rPr>
                <w:rFonts w:asciiTheme="minorHAnsi" w:hAnsiTheme="minorHAnsi" w:cstheme="minorHAnsi"/>
              </w:rPr>
              <w:t>The extent to which the safety documentation, including the licensing basis, remains valid.</w:t>
            </w:r>
          </w:p>
          <w:p w:rsidR="00C11A87" w:rsidRPr="00C11A87" w:rsidRDefault="00F86724" w:rsidP="001D6FA6">
            <w:pPr>
              <w:pStyle w:val="TSBullet1Square"/>
              <w:jc w:val="both"/>
            </w:pPr>
            <w:r w:rsidRPr="00F86724">
              <w:rPr>
                <w:rFonts w:asciiTheme="minorHAnsi" w:hAnsiTheme="minorHAnsi" w:cstheme="minorHAnsi"/>
              </w:rPr>
              <w:t>The adequacy of the arrangements in place to maintain safety until the next PSR or the end of life.</w:t>
            </w:r>
          </w:p>
          <w:p w:rsidR="00C11A87" w:rsidRDefault="00F86724" w:rsidP="001D6FA6">
            <w:pPr>
              <w:pStyle w:val="TSBullet1Square"/>
              <w:jc w:val="both"/>
            </w:pPr>
            <w:r w:rsidRPr="00F86724">
              <w:rPr>
                <w:rFonts w:asciiTheme="minorHAnsi" w:hAnsiTheme="minorHAnsi" w:cstheme="minorHAnsi"/>
              </w:rPr>
              <w:t>Safety improvements to be implemented to resolve safety issues</w:t>
            </w:r>
            <w:r>
              <w:rPr>
                <w:rFonts w:asciiTheme="minorHAnsi" w:hAnsiTheme="minorHAnsi" w:cstheme="minorHAnsi"/>
              </w:rPr>
              <w:t>.</w:t>
            </w:r>
          </w:p>
          <w:p w:rsidR="00C11A87" w:rsidRDefault="00C11A87" w:rsidP="001D6FA6">
            <w:pPr>
              <w:pStyle w:val="TSNumberedParagraph11"/>
              <w:jc w:val="both"/>
              <w:rPr>
                <w:rFonts w:asciiTheme="minorHAnsi" w:hAnsiTheme="minorHAnsi" w:cstheme="minorHAnsi"/>
              </w:rPr>
            </w:pPr>
            <w:r>
              <w:rPr>
                <w:rFonts w:asciiTheme="minorHAnsi" w:hAnsiTheme="minorHAnsi" w:cstheme="minorHAnsi"/>
              </w:rPr>
              <w:t xml:space="preserve">For all </w:t>
            </w:r>
            <w:r w:rsidR="00F86724">
              <w:rPr>
                <w:rFonts w:asciiTheme="minorHAnsi" w:hAnsiTheme="minorHAnsi" w:cstheme="minorHAnsi"/>
              </w:rPr>
              <w:t>a</w:t>
            </w:r>
            <w:r>
              <w:rPr>
                <w:rFonts w:asciiTheme="minorHAnsi" w:hAnsiTheme="minorHAnsi" w:cstheme="minorHAnsi"/>
              </w:rPr>
              <w:t>ssessment activities the TSC</w:t>
            </w:r>
            <w:r w:rsidR="007738E4">
              <w:rPr>
                <w:rFonts w:asciiTheme="minorHAnsi" w:hAnsiTheme="minorHAnsi" w:cstheme="minorHAnsi"/>
              </w:rPr>
              <w:t xml:space="preserve"> HF SQEP</w:t>
            </w:r>
            <w:r>
              <w:rPr>
                <w:rFonts w:asciiTheme="minorHAnsi" w:hAnsiTheme="minorHAnsi" w:cstheme="minorHAnsi"/>
              </w:rPr>
              <w:t xml:space="preserve"> </w:t>
            </w:r>
            <w:r w:rsidR="007B2A25">
              <w:rPr>
                <w:rFonts w:asciiTheme="minorHAnsi" w:hAnsiTheme="minorHAnsi" w:cstheme="minorHAnsi"/>
              </w:rPr>
              <w:t xml:space="preserve">will report the </w:t>
            </w:r>
            <w:r w:rsidR="00226A79">
              <w:rPr>
                <w:rFonts w:asciiTheme="minorHAnsi" w:hAnsiTheme="minorHAnsi" w:cstheme="minorHAnsi"/>
              </w:rPr>
              <w:t>findings of their assessment (both verbally and via a report)</w:t>
            </w:r>
            <w:r w:rsidR="005D1EEA">
              <w:rPr>
                <w:rFonts w:asciiTheme="minorHAnsi" w:hAnsiTheme="minorHAnsi" w:cstheme="minorHAnsi"/>
              </w:rPr>
              <w:t xml:space="preserve"> to </w:t>
            </w:r>
            <w:r w:rsidR="007B2A25">
              <w:rPr>
                <w:rFonts w:asciiTheme="minorHAnsi" w:hAnsiTheme="minorHAnsi" w:cstheme="minorHAnsi"/>
              </w:rPr>
              <w:t xml:space="preserve">the ONR HF Inspector to facilitate </w:t>
            </w:r>
            <w:r w:rsidR="005D1EEA">
              <w:rPr>
                <w:rFonts w:asciiTheme="minorHAnsi" w:hAnsiTheme="minorHAnsi" w:cstheme="minorHAnsi"/>
              </w:rPr>
              <w:t>the subsequent regulatory decision</w:t>
            </w:r>
            <w:r>
              <w:rPr>
                <w:rFonts w:asciiTheme="minorHAnsi" w:hAnsiTheme="minorHAnsi" w:cstheme="minorHAnsi"/>
              </w:rPr>
              <w:t>.</w:t>
            </w:r>
          </w:p>
          <w:p w:rsidR="000052A0" w:rsidRPr="00586D02" w:rsidRDefault="000052A0" w:rsidP="001D6FA6">
            <w:pPr>
              <w:pStyle w:val="TSNumberedParagraph11"/>
              <w:numPr>
                <w:ilvl w:val="0"/>
                <w:numId w:val="0"/>
              </w:numPr>
              <w:jc w:val="both"/>
              <w:rPr>
                <w:rFonts w:asciiTheme="minorHAnsi" w:hAnsiTheme="minorHAnsi" w:cstheme="minorHAnsi"/>
                <w:b/>
              </w:rPr>
            </w:pPr>
            <w:r w:rsidRPr="00586D02">
              <w:rPr>
                <w:rFonts w:asciiTheme="minorHAnsi" w:hAnsiTheme="minorHAnsi" w:cstheme="minorHAnsi"/>
                <w:b/>
              </w:rPr>
              <w:t>New Build Activities</w:t>
            </w:r>
          </w:p>
          <w:p w:rsidR="000052A0" w:rsidRPr="006B553A" w:rsidRDefault="000052A0" w:rsidP="001D6FA6">
            <w:pPr>
              <w:pStyle w:val="TSNumberedParagraph11"/>
              <w:jc w:val="both"/>
              <w:rPr>
                <w:rFonts w:asciiTheme="minorHAnsi" w:hAnsiTheme="minorHAnsi" w:cstheme="minorHAnsi"/>
              </w:rPr>
            </w:pPr>
            <w:r>
              <w:rPr>
                <w:rFonts w:asciiTheme="minorHAnsi" w:hAnsiTheme="minorHAnsi" w:cstheme="minorHAnsi"/>
              </w:rPr>
              <w:t xml:space="preserve">ONR’s New Reactors </w:t>
            </w:r>
            <w:r w:rsidR="00D92BDA">
              <w:rPr>
                <w:rFonts w:asciiTheme="minorHAnsi" w:hAnsiTheme="minorHAnsi" w:cstheme="minorHAnsi"/>
              </w:rPr>
              <w:t>Division regulates the nuclear n</w:t>
            </w:r>
            <w:r>
              <w:rPr>
                <w:rFonts w:asciiTheme="minorHAnsi" w:hAnsiTheme="minorHAnsi" w:cstheme="minorHAnsi"/>
              </w:rPr>
              <w:t>ew build industry from concept design to operations, applying regulatory influence to ensure that the new generation of reactors are safe and secure.  There are</w:t>
            </w:r>
            <w:r w:rsidR="007738E4">
              <w:rPr>
                <w:rFonts w:asciiTheme="minorHAnsi" w:hAnsiTheme="minorHAnsi" w:cstheme="minorHAnsi"/>
              </w:rPr>
              <w:t xml:space="preserve"> three</w:t>
            </w:r>
            <w:r>
              <w:rPr>
                <w:rFonts w:asciiTheme="minorHAnsi" w:hAnsiTheme="minorHAnsi" w:cstheme="minorHAnsi"/>
              </w:rPr>
              <w:t xml:space="preserve"> key </w:t>
            </w:r>
            <w:r w:rsidR="00DE7D09">
              <w:rPr>
                <w:rFonts w:asciiTheme="minorHAnsi" w:hAnsiTheme="minorHAnsi" w:cstheme="minorHAnsi"/>
              </w:rPr>
              <w:t xml:space="preserve">elements </w:t>
            </w:r>
            <w:r>
              <w:rPr>
                <w:rFonts w:asciiTheme="minorHAnsi" w:hAnsiTheme="minorHAnsi" w:cstheme="minorHAnsi"/>
              </w:rPr>
              <w:t xml:space="preserve">of work in </w:t>
            </w:r>
            <w:r w:rsidR="00493468">
              <w:rPr>
                <w:rFonts w:asciiTheme="minorHAnsi" w:hAnsiTheme="minorHAnsi" w:cstheme="minorHAnsi"/>
              </w:rPr>
              <w:t xml:space="preserve">this </w:t>
            </w:r>
            <w:r>
              <w:rPr>
                <w:rFonts w:asciiTheme="minorHAnsi" w:hAnsiTheme="minorHAnsi" w:cstheme="minorHAnsi"/>
              </w:rPr>
              <w:t>Division</w:t>
            </w:r>
            <w:r w:rsidR="00493468">
              <w:rPr>
                <w:rFonts w:asciiTheme="minorHAnsi" w:hAnsiTheme="minorHAnsi" w:cstheme="minorHAnsi"/>
              </w:rPr>
              <w:t>.</w:t>
            </w:r>
          </w:p>
          <w:p w:rsidR="00DE7D09" w:rsidRDefault="005D1EEA" w:rsidP="001D6FA6">
            <w:pPr>
              <w:pStyle w:val="TSNumberedParagraph11"/>
              <w:jc w:val="both"/>
              <w:rPr>
                <w:rFonts w:asciiTheme="minorHAnsi" w:hAnsiTheme="minorHAnsi" w:cstheme="minorHAnsi"/>
              </w:rPr>
            </w:pPr>
            <w:r>
              <w:rPr>
                <w:rFonts w:asciiTheme="minorHAnsi" w:hAnsiTheme="minorHAnsi" w:cstheme="minorHAnsi"/>
                <w:b/>
              </w:rPr>
              <w:t xml:space="preserve">Support for </w:t>
            </w:r>
            <w:r w:rsidR="000F2B30" w:rsidRPr="00583D42">
              <w:rPr>
                <w:rFonts w:asciiTheme="minorHAnsi" w:hAnsiTheme="minorHAnsi" w:cstheme="minorHAnsi"/>
                <w:b/>
              </w:rPr>
              <w:t>G</w:t>
            </w:r>
            <w:r w:rsidR="00D574ED">
              <w:rPr>
                <w:rFonts w:asciiTheme="minorHAnsi" w:hAnsiTheme="minorHAnsi" w:cstheme="minorHAnsi"/>
                <w:b/>
              </w:rPr>
              <w:t>eneric Design Assessment (G</w:t>
            </w:r>
            <w:r w:rsidR="000F2B30" w:rsidRPr="00583D42">
              <w:rPr>
                <w:rFonts w:asciiTheme="minorHAnsi" w:hAnsiTheme="minorHAnsi" w:cstheme="minorHAnsi"/>
                <w:b/>
              </w:rPr>
              <w:t>DA</w:t>
            </w:r>
            <w:r w:rsidR="00D574ED">
              <w:rPr>
                <w:rFonts w:asciiTheme="minorHAnsi" w:hAnsiTheme="minorHAnsi" w:cstheme="minorHAnsi"/>
                <w:b/>
              </w:rPr>
              <w:t>)</w:t>
            </w:r>
            <w:r w:rsidR="00846A4A" w:rsidRPr="00583D42">
              <w:rPr>
                <w:rFonts w:asciiTheme="minorHAnsi" w:hAnsiTheme="minorHAnsi" w:cstheme="minorHAnsi"/>
              </w:rPr>
              <w:t xml:space="preserve"> </w:t>
            </w:r>
            <w:r w:rsidR="00583D42">
              <w:rPr>
                <w:rFonts w:asciiTheme="minorHAnsi" w:hAnsiTheme="minorHAnsi" w:cstheme="minorHAnsi"/>
              </w:rPr>
              <w:t xml:space="preserve">– </w:t>
            </w:r>
            <w:r w:rsidR="00DE7D09">
              <w:rPr>
                <w:rFonts w:asciiTheme="minorHAnsi" w:hAnsiTheme="minorHAnsi" w:cstheme="minorHAnsi"/>
              </w:rPr>
              <w:t>ONR is responsible for providing a systematic design assessment of potential new reactor designs planned for operation in the UK</w:t>
            </w:r>
            <w:r w:rsidR="00D574ED">
              <w:rPr>
                <w:rFonts w:asciiTheme="minorHAnsi" w:hAnsiTheme="minorHAnsi" w:cstheme="minorHAnsi"/>
              </w:rPr>
              <w:t>.</w:t>
            </w:r>
            <w:r w:rsidR="00DE7D09">
              <w:rPr>
                <w:rFonts w:asciiTheme="minorHAnsi" w:hAnsiTheme="minorHAnsi" w:cstheme="minorHAnsi"/>
              </w:rPr>
              <w:t xml:space="preserve"> </w:t>
            </w:r>
            <w:r w:rsidR="00D574ED">
              <w:rPr>
                <w:rFonts w:asciiTheme="minorHAnsi" w:hAnsiTheme="minorHAnsi" w:cstheme="minorHAnsi"/>
              </w:rPr>
              <w:t xml:space="preserve"> </w:t>
            </w:r>
            <w:r>
              <w:rPr>
                <w:rFonts w:asciiTheme="minorHAnsi" w:hAnsiTheme="minorHAnsi" w:cstheme="minorHAnsi"/>
              </w:rPr>
              <w:t xml:space="preserve">HF Support </w:t>
            </w:r>
            <w:r w:rsidR="00586D02">
              <w:rPr>
                <w:rFonts w:asciiTheme="minorHAnsi" w:hAnsiTheme="minorHAnsi" w:cstheme="minorHAnsi"/>
              </w:rPr>
              <w:t>may be</w:t>
            </w:r>
            <w:r>
              <w:rPr>
                <w:rFonts w:asciiTheme="minorHAnsi" w:hAnsiTheme="minorHAnsi" w:cstheme="minorHAnsi"/>
              </w:rPr>
              <w:t xml:space="preserve"> required to support the assessment </w:t>
            </w:r>
            <w:r w:rsidR="00D574ED">
              <w:rPr>
                <w:rFonts w:asciiTheme="minorHAnsi" w:hAnsiTheme="minorHAnsi" w:cstheme="minorHAnsi"/>
              </w:rPr>
              <w:t>of submissions</w:t>
            </w:r>
            <w:r w:rsidR="00DE7D09">
              <w:rPr>
                <w:rFonts w:asciiTheme="minorHAnsi" w:hAnsiTheme="minorHAnsi" w:cstheme="minorHAnsi"/>
              </w:rPr>
              <w:t xml:space="preserve"> by Requesting Parties for a new </w:t>
            </w:r>
            <w:r>
              <w:rPr>
                <w:rFonts w:asciiTheme="minorHAnsi" w:hAnsiTheme="minorHAnsi" w:cstheme="minorHAnsi"/>
              </w:rPr>
              <w:t xml:space="preserve">reactor design in advance of an application for a nuclear Site Licence being submitted.  </w:t>
            </w:r>
            <w:r w:rsidR="00DE7D09">
              <w:rPr>
                <w:rFonts w:asciiTheme="minorHAnsi" w:hAnsiTheme="minorHAnsi" w:cstheme="minorHAnsi"/>
              </w:rPr>
              <w:t>GDA is a joint process undertaken with the Environment Agency and focuses purely on the reactor design and does not consider any site specific issues</w:t>
            </w:r>
          </w:p>
          <w:p w:rsidR="000F2B30" w:rsidRPr="00583D42" w:rsidRDefault="000F2B30" w:rsidP="001D6FA6">
            <w:pPr>
              <w:pStyle w:val="TSNumberedParagraph11"/>
              <w:jc w:val="both"/>
              <w:rPr>
                <w:rFonts w:asciiTheme="minorHAnsi" w:hAnsiTheme="minorHAnsi" w:cstheme="minorHAnsi"/>
              </w:rPr>
            </w:pPr>
            <w:r w:rsidRPr="00583D42">
              <w:rPr>
                <w:rFonts w:asciiTheme="minorHAnsi" w:hAnsiTheme="minorHAnsi" w:cstheme="minorHAnsi"/>
                <w:b/>
              </w:rPr>
              <w:t>Licensing Activities</w:t>
            </w:r>
            <w:r w:rsidRPr="00583D42">
              <w:rPr>
                <w:rFonts w:asciiTheme="minorHAnsi" w:hAnsiTheme="minorHAnsi" w:cstheme="minorHAnsi"/>
              </w:rPr>
              <w:t xml:space="preserve"> </w:t>
            </w:r>
            <w:r w:rsidR="00D92BDA">
              <w:rPr>
                <w:rFonts w:asciiTheme="minorHAnsi" w:hAnsiTheme="minorHAnsi" w:cstheme="minorHAnsi"/>
              </w:rPr>
              <w:t xml:space="preserve">– </w:t>
            </w:r>
            <w:r w:rsidR="00DE7D09">
              <w:rPr>
                <w:rFonts w:asciiTheme="minorHAnsi" w:hAnsiTheme="minorHAnsi" w:cstheme="minorHAnsi"/>
              </w:rPr>
              <w:t xml:space="preserve">ONR is responsible for licensing companies that wish to construct and operate new nuclear power stations at sites in Great Britain. In support of this ONR </w:t>
            </w:r>
            <w:r w:rsidR="0055471D">
              <w:rPr>
                <w:rFonts w:asciiTheme="minorHAnsi" w:hAnsiTheme="minorHAnsi" w:cstheme="minorHAnsi"/>
              </w:rPr>
              <w:t>assesses Licence</w:t>
            </w:r>
            <w:r w:rsidR="00DE7D09">
              <w:rPr>
                <w:rFonts w:asciiTheme="minorHAnsi" w:hAnsiTheme="minorHAnsi" w:cstheme="minorHAnsi"/>
              </w:rPr>
              <w:t xml:space="preserve"> applications to satisfy itself that the choice </w:t>
            </w:r>
            <w:r w:rsidR="00226A79">
              <w:rPr>
                <w:rFonts w:asciiTheme="minorHAnsi" w:hAnsiTheme="minorHAnsi" w:cstheme="minorHAnsi"/>
              </w:rPr>
              <w:t xml:space="preserve">of site is suitable and that the applicant </w:t>
            </w:r>
            <w:r w:rsidR="00DE7D09">
              <w:rPr>
                <w:rFonts w:asciiTheme="minorHAnsi" w:hAnsiTheme="minorHAnsi" w:cstheme="minorHAnsi"/>
              </w:rPr>
              <w:t>understands the hazard</w:t>
            </w:r>
            <w:r w:rsidR="00226A79">
              <w:rPr>
                <w:rFonts w:asciiTheme="minorHAnsi" w:hAnsiTheme="minorHAnsi" w:cstheme="minorHAnsi"/>
              </w:rPr>
              <w:t xml:space="preserve"> and risks from activities that it proposes to carry out. As above, the main focus of the TSC HF SQEP is to inform ONR HF Specialist Inspectors to enable the Inspector’s subsequent regulatory decision.</w:t>
            </w:r>
          </w:p>
          <w:p w:rsidR="00846A4A" w:rsidRPr="00D574ED" w:rsidRDefault="00846A4A" w:rsidP="001D6FA6">
            <w:pPr>
              <w:pStyle w:val="TSNumberedParagraph11"/>
              <w:jc w:val="both"/>
              <w:rPr>
                <w:rFonts w:asciiTheme="minorHAnsi" w:hAnsiTheme="minorHAnsi" w:cstheme="minorHAnsi"/>
                <w:szCs w:val="22"/>
              </w:rPr>
            </w:pPr>
            <w:r w:rsidRPr="00D574ED">
              <w:rPr>
                <w:rFonts w:asciiTheme="minorHAnsi" w:hAnsiTheme="minorHAnsi" w:cstheme="minorHAnsi"/>
                <w:b/>
                <w:szCs w:val="22"/>
              </w:rPr>
              <w:t xml:space="preserve">Construction </w:t>
            </w:r>
            <w:r w:rsidR="005D1EEA" w:rsidRPr="00D574ED">
              <w:rPr>
                <w:rFonts w:asciiTheme="minorHAnsi" w:hAnsiTheme="minorHAnsi" w:cstheme="minorHAnsi"/>
                <w:b/>
                <w:szCs w:val="22"/>
              </w:rPr>
              <w:t xml:space="preserve">and Commissioning </w:t>
            </w:r>
            <w:r w:rsidRPr="00D574ED">
              <w:rPr>
                <w:rFonts w:asciiTheme="minorHAnsi" w:hAnsiTheme="minorHAnsi" w:cstheme="minorHAnsi"/>
                <w:b/>
                <w:szCs w:val="22"/>
              </w:rPr>
              <w:t>Activities</w:t>
            </w:r>
            <w:r w:rsidRPr="00D574ED">
              <w:rPr>
                <w:rFonts w:asciiTheme="minorHAnsi" w:hAnsiTheme="minorHAnsi" w:cstheme="minorHAnsi"/>
                <w:szCs w:val="22"/>
              </w:rPr>
              <w:t xml:space="preserve"> </w:t>
            </w:r>
            <w:r w:rsidR="00583D42" w:rsidRPr="00D574ED">
              <w:rPr>
                <w:rFonts w:asciiTheme="minorHAnsi" w:hAnsiTheme="minorHAnsi" w:cstheme="minorHAnsi"/>
                <w:szCs w:val="22"/>
              </w:rPr>
              <w:t xml:space="preserve">– </w:t>
            </w:r>
            <w:r w:rsidR="00226A79" w:rsidRPr="00D574ED">
              <w:rPr>
                <w:rFonts w:asciiTheme="minorHAnsi" w:hAnsiTheme="minorHAnsi" w:cs="Arial"/>
                <w:szCs w:val="22"/>
              </w:rPr>
              <w:t>ONR is responsible for regulating licensees that wish to construct and operate (commission) new nuclear power stations at sites in Great Britain.</w:t>
            </w:r>
            <w:r w:rsidR="00627D9A" w:rsidRPr="00D574ED">
              <w:rPr>
                <w:rFonts w:asciiTheme="minorHAnsi" w:hAnsiTheme="minorHAnsi" w:cs="Arial"/>
                <w:szCs w:val="22"/>
              </w:rPr>
              <w:t xml:space="preserve"> Where appropriate </w:t>
            </w:r>
            <w:r w:rsidR="00D574ED">
              <w:rPr>
                <w:rFonts w:asciiTheme="minorHAnsi" w:hAnsiTheme="minorHAnsi" w:cs="Arial"/>
                <w:szCs w:val="22"/>
              </w:rPr>
              <w:t xml:space="preserve">ONR may seek TSC </w:t>
            </w:r>
            <w:r w:rsidR="00627D9A" w:rsidRPr="00D574ED">
              <w:rPr>
                <w:rFonts w:asciiTheme="minorHAnsi" w:hAnsiTheme="minorHAnsi" w:cs="Arial"/>
                <w:szCs w:val="22"/>
              </w:rPr>
              <w:t xml:space="preserve">HF SQEPS to support their associated </w:t>
            </w:r>
            <w:r w:rsidR="005D1EEA" w:rsidRPr="00D574ED">
              <w:rPr>
                <w:rFonts w:asciiTheme="minorHAnsi" w:hAnsiTheme="minorHAnsi" w:cstheme="minorHAnsi"/>
                <w:szCs w:val="22"/>
              </w:rPr>
              <w:t>S</w:t>
            </w:r>
            <w:r w:rsidR="00583D42" w:rsidRPr="00D574ED">
              <w:rPr>
                <w:rFonts w:asciiTheme="minorHAnsi" w:hAnsiTheme="minorHAnsi" w:cstheme="minorHAnsi"/>
                <w:szCs w:val="22"/>
              </w:rPr>
              <w:t xml:space="preserve">afety </w:t>
            </w:r>
            <w:r w:rsidR="005D1EEA" w:rsidRPr="00D574ED">
              <w:rPr>
                <w:rFonts w:asciiTheme="minorHAnsi" w:hAnsiTheme="minorHAnsi" w:cstheme="minorHAnsi"/>
                <w:szCs w:val="22"/>
              </w:rPr>
              <w:t>C</w:t>
            </w:r>
            <w:r w:rsidR="00583D42" w:rsidRPr="00D574ED">
              <w:rPr>
                <w:rFonts w:asciiTheme="minorHAnsi" w:hAnsiTheme="minorHAnsi" w:cstheme="minorHAnsi"/>
                <w:szCs w:val="22"/>
              </w:rPr>
              <w:t>ase</w:t>
            </w:r>
            <w:r w:rsidR="005D1EEA" w:rsidRPr="00D574ED">
              <w:rPr>
                <w:rFonts w:asciiTheme="minorHAnsi" w:hAnsiTheme="minorHAnsi" w:cstheme="minorHAnsi"/>
                <w:szCs w:val="22"/>
              </w:rPr>
              <w:t xml:space="preserve"> assessment and HF inspections.</w:t>
            </w:r>
          </w:p>
          <w:p w:rsidR="000F2B30" w:rsidRPr="000F2B30" w:rsidRDefault="000F2B30" w:rsidP="001D6FA6">
            <w:pPr>
              <w:pStyle w:val="TSBullet1Square"/>
              <w:numPr>
                <w:ilvl w:val="0"/>
                <w:numId w:val="0"/>
              </w:numPr>
              <w:jc w:val="both"/>
              <w:rPr>
                <w:rFonts w:asciiTheme="minorHAnsi" w:hAnsiTheme="minorHAnsi" w:cstheme="minorHAnsi"/>
                <w:b/>
              </w:rPr>
            </w:pPr>
            <w:r w:rsidRPr="000F2B30">
              <w:rPr>
                <w:rFonts w:asciiTheme="minorHAnsi" w:hAnsiTheme="minorHAnsi" w:cstheme="minorHAnsi"/>
                <w:b/>
              </w:rPr>
              <w:t>Specialism Activities</w:t>
            </w:r>
            <w:r w:rsidR="00583D42">
              <w:rPr>
                <w:rFonts w:asciiTheme="minorHAnsi" w:hAnsiTheme="minorHAnsi" w:cstheme="minorHAnsi"/>
                <w:b/>
              </w:rPr>
              <w:t xml:space="preserve"> </w:t>
            </w:r>
          </w:p>
          <w:p w:rsidR="00E544C2" w:rsidRDefault="00627D9A" w:rsidP="001D6FA6">
            <w:pPr>
              <w:pStyle w:val="TSNumberedParagraph11"/>
              <w:jc w:val="both"/>
              <w:rPr>
                <w:rFonts w:asciiTheme="minorHAnsi" w:hAnsiTheme="minorHAnsi" w:cstheme="minorHAnsi"/>
              </w:rPr>
            </w:pPr>
            <w:r>
              <w:rPr>
                <w:rFonts w:asciiTheme="minorHAnsi" w:hAnsiTheme="minorHAnsi" w:cstheme="minorHAnsi"/>
              </w:rPr>
              <w:t>The Human and Organisat</w:t>
            </w:r>
            <w:r w:rsidR="001D6FA6">
              <w:rPr>
                <w:rFonts w:asciiTheme="minorHAnsi" w:hAnsiTheme="minorHAnsi" w:cstheme="minorHAnsi"/>
              </w:rPr>
              <w:t xml:space="preserve">ional Capability Specialism </w:t>
            </w:r>
            <w:proofErr w:type="gramStart"/>
            <w:r w:rsidR="001D6FA6">
              <w:rPr>
                <w:rFonts w:asciiTheme="minorHAnsi" w:hAnsiTheme="minorHAnsi" w:cstheme="minorHAnsi"/>
              </w:rPr>
              <w:t>has</w:t>
            </w:r>
            <w:proofErr w:type="gramEnd"/>
            <w:r w:rsidR="001D6FA6">
              <w:rPr>
                <w:rFonts w:asciiTheme="minorHAnsi" w:hAnsiTheme="minorHAnsi" w:cstheme="minorHAnsi"/>
              </w:rPr>
              <w:t xml:space="preserve"> </w:t>
            </w:r>
            <w:r>
              <w:rPr>
                <w:rFonts w:asciiTheme="minorHAnsi" w:hAnsiTheme="minorHAnsi" w:cstheme="minorHAnsi"/>
              </w:rPr>
              <w:t>responsibility for maintaining related elements of the Regulator</w:t>
            </w:r>
            <w:r w:rsidR="00513471">
              <w:rPr>
                <w:rFonts w:asciiTheme="minorHAnsi" w:hAnsiTheme="minorHAnsi" w:cstheme="minorHAnsi"/>
              </w:rPr>
              <w:t>y</w:t>
            </w:r>
            <w:r>
              <w:rPr>
                <w:rFonts w:asciiTheme="minorHAnsi" w:hAnsiTheme="minorHAnsi" w:cstheme="minorHAnsi"/>
              </w:rPr>
              <w:t xml:space="preserve"> Framework.  It also provides expert advice and guidance on technical and regulatory matters.  As part of this work there may be a required </w:t>
            </w:r>
            <w:r w:rsidR="00E544C2">
              <w:rPr>
                <w:rFonts w:asciiTheme="minorHAnsi" w:hAnsiTheme="minorHAnsi" w:cstheme="minorHAnsi"/>
              </w:rPr>
              <w:t>TSC HF SQEP</w:t>
            </w:r>
            <w:r>
              <w:rPr>
                <w:rFonts w:asciiTheme="minorHAnsi" w:hAnsiTheme="minorHAnsi" w:cstheme="minorHAnsi"/>
              </w:rPr>
              <w:t xml:space="preserve">s to </w:t>
            </w:r>
            <w:r w:rsidR="00E544C2">
              <w:rPr>
                <w:rFonts w:asciiTheme="minorHAnsi" w:hAnsiTheme="minorHAnsi" w:cstheme="minorHAnsi"/>
              </w:rPr>
              <w:t>support</w:t>
            </w:r>
            <w:r w:rsidR="00D574ED">
              <w:rPr>
                <w:rFonts w:asciiTheme="minorHAnsi" w:hAnsiTheme="minorHAnsi" w:cstheme="minorHAnsi"/>
              </w:rPr>
              <w:t xml:space="preserve"> related activities, for example,</w:t>
            </w:r>
            <w:r w:rsidR="00E544C2">
              <w:rPr>
                <w:rFonts w:asciiTheme="minorHAnsi" w:hAnsiTheme="minorHAnsi" w:cstheme="minorHAnsi"/>
              </w:rPr>
              <w:t xml:space="preserve"> research projects, training and development or the review and development of guidance.</w:t>
            </w:r>
          </w:p>
          <w:p w:rsidR="00B3374A" w:rsidRDefault="00586D02" w:rsidP="00B3374A">
            <w:pPr>
              <w:pStyle w:val="TSNumberedParagraph11"/>
              <w:numPr>
                <w:ilvl w:val="0"/>
                <w:numId w:val="0"/>
              </w:numPr>
              <w:ind w:left="720" w:hanging="720"/>
              <w:jc w:val="both"/>
              <w:rPr>
                <w:rFonts w:asciiTheme="minorHAnsi" w:hAnsiTheme="minorHAnsi" w:cstheme="minorHAnsi"/>
              </w:rPr>
            </w:pPr>
            <w:r>
              <w:rPr>
                <w:rFonts w:asciiTheme="minorHAnsi" w:hAnsiTheme="minorHAnsi" w:cstheme="minorHAnsi"/>
                <w:b/>
              </w:rPr>
              <w:t>R</w:t>
            </w:r>
            <w:r w:rsidR="000F2B30" w:rsidRPr="00583D42">
              <w:rPr>
                <w:rFonts w:asciiTheme="minorHAnsi" w:hAnsiTheme="minorHAnsi" w:cstheme="minorHAnsi"/>
                <w:b/>
              </w:rPr>
              <w:t xml:space="preserve">esearch </w:t>
            </w:r>
            <w:r>
              <w:rPr>
                <w:rFonts w:asciiTheme="minorHAnsi" w:hAnsiTheme="minorHAnsi" w:cstheme="minorHAnsi"/>
                <w:b/>
              </w:rPr>
              <w:t>P</w:t>
            </w:r>
            <w:r w:rsidR="000F2B30" w:rsidRPr="00583D42">
              <w:rPr>
                <w:rFonts w:asciiTheme="minorHAnsi" w:hAnsiTheme="minorHAnsi" w:cstheme="minorHAnsi"/>
                <w:b/>
              </w:rPr>
              <w:t>rojects</w:t>
            </w:r>
          </w:p>
          <w:p w:rsidR="00586D02" w:rsidRPr="001D6FA6" w:rsidRDefault="00586D02" w:rsidP="00B3374A">
            <w:pPr>
              <w:pStyle w:val="TSNumberedParagraph11"/>
              <w:tabs>
                <w:tab w:val="clear" w:pos="-31680"/>
              </w:tabs>
              <w:jc w:val="both"/>
              <w:rPr>
                <w:rFonts w:asciiTheme="minorHAnsi" w:hAnsiTheme="minorHAnsi" w:cstheme="minorHAnsi"/>
              </w:rPr>
            </w:pPr>
            <w:r w:rsidRPr="001D6FA6">
              <w:rPr>
                <w:rFonts w:asciiTheme="minorHAnsi" w:hAnsiTheme="minorHAnsi" w:cstheme="minorHAnsi"/>
              </w:rPr>
              <w:t>ONR’s objectives for research are</w:t>
            </w:r>
            <w:r w:rsidR="009C597F" w:rsidRPr="001D6FA6">
              <w:rPr>
                <w:rFonts w:asciiTheme="minorHAnsi" w:hAnsiTheme="minorHAnsi" w:cstheme="minorHAnsi"/>
              </w:rPr>
              <w:t>:</w:t>
            </w:r>
          </w:p>
          <w:p w:rsidR="009C597F" w:rsidRPr="006B553A" w:rsidRDefault="009C597F" w:rsidP="001D6FA6">
            <w:pPr>
              <w:pStyle w:val="TSBullet1Square"/>
              <w:jc w:val="both"/>
              <w:rPr>
                <w:rFonts w:asciiTheme="minorHAnsi" w:hAnsiTheme="minorHAnsi" w:cstheme="minorHAnsi"/>
              </w:rPr>
            </w:pPr>
            <w:r>
              <w:rPr>
                <w:rFonts w:asciiTheme="minorHAnsi" w:hAnsiTheme="minorHAnsi" w:cstheme="minorHAnsi"/>
              </w:rPr>
              <w:t>To ensure ONR has continuing access to independent scientific and technical expertise in areas where this is scarce</w:t>
            </w:r>
          </w:p>
          <w:p w:rsidR="009C597F" w:rsidRDefault="009C597F" w:rsidP="001D6FA6">
            <w:pPr>
              <w:pStyle w:val="TSBullet1Square"/>
              <w:jc w:val="both"/>
              <w:rPr>
                <w:rFonts w:asciiTheme="minorHAnsi" w:hAnsiTheme="minorHAnsi" w:cstheme="minorHAnsi"/>
              </w:rPr>
            </w:pPr>
            <w:r>
              <w:rPr>
                <w:rFonts w:asciiTheme="minorHAnsi" w:hAnsiTheme="minorHAnsi" w:cstheme="minorHAnsi"/>
              </w:rPr>
              <w:t>To identify emerging technologies with the potential to provide licensees with new ways of managing and reducing existing risks</w:t>
            </w:r>
          </w:p>
          <w:p w:rsidR="009C597F" w:rsidRDefault="009C597F" w:rsidP="001D6FA6">
            <w:pPr>
              <w:pStyle w:val="TSBullet1Square"/>
              <w:jc w:val="both"/>
              <w:rPr>
                <w:rFonts w:asciiTheme="minorHAnsi" w:hAnsiTheme="minorHAnsi" w:cstheme="minorHAnsi"/>
              </w:rPr>
            </w:pPr>
            <w:r>
              <w:rPr>
                <w:rFonts w:asciiTheme="minorHAnsi" w:hAnsiTheme="minorHAnsi" w:cstheme="minorHAnsi"/>
              </w:rPr>
              <w:t>To identify new information and understanding that might undermine existing Safety Cases</w:t>
            </w:r>
          </w:p>
          <w:p w:rsidR="009C597F" w:rsidRDefault="009C597F" w:rsidP="001D6FA6">
            <w:pPr>
              <w:pStyle w:val="TSBullet1Square"/>
              <w:jc w:val="both"/>
              <w:rPr>
                <w:rFonts w:asciiTheme="minorHAnsi" w:hAnsiTheme="minorHAnsi" w:cstheme="minorHAnsi"/>
              </w:rPr>
            </w:pPr>
            <w:r>
              <w:rPr>
                <w:rFonts w:asciiTheme="minorHAnsi" w:hAnsiTheme="minorHAnsi" w:cstheme="minorHAnsi"/>
              </w:rPr>
              <w:lastRenderedPageBreak/>
              <w:t>To improve ONR’s understanding of potential safety issues associated with technologies proposed for future deployment in the UK, where government has informed ONR that it has sufficient confidence that these may proceed</w:t>
            </w:r>
          </w:p>
          <w:p w:rsidR="009C597F" w:rsidRPr="006B553A" w:rsidRDefault="009C597F" w:rsidP="001D6FA6">
            <w:pPr>
              <w:pStyle w:val="TSBullet1Square"/>
              <w:jc w:val="both"/>
              <w:rPr>
                <w:rFonts w:asciiTheme="minorHAnsi" w:hAnsiTheme="minorHAnsi" w:cstheme="minorHAnsi"/>
              </w:rPr>
            </w:pPr>
            <w:r>
              <w:rPr>
                <w:rFonts w:asciiTheme="minorHAnsi" w:hAnsiTheme="minorHAnsi" w:cstheme="minorHAnsi"/>
              </w:rPr>
              <w:t>To enhance the efficiency and effectiveness of the nuclear regulatory system</w:t>
            </w:r>
          </w:p>
          <w:p w:rsidR="009C597F" w:rsidRPr="00586D02" w:rsidRDefault="00627D9A" w:rsidP="001D6FA6">
            <w:pPr>
              <w:pStyle w:val="TSNumberedParagraph11"/>
              <w:tabs>
                <w:tab w:val="clear" w:pos="-31680"/>
              </w:tabs>
              <w:jc w:val="both"/>
              <w:rPr>
                <w:rFonts w:asciiTheme="minorHAnsi" w:hAnsiTheme="minorHAnsi" w:cstheme="minorHAnsi"/>
              </w:rPr>
            </w:pPr>
            <w:r>
              <w:rPr>
                <w:rFonts w:asciiTheme="minorHAnsi" w:hAnsiTheme="minorHAnsi" w:cstheme="minorHAnsi"/>
              </w:rPr>
              <w:t xml:space="preserve">ONR have a </w:t>
            </w:r>
            <w:r w:rsidR="00915738">
              <w:rPr>
                <w:rFonts w:asciiTheme="minorHAnsi" w:hAnsiTheme="minorHAnsi" w:cstheme="minorHAnsi"/>
              </w:rPr>
              <w:t xml:space="preserve">Regulatory Research Register </w:t>
            </w:r>
            <w:r w:rsidR="004E008A">
              <w:rPr>
                <w:rFonts w:asciiTheme="minorHAnsi" w:hAnsiTheme="minorHAnsi" w:cstheme="minorHAnsi"/>
              </w:rPr>
              <w:t xml:space="preserve">on which </w:t>
            </w:r>
            <w:r w:rsidR="00915738">
              <w:rPr>
                <w:rFonts w:asciiTheme="minorHAnsi" w:hAnsiTheme="minorHAnsi" w:cstheme="minorHAnsi"/>
              </w:rPr>
              <w:t xml:space="preserve">there are a number of Human Factors related topics. </w:t>
            </w:r>
            <w:r w:rsidR="009C597F">
              <w:rPr>
                <w:rFonts w:asciiTheme="minorHAnsi" w:hAnsiTheme="minorHAnsi" w:cstheme="minorHAnsi"/>
              </w:rPr>
              <w:t xml:space="preserve">There may be the requirement for TSC HF SQEP </w:t>
            </w:r>
            <w:r w:rsidR="00915738">
              <w:rPr>
                <w:rFonts w:asciiTheme="minorHAnsi" w:hAnsiTheme="minorHAnsi" w:cstheme="minorHAnsi"/>
              </w:rPr>
              <w:t>to undertake research to address these topics, with a view to providing techn</w:t>
            </w:r>
            <w:r w:rsidR="004E008A">
              <w:rPr>
                <w:rFonts w:asciiTheme="minorHAnsi" w:hAnsiTheme="minorHAnsi" w:cstheme="minorHAnsi"/>
              </w:rPr>
              <w:t>ical expertise to underpin ONRs regulatory decision making</w:t>
            </w:r>
            <w:r w:rsidR="00D574ED">
              <w:rPr>
                <w:rFonts w:asciiTheme="minorHAnsi" w:hAnsiTheme="minorHAnsi" w:cstheme="minorHAnsi"/>
              </w:rPr>
              <w:t>.</w:t>
            </w:r>
          </w:p>
          <w:p w:rsidR="00B3374A" w:rsidRDefault="000F2B30" w:rsidP="00B3374A">
            <w:pPr>
              <w:pStyle w:val="TSNumberedParagraph11"/>
              <w:numPr>
                <w:ilvl w:val="0"/>
                <w:numId w:val="0"/>
              </w:numPr>
              <w:jc w:val="both"/>
              <w:rPr>
                <w:rFonts w:asciiTheme="minorHAnsi" w:hAnsiTheme="minorHAnsi" w:cstheme="minorHAnsi"/>
              </w:rPr>
            </w:pPr>
            <w:r w:rsidRPr="00583D42">
              <w:rPr>
                <w:rFonts w:asciiTheme="minorHAnsi" w:hAnsiTheme="minorHAnsi" w:cstheme="minorHAnsi"/>
                <w:b/>
              </w:rPr>
              <w:t>Training &amp; Development</w:t>
            </w:r>
          </w:p>
          <w:p w:rsidR="00DF096B" w:rsidRPr="001D6FA6" w:rsidRDefault="00DF096B" w:rsidP="00B3374A">
            <w:pPr>
              <w:pStyle w:val="TSNumberedParagraph11"/>
              <w:tabs>
                <w:tab w:val="clear" w:pos="-31680"/>
              </w:tabs>
              <w:jc w:val="both"/>
              <w:rPr>
                <w:rFonts w:asciiTheme="minorHAnsi" w:hAnsiTheme="minorHAnsi" w:cstheme="minorHAnsi"/>
              </w:rPr>
            </w:pPr>
            <w:r w:rsidRPr="001D6FA6">
              <w:rPr>
                <w:rFonts w:asciiTheme="minorHAnsi" w:hAnsiTheme="minorHAnsi" w:cstheme="minorHAnsi"/>
              </w:rPr>
              <w:t>There is currently a three day internal ONR Human and Organisational Factors course for non-HF Inspectors wishing to improve their general understanding and application of Human Factors in the nuclear industry.  There may be opportunities for TSC HF SQEPs to assist in the delivery of these courses alongside an e</w:t>
            </w:r>
            <w:r w:rsidR="00D574ED" w:rsidRPr="001D6FA6">
              <w:rPr>
                <w:rFonts w:asciiTheme="minorHAnsi" w:hAnsiTheme="minorHAnsi" w:cstheme="minorHAnsi"/>
              </w:rPr>
              <w:t>xperienced ONR HF Inspector and</w:t>
            </w:r>
            <w:r w:rsidR="004E008A" w:rsidRPr="001D6FA6">
              <w:rPr>
                <w:rFonts w:asciiTheme="minorHAnsi" w:hAnsiTheme="minorHAnsi" w:cstheme="minorHAnsi"/>
              </w:rPr>
              <w:t xml:space="preserve"> </w:t>
            </w:r>
            <w:r w:rsidR="0055471D" w:rsidRPr="001D6FA6">
              <w:rPr>
                <w:rFonts w:asciiTheme="minorHAnsi" w:hAnsiTheme="minorHAnsi" w:cstheme="minorHAnsi"/>
              </w:rPr>
              <w:t>to further</w:t>
            </w:r>
            <w:r w:rsidRPr="001D6FA6">
              <w:rPr>
                <w:rFonts w:asciiTheme="minorHAnsi" w:hAnsiTheme="minorHAnsi" w:cstheme="minorHAnsi"/>
              </w:rPr>
              <w:t xml:space="preserve"> develo</w:t>
            </w:r>
            <w:r w:rsidR="004E008A" w:rsidRPr="001D6FA6">
              <w:rPr>
                <w:rFonts w:asciiTheme="minorHAnsi" w:hAnsiTheme="minorHAnsi" w:cstheme="minorHAnsi"/>
              </w:rPr>
              <w:t>p material for the course in the future</w:t>
            </w:r>
            <w:r w:rsidRPr="001D6FA6">
              <w:rPr>
                <w:rFonts w:asciiTheme="minorHAnsi" w:hAnsiTheme="minorHAnsi" w:cstheme="minorHAnsi"/>
              </w:rPr>
              <w:t>.</w:t>
            </w:r>
          </w:p>
          <w:p w:rsidR="00DF096B" w:rsidRPr="00583D42" w:rsidRDefault="00D27ECE" w:rsidP="001D6FA6">
            <w:pPr>
              <w:pStyle w:val="TSNumberedParagraph11"/>
              <w:jc w:val="both"/>
              <w:rPr>
                <w:rFonts w:asciiTheme="minorHAnsi" w:hAnsiTheme="minorHAnsi" w:cstheme="minorHAnsi"/>
              </w:rPr>
            </w:pPr>
            <w:r>
              <w:rPr>
                <w:rFonts w:asciiTheme="minorHAnsi" w:hAnsiTheme="minorHAnsi" w:cstheme="minorHAnsi"/>
              </w:rPr>
              <w:t xml:space="preserve">In addition, as the team of </w:t>
            </w:r>
            <w:r w:rsidR="00DF096B">
              <w:rPr>
                <w:rFonts w:asciiTheme="minorHAnsi" w:hAnsiTheme="minorHAnsi" w:cstheme="minorHAnsi"/>
              </w:rPr>
              <w:t>HF</w:t>
            </w:r>
            <w:r>
              <w:rPr>
                <w:rFonts w:asciiTheme="minorHAnsi" w:hAnsiTheme="minorHAnsi" w:cstheme="minorHAnsi"/>
              </w:rPr>
              <w:t xml:space="preserve"> Specialists within ONR has grown to include a wider variety of levels of experience there is now a need for support to Continuing Professional Development across an array of relevant HF topics.  </w:t>
            </w:r>
            <w:r w:rsidR="00DF096B">
              <w:rPr>
                <w:rFonts w:asciiTheme="minorHAnsi" w:hAnsiTheme="minorHAnsi" w:cstheme="minorHAnsi"/>
              </w:rPr>
              <w:t xml:space="preserve">    </w:t>
            </w:r>
          </w:p>
          <w:p w:rsidR="00B3374A" w:rsidRDefault="000F2B30" w:rsidP="00B3374A">
            <w:pPr>
              <w:pStyle w:val="TSNumberedParagraph11"/>
              <w:numPr>
                <w:ilvl w:val="0"/>
                <w:numId w:val="0"/>
              </w:numPr>
              <w:jc w:val="both"/>
              <w:rPr>
                <w:rFonts w:asciiTheme="minorHAnsi" w:hAnsiTheme="minorHAnsi" w:cstheme="minorHAnsi"/>
                <w:b/>
              </w:rPr>
            </w:pPr>
            <w:r w:rsidRPr="00583D42">
              <w:rPr>
                <w:rFonts w:asciiTheme="minorHAnsi" w:hAnsiTheme="minorHAnsi" w:cstheme="minorHAnsi"/>
                <w:b/>
              </w:rPr>
              <w:t>Review</w:t>
            </w:r>
            <w:r w:rsidR="00E544C2">
              <w:rPr>
                <w:rFonts w:asciiTheme="minorHAnsi" w:hAnsiTheme="minorHAnsi" w:cstheme="minorHAnsi"/>
                <w:b/>
              </w:rPr>
              <w:t xml:space="preserve"> and Development</w:t>
            </w:r>
            <w:r w:rsidRPr="00583D42">
              <w:rPr>
                <w:rFonts w:asciiTheme="minorHAnsi" w:hAnsiTheme="minorHAnsi" w:cstheme="minorHAnsi"/>
                <w:b/>
              </w:rPr>
              <w:t xml:space="preserve"> of </w:t>
            </w:r>
            <w:r w:rsidR="00E544C2">
              <w:rPr>
                <w:rFonts w:asciiTheme="minorHAnsi" w:hAnsiTheme="minorHAnsi" w:cstheme="minorHAnsi"/>
                <w:b/>
              </w:rPr>
              <w:t>G</w:t>
            </w:r>
            <w:r w:rsidRPr="00583D42">
              <w:rPr>
                <w:rFonts w:asciiTheme="minorHAnsi" w:hAnsiTheme="minorHAnsi" w:cstheme="minorHAnsi"/>
                <w:b/>
              </w:rPr>
              <w:t>uidance</w:t>
            </w:r>
          </w:p>
          <w:p w:rsidR="00AF4C0F" w:rsidRPr="001D6FA6" w:rsidRDefault="004E008A" w:rsidP="00B3374A">
            <w:pPr>
              <w:pStyle w:val="TSNumberedParagraph11"/>
              <w:jc w:val="both"/>
              <w:rPr>
                <w:rFonts w:asciiTheme="minorHAnsi" w:hAnsiTheme="minorHAnsi" w:cstheme="minorHAnsi"/>
              </w:rPr>
            </w:pPr>
            <w:r w:rsidRPr="001D6FA6">
              <w:rPr>
                <w:rFonts w:asciiTheme="minorHAnsi" w:hAnsiTheme="minorHAnsi" w:cstheme="minorHAnsi"/>
              </w:rPr>
              <w:t>In support of the regulatory framework, ONR produce a number of Technical Assessment Guides (TAGs) and Technical Inspection Guides (TIGs)</w:t>
            </w:r>
            <w:r w:rsidR="00D574ED" w:rsidRPr="001D6FA6">
              <w:rPr>
                <w:rFonts w:asciiTheme="minorHAnsi" w:hAnsiTheme="minorHAnsi" w:cstheme="minorHAnsi"/>
              </w:rPr>
              <w:t>.</w:t>
            </w:r>
            <w:r w:rsidRPr="001D6FA6">
              <w:rPr>
                <w:rFonts w:asciiTheme="minorHAnsi" w:hAnsiTheme="minorHAnsi" w:cstheme="minorHAnsi"/>
              </w:rPr>
              <w:t xml:space="preserve"> </w:t>
            </w:r>
            <w:r w:rsidR="00D574ED" w:rsidRPr="001D6FA6">
              <w:rPr>
                <w:rFonts w:asciiTheme="minorHAnsi" w:hAnsiTheme="minorHAnsi" w:cstheme="minorHAnsi"/>
              </w:rPr>
              <w:t xml:space="preserve"> </w:t>
            </w:r>
            <w:r w:rsidR="00E544C2" w:rsidRPr="001D6FA6">
              <w:rPr>
                <w:rFonts w:asciiTheme="minorHAnsi" w:hAnsiTheme="minorHAnsi" w:cstheme="minorHAnsi"/>
              </w:rPr>
              <w:t>The TAGs primarily provide guidance to ONR inspectors on the interpretation and application of the SAPs.  Some also contain guidance relevant to principles underlining the enforcement of LC comp</w:t>
            </w:r>
            <w:r w:rsidR="00D574ED" w:rsidRPr="001D6FA6">
              <w:rPr>
                <w:rFonts w:asciiTheme="minorHAnsi" w:hAnsiTheme="minorHAnsi" w:cstheme="minorHAnsi"/>
              </w:rPr>
              <w:t>liance, which supplements the TIGs</w:t>
            </w:r>
            <w:r w:rsidR="00E544C2" w:rsidRPr="001D6FA6">
              <w:rPr>
                <w:rFonts w:asciiTheme="minorHAnsi" w:hAnsiTheme="minorHAnsi" w:cstheme="minorHAnsi"/>
              </w:rPr>
              <w:t xml:space="preserve">.  The TAGs also provide information to licensees and dutyholders regarding ONR’s expectations of the nature and content of relevant technical elements of Safety Cases and security plans.  These TAGs are updated on a rolling basis and as such there may be a requirement for TSC HF SQEP support to the review of existing TAGs. </w:t>
            </w:r>
            <w:r w:rsidR="000F2B30" w:rsidRPr="001D6FA6">
              <w:rPr>
                <w:rFonts w:asciiTheme="minorHAnsi" w:hAnsiTheme="minorHAnsi" w:cstheme="minorHAnsi"/>
              </w:rPr>
              <w:t xml:space="preserve"> </w:t>
            </w:r>
          </w:p>
        </w:tc>
      </w:tr>
      <w:tr w:rsidR="00175302" w:rsidTr="00971BA8">
        <w:trPr>
          <w:jc w:val="center"/>
        </w:trPr>
        <w:tc>
          <w:tcPr>
            <w:tcW w:w="9709" w:type="dxa"/>
          </w:tcPr>
          <w:p w:rsidR="00175302" w:rsidRDefault="00175302" w:rsidP="001D6FA6">
            <w:pPr>
              <w:pStyle w:val="TSHeadingNumbered1"/>
              <w:tabs>
                <w:tab w:val="left" w:pos="0"/>
              </w:tabs>
              <w:ind w:left="0" w:firstLine="0"/>
              <w:jc w:val="both"/>
              <w:rPr>
                <w:rFonts w:asciiTheme="minorHAnsi" w:hAnsiTheme="minorHAnsi" w:cstheme="minorHAnsi"/>
              </w:rPr>
            </w:pPr>
            <w:r>
              <w:rPr>
                <w:rFonts w:asciiTheme="minorHAnsi" w:hAnsiTheme="minorHAnsi" w:cstheme="minorHAnsi"/>
              </w:rPr>
              <w:lastRenderedPageBreak/>
              <w:t>Expected outcome/outputs</w:t>
            </w:r>
          </w:p>
          <w:p w:rsidR="001D6FA6" w:rsidRDefault="00175302" w:rsidP="00B3374A">
            <w:pPr>
              <w:pStyle w:val="TSNumberedParagraph11"/>
              <w:jc w:val="both"/>
              <w:rPr>
                <w:rFonts w:asciiTheme="minorHAnsi" w:hAnsiTheme="minorHAnsi" w:cstheme="minorHAnsi"/>
              </w:rPr>
            </w:pPr>
            <w:r w:rsidRPr="001D6FA6">
              <w:rPr>
                <w:rFonts w:asciiTheme="minorHAnsi" w:hAnsiTheme="minorHAnsi" w:cstheme="minorHAnsi"/>
              </w:rPr>
              <w:t>The lead ONR HF inspector for this contract will provide the</w:t>
            </w:r>
            <w:r w:rsidR="004E008A" w:rsidRPr="001D6FA6">
              <w:rPr>
                <w:rFonts w:asciiTheme="minorHAnsi" w:hAnsiTheme="minorHAnsi" w:cstheme="minorHAnsi"/>
              </w:rPr>
              <w:t xml:space="preserve"> prime point of contact for operation of the call off agreement with support from other HF inspectors who will provide the</w:t>
            </w:r>
            <w:r w:rsidRPr="001D6FA6">
              <w:rPr>
                <w:rFonts w:asciiTheme="minorHAnsi" w:hAnsiTheme="minorHAnsi" w:cstheme="minorHAnsi"/>
              </w:rPr>
              <w:t xml:space="preserve"> necessary regulatory </w:t>
            </w:r>
            <w:r w:rsidR="00534DE1" w:rsidRPr="001D6FA6">
              <w:rPr>
                <w:rFonts w:asciiTheme="minorHAnsi" w:hAnsiTheme="minorHAnsi" w:cstheme="minorHAnsi"/>
              </w:rPr>
              <w:t>oversight</w:t>
            </w:r>
            <w:r w:rsidR="004E008A" w:rsidRPr="001D6FA6">
              <w:rPr>
                <w:rFonts w:asciiTheme="minorHAnsi" w:hAnsiTheme="minorHAnsi" w:cstheme="minorHAnsi"/>
              </w:rPr>
              <w:t xml:space="preserve"> for individual work packages</w:t>
            </w:r>
            <w:r w:rsidRPr="001D6FA6">
              <w:rPr>
                <w:rFonts w:asciiTheme="minorHAnsi" w:hAnsiTheme="minorHAnsi" w:cstheme="minorHAnsi"/>
              </w:rPr>
              <w:t xml:space="preserve">.  However, the successful TSC must be capable of working with minimal supervision at ONR or Licensee Sites where necessary and may be required work alongside non-HF ONR personnel providing specialist HF support. </w:t>
            </w:r>
            <w:r w:rsidR="00534DE1" w:rsidRPr="001D6FA6">
              <w:rPr>
                <w:rFonts w:asciiTheme="minorHAnsi" w:hAnsiTheme="minorHAnsi" w:cstheme="minorHAnsi"/>
              </w:rPr>
              <w:t xml:space="preserve"> </w:t>
            </w:r>
            <w:r w:rsidRPr="001D6FA6">
              <w:rPr>
                <w:rFonts w:asciiTheme="minorHAnsi" w:hAnsiTheme="minorHAnsi" w:cstheme="minorHAnsi"/>
              </w:rPr>
              <w:t>T</w:t>
            </w:r>
            <w:r w:rsidR="00D92BDA" w:rsidRPr="001D6FA6">
              <w:rPr>
                <w:rFonts w:asciiTheme="minorHAnsi" w:hAnsiTheme="minorHAnsi" w:cstheme="minorHAnsi"/>
              </w:rPr>
              <w:t>he successful Contractor</w:t>
            </w:r>
            <w:r w:rsidRPr="001D6FA6">
              <w:rPr>
                <w:rFonts w:asciiTheme="minorHAnsi" w:hAnsiTheme="minorHAnsi" w:cstheme="minorHAnsi"/>
              </w:rPr>
              <w:t xml:space="preserve"> will be expected to demonst</w:t>
            </w:r>
            <w:r w:rsidR="00534DE1" w:rsidRPr="001D6FA6">
              <w:rPr>
                <w:rFonts w:asciiTheme="minorHAnsi" w:hAnsiTheme="minorHAnsi" w:cstheme="minorHAnsi"/>
              </w:rPr>
              <w:t xml:space="preserve">rate appropriate knowledge of </w:t>
            </w:r>
            <w:r w:rsidRPr="001D6FA6">
              <w:rPr>
                <w:rFonts w:asciiTheme="minorHAnsi" w:hAnsiTheme="minorHAnsi" w:cstheme="minorHAnsi"/>
              </w:rPr>
              <w:t>nuclear legislation and ONR’s working practices to deliver contract outputs in line with ONR expectations.</w:t>
            </w:r>
            <w:r w:rsidR="00534DE1" w:rsidRPr="001D6FA6">
              <w:rPr>
                <w:rFonts w:asciiTheme="minorHAnsi" w:hAnsiTheme="minorHAnsi" w:cstheme="minorHAnsi"/>
              </w:rPr>
              <w:t xml:space="preserve"> </w:t>
            </w:r>
            <w:r w:rsidR="00E41F31" w:rsidRPr="001D6FA6">
              <w:rPr>
                <w:rFonts w:asciiTheme="minorHAnsi" w:hAnsiTheme="minorHAnsi" w:cstheme="minorHAnsi"/>
              </w:rPr>
              <w:t xml:space="preserve"> </w:t>
            </w:r>
          </w:p>
          <w:p w:rsidR="00175302" w:rsidRDefault="00E41F31" w:rsidP="001D6FA6">
            <w:pPr>
              <w:pStyle w:val="TSNumberedParagraph11"/>
              <w:tabs>
                <w:tab w:val="clear" w:pos="-31680"/>
              </w:tabs>
              <w:jc w:val="both"/>
              <w:rPr>
                <w:rFonts w:asciiTheme="minorHAnsi" w:hAnsiTheme="minorHAnsi" w:cstheme="minorHAnsi"/>
              </w:rPr>
            </w:pPr>
            <w:r>
              <w:rPr>
                <w:rFonts w:asciiTheme="minorHAnsi" w:hAnsiTheme="minorHAnsi" w:cstheme="minorHAnsi"/>
              </w:rPr>
              <w:t>There will be a variety of outputs depending upon the activity requested</w:t>
            </w:r>
            <w:r w:rsidR="00E71EE1">
              <w:rPr>
                <w:rFonts w:asciiTheme="minorHAnsi" w:hAnsiTheme="minorHAnsi" w:cstheme="minorHAnsi"/>
              </w:rPr>
              <w:t>.  T</w:t>
            </w:r>
            <w:r>
              <w:rPr>
                <w:rFonts w:asciiTheme="minorHAnsi" w:hAnsiTheme="minorHAnsi" w:cstheme="minorHAnsi"/>
              </w:rPr>
              <w:t>able</w:t>
            </w:r>
            <w:r w:rsidR="00E71EE1">
              <w:rPr>
                <w:rFonts w:asciiTheme="minorHAnsi" w:hAnsiTheme="minorHAnsi" w:cstheme="minorHAnsi"/>
              </w:rPr>
              <w:t xml:space="preserve"> 1</w:t>
            </w:r>
            <w:r>
              <w:rPr>
                <w:rFonts w:asciiTheme="minorHAnsi" w:hAnsiTheme="minorHAnsi" w:cstheme="minorHAnsi"/>
              </w:rPr>
              <w:t xml:space="preserve"> below outlines examples of such activities and their related output and estimated timescales.  These are rough guides given only to assist in the production of a response to this Work Order Specification and should not be taken as a definitive scope of work.</w:t>
            </w:r>
          </w:p>
          <w:p w:rsidR="00B3374A" w:rsidRDefault="00B3374A" w:rsidP="00B3374A">
            <w:pPr>
              <w:pStyle w:val="TSHeadingNumbered1"/>
              <w:numPr>
                <w:ilvl w:val="0"/>
                <w:numId w:val="0"/>
              </w:numPr>
              <w:ind w:left="862" w:hanging="720"/>
            </w:pPr>
          </w:p>
          <w:p w:rsidR="00B3374A" w:rsidRDefault="00B3374A" w:rsidP="00B3374A">
            <w:pPr>
              <w:pStyle w:val="TSHeadingNumbered1"/>
              <w:numPr>
                <w:ilvl w:val="0"/>
                <w:numId w:val="0"/>
              </w:numPr>
              <w:ind w:left="862" w:hanging="720"/>
            </w:pPr>
          </w:p>
          <w:p w:rsidR="00B3374A" w:rsidRDefault="00B3374A" w:rsidP="00B3374A">
            <w:pPr>
              <w:pStyle w:val="TSHeadingNumbered1"/>
              <w:numPr>
                <w:ilvl w:val="0"/>
                <w:numId w:val="0"/>
              </w:numPr>
              <w:ind w:left="862" w:hanging="720"/>
            </w:pPr>
          </w:p>
          <w:p w:rsidR="00B3374A" w:rsidRDefault="00B3374A" w:rsidP="00B3374A">
            <w:pPr>
              <w:pStyle w:val="TSHeadingNumbered1"/>
              <w:numPr>
                <w:ilvl w:val="0"/>
                <w:numId w:val="0"/>
              </w:numPr>
              <w:ind w:left="862" w:hanging="720"/>
            </w:pPr>
          </w:p>
          <w:p w:rsidR="00B3374A" w:rsidRDefault="00B3374A" w:rsidP="00B3374A">
            <w:pPr>
              <w:pStyle w:val="TSHeadingNumbered1"/>
              <w:numPr>
                <w:ilvl w:val="0"/>
                <w:numId w:val="0"/>
              </w:numPr>
              <w:ind w:left="862" w:hanging="720"/>
            </w:pPr>
          </w:p>
          <w:p w:rsidR="00E71EE1" w:rsidRPr="00E71EE1" w:rsidRDefault="00E71EE1" w:rsidP="001D6FA6">
            <w:pPr>
              <w:pStyle w:val="TSNumberedParagraph11"/>
              <w:numPr>
                <w:ilvl w:val="0"/>
                <w:numId w:val="0"/>
              </w:numPr>
              <w:ind w:left="720"/>
              <w:jc w:val="both"/>
              <w:rPr>
                <w:rFonts w:asciiTheme="minorHAnsi" w:hAnsiTheme="minorHAnsi" w:cstheme="minorHAnsi"/>
                <w:b/>
              </w:rPr>
            </w:pPr>
            <w:r w:rsidRPr="00E71EE1">
              <w:rPr>
                <w:rFonts w:asciiTheme="minorHAnsi" w:hAnsiTheme="minorHAnsi" w:cstheme="minorHAnsi"/>
                <w:b/>
              </w:rPr>
              <w:lastRenderedPageBreak/>
              <w:t>Table 1: Estimated Outputs and Timescales for Typical Activities</w:t>
            </w:r>
          </w:p>
          <w:tbl>
            <w:tblPr>
              <w:tblStyle w:val="TableGrid"/>
              <w:tblW w:w="0" w:type="auto"/>
              <w:jc w:val="center"/>
              <w:tblLook w:val="04A0" w:firstRow="1" w:lastRow="0" w:firstColumn="1" w:lastColumn="0" w:noHBand="0" w:noVBand="1"/>
            </w:tblPr>
            <w:tblGrid>
              <w:gridCol w:w="2248"/>
              <w:gridCol w:w="3402"/>
              <w:gridCol w:w="1559"/>
              <w:gridCol w:w="1513"/>
            </w:tblGrid>
            <w:tr w:rsidR="00E71EE1" w:rsidTr="007F4A9B">
              <w:trPr>
                <w:trHeight w:val="1190"/>
                <w:jc w:val="center"/>
              </w:trPr>
              <w:tc>
                <w:tcPr>
                  <w:tcW w:w="2248" w:type="dxa"/>
                  <w:vAlign w:val="center"/>
                </w:tcPr>
                <w:p w:rsidR="00E71EE1" w:rsidRPr="00E41F31" w:rsidRDefault="00E71EE1" w:rsidP="001D6FA6">
                  <w:pPr>
                    <w:pStyle w:val="TSNumberedParagraph11"/>
                    <w:numPr>
                      <w:ilvl w:val="0"/>
                      <w:numId w:val="0"/>
                    </w:numPr>
                    <w:jc w:val="both"/>
                    <w:rPr>
                      <w:rFonts w:asciiTheme="minorHAnsi" w:hAnsiTheme="minorHAnsi" w:cstheme="minorHAnsi"/>
                      <w:b/>
                    </w:rPr>
                  </w:pPr>
                  <w:r w:rsidRPr="00E41F31">
                    <w:rPr>
                      <w:rFonts w:asciiTheme="minorHAnsi" w:hAnsiTheme="minorHAnsi" w:cstheme="minorHAnsi"/>
                      <w:b/>
                    </w:rPr>
                    <w:t>Activity</w:t>
                  </w:r>
                </w:p>
              </w:tc>
              <w:tc>
                <w:tcPr>
                  <w:tcW w:w="3402" w:type="dxa"/>
                  <w:vAlign w:val="center"/>
                </w:tcPr>
                <w:p w:rsidR="00E71EE1" w:rsidRPr="00E41F31" w:rsidRDefault="00B827A7" w:rsidP="001D6FA6">
                  <w:pPr>
                    <w:pStyle w:val="TSNumberedParagraph11"/>
                    <w:numPr>
                      <w:ilvl w:val="0"/>
                      <w:numId w:val="0"/>
                    </w:numPr>
                    <w:jc w:val="both"/>
                    <w:rPr>
                      <w:rFonts w:asciiTheme="minorHAnsi" w:hAnsiTheme="minorHAnsi" w:cstheme="minorHAnsi"/>
                      <w:b/>
                    </w:rPr>
                  </w:pPr>
                  <w:r>
                    <w:rPr>
                      <w:rFonts w:asciiTheme="minorHAnsi" w:hAnsiTheme="minorHAnsi" w:cstheme="minorHAnsi"/>
                      <w:b/>
                    </w:rPr>
                    <w:t xml:space="preserve">Example </w:t>
                  </w:r>
                  <w:r w:rsidR="00E71EE1" w:rsidRPr="00E41F31">
                    <w:rPr>
                      <w:rFonts w:asciiTheme="minorHAnsi" w:hAnsiTheme="minorHAnsi" w:cstheme="minorHAnsi"/>
                      <w:b/>
                    </w:rPr>
                    <w:t>Output</w:t>
                  </w:r>
                  <w:r>
                    <w:rPr>
                      <w:rFonts w:asciiTheme="minorHAnsi" w:hAnsiTheme="minorHAnsi" w:cstheme="minorHAnsi"/>
                      <w:b/>
                    </w:rPr>
                    <w:t>s</w:t>
                  </w:r>
                </w:p>
              </w:tc>
              <w:tc>
                <w:tcPr>
                  <w:tcW w:w="1559" w:type="dxa"/>
                  <w:vAlign w:val="center"/>
                </w:tcPr>
                <w:p w:rsidR="00E71EE1" w:rsidRPr="00E41F31" w:rsidRDefault="00E71EE1" w:rsidP="001D6FA6">
                  <w:pPr>
                    <w:pStyle w:val="TSNumberedParagraph11"/>
                    <w:numPr>
                      <w:ilvl w:val="0"/>
                      <w:numId w:val="0"/>
                    </w:numPr>
                    <w:jc w:val="both"/>
                    <w:rPr>
                      <w:rFonts w:asciiTheme="minorHAnsi" w:hAnsiTheme="minorHAnsi" w:cstheme="minorHAnsi"/>
                      <w:b/>
                    </w:rPr>
                  </w:pPr>
                  <w:r>
                    <w:rPr>
                      <w:rFonts w:asciiTheme="minorHAnsi" w:hAnsiTheme="minorHAnsi" w:cstheme="minorHAnsi"/>
                      <w:b/>
                    </w:rPr>
                    <w:t>Estimated Effort (Days)</w:t>
                  </w:r>
                </w:p>
              </w:tc>
              <w:tc>
                <w:tcPr>
                  <w:tcW w:w="1513" w:type="dxa"/>
                </w:tcPr>
                <w:p w:rsidR="00E71EE1" w:rsidRDefault="00E71EE1" w:rsidP="001D6FA6">
                  <w:pPr>
                    <w:pStyle w:val="TSNumberedParagraph11"/>
                    <w:numPr>
                      <w:ilvl w:val="0"/>
                      <w:numId w:val="0"/>
                    </w:numPr>
                    <w:jc w:val="both"/>
                    <w:rPr>
                      <w:rFonts w:asciiTheme="minorHAnsi" w:hAnsiTheme="minorHAnsi" w:cstheme="minorHAnsi"/>
                      <w:b/>
                    </w:rPr>
                  </w:pPr>
                  <w:r>
                    <w:rPr>
                      <w:rFonts w:asciiTheme="minorHAnsi" w:hAnsiTheme="minorHAnsi" w:cstheme="minorHAnsi"/>
                      <w:b/>
                    </w:rPr>
                    <w:t xml:space="preserve">Timescales </w:t>
                  </w:r>
                </w:p>
                <w:p w:rsidR="00E71EE1" w:rsidRDefault="00E71EE1" w:rsidP="00B3374A">
                  <w:pPr>
                    <w:pStyle w:val="TSNumberedParagraph11"/>
                    <w:numPr>
                      <w:ilvl w:val="0"/>
                      <w:numId w:val="0"/>
                    </w:numPr>
                    <w:rPr>
                      <w:rFonts w:asciiTheme="minorHAnsi" w:hAnsiTheme="minorHAnsi" w:cstheme="minorHAnsi"/>
                      <w:b/>
                    </w:rPr>
                  </w:pPr>
                  <w:r>
                    <w:rPr>
                      <w:rFonts w:asciiTheme="minorHAnsi" w:hAnsiTheme="minorHAnsi" w:cstheme="minorHAnsi"/>
                      <w:b/>
                    </w:rPr>
                    <w:t>(Duration in Days)</w:t>
                  </w:r>
                </w:p>
              </w:tc>
            </w:tr>
            <w:tr w:rsidR="00E71EE1" w:rsidTr="007F4A9B">
              <w:trPr>
                <w:trHeight w:val="670"/>
                <w:jc w:val="center"/>
              </w:trPr>
              <w:tc>
                <w:tcPr>
                  <w:tcW w:w="2248" w:type="dxa"/>
                  <w:vAlign w:val="center"/>
                </w:tcPr>
                <w:p w:rsidR="00E71EE1" w:rsidRDefault="00E71EE1" w:rsidP="001D6FA6">
                  <w:pPr>
                    <w:pStyle w:val="TSNumberedParagraph11"/>
                    <w:numPr>
                      <w:ilvl w:val="0"/>
                      <w:numId w:val="0"/>
                    </w:numPr>
                    <w:jc w:val="both"/>
                    <w:rPr>
                      <w:rFonts w:asciiTheme="minorHAnsi" w:hAnsiTheme="minorHAnsi" w:cstheme="minorHAnsi"/>
                    </w:rPr>
                  </w:pPr>
                  <w:r>
                    <w:rPr>
                      <w:rFonts w:asciiTheme="minorHAnsi" w:hAnsiTheme="minorHAnsi" w:cstheme="minorHAnsi"/>
                    </w:rPr>
                    <w:t>Inspections</w:t>
                  </w:r>
                </w:p>
              </w:tc>
              <w:tc>
                <w:tcPr>
                  <w:tcW w:w="3402" w:type="dxa"/>
                  <w:vAlign w:val="center"/>
                </w:tcPr>
                <w:p w:rsidR="00E71EE1"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I</w:t>
                  </w:r>
                  <w:r w:rsidR="00E71EE1">
                    <w:rPr>
                      <w:rFonts w:asciiTheme="minorHAnsi" w:hAnsiTheme="minorHAnsi" w:cstheme="minorHAnsi"/>
                    </w:rPr>
                    <w:t>nspection</w:t>
                  </w:r>
                  <w:r>
                    <w:rPr>
                      <w:rFonts w:asciiTheme="minorHAnsi" w:hAnsiTheme="minorHAnsi" w:cstheme="minorHAnsi"/>
                    </w:rPr>
                    <w:t xml:space="preserve">/Intervention Report </w:t>
                  </w:r>
                </w:p>
              </w:tc>
              <w:tc>
                <w:tcPr>
                  <w:tcW w:w="1559" w:type="dxa"/>
                  <w:vAlign w:val="center"/>
                </w:tcPr>
                <w:p w:rsidR="00E71EE1" w:rsidRDefault="00E71EE1" w:rsidP="001D6FA6">
                  <w:pPr>
                    <w:pStyle w:val="TSNumberedParagraph11"/>
                    <w:numPr>
                      <w:ilvl w:val="0"/>
                      <w:numId w:val="0"/>
                    </w:numPr>
                    <w:jc w:val="both"/>
                    <w:rPr>
                      <w:rFonts w:asciiTheme="minorHAnsi" w:hAnsiTheme="minorHAnsi" w:cstheme="minorHAnsi"/>
                    </w:rPr>
                  </w:pPr>
                  <w:r>
                    <w:rPr>
                      <w:rFonts w:asciiTheme="minorHAnsi" w:hAnsiTheme="minorHAnsi" w:cstheme="minorHAnsi"/>
                    </w:rPr>
                    <w:t xml:space="preserve">5 – </w:t>
                  </w:r>
                  <w:r w:rsidR="00B827A7">
                    <w:rPr>
                      <w:rFonts w:asciiTheme="minorHAnsi" w:hAnsiTheme="minorHAnsi" w:cstheme="minorHAnsi"/>
                    </w:rPr>
                    <w:t>10</w:t>
                  </w:r>
                </w:p>
              </w:tc>
              <w:tc>
                <w:tcPr>
                  <w:tcW w:w="1513" w:type="dxa"/>
                  <w:vAlign w:val="center"/>
                </w:tcPr>
                <w:p w:rsidR="00E71EE1" w:rsidRDefault="00E71EE1" w:rsidP="001D6FA6">
                  <w:pPr>
                    <w:pStyle w:val="TSNumberedParagraph11"/>
                    <w:numPr>
                      <w:ilvl w:val="0"/>
                      <w:numId w:val="0"/>
                    </w:numPr>
                    <w:jc w:val="both"/>
                    <w:rPr>
                      <w:rFonts w:asciiTheme="minorHAnsi" w:hAnsiTheme="minorHAnsi" w:cstheme="minorHAnsi"/>
                    </w:rPr>
                  </w:pPr>
                  <w:r>
                    <w:rPr>
                      <w:rFonts w:asciiTheme="minorHAnsi" w:hAnsiTheme="minorHAnsi" w:cstheme="minorHAnsi"/>
                    </w:rPr>
                    <w:t>20</w:t>
                  </w:r>
                  <w:r w:rsidR="00B827A7">
                    <w:rPr>
                      <w:rFonts w:asciiTheme="minorHAnsi" w:hAnsiTheme="minorHAnsi" w:cstheme="minorHAnsi"/>
                    </w:rPr>
                    <w:t xml:space="preserve"> - 30</w:t>
                  </w:r>
                </w:p>
              </w:tc>
            </w:tr>
            <w:tr w:rsidR="00E71EE1" w:rsidTr="007F4A9B">
              <w:trPr>
                <w:trHeight w:val="455"/>
                <w:jc w:val="center"/>
              </w:trPr>
              <w:tc>
                <w:tcPr>
                  <w:tcW w:w="2248" w:type="dxa"/>
                  <w:vAlign w:val="center"/>
                </w:tcPr>
                <w:p w:rsidR="00E71EE1" w:rsidRDefault="00E71EE1" w:rsidP="001D6FA6">
                  <w:pPr>
                    <w:pStyle w:val="TSNumberedParagraph11"/>
                    <w:numPr>
                      <w:ilvl w:val="0"/>
                      <w:numId w:val="0"/>
                    </w:numPr>
                    <w:jc w:val="both"/>
                    <w:rPr>
                      <w:rFonts w:asciiTheme="minorHAnsi" w:hAnsiTheme="minorHAnsi" w:cstheme="minorHAnsi"/>
                    </w:rPr>
                  </w:pPr>
                  <w:r>
                    <w:rPr>
                      <w:rFonts w:asciiTheme="minorHAnsi" w:hAnsiTheme="minorHAnsi" w:cstheme="minorHAnsi"/>
                    </w:rPr>
                    <w:t>Assessment Activities</w:t>
                  </w:r>
                </w:p>
              </w:tc>
              <w:tc>
                <w:tcPr>
                  <w:tcW w:w="3402" w:type="dxa"/>
                  <w:vAlign w:val="center"/>
                </w:tcPr>
                <w:p w:rsidR="00E71EE1"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Assessment Report</w:t>
                  </w:r>
                </w:p>
              </w:tc>
              <w:tc>
                <w:tcPr>
                  <w:tcW w:w="1559" w:type="dxa"/>
                  <w:vAlign w:val="center"/>
                </w:tcPr>
                <w:p w:rsidR="00E71EE1" w:rsidRDefault="00E71EE1" w:rsidP="001D6FA6">
                  <w:pPr>
                    <w:pStyle w:val="TSNumberedParagraph11"/>
                    <w:numPr>
                      <w:ilvl w:val="0"/>
                      <w:numId w:val="0"/>
                    </w:numPr>
                    <w:jc w:val="both"/>
                    <w:rPr>
                      <w:rFonts w:asciiTheme="minorHAnsi" w:hAnsiTheme="minorHAnsi" w:cstheme="minorHAnsi"/>
                    </w:rPr>
                  </w:pPr>
                  <w:r>
                    <w:rPr>
                      <w:rFonts w:asciiTheme="minorHAnsi" w:hAnsiTheme="minorHAnsi" w:cstheme="minorHAnsi"/>
                    </w:rPr>
                    <w:t>10 – 30</w:t>
                  </w:r>
                </w:p>
              </w:tc>
              <w:tc>
                <w:tcPr>
                  <w:tcW w:w="1513" w:type="dxa"/>
                  <w:vAlign w:val="center"/>
                </w:tcPr>
                <w:p w:rsidR="00E71EE1" w:rsidRDefault="00E71EE1" w:rsidP="001D6FA6">
                  <w:pPr>
                    <w:pStyle w:val="TSNumberedParagraph11"/>
                    <w:numPr>
                      <w:ilvl w:val="0"/>
                      <w:numId w:val="0"/>
                    </w:numPr>
                    <w:jc w:val="both"/>
                    <w:rPr>
                      <w:rFonts w:asciiTheme="minorHAnsi" w:hAnsiTheme="minorHAnsi" w:cstheme="minorHAnsi"/>
                    </w:rPr>
                  </w:pPr>
                  <w:r>
                    <w:rPr>
                      <w:rFonts w:asciiTheme="minorHAnsi" w:hAnsiTheme="minorHAnsi" w:cstheme="minorHAnsi"/>
                    </w:rPr>
                    <w:t>20 – 90</w:t>
                  </w:r>
                </w:p>
              </w:tc>
            </w:tr>
            <w:tr w:rsidR="00E71EE1" w:rsidTr="007F4A9B">
              <w:trPr>
                <w:jc w:val="center"/>
              </w:trPr>
              <w:tc>
                <w:tcPr>
                  <w:tcW w:w="2248" w:type="dxa"/>
                  <w:vAlign w:val="center"/>
                </w:tcPr>
                <w:p w:rsidR="00E71EE1" w:rsidRDefault="00E71EE1" w:rsidP="001D6FA6">
                  <w:pPr>
                    <w:pStyle w:val="TSNumberedParagraph11"/>
                    <w:numPr>
                      <w:ilvl w:val="0"/>
                      <w:numId w:val="0"/>
                    </w:numPr>
                    <w:jc w:val="both"/>
                    <w:rPr>
                      <w:rFonts w:asciiTheme="minorHAnsi" w:hAnsiTheme="minorHAnsi" w:cstheme="minorHAnsi"/>
                    </w:rPr>
                  </w:pPr>
                  <w:r>
                    <w:rPr>
                      <w:rFonts w:asciiTheme="minorHAnsi" w:hAnsiTheme="minorHAnsi" w:cstheme="minorHAnsi"/>
                    </w:rPr>
                    <w:t>New Build Activities</w:t>
                  </w:r>
                </w:p>
              </w:tc>
              <w:tc>
                <w:tcPr>
                  <w:tcW w:w="3402" w:type="dxa"/>
                  <w:vAlign w:val="center"/>
                </w:tcPr>
                <w:p w:rsidR="00E71EE1"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Assessment Report</w:t>
                  </w:r>
                </w:p>
              </w:tc>
              <w:tc>
                <w:tcPr>
                  <w:tcW w:w="1559" w:type="dxa"/>
                  <w:vAlign w:val="center"/>
                </w:tcPr>
                <w:p w:rsidR="00E71EE1"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 xml:space="preserve">15 – </w:t>
                  </w:r>
                  <w:r w:rsidR="004E008A">
                    <w:rPr>
                      <w:rFonts w:asciiTheme="minorHAnsi" w:hAnsiTheme="minorHAnsi" w:cstheme="minorHAnsi"/>
                    </w:rPr>
                    <w:t>90</w:t>
                  </w:r>
                </w:p>
              </w:tc>
              <w:tc>
                <w:tcPr>
                  <w:tcW w:w="1513" w:type="dxa"/>
                  <w:vAlign w:val="center"/>
                </w:tcPr>
                <w:p w:rsidR="00E71EE1"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 xml:space="preserve">30 - </w:t>
                  </w:r>
                  <w:r w:rsidR="004E008A">
                    <w:rPr>
                      <w:rFonts w:asciiTheme="minorHAnsi" w:hAnsiTheme="minorHAnsi" w:cstheme="minorHAnsi"/>
                    </w:rPr>
                    <w:t>300</w:t>
                  </w:r>
                </w:p>
              </w:tc>
            </w:tr>
            <w:tr w:rsidR="00E71EE1" w:rsidTr="007F4A9B">
              <w:trPr>
                <w:jc w:val="center"/>
              </w:trPr>
              <w:tc>
                <w:tcPr>
                  <w:tcW w:w="2248" w:type="dxa"/>
                  <w:vAlign w:val="center"/>
                </w:tcPr>
                <w:p w:rsidR="00E71EE1" w:rsidRDefault="00E71EE1" w:rsidP="001D6FA6">
                  <w:pPr>
                    <w:pStyle w:val="TSNumberedParagraph11"/>
                    <w:numPr>
                      <w:ilvl w:val="0"/>
                      <w:numId w:val="0"/>
                    </w:numPr>
                    <w:jc w:val="both"/>
                    <w:rPr>
                      <w:rFonts w:asciiTheme="minorHAnsi" w:hAnsiTheme="minorHAnsi" w:cstheme="minorHAnsi"/>
                    </w:rPr>
                  </w:pPr>
                  <w:r>
                    <w:rPr>
                      <w:rFonts w:asciiTheme="minorHAnsi" w:hAnsiTheme="minorHAnsi" w:cstheme="minorHAnsi"/>
                    </w:rPr>
                    <w:t>Research</w:t>
                  </w:r>
                </w:p>
              </w:tc>
              <w:tc>
                <w:tcPr>
                  <w:tcW w:w="3402" w:type="dxa"/>
                  <w:vAlign w:val="center"/>
                </w:tcPr>
                <w:p w:rsidR="00E71EE1"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Research Report</w:t>
                  </w:r>
                </w:p>
              </w:tc>
              <w:tc>
                <w:tcPr>
                  <w:tcW w:w="1559" w:type="dxa"/>
                  <w:vAlign w:val="center"/>
                </w:tcPr>
                <w:p w:rsidR="00E71EE1"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 xml:space="preserve">20 – </w:t>
                  </w:r>
                  <w:r w:rsidR="004E008A">
                    <w:rPr>
                      <w:rFonts w:asciiTheme="minorHAnsi" w:hAnsiTheme="minorHAnsi" w:cstheme="minorHAnsi"/>
                    </w:rPr>
                    <w:t>90</w:t>
                  </w:r>
                </w:p>
              </w:tc>
              <w:tc>
                <w:tcPr>
                  <w:tcW w:w="1513" w:type="dxa"/>
                  <w:vAlign w:val="center"/>
                </w:tcPr>
                <w:p w:rsidR="00E71EE1"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40 - 1</w:t>
                  </w:r>
                  <w:r w:rsidR="00BE1CB6">
                    <w:rPr>
                      <w:rFonts w:asciiTheme="minorHAnsi" w:hAnsiTheme="minorHAnsi" w:cstheme="minorHAnsi"/>
                    </w:rPr>
                    <w:t>150</w:t>
                  </w:r>
                </w:p>
              </w:tc>
            </w:tr>
            <w:tr w:rsidR="00E71EE1" w:rsidTr="007F4A9B">
              <w:trPr>
                <w:jc w:val="center"/>
              </w:trPr>
              <w:tc>
                <w:tcPr>
                  <w:tcW w:w="2248" w:type="dxa"/>
                  <w:vAlign w:val="center"/>
                </w:tcPr>
                <w:p w:rsidR="00E71EE1" w:rsidRDefault="00E71EE1" w:rsidP="00B3374A">
                  <w:pPr>
                    <w:pStyle w:val="TSNumberedParagraph11"/>
                    <w:numPr>
                      <w:ilvl w:val="0"/>
                      <w:numId w:val="0"/>
                    </w:numPr>
                    <w:rPr>
                      <w:rFonts w:asciiTheme="minorHAnsi" w:hAnsiTheme="minorHAnsi" w:cstheme="minorHAnsi"/>
                    </w:rPr>
                  </w:pPr>
                  <w:r>
                    <w:rPr>
                      <w:rFonts w:asciiTheme="minorHAnsi" w:hAnsiTheme="minorHAnsi" w:cstheme="minorHAnsi"/>
                    </w:rPr>
                    <w:t>Training and Development</w:t>
                  </w:r>
                </w:p>
              </w:tc>
              <w:tc>
                <w:tcPr>
                  <w:tcW w:w="3402" w:type="dxa"/>
                  <w:vAlign w:val="center"/>
                </w:tcPr>
                <w:p w:rsidR="00E71EE1"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Delivery of Training</w:t>
                  </w:r>
                </w:p>
                <w:p w:rsidR="00B827A7" w:rsidRDefault="00D574ED" w:rsidP="001D6FA6">
                  <w:pPr>
                    <w:pStyle w:val="TSNumberedParagraph11"/>
                    <w:numPr>
                      <w:ilvl w:val="0"/>
                      <w:numId w:val="0"/>
                    </w:numPr>
                    <w:jc w:val="both"/>
                    <w:rPr>
                      <w:rFonts w:asciiTheme="minorHAnsi" w:hAnsiTheme="minorHAnsi" w:cstheme="minorHAnsi"/>
                    </w:rPr>
                  </w:pPr>
                  <w:r>
                    <w:rPr>
                      <w:rFonts w:asciiTheme="minorHAnsi" w:hAnsiTheme="minorHAnsi" w:cstheme="minorHAnsi"/>
                    </w:rPr>
                    <w:t xml:space="preserve">Revise and Develop </w:t>
                  </w:r>
                  <w:r w:rsidR="00B827A7">
                    <w:rPr>
                      <w:rFonts w:asciiTheme="minorHAnsi" w:hAnsiTheme="minorHAnsi" w:cstheme="minorHAnsi"/>
                    </w:rPr>
                    <w:t>Training Course</w:t>
                  </w:r>
                </w:p>
                <w:p w:rsidR="00B827A7"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Delivery of CPD sessions</w:t>
                  </w:r>
                </w:p>
              </w:tc>
              <w:tc>
                <w:tcPr>
                  <w:tcW w:w="1559" w:type="dxa"/>
                  <w:vAlign w:val="center"/>
                </w:tcPr>
                <w:p w:rsidR="00E71EE1"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5</w:t>
                  </w:r>
                </w:p>
                <w:p w:rsidR="00B827A7" w:rsidRDefault="00D574ED" w:rsidP="001D6FA6">
                  <w:pPr>
                    <w:pStyle w:val="TSNumberedParagraph11"/>
                    <w:numPr>
                      <w:ilvl w:val="0"/>
                      <w:numId w:val="0"/>
                    </w:numPr>
                    <w:jc w:val="both"/>
                    <w:rPr>
                      <w:rFonts w:asciiTheme="minorHAnsi" w:hAnsiTheme="minorHAnsi" w:cstheme="minorHAnsi"/>
                    </w:rPr>
                  </w:pPr>
                  <w:r>
                    <w:rPr>
                      <w:rFonts w:asciiTheme="minorHAnsi" w:hAnsiTheme="minorHAnsi" w:cstheme="minorHAnsi"/>
                    </w:rPr>
                    <w:t>5 - 20</w:t>
                  </w:r>
                </w:p>
                <w:p w:rsidR="00B827A7"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2 - 10</w:t>
                  </w:r>
                </w:p>
              </w:tc>
              <w:tc>
                <w:tcPr>
                  <w:tcW w:w="1513" w:type="dxa"/>
                  <w:vAlign w:val="center"/>
                </w:tcPr>
                <w:p w:rsidR="00E71EE1"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10</w:t>
                  </w:r>
                </w:p>
                <w:p w:rsidR="00B827A7" w:rsidRDefault="00D574ED" w:rsidP="001D6FA6">
                  <w:pPr>
                    <w:pStyle w:val="TSNumberedParagraph11"/>
                    <w:numPr>
                      <w:ilvl w:val="0"/>
                      <w:numId w:val="0"/>
                    </w:numPr>
                    <w:jc w:val="both"/>
                    <w:rPr>
                      <w:rFonts w:asciiTheme="minorHAnsi" w:hAnsiTheme="minorHAnsi" w:cstheme="minorHAnsi"/>
                    </w:rPr>
                  </w:pPr>
                  <w:r>
                    <w:rPr>
                      <w:rFonts w:asciiTheme="minorHAnsi" w:hAnsiTheme="minorHAnsi" w:cstheme="minorHAnsi"/>
                    </w:rPr>
                    <w:t>90</w:t>
                  </w:r>
                </w:p>
                <w:p w:rsidR="00B827A7"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80</w:t>
                  </w:r>
                </w:p>
              </w:tc>
            </w:tr>
            <w:tr w:rsidR="00E71EE1" w:rsidTr="007F4A9B">
              <w:trPr>
                <w:jc w:val="center"/>
              </w:trPr>
              <w:tc>
                <w:tcPr>
                  <w:tcW w:w="2248" w:type="dxa"/>
                  <w:vAlign w:val="center"/>
                </w:tcPr>
                <w:p w:rsidR="00E71EE1" w:rsidRDefault="00E71EE1" w:rsidP="001D6FA6">
                  <w:pPr>
                    <w:pStyle w:val="TSNumberedParagraph11"/>
                    <w:numPr>
                      <w:ilvl w:val="0"/>
                      <w:numId w:val="0"/>
                    </w:numPr>
                    <w:jc w:val="both"/>
                    <w:rPr>
                      <w:rFonts w:asciiTheme="minorHAnsi" w:hAnsiTheme="minorHAnsi" w:cstheme="minorHAnsi"/>
                    </w:rPr>
                  </w:pPr>
                  <w:r>
                    <w:rPr>
                      <w:rFonts w:asciiTheme="minorHAnsi" w:hAnsiTheme="minorHAnsi" w:cstheme="minorHAnsi"/>
                    </w:rPr>
                    <w:t>Review of Guidance</w:t>
                  </w:r>
                </w:p>
              </w:tc>
              <w:tc>
                <w:tcPr>
                  <w:tcW w:w="3402" w:type="dxa"/>
                  <w:vAlign w:val="center"/>
                </w:tcPr>
                <w:p w:rsidR="00E71EE1" w:rsidRDefault="00917E54" w:rsidP="001D6FA6">
                  <w:pPr>
                    <w:pStyle w:val="TSNumberedParagraph11"/>
                    <w:numPr>
                      <w:ilvl w:val="0"/>
                      <w:numId w:val="0"/>
                    </w:numPr>
                    <w:jc w:val="both"/>
                    <w:rPr>
                      <w:rFonts w:asciiTheme="minorHAnsi" w:hAnsiTheme="minorHAnsi" w:cstheme="minorHAnsi"/>
                    </w:rPr>
                  </w:pPr>
                  <w:r>
                    <w:rPr>
                      <w:rFonts w:asciiTheme="minorHAnsi" w:hAnsiTheme="minorHAnsi" w:cstheme="minorHAnsi"/>
                    </w:rPr>
                    <w:t>Revision and review of</w:t>
                  </w:r>
                  <w:r w:rsidR="00B827A7">
                    <w:rPr>
                      <w:rFonts w:asciiTheme="minorHAnsi" w:hAnsiTheme="minorHAnsi" w:cstheme="minorHAnsi"/>
                    </w:rPr>
                    <w:t xml:space="preserve"> TAG</w:t>
                  </w:r>
                  <w:r>
                    <w:rPr>
                      <w:rFonts w:asciiTheme="minorHAnsi" w:hAnsiTheme="minorHAnsi" w:cstheme="minorHAnsi"/>
                    </w:rPr>
                    <w:t xml:space="preserve"> or other guidance</w:t>
                  </w:r>
                  <w:r w:rsidR="00B827A7">
                    <w:rPr>
                      <w:rFonts w:asciiTheme="minorHAnsi" w:hAnsiTheme="minorHAnsi" w:cstheme="minorHAnsi"/>
                    </w:rPr>
                    <w:t xml:space="preserve"> </w:t>
                  </w:r>
                </w:p>
              </w:tc>
              <w:tc>
                <w:tcPr>
                  <w:tcW w:w="1559" w:type="dxa"/>
                  <w:vAlign w:val="center"/>
                </w:tcPr>
                <w:p w:rsidR="00E71EE1"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10</w:t>
                  </w:r>
                </w:p>
              </w:tc>
              <w:tc>
                <w:tcPr>
                  <w:tcW w:w="1513" w:type="dxa"/>
                  <w:vAlign w:val="center"/>
                </w:tcPr>
                <w:p w:rsidR="00E71EE1" w:rsidRDefault="00B827A7" w:rsidP="001D6FA6">
                  <w:pPr>
                    <w:pStyle w:val="TSNumberedParagraph11"/>
                    <w:numPr>
                      <w:ilvl w:val="0"/>
                      <w:numId w:val="0"/>
                    </w:numPr>
                    <w:jc w:val="both"/>
                    <w:rPr>
                      <w:rFonts w:asciiTheme="minorHAnsi" w:hAnsiTheme="minorHAnsi" w:cstheme="minorHAnsi"/>
                    </w:rPr>
                  </w:pPr>
                  <w:r>
                    <w:rPr>
                      <w:rFonts w:asciiTheme="minorHAnsi" w:hAnsiTheme="minorHAnsi" w:cstheme="minorHAnsi"/>
                    </w:rPr>
                    <w:t>60</w:t>
                  </w:r>
                </w:p>
              </w:tc>
            </w:tr>
          </w:tbl>
          <w:p w:rsidR="00E71EE1" w:rsidRDefault="00E71EE1" w:rsidP="001D6FA6">
            <w:pPr>
              <w:pStyle w:val="TSBullet1Square"/>
              <w:numPr>
                <w:ilvl w:val="0"/>
                <w:numId w:val="0"/>
              </w:numPr>
              <w:jc w:val="both"/>
              <w:rPr>
                <w:rFonts w:asciiTheme="minorHAnsi" w:hAnsiTheme="minorHAnsi" w:cstheme="minorHAnsi"/>
                <w:b/>
              </w:rPr>
            </w:pPr>
          </w:p>
          <w:p w:rsidR="00175302" w:rsidRDefault="00175302" w:rsidP="001D6FA6">
            <w:pPr>
              <w:pStyle w:val="TSBullet1Square"/>
              <w:numPr>
                <w:ilvl w:val="0"/>
                <w:numId w:val="0"/>
              </w:numPr>
              <w:jc w:val="both"/>
              <w:rPr>
                <w:rFonts w:asciiTheme="minorHAnsi" w:hAnsiTheme="minorHAnsi" w:cstheme="minorHAnsi"/>
                <w:b/>
              </w:rPr>
            </w:pPr>
            <w:r>
              <w:rPr>
                <w:rFonts w:asciiTheme="minorHAnsi" w:hAnsiTheme="minorHAnsi" w:cstheme="minorHAnsi"/>
                <w:b/>
              </w:rPr>
              <w:t>Timescales</w:t>
            </w:r>
          </w:p>
          <w:p w:rsidR="00175302" w:rsidRPr="00357B96" w:rsidRDefault="00175302" w:rsidP="001D6FA6">
            <w:pPr>
              <w:pStyle w:val="TSNumberedParagraph11"/>
              <w:jc w:val="both"/>
              <w:rPr>
                <w:rFonts w:asciiTheme="minorHAnsi" w:hAnsiTheme="minorHAnsi" w:cstheme="minorHAnsi"/>
              </w:rPr>
            </w:pPr>
            <w:r w:rsidRPr="00357B96">
              <w:rPr>
                <w:rFonts w:asciiTheme="minorHAnsi" w:hAnsiTheme="minorHAnsi" w:cstheme="minorHAnsi"/>
              </w:rPr>
              <w:t>The work is expected to start in October 2019 and continue for 18 months.</w:t>
            </w:r>
          </w:p>
          <w:p w:rsidR="00175302" w:rsidRDefault="00BE1CB6" w:rsidP="001D6FA6">
            <w:pPr>
              <w:pStyle w:val="TSNumberedParagraph11"/>
              <w:jc w:val="both"/>
              <w:rPr>
                <w:rFonts w:asciiTheme="minorHAnsi" w:hAnsiTheme="minorHAnsi" w:cstheme="minorHAnsi"/>
              </w:rPr>
            </w:pPr>
            <w:r>
              <w:rPr>
                <w:rFonts w:asciiTheme="minorHAnsi" w:hAnsiTheme="minorHAnsi" w:cstheme="minorHAnsi"/>
              </w:rPr>
              <w:t>For each individual work package undertaken as part of the call off agreement there will a work</w:t>
            </w:r>
            <w:r w:rsidR="00917E54">
              <w:rPr>
                <w:rFonts w:asciiTheme="minorHAnsi" w:hAnsiTheme="minorHAnsi" w:cstheme="minorHAnsi"/>
              </w:rPr>
              <w:t xml:space="preserve"> package specification provided</w:t>
            </w:r>
            <w:r>
              <w:rPr>
                <w:rFonts w:asciiTheme="minorHAnsi" w:hAnsiTheme="minorHAnsi" w:cstheme="minorHAnsi"/>
              </w:rPr>
              <w:t>.</w:t>
            </w:r>
            <w:r w:rsidR="00917E54">
              <w:rPr>
                <w:rFonts w:asciiTheme="minorHAnsi" w:hAnsiTheme="minorHAnsi" w:cstheme="minorHAnsi"/>
              </w:rPr>
              <w:t xml:space="preserve">  </w:t>
            </w:r>
            <w:r w:rsidR="00175302" w:rsidRPr="00357B96">
              <w:rPr>
                <w:rFonts w:asciiTheme="minorHAnsi" w:hAnsiTheme="minorHAnsi" w:cstheme="minorHAnsi"/>
              </w:rPr>
              <w:t>For the purposes of responding to ‘call-offs’, it should be assumed that work will commence in the region of 4 weeks from the issue of the specification.</w:t>
            </w:r>
          </w:p>
          <w:p w:rsidR="00175302" w:rsidRPr="00917E54" w:rsidRDefault="00E41F31" w:rsidP="001D6FA6">
            <w:pPr>
              <w:pStyle w:val="TSNumberedParagraph11"/>
              <w:jc w:val="both"/>
              <w:rPr>
                <w:rFonts w:asciiTheme="minorHAnsi" w:hAnsiTheme="minorHAnsi" w:cstheme="minorHAnsi"/>
              </w:rPr>
            </w:pPr>
            <w:r>
              <w:rPr>
                <w:rFonts w:asciiTheme="minorHAnsi" w:hAnsiTheme="minorHAnsi" w:cstheme="minorHAnsi"/>
              </w:rPr>
              <w:t>For a more detailed estimate of timescales that may be required for va</w:t>
            </w:r>
            <w:r w:rsidR="00E71EE1">
              <w:rPr>
                <w:rFonts w:asciiTheme="minorHAnsi" w:hAnsiTheme="minorHAnsi" w:cstheme="minorHAnsi"/>
              </w:rPr>
              <w:t>rious activities please see T</w:t>
            </w:r>
            <w:r>
              <w:rPr>
                <w:rFonts w:asciiTheme="minorHAnsi" w:hAnsiTheme="minorHAnsi" w:cstheme="minorHAnsi"/>
              </w:rPr>
              <w:t>able</w:t>
            </w:r>
            <w:r w:rsidR="00E71EE1">
              <w:rPr>
                <w:rFonts w:asciiTheme="minorHAnsi" w:hAnsiTheme="minorHAnsi" w:cstheme="minorHAnsi"/>
              </w:rPr>
              <w:t xml:space="preserve"> 1</w:t>
            </w:r>
            <w:r>
              <w:rPr>
                <w:rFonts w:asciiTheme="minorHAnsi" w:hAnsiTheme="minorHAnsi" w:cstheme="minorHAnsi"/>
              </w:rPr>
              <w:t xml:space="preserve"> above.</w:t>
            </w:r>
          </w:p>
          <w:p w:rsidR="00175302" w:rsidRPr="00495F75" w:rsidRDefault="00175302" w:rsidP="001D6FA6">
            <w:pPr>
              <w:pStyle w:val="TSBullet1Square"/>
              <w:numPr>
                <w:ilvl w:val="0"/>
                <w:numId w:val="0"/>
              </w:numPr>
              <w:jc w:val="both"/>
              <w:rPr>
                <w:rFonts w:asciiTheme="minorHAnsi" w:hAnsiTheme="minorHAnsi" w:cstheme="minorHAnsi"/>
                <w:b/>
              </w:rPr>
            </w:pPr>
            <w:r>
              <w:rPr>
                <w:rFonts w:asciiTheme="minorHAnsi" w:hAnsiTheme="minorHAnsi" w:cstheme="minorHAnsi"/>
                <w:b/>
              </w:rPr>
              <w:t>Meeting Requirements</w:t>
            </w:r>
          </w:p>
          <w:p w:rsidR="00175302" w:rsidRDefault="00175302" w:rsidP="001D6FA6">
            <w:pPr>
              <w:pStyle w:val="TSBullet1Square"/>
              <w:numPr>
                <w:ilvl w:val="0"/>
                <w:numId w:val="0"/>
              </w:numPr>
              <w:tabs>
                <w:tab w:val="left" w:pos="0"/>
              </w:tabs>
              <w:spacing w:after="0"/>
              <w:jc w:val="both"/>
              <w:rPr>
                <w:rFonts w:ascii="Arial Bold" w:hAnsi="Arial Bold"/>
                <w:b/>
                <w:caps/>
              </w:rPr>
            </w:pPr>
          </w:p>
          <w:p w:rsidR="00175302" w:rsidRDefault="00917E54" w:rsidP="001D6FA6">
            <w:pPr>
              <w:pStyle w:val="TSNumberedParagraph11"/>
              <w:tabs>
                <w:tab w:val="clear" w:pos="-31680"/>
              </w:tabs>
              <w:jc w:val="both"/>
              <w:rPr>
                <w:rFonts w:asciiTheme="minorHAnsi" w:hAnsiTheme="minorHAnsi" w:cstheme="minorHAnsi"/>
              </w:rPr>
            </w:pPr>
            <w:r>
              <w:rPr>
                <w:rFonts w:asciiTheme="minorHAnsi" w:hAnsiTheme="minorHAnsi" w:cstheme="minorHAnsi"/>
              </w:rPr>
              <w:t>Following the award</w:t>
            </w:r>
            <w:r w:rsidR="00BE1CB6">
              <w:rPr>
                <w:rFonts w:asciiTheme="minorHAnsi" w:hAnsiTheme="minorHAnsi" w:cstheme="minorHAnsi"/>
              </w:rPr>
              <w:t xml:space="preserve"> of the ‘call off contract’</w:t>
            </w:r>
            <w:r>
              <w:rPr>
                <w:rFonts w:asciiTheme="minorHAnsi" w:hAnsiTheme="minorHAnsi" w:cstheme="minorHAnsi"/>
              </w:rPr>
              <w:t>,</w:t>
            </w:r>
            <w:r w:rsidR="00BE1CB6">
              <w:rPr>
                <w:rFonts w:asciiTheme="minorHAnsi" w:hAnsiTheme="minorHAnsi" w:cstheme="minorHAnsi"/>
              </w:rPr>
              <w:t xml:space="preserve"> </w:t>
            </w:r>
            <w:r w:rsidR="00175302" w:rsidRPr="00686EC7">
              <w:rPr>
                <w:rFonts w:asciiTheme="minorHAnsi" w:hAnsiTheme="minorHAnsi" w:cstheme="minorHAnsi"/>
              </w:rPr>
              <w:t>ONR expects a</w:t>
            </w:r>
            <w:r w:rsidR="00175302">
              <w:rPr>
                <w:rFonts w:asciiTheme="minorHAnsi" w:hAnsiTheme="minorHAnsi" w:cstheme="minorHAnsi"/>
              </w:rPr>
              <w:t xml:space="preserve"> formal</w:t>
            </w:r>
            <w:r w:rsidR="00175302" w:rsidRPr="00686EC7">
              <w:rPr>
                <w:rFonts w:asciiTheme="minorHAnsi" w:hAnsiTheme="minorHAnsi" w:cstheme="minorHAnsi"/>
              </w:rPr>
              <w:t xml:space="preserve"> kick-off meeting to be held between ONR and the </w:t>
            </w:r>
            <w:r w:rsidR="00BE1CB6">
              <w:rPr>
                <w:rFonts w:asciiTheme="minorHAnsi" w:hAnsiTheme="minorHAnsi" w:cstheme="minorHAnsi"/>
              </w:rPr>
              <w:t xml:space="preserve">successful </w:t>
            </w:r>
            <w:r w:rsidR="00175302" w:rsidRPr="00686EC7">
              <w:rPr>
                <w:rFonts w:asciiTheme="minorHAnsi" w:hAnsiTheme="minorHAnsi" w:cstheme="minorHAnsi"/>
              </w:rPr>
              <w:t xml:space="preserve">Contractor. </w:t>
            </w:r>
            <w:r w:rsidR="00534DE1">
              <w:rPr>
                <w:rFonts w:asciiTheme="minorHAnsi" w:hAnsiTheme="minorHAnsi" w:cstheme="minorHAnsi"/>
              </w:rPr>
              <w:t xml:space="preserve"> </w:t>
            </w:r>
            <w:r w:rsidR="00175302" w:rsidRPr="00686EC7">
              <w:rPr>
                <w:rFonts w:asciiTheme="minorHAnsi" w:hAnsiTheme="minorHAnsi" w:cstheme="minorHAnsi"/>
              </w:rPr>
              <w:t>This should include an introduction of the Contractor’s team</w:t>
            </w:r>
            <w:r w:rsidR="00175302">
              <w:rPr>
                <w:rFonts w:asciiTheme="minorHAnsi" w:hAnsiTheme="minorHAnsi" w:cstheme="minorHAnsi"/>
              </w:rPr>
              <w:t xml:space="preserve"> and</w:t>
            </w:r>
            <w:r w:rsidR="00175302" w:rsidRPr="00686EC7">
              <w:rPr>
                <w:rFonts w:asciiTheme="minorHAnsi" w:hAnsiTheme="minorHAnsi" w:cstheme="minorHAnsi"/>
              </w:rPr>
              <w:t xml:space="preserve"> </w:t>
            </w:r>
            <w:r w:rsidR="00175302">
              <w:rPr>
                <w:rFonts w:asciiTheme="minorHAnsi" w:hAnsiTheme="minorHAnsi" w:cstheme="minorHAnsi"/>
              </w:rPr>
              <w:t>also agree the formal arrangements for the ‘call-off’ process</w:t>
            </w:r>
            <w:r w:rsidR="00175302" w:rsidRPr="00686EC7">
              <w:rPr>
                <w:rFonts w:asciiTheme="minorHAnsi" w:hAnsiTheme="minorHAnsi" w:cstheme="minorHAnsi"/>
              </w:rPr>
              <w:t>.  This meeting will take place ei</w:t>
            </w:r>
            <w:r w:rsidR="00513471">
              <w:rPr>
                <w:rFonts w:asciiTheme="minorHAnsi" w:hAnsiTheme="minorHAnsi" w:cstheme="minorHAnsi"/>
              </w:rPr>
              <w:t>ther at the ONR offices or the C</w:t>
            </w:r>
            <w:r w:rsidR="00175302" w:rsidRPr="00686EC7">
              <w:rPr>
                <w:rFonts w:asciiTheme="minorHAnsi" w:hAnsiTheme="minorHAnsi" w:cstheme="minorHAnsi"/>
              </w:rPr>
              <w:t xml:space="preserve">ontractor offices. </w:t>
            </w:r>
          </w:p>
          <w:p w:rsidR="00175302" w:rsidRPr="00534DE1" w:rsidRDefault="00175302" w:rsidP="001D6FA6">
            <w:pPr>
              <w:pStyle w:val="TSNumberedParagraph11"/>
              <w:tabs>
                <w:tab w:val="clear" w:pos="-31680"/>
              </w:tabs>
              <w:jc w:val="both"/>
            </w:pPr>
            <w:r>
              <w:rPr>
                <w:rFonts w:asciiTheme="minorHAnsi" w:hAnsiTheme="minorHAnsi" w:cstheme="minorHAnsi"/>
              </w:rPr>
              <w:t>In addition to the formal</w:t>
            </w:r>
            <w:r w:rsidRPr="00686EC7">
              <w:rPr>
                <w:rFonts w:asciiTheme="minorHAnsi" w:hAnsiTheme="minorHAnsi" w:cstheme="minorHAnsi"/>
              </w:rPr>
              <w:t xml:space="preserve"> kick-off meeting</w:t>
            </w:r>
            <w:r>
              <w:rPr>
                <w:rFonts w:asciiTheme="minorHAnsi" w:hAnsiTheme="minorHAnsi" w:cstheme="minorHAnsi"/>
              </w:rPr>
              <w:t>, it is anticipated that a short work package</w:t>
            </w:r>
            <w:r w:rsidRPr="00686EC7">
              <w:rPr>
                <w:rFonts w:asciiTheme="minorHAnsi" w:hAnsiTheme="minorHAnsi" w:cstheme="minorHAnsi"/>
              </w:rPr>
              <w:t xml:space="preserve"> kick-off meeting</w:t>
            </w:r>
            <w:r>
              <w:rPr>
                <w:rFonts w:asciiTheme="minorHAnsi" w:hAnsiTheme="minorHAnsi" w:cstheme="minorHAnsi"/>
              </w:rPr>
              <w:t xml:space="preserve"> will occur on commencement of each ‘call-off’ activity.</w:t>
            </w:r>
          </w:p>
          <w:p w:rsidR="00175302" w:rsidRPr="00B3374A" w:rsidRDefault="00534DE1" w:rsidP="001D6FA6">
            <w:pPr>
              <w:pStyle w:val="TSNumberedParagraph11"/>
              <w:jc w:val="both"/>
            </w:pPr>
            <w:r>
              <w:rPr>
                <w:rFonts w:asciiTheme="minorHAnsi" w:hAnsiTheme="minorHAnsi" w:cstheme="minorHAnsi"/>
              </w:rPr>
              <w:t>Brief monthly progress meetings between ONR and the Contractor should be assumed for the duration of the contract.  These should be assumed to be by teleconference or videoconference; however they may be face-to-face if necessary.</w:t>
            </w:r>
          </w:p>
          <w:p w:rsidR="00B3374A" w:rsidRDefault="00B3374A" w:rsidP="00B3374A">
            <w:pPr>
              <w:pStyle w:val="TSNumberedParagraph11"/>
              <w:numPr>
                <w:ilvl w:val="0"/>
                <w:numId w:val="0"/>
              </w:numPr>
              <w:ind w:left="720"/>
              <w:jc w:val="both"/>
              <w:rPr>
                <w:rFonts w:asciiTheme="minorHAnsi" w:hAnsiTheme="minorHAnsi" w:cstheme="minorHAnsi"/>
              </w:rPr>
            </w:pPr>
          </w:p>
          <w:p w:rsidR="00B3374A" w:rsidRPr="002C62C2" w:rsidRDefault="00B3374A" w:rsidP="00B3374A">
            <w:pPr>
              <w:pStyle w:val="TSNumberedParagraph11"/>
              <w:numPr>
                <w:ilvl w:val="0"/>
                <w:numId w:val="0"/>
              </w:numPr>
              <w:ind w:left="720"/>
              <w:jc w:val="both"/>
            </w:pPr>
          </w:p>
        </w:tc>
      </w:tr>
      <w:tr w:rsidR="00AF4C0F" w:rsidRPr="002C62C2" w:rsidTr="00971BA8">
        <w:trPr>
          <w:jc w:val="center"/>
        </w:trPr>
        <w:tc>
          <w:tcPr>
            <w:tcW w:w="9709" w:type="dxa"/>
          </w:tcPr>
          <w:p w:rsidR="00AF4C0F" w:rsidRPr="002C62C2" w:rsidRDefault="00AF4C0F" w:rsidP="001D6FA6">
            <w:pPr>
              <w:pStyle w:val="TSHeadingNumbered1"/>
              <w:tabs>
                <w:tab w:val="left" w:pos="0"/>
              </w:tabs>
              <w:ind w:left="0" w:firstLine="0"/>
              <w:jc w:val="both"/>
              <w:rPr>
                <w:rFonts w:asciiTheme="minorHAnsi" w:hAnsiTheme="minorHAnsi" w:cstheme="minorHAnsi"/>
              </w:rPr>
            </w:pPr>
            <w:r w:rsidRPr="002C62C2">
              <w:rPr>
                <w:rFonts w:asciiTheme="minorHAnsi" w:hAnsiTheme="minorHAnsi" w:cstheme="minorHAnsi"/>
              </w:rPr>
              <w:lastRenderedPageBreak/>
              <w:t>OBJECTIVES</w:t>
            </w:r>
          </w:p>
          <w:p w:rsidR="00AF4C0F" w:rsidRPr="002C62C2" w:rsidRDefault="00077892" w:rsidP="001D6FA6">
            <w:pPr>
              <w:pStyle w:val="TSNumberedParagraph11"/>
              <w:jc w:val="both"/>
              <w:rPr>
                <w:rFonts w:asciiTheme="minorHAnsi" w:hAnsiTheme="minorHAnsi" w:cstheme="minorHAnsi"/>
                <w:iCs/>
                <w:sz w:val="20"/>
                <w:szCs w:val="20"/>
              </w:rPr>
            </w:pPr>
            <w:r w:rsidRPr="00077892">
              <w:rPr>
                <w:rFonts w:asciiTheme="minorHAnsi" w:hAnsiTheme="minorHAnsi" w:cstheme="minorHAnsi"/>
              </w:rPr>
              <w:t>The objective of this work is to provide ONR with additional short term HF capability to support regulatory activities.  In providing this support, the TSC will provide direct support to ONR activities in the HF domain, the output</w:t>
            </w:r>
            <w:r w:rsidR="004E5039">
              <w:rPr>
                <w:rFonts w:asciiTheme="minorHAnsi" w:hAnsiTheme="minorHAnsi" w:cstheme="minorHAnsi"/>
              </w:rPr>
              <w:t>s</w:t>
            </w:r>
            <w:r w:rsidRPr="00077892">
              <w:rPr>
                <w:rFonts w:asciiTheme="minorHAnsi" w:hAnsiTheme="minorHAnsi" w:cstheme="minorHAnsi"/>
              </w:rPr>
              <w:t xml:space="preserve"> of which will be formally documented and issued to ONR for approval.</w:t>
            </w:r>
          </w:p>
        </w:tc>
      </w:tr>
      <w:tr w:rsidR="00495F75" w:rsidRPr="002C62C2" w:rsidTr="00971BA8">
        <w:trPr>
          <w:jc w:val="center"/>
        </w:trPr>
        <w:tc>
          <w:tcPr>
            <w:tcW w:w="9709" w:type="dxa"/>
          </w:tcPr>
          <w:p w:rsidR="00495F75" w:rsidRPr="00495F75" w:rsidRDefault="00495F75" w:rsidP="001D6FA6">
            <w:pPr>
              <w:pStyle w:val="TSHeadingNumbered1"/>
              <w:tabs>
                <w:tab w:val="left" w:pos="0"/>
              </w:tabs>
              <w:ind w:left="0" w:firstLine="0"/>
              <w:jc w:val="both"/>
              <w:rPr>
                <w:rFonts w:asciiTheme="minorHAnsi" w:hAnsiTheme="minorHAnsi" w:cstheme="minorHAnsi"/>
              </w:rPr>
            </w:pPr>
            <w:r w:rsidRPr="00495F75">
              <w:rPr>
                <w:rFonts w:asciiTheme="minorHAnsi" w:hAnsiTheme="minorHAnsi" w:cstheme="minorHAnsi"/>
              </w:rPr>
              <w:t xml:space="preserve">CONSTRAINTS </w:t>
            </w:r>
          </w:p>
          <w:p w:rsidR="00B76C93" w:rsidRDefault="00B76C93" w:rsidP="001D6FA6">
            <w:pPr>
              <w:pStyle w:val="TSNumberedParagraph11"/>
              <w:tabs>
                <w:tab w:val="clear" w:pos="-31680"/>
              </w:tabs>
              <w:jc w:val="both"/>
            </w:pPr>
            <w:r w:rsidRPr="00B76C93">
              <w:rPr>
                <w:rFonts w:asciiTheme="minorHAnsi" w:hAnsiTheme="minorHAnsi" w:cstheme="minorHAnsi"/>
              </w:rPr>
              <w:t xml:space="preserve">ONR </w:t>
            </w:r>
            <w:r w:rsidR="007F4A9B" w:rsidRPr="00B76C93">
              <w:rPr>
                <w:rFonts w:asciiTheme="minorHAnsi" w:hAnsiTheme="minorHAnsi" w:cstheme="minorHAnsi"/>
              </w:rPr>
              <w:t xml:space="preserve">will provide the initial documentation to the TSC.  Requests for additional information from the licensees will need to be identified and requested by the TSC via ONR. </w:t>
            </w:r>
          </w:p>
          <w:p w:rsidR="00B76C93" w:rsidRDefault="00495F75" w:rsidP="001D6FA6">
            <w:pPr>
              <w:pStyle w:val="TSNumberedParagraph11"/>
              <w:tabs>
                <w:tab w:val="clear" w:pos="-31680"/>
              </w:tabs>
              <w:jc w:val="both"/>
            </w:pPr>
            <w:r w:rsidRPr="00B76C93">
              <w:rPr>
                <w:rFonts w:asciiTheme="minorHAnsi" w:hAnsiTheme="minorHAnsi" w:cstheme="minorHAnsi"/>
              </w:rPr>
              <w:t>Written deliverab</w:t>
            </w:r>
            <w:r w:rsidR="00917E54">
              <w:rPr>
                <w:rFonts w:asciiTheme="minorHAnsi" w:hAnsiTheme="minorHAnsi" w:cstheme="minorHAnsi"/>
              </w:rPr>
              <w:t>les will</w:t>
            </w:r>
            <w:r w:rsidR="00BE1CB6">
              <w:rPr>
                <w:rFonts w:asciiTheme="minorHAnsi" w:hAnsiTheme="minorHAnsi" w:cstheme="minorHAnsi"/>
              </w:rPr>
              <w:t xml:space="preserve"> be defined in relation to each work package and should </w:t>
            </w:r>
            <w:r w:rsidR="007F4A9B" w:rsidRPr="00B76C93">
              <w:rPr>
                <w:rFonts w:asciiTheme="minorHAnsi" w:hAnsiTheme="minorHAnsi" w:cstheme="minorHAnsi"/>
              </w:rPr>
              <w:t xml:space="preserve">be subject to the Contractor’s own internal </w:t>
            </w:r>
            <w:r w:rsidRPr="00B76C93">
              <w:rPr>
                <w:rFonts w:asciiTheme="minorHAnsi" w:hAnsiTheme="minorHAnsi" w:cstheme="minorHAnsi"/>
              </w:rPr>
              <w:t>QA processes to en</w:t>
            </w:r>
            <w:r w:rsidR="007F4A9B" w:rsidRPr="00B76C93">
              <w:rPr>
                <w:rFonts w:asciiTheme="minorHAnsi" w:hAnsiTheme="minorHAnsi" w:cstheme="minorHAnsi"/>
              </w:rPr>
              <w:t>sure high quality deliverables.  At the award of contract, the Contractor shall submit to ONR the details of the assurance process</w:t>
            </w:r>
            <w:r w:rsidR="00234DA9">
              <w:rPr>
                <w:rFonts w:asciiTheme="minorHAnsi" w:hAnsiTheme="minorHAnsi" w:cstheme="minorHAnsi"/>
              </w:rPr>
              <w:t xml:space="preserve"> to ensure its adequacy</w:t>
            </w:r>
            <w:r w:rsidR="007F4A9B" w:rsidRPr="00B76C93">
              <w:rPr>
                <w:rFonts w:asciiTheme="minorHAnsi" w:hAnsiTheme="minorHAnsi" w:cstheme="minorHAnsi"/>
              </w:rPr>
              <w:t>.  Any exceptions to this must be by prior agreement with</w:t>
            </w:r>
            <w:r w:rsidRPr="00B76C93">
              <w:rPr>
                <w:rFonts w:asciiTheme="minorHAnsi" w:hAnsiTheme="minorHAnsi" w:cstheme="minorHAnsi"/>
              </w:rPr>
              <w:t xml:space="preserve"> the lead </w:t>
            </w:r>
            <w:r w:rsidR="007F4A9B" w:rsidRPr="00B76C93">
              <w:rPr>
                <w:rFonts w:asciiTheme="minorHAnsi" w:hAnsiTheme="minorHAnsi" w:cstheme="minorHAnsi"/>
              </w:rPr>
              <w:t xml:space="preserve">ONR </w:t>
            </w:r>
            <w:r w:rsidRPr="00B76C93">
              <w:rPr>
                <w:rFonts w:asciiTheme="minorHAnsi" w:hAnsiTheme="minorHAnsi" w:cstheme="minorHAnsi"/>
              </w:rPr>
              <w:t>HF inspector for th</w:t>
            </w:r>
            <w:r w:rsidR="007F4A9B" w:rsidRPr="00B76C93">
              <w:rPr>
                <w:rFonts w:asciiTheme="minorHAnsi" w:hAnsiTheme="minorHAnsi" w:cstheme="minorHAnsi"/>
              </w:rPr>
              <w:t>e specific work package</w:t>
            </w:r>
            <w:r w:rsidRPr="00B76C93">
              <w:rPr>
                <w:rFonts w:asciiTheme="minorHAnsi" w:hAnsiTheme="minorHAnsi" w:cstheme="minorHAnsi"/>
              </w:rPr>
              <w:t xml:space="preserve">.  </w:t>
            </w:r>
          </w:p>
          <w:p w:rsidR="00B76C93" w:rsidRDefault="00495F75" w:rsidP="001D6FA6">
            <w:pPr>
              <w:pStyle w:val="TSNumberedParagraph11"/>
              <w:tabs>
                <w:tab w:val="clear" w:pos="-31680"/>
              </w:tabs>
              <w:jc w:val="both"/>
            </w:pPr>
            <w:r w:rsidRPr="00B76C93">
              <w:rPr>
                <w:rFonts w:asciiTheme="minorHAnsi" w:hAnsiTheme="minorHAnsi" w:cstheme="minorHAnsi"/>
              </w:rPr>
              <w:t xml:space="preserve">The transmittal of all documents between ONR and the TSC will be through ONR's Joint Programme Office (JPO). This will be through encrypted </w:t>
            </w:r>
            <w:r w:rsidR="00686EC7" w:rsidRPr="00B76C93">
              <w:rPr>
                <w:rFonts w:asciiTheme="minorHAnsi" w:hAnsiTheme="minorHAnsi" w:cstheme="minorHAnsi"/>
              </w:rPr>
              <w:t>email</w:t>
            </w:r>
            <w:r w:rsidRPr="00B76C93">
              <w:rPr>
                <w:rFonts w:asciiTheme="minorHAnsi" w:hAnsiTheme="minorHAnsi" w:cstheme="minorHAnsi"/>
              </w:rPr>
              <w:t xml:space="preserve"> regardless of the security marking (unless the documents are publically available on the internet). </w:t>
            </w:r>
          </w:p>
          <w:p w:rsidR="00B76C93" w:rsidRDefault="00495F75" w:rsidP="001D6FA6">
            <w:pPr>
              <w:pStyle w:val="TSNumberedParagraph11"/>
              <w:tabs>
                <w:tab w:val="clear" w:pos="-31680"/>
              </w:tabs>
              <w:jc w:val="both"/>
            </w:pPr>
            <w:r w:rsidRPr="00B76C93">
              <w:rPr>
                <w:rFonts w:asciiTheme="minorHAnsi" w:hAnsiTheme="minorHAnsi" w:cstheme="minorHAnsi"/>
              </w:rPr>
              <w:t xml:space="preserve">Any conflict of interest should be declared. </w:t>
            </w:r>
            <w:r w:rsidR="00B76C93" w:rsidRPr="00B76C93">
              <w:rPr>
                <w:rFonts w:asciiTheme="minorHAnsi" w:hAnsiTheme="minorHAnsi" w:cstheme="minorHAnsi"/>
              </w:rPr>
              <w:t xml:space="preserve"> </w:t>
            </w:r>
            <w:r w:rsidRPr="00B76C93">
              <w:rPr>
                <w:rFonts w:asciiTheme="minorHAnsi" w:hAnsiTheme="minorHAnsi" w:cstheme="minorHAnsi"/>
              </w:rPr>
              <w:t xml:space="preserve">Where a potential conflict exists, </w:t>
            </w:r>
            <w:r w:rsidR="00BE1CB6">
              <w:rPr>
                <w:rFonts w:asciiTheme="minorHAnsi" w:hAnsiTheme="minorHAnsi" w:cstheme="minorHAnsi"/>
              </w:rPr>
              <w:t xml:space="preserve">ONR will work with </w:t>
            </w:r>
            <w:r w:rsidRPr="00B76C93">
              <w:rPr>
                <w:rFonts w:asciiTheme="minorHAnsi" w:hAnsiTheme="minorHAnsi" w:cstheme="minorHAnsi"/>
              </w:rPr>
              <w:t xml:space="preserve">the </w:t>
            </w:r>
            <w:r w:rsidR="00B76C93" w:rsidRPr="00B76C93">
              <w:rPr>
                <w:rFonts w:asciiTheme="minorHAnsi" w:hAnsiTheme="minorHAnsi" w:cstheme="minorHAnsi"/>
              </w:rPr>
              <w:t>Contractor</w:t>
            </w:r>
            <w:r w:rsidR="00917E54">
              <w:rPr>
                <w:rFonts w:asciiTheme="minorHAnsi" w:hAnsiTheme="minorHAnsi" w:cstheme="minorHAnsi"/>
              </w:rPr>
              <w:t xml:space="preserve"> to establish </w:t>
            </w:r>
            <w:r w:rsidRPr="00B76C93">
              <w:rPr>
                <w:rFonts w:asciiTheme="minorHAnsi" w:hAnsiTheme="minorHAnsi" w:cstheme="minorHAnsi"/>
              </w:rPr>
              <w:t>how this will be managed.</w:t>
            </w:r>
          </w:p>
          <w:p w:rsidR="00B76C93" w:rsidRDefault="00BF35D8" w:rsidP="001D6FA6">
            <w:pPr>
              <w:pStyle w:val="TSNumberedParagraph11"/>
              <w:tabs>
                <w:tab w:val="clear" w:pos="-31680"/>
              </w:tabs>
              <w:jc w:val="both"/>
            </w:pPr>
            <w:r w:rsidRPr="00B76C93">
              <w:rPr>
                <w:rFonts w:asciiTheme="minorHAnsi" w:hAnsiTheme="minorHAnsi" w:cstheme="minorHAnsi"/>
              </w:rPr>
              <w:t xml:space="preserve">All information received from ONR will need to be treated in accordance with the ONR Technical Support Contact Framework agreement and non-disclosure agreement. </w:t>
            </w:r>
            <w:r w:rsidR="00B76C93" w:rsidRPr="00B76C93">
              <w:rPr>
                <w:rFonts w:asciiTheme="minorHAnsi" w:hAnsiTheme="minorHAnsi" w:cstheme="minorHAnsi"/>
              </w:rPr>
              <w:t xml:space="preserve"> </w:t>
            </w:r>
            <w:r w:rsidRPr="00B76C93">
              <w:rPr>
                <w:rFonts w:asciiTheme="minorHAnsi" w:hAnsiTheme="minorHAnsi" w:cstheme="minorHAnsi"/>
              </w:rPr>
              <w:t>The information or a certificate of destruction will need to be returned to ONR at the end of the contract.</w:t>
            </w:r>
          </w:p>
          <w:p w:rsidR="00B76C93" w:rsidRDefault="00495F75" w:rsidP="001D6FA6">
            <w:pPr>
              <w:pStyle w:val="TSNumberedParagraph11"/>
              <w:tabs>
                <w:tab w:val="clear" w:pos="-31680"/>
              </w:tabs>
              <w:jc w:val="both"/>
            </w:pPr>
            <w:r w:rsidRPr="00B76C93">
              <w:rPr>
                <w:rFonts w:asciiTheme="minorHAnsi" w:hAnsiTheme="minorHAnsi" w:cstheme="minorHAnsi"/>
              </w:rPr>
              <w:t>Persons working on this contract shall be a minimum of SC cleared.  The arrangements for security vetting and IT security established in the Technical Support Contract framework agreement will need to be followed.  No information with a security marking above UK OFFICAL - SENSITIVE is anticipated as part of this contract.  Most information will carry the licensee’s commercial marking.</w:t>
            </w:r>
          </w:p>
          <w:p w:rsidR="00B76C93" w:rsidRDefault="00495F75" w:rsidP="001D6FA6">
            <w:pPr>
              <w:pStyle w:val="TSNumberedParagraph11"/>
              <w:tabs>
                <w:tab w:val="clear" w:pos="-31680"/>
              </w:tabs>
              <w:jc w:val="both"/>
            </w:pPr>
            <w:r w:rsidRPr="00B76C93">
              <w:rPr>
                <w:rFonts w:asciiTheme="minorHAnsi" w:hAnsiTheme="minorHAnsi" w:cstheme="minorHAnsi"/>
              </w:rPr>
              <w:t>When w</w:t>
            </w:r>
            <w:r w:rsidR="00B76C93" w:rsidRPr="00B76C93">
              <w:rPr>
                <w:rFonts w:asciiTheme="minorHAnsi" w:hAnsiTheme="minorHAnsi" w:cstheme="minorHAnsi"/>
              </w:rPr>
              <w:t xml:space="preserve">orking </w:t>
            </w:r>
            <w:r w:rsidR="00234DA9">
              <w:rPr>
                <w:rFonts w:asciiTheme="minorHAnsi" w:hAnsiTheme="minorHAnsi" w:cstheme="minorHAnsi"/>
              </w:rPr>
              <w:t>in</w:t>
            </w:r>
            <w:r w:rsidR="00B76C93" w:rsidRPr="00B76C93">
              <w:rPr>
                <w:rFonts w:asciiTheme="minorHAnsi" w:hAnsiTheme="minorHAnsi" w:cstheme="minorHAnsi"/>
              </w:rPr>
              <w:t xml:space="preserve"> ONR offices, ONR Health and S</w:t>
            </w:r>
            <w:r w:rsidRPr="00B76C93">
              <w:rPr>
                <w:rFonts w:asciiTheme="minorHAnsi" w:hAnsiTheme="minorHAnsi" w:cstheme="minorHAnsi"/>
              </w:rPr>
              <w:t>afety arrangements shall be followed.</w:t>
            </w:r>
          </w:p>
          <w:p w:rsidR="00495F75" w:rsidRPr="00B76C93" w:rsidRDefault="00495F75" w:rsidP="001D6FA6">
            <w:pPr>
              <w:pStyle w:val="TSNumberedParagraph11"/>
              <w:tabs>
                <w:tab w:val="clear" w:pos="-31680"/>
              </w:tabs>
              <w:jc w:val="both"/>
            </w:pPr>
            <w:r w:rsidRPr="00B76C93">
              <w:rPr>
                <w:rFonts w:asciiTheme="minorHAnsi" w:hAnsiTheme="minorHAnsi" w:cstheme="minorHAnsi"/>
              </w:rPr>
              <w:t>Whilst working on licensee sites (</w:t>
            </w:r>
            <w:r w:rsidR="00B76C93" w:rsidRPr="00B76C93">
              <w:rPr>
                <w:rFonts w:asciiTheme="minorHAnsi" w:hAnsiTheme="minorHAnsi" w:cstheme="minorHAnsi"/>
              </w:rPr>
              <w:t xml:space="preserve">i.e. </w:t>
            </w:r>
            <w:r w:rsidRPr="00B76C93">
              <w:rPr>
                <w:rFonts w:asciiTheme="minorHAnsi" w:hAnsiTheme="minorHAnsi" w:cstheme="minorHAnsi"/>
              </w:rPr>
              <w:t>during inspections), al</w:t>
            </w:r>
            <w:r w:rsidR="00B76C93" w:rsidRPr="00B76C93">
              <w:rPr>
                <w:rFonts w:asciiTheme="minorHAnsi" w:hAnsiTheme="minorHAnsi" w:cstheme="minorHAnsi"/>
              </w:rPr>
              <w:t>l ONR and licensee Nuclear Safety and conventional H</w:t>
            </w:r>
            <w:r w:rsidRPr="00B76C93">
              <w:rPr>
                <w:rFonts w:asciiTheme="minorHAnsi" w:hAnsiTheme="minorHAnsi" w:cstheme="minorHAnsi"/>
              </w:rPr>
              <w:t xml:space="preserve">ealth and </w:t>
            </w:r>
            <w:r w:rsidR="00B76C93" w:rsidRPr="00B76C93">
              <w:rPr>
                <w:rFonts w:asciiTheme="minorHAnsi" w:hAnsiTheme="minorHAnsi" w:cstheme="minorHAnsi"/>
              </w:rPr>
              <w:t>S</w:t>
            </w:r>
            <w:r w:rsidRPr="00B76C93">
              <w:rPr>
                <w:rFonts w:asciiTheme="minorHAnsi" w:hAnsiTheme="minorHAnsi" w:cstheme="minorHAnsi"/>
              </w:rPr>
              <w:t>afety arrangements shall be adhered to.</w:t>
            </w:r>
          </w:p>
        </w:tc>
      </w:tr>
      <w:tr w:rsidR="00495F75" w:rsidRPr="002C62C2" w:rsidTr="00971BA8">
        <w:trPr>
          <w:jc w:val="center"/>
        </w:trPr>
        <w:tc>
          <w:tcPr>
            <w:tcW w:w="9709" w:type="dxa"/>
          </w:tcPr>
          <w:p w:rsidR="00495F75" w:rsidRPr="002C62C2" w:rsidRDefault="00495F75" w:rsidP="001D6FA6">
            <w:pPr>
              <w:pStyle w:val="TSHeadingNumbered1"/>
              <w:tabs>
                <w:tab w:val="left" w:pos="0"/>
              </w:tabs>
              <w:ind w:left="0" w:firstLine="0"/>
              <w:jc w:val="both"/>
              <w:rPr>
                <w:rFonts w:asciiTheme="minorHAnsi" w:hAnsiTheme="minorHAnsi" w:cstheme="minorHAnsi"/>
              </w:rPr>
            </w:pPr>
            <w:r w:rsidRPr="002C62C2">
              <w:rPr>
                <w:rFonts w:asciiTheme="minorHAnsi" w:hAnsiTheme="minorHAnsi" w:cstheme="minorHAnsi"/>
              </w:rPr>
              <w:t>CONTRACT MANAGEMENT</w:t>
            </w:r>
          </w:p>
          <w:p w:rsidR="00DE4F61" w:rsidRPr="00DE4F61" w:rsidRDefault="00DE4F61" w:rsidP="001D6FA6">
            <w:pPr>
              <w:pStyle w:val="TSNumberedParagraph11"/>
              <w:jc w:val="both"/>
              <w:rPr>
                <w:rFonts w:asciiTheme="minorHAnsi" w:hAnsiTheme="minorHAnsi" w:cstheme="minorHAnsi"/>
              </w:rPr>
            </w:pPr>
            <w:r w:rsidRPr="00DE4F61">
              <w:rPr>
                <w:rFonts w:asciiTheme="minorHAnsi" w:hAnsiTheme="minorHAnsi" w:cstheme="minorHAnsi"/>
              </w:rPr>
              <w:t xml:space="preserve">ONR </w:t>
            </w:r>
            <w:r w:rsidR="00B76C93">
              <w:rPr>
                <w:rFonts w:asciiTheme="minorHAnsi" w:hAnsiTheme="minorHAnsi" w:cstheme="minorHAnsi"/>
              </w:rPr>
              <w:t>shall</w:t>
            </w:r>
            <w:r w:rsidRPr="00DE4F61">
              <w:rPr>
                <w:rFonts w:asciiTheme="minorHAnsi" w:hAnsiTheme="minorHAnsi" w:cstheme="minorHAnsi"/>
              </w:rPr>
              <w:t xml:space="preserve"> be kept updated about progress and delivery of the required work in accordance with the Framework arrangements. </w:t>
            </w:r>
            <w:r w:rsidR="00B76C93">
              <w:rPr>
                <w:rFonts w:asciiTheme="minorHAnsi" w:hAnsiTheme="minorHAnsi" w:cstheme="minorHAnsi"/>
              </w:rPr>
              <w:t xml:space="preserve"> </w:t>
            </w:r>
            <w:r w:rsidRPr="00DE4F61">
              <w:rPr>
                <w:rFonts w:asciiTheme="minorHAnsi" w:hAnsiTheme="minorHAnsi" w:cstheme="minorHAnsi"/>
              </w:rPr>
              <w:t xml:space="preserve">This should </w:t>
            </w:r>
            <w:r w:rsidR="00B76C93">
              <w:rPr>
                <w:rFonts w:asciiTheme="minorHAnsi" w:hAnsiTheme="minorHAnsi" w:cstheme="minorHAnsi"/>
              </w:rPr>
              <w:t xml:space="preserve">include meetings as detailed in Section 3 under ‘meeting requirements’.  </w:t>
            </w:r>
          </w:p>
          <w:p w:rsidR="00495F75" w:rsidRPr="00B3374A" w:rsidRDefault="00234DA9" w:rsidP="001D6FA6">
            <w:pPr>
              <w:pStyle w:val="TSNumberedParagraph11"/>
              <w:jc w:val="both"/>
              <w:rPr>
                <w:rFonts w:asciiTheme="minorHAnsi" w:hAnsiTheme="minorHAnsi" w:cstheme="minorHAnsi"/>
                <w:iCs/>
                <w:sz w:val="20"/>
                <w:szCs w:val="20"/>
              </w:rPr>
            </w:pPr>
            <w:r>
              <w:rPr>
                <w:rFonts w:asciiTheme="minorHAnsi" w:hAnsiTheme="minorHAnsi" w:cstheme="minorHAnsi"/>
              </w:rPr>
              <w:t>The TSC should agree</w:t>
            </w:r>
            <w:r w:rsidR="00DE4F61" w:rsidRPr="00DE4F61">
              <w:rPr>
                <w:rFonts w:asciiTheme="minorHAnsi" w:hAnsiTheme="minorHAnsi" w:cstheme="minorHAnsi"/>
              </w:rPr>
              <w:t xml:space="preserve"> </w:t>
            </w:r>
            <w:r>
              <w:rPr>
                <w:rFonts w:asciiTheme="minorHAnsi" w:hAnsiTheme="minorHAnsi" w:cstheme="minorHAnsi"/>
              </w:rPr>
              <w:t xml:space="preserve">with ONR </w:t>
            </w:r>
            <w:r w:rsidR="00DE4F61" w:rsidRPr="00DE4F61">
              <w:rPr>
                <w:rFonts w:asciiTheme="minorHAnsi" w:hAnsiTheme="minorHAnsi" w:cstheme="minorHAnsi"/>
              </w:rPr>
              <w:t xml:space="preserve">appropriate </w:t>
            </w:r>
            <w:r w:rsidR="00DE4F61">
              <w:rPr>
                <w:rFonts w:asciiTheme="minorHAnsi" w:hAnsiTheme="minorHAnsi" w:cstheme="minorHAnsi"/>
              </w:rPr>
              <w:t>and proportionate</w:t>
            </w:r>
            <w:r w:rsidR="00DE4F61" w:rsidRPr="00DE4F61">
              <w:rPr>
                <w:rFonts w:asciiTheme="minorHAnsi" w:hAnsiTheme="minorHAnsi" w:cstheme="minorHAnsi"/>
              </w:rPr>
              <w:t xml:space="preserve"> milestones during </w:t>
            </w:r>
            <w:r w:rsidR="00B76C93">
              <w:rPr>
                <w:rFonts w:asciiTheme="minorHAnsi" w:hAnsiTheme="minorHAnsi" w:cstheme="minorHAnsi"/>
              </w:rPr>
              <w:t>each work package</w:t>
            </w:r>
            <w:r w:rsidR="00DE4F61" w:rsidRPr="00DE4F61">
              <w:rPr>
                <w:rFonts w:asciiTheme="minorHAnsi" w:hAnsiTheme="minorHAnsi" w:cstheme="minorHAnsi"/>
              </w:rPr>
              <w:t xml:space="preserve"> to allow progress to be monitored and controlled.</w:t>
            </w:r>
            <w:r>
              <w:rPr>
                <w:rFonts w:asciiTheme="minorHAnsi" w:hAnsiTheme="minorHAnsi" w:cstheme="minorHAnsi"/>
              </w:rPr>
              <w:t xml:space="preserve">  </w:t>
            </w:r>
          </w:p>
          <w:p w:rsidR="00B3374A" w:rsidRDefault="00B3374A" w:rsidP="00B3374A">
            <w:pPr>
              <w:pStyle w:val="TSNumberedParagraph11"/>
              <w:numPr>
                <w:ilvl w:val="0"/>
                <w:numId w:val="0"/>
              </w:numPr>
              <w:ind w:left="720"/>
              <w:jc w:val="both"/>
              <w:rPr>
                <w:rFonts w:asciiTheme="minorHAnsi" w:hAnsiTheme="minorHAnsi" w:cstheme="minorHAnsi"/>
                <w:iCs/>
                <w:sz w:val="20"/>
                <w:szCs w:val="20"/>
              </w:rPr>
            </w:pPr>
          </w:p>
          <w:p w:rsidR="00B3374A" w:rsidRDefault="00B3374A" w:rsidP="00B3374A">
            <w:pPr>
              <w:pStyle w:val="TSNumberedParagraph11"/>
              <w:numPr>
                <w:ilvl w:val="0"/>
                <w:numId w:val="0"/>
              </w:numPr>
              <w:ind w:left="720"/>
              <w:jc w:val="both"/>
              <w:rPr>
                <w:rFonts w:asciiTheme="minorHAnsi" w:hAnsiTheme="minorHAnsi" w:cstheme="minorHAnsi"/>
                <w:iCs/>
                <w:sz w:val="20"/>
                <w:szCs w:val="20"/>
              </w:rPr>
            </w:pPr>
          </w:p>
          <w:p w:rsidR="00B3374A" w:rsidRDefault="00B3374A" w:rsidP="00B3374A">
            <w:pPr>
              <w:pStyle w:val="TSNumberedParagraph11"/>
              <w:numPr>
                <w:ilvl w:val="0"/>
                <w:numId w:val="0"/>
              </w:numPr>
              <w:ind w:left="720"/>
              <w:jc w:val="both"/>
              <w:rPr>
                <w:rFonts w:asciiTheme="minorHAnsi" w:hAnsiTheme="minorHAnsi" w:cstheme="minorHAnsi"/>
                <w:iCs/>
                <w:sz w:val="20"/>
                <w:szCs w:val="20"/>
              </w:rPr>
            </w:pPr>
          </w:p>
          <w:p w:rsidR="00B3374A" w:rsidRPr="002C62C2" w:rsidRDefault="00B3374A" w:rsidP="00B3374A">
            <w:pPr>
              <w:pStyle w:val="TSNumberedParagraph11"/>
              <w:numPr>
                <w:ilvl w:val="0"/>
                <w:numId w:val="0"/>
              </w:numPr>
              <w:ind w:left="720"/>
              <w:jc w:val="both"/>
              <w:rPr>
                <w:rFonts w:asciiTheme="minorHAnsi" w:hAnsiTheme="minorHAnsi" w:cstheme="minorHAnsi"/>
                <w:iCs/>
                <w:sz w:val="20"/>
                <w:szCs w:val="20"/>
              </w:rPr>
            </w:pPr>
          </w:p>
        </w:tc>
      </w:tr>
      <w:tr w:rsidR="00495F75" w:rsidRPr="002C62C2" w:rsidTr="00971BA8">
        <w:trPr>
          <w:jc w:val="center"/>
        </w:trPr>
        <w:tc>
          <w:tcPr>
            <w:tcW w:w="9709" w:type="dxa"/>
            <w:tcBorders>
              <w:bottom w:val="single" w:sz="4" w:space="0" w:color="auto"/>
            </w:tcBorders>
            <w:shd w:val="clear" w:color="auto" w:fill="006D68"/>
          </w:tcPr>
          <w:p w:rsidR="00495F75" w:rsidRPr="002C62C2" w:rsidRDefault="00495F75" w:rsidP="001D6FA6">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lastRenderedPageBreak/>
              <w:t>TECHNICAL RESPONSE</w:t>
            </w:r>
          </w:p>
        </w:tc>
      </w:tr>
      <w:tr w:rsidR="00495F75" w:rsidRPr="002C62C2" w:rsidTr="00971BA8">
        <w:trPr>
          <w:jc w:val="center"/>
        </w:trPr>
        <w:tc>
          <w:tcPr>
            <w:tcW w:w="9709" w:type="dxa"/>
            <w:shd w:val="clear" w:color="auto" w:fill="auto"/>
          </w:tcPr>
          <w:p w:rsidR="00495F75" w:rsidRDefault="00495F75" w:rsidP="001D6FA6">
            <w:pPr>
              <w:pStyle w:val="TSHeadingNumbered1"/>
              <w:tabs>
                <w:tab w:val="left" w:pos="0"/>
              </w:tabs>
              <w:ind w:left="0" w:firstLine="0"/>
              <w:jc w:val="both"/>
              <w:rPr>
                <w:rFonts w:asciiTheme="minorHAnsi" w:hAnsiTheme="minorHAnsi" w:cstheme="minorHAnsi"/>
              </w:rPr>
            </w:pPr>
            <w:r w:rsidRPr="002C62C2">
              <w:rPr>
                <w:rFonts w:asciiTheme="minorHAnsi" w:hAnsiTheme="minorHAnsi" w:cstheme="minorHAnsi"/>
              </w:rPr>
              <w:t>Response</w:t>
            </w:r>
          </w:p>
          <w:p w:rsidR="00495F75" w:rsidRPr="007B5E46" w:rsidRDefault="007B5E46" w:rsidP="001D6FA6">
            <w:pPr>
              <w:pStyle w:val="TSNumberedParagraph11"/>
              <w:tabs>
                <w:tab w:val="clear" w:pos="-31680"/>
              </w:tabs>
              <w:ind w:left="698" w:hanging="698"/>
              <w:jc w:val="both"/>
              <w:rPr>
                <w:rFonts w:asciiTheme="minorHAnsi" w:hAnsiTheme="minorHAnsi" w:cstheme="minorHAnsi"/>
              </w:rPr>
            </w:pPr>
            <w:r>
              <w:rPr>
                <w:rFonts w:asciiTheme="minorHAnsi" w:hAnsiTheme="minorHAnsi" w:cstheme="minorHAnsi"/>
              </w:rPr>
              <w:t>The Technical Response must</w:t>
            </w:r>
            <w:r w:rsidR="00495F75" w:rsidRPr="007B5E46">
              <w:rPr>
                <w:rFonts w:asciiTheme="minorHAnsi" w:hAnsiTheme="minorHAnsi" w:cstheme="minorHAnsi"/>
              </w:rPr>
              <w:t xml:space="preserve"> demonstrate a clear und</w:t>
            </w:r>
            <w:r>
              <w:rPr>
                <w:rFonts w:asciiTheme="minorHAnsi" w:hAnsiTheme="minorHAnsi" w:cstheme="minorHAnsi"/>
              </w:rPr>
              <w:t>erstanding of the work required and should:</w:t>
            </w:r>
            <w:r w:rsidR="00495F75" w:rsidRPr="007B5E46">
              <w:rPr>
                <w:rFonts w:asciiTheme="minorHAnsi" w:hAnsiTheme="minorHAnsi" w:cstheme="minorHAnsi"/>
                <w:highlight w:val="yellow"/>
              </w:rPr>
              <w:t xml:space="preserve"> </w:t>
            </w:r>
          </w:p>
          <w:p w:rsidR="002B7BCA" w:rsidRPr="007B5E46" w:rsidRDefault="002B7BCA" w:rsidP="001D6FA6">
            <w:pPr>
              <w:pStyle w:val="TSBullet1Square"/>
              <w:jc w:val="both"/>
              <w:rPr>
                <w:rFonts w:asciiTheme="minorHAnsi" w:hAnsiTheme="minorHAnsi" w:cstheme="minorHAnsi"/>
              </w:rPr>
            </w:pPr>
            <w:r w:rsidRPr="007B5E46">
              <w:rPr>
                <w:rFonts w:asciiTheme="minorHAnsi" w:hAnsiTheme="minorHAnsi" w:cstheme="minorHAnsi"/>
              </w:rPr>
              <w:t>Clearly</w:t>
            </w:r>
            <w:r w:rsidR="00D84551">
              <w:rPr>
                <w:rFonts w:asciiTheme="minorHAnsi" w:hAnsiTheme="minorHAnsi" w:cstheme="minorHAnsi"/>
              </w:rPr>
              <w:t xml:space="preserve"> </w:t>
            </w:r>
            <w:r w:rsidRPr="007B5E46">
              <w:rPr>
                <w:rFonts w:asciiTheme="minorHAnsi" w:hAnsiTheme="minorHAnsi" w:cstheme="minorHAnsi"/>
              </w:rPr>
              <w:t xml:space="preserve"> address all aspects of the specification</w:t>
            </w:r>
            <w:r w:rsidR="00D84551">
              <w:rPr>
                <w:rFonts w:asciiTheme="minorHAnsi" w:hAnsiTheme="minorHAnsi" w:cstheme="minorHAnsi"/>
              </w:rPr>
              <w:t xml:space="preserve"> identifying how they would meet the requirements and timings for a HF call off contract</w:t>
            </w:r>
            <w:r w:rsidRPr="007B5E46">
              <w:rPr>
                <w:rFonts w:asciiTheme="minorHAnsi" w:hAnsiTheme="minorHAnsi" w:cstheme="minorHAnsi"/>
              </w:rPr>
              <w:t xml:space="preserve"> (including objectives, scope and constraints)</w:t>
            </w:r>
          </w:p>
          <w:p w:rsidR="007B5E46" w:rsidRDefault="002B19C7" w:rsidP="001D6FA6">
            <w:pPr>
              <w:pStyle w:val="TSBullet1Square"/>
              <w:jc w:val="both"/>
              <w:rPr>
                <w:rFonts w:asciiTheme="minorHAnsi" w:hAnsiTheme="minorHAnsi" w:cstheme="minorHAnsi"/>
              </w:rPr>
            </w:pPr>
            <w:r>
              <w:rPr>
                <w:rFonts w:asciiTheme="minorHAnsi" w:hAnsiTheme="minorHAnsi" w:cstheme="minorHAnsi"/>
              </w:rPr>
              <w:t>C</w:t>
            </w:r>
            <w:r w:rsidR="007B5E46">
              <w:rPr>
                <w:rFonts w:asciiTheme="minorHAnsi" w:hAnsiTheme="minorHAnsi" w:cstheme="minorHAnsi"/>
              </w:rPr>
              <w:t xml:space="preserve">learly identify </w:t>
            </w:r>
            <w:r>
              <w:rPr>
                <w:rFonts w:asciiTheme="minorHAnsi" w:hAnsiTheme="minorHAnsi" w:cstheme="minorHAnsi"/>
              </w:rPr>
              <w:t>proposed</w:t>
            </w:r>
            <w:r w:rsidR="00917E54">
              <w:rPr>
                <w:rFonts w:asciiTheme="minorHAnsi" w:hAnsiTheme="minorHAnsi" w:cstheme="minorHAnsi"/>
              </w:rPr>
              <w:t xml:space="preserve"> team of</w:t>
            </w:r>
            <w:r>
              <w:rPr>
                <w:rFonts w:asciiTheme="minorHAnsi" w:hAnsiTheme="minorHAnsi" w:cstheme="minorHAnsi"/>
              </w:rPr>
              <w:t xml:space="preserve"> named individuals (including details of </w:t>
            </w:r>
            <w:r w:rsidR="007B5E46">
              <w:rPr>
                <w:rFonts w:asciiTheme="minorHAnsi" w:hAnsiTheme="minorHAnsi" w:cstheme="minorHAnsi"/>
              </w:rPr>
              <w:t xml:space="preserve">relevant experience and </w:t>
            </w:r>
            <w:r>
              <w:rPr>
                <w:rFonts w:asciiTheme="minorHAnsi" w:hAnsiTheme="minorHAnsi" w:cstheme="minorHAnsi"/>
              </w:rPr>
              <w:t>qualifications) against the different types of activities that may be requested</w:t>
            </w:r>
          </w:p>
          <w:p w:rsidR="00917E54" w:rsidRDefault="00917E54" w:rsidP="001D6FA6">
            <w:pPr>
              <w:pStyle w:val="TSBullet1Square"/>
              <w:jc w:val="both"/>
              <w:rPr>
                <w:rFonts w:asciiTheme="minorHAnsi" w:hAnsiTheme="minorHAnsi" w:cstheme="minorHAnsi"/>
              </w:rPr>
            </w:pPr>
            <w:r>
              <w:rPr>
                <w:rFonts w:asciiTheme="minorHAnsi" w:hAnsiTheme="minorHAnsi" w:cstheme="minorHAnsi"/>
              </w:rPr>
              <w:t>Detail any limitations of availability of proposed individuals</w:t>
            </w:r>
          </w:p>
          <w:p w:rsidR="002B19C7" w:rsidRDefault="002B19C7" w:rsidP="001D6FA6">
            <w:pPr>
              <w:pStyle w:val="TSBullet1Square"/>
              <w:jc w:val="both"/>
              <w:rPr>
                <w:rFonts w:asciiTheme="minorHAnsi" w:hAnsiTheme="minorHAnsi" w:cstheme="minorHAnsi"/>
              </w:rPr>
            </w:pPr>
            <w:r>
              <w:rPr>
                <w:rFonts w:asciiTheme="minorHAnsi" w:hAnsiTheme="minorHAnsi" w:cstheme="minorHAnsi"/>
              </w:rPr>
              <w:t>Demonstrate both the depth and breadth of capabilities across the activities outlined within this specification</w:t>
            </w:r>
          </w:p>
          <w:p w:rsidR="002B7BCA" w:rsidRPr="007B5E46" w:rsidRDefault="007B5E46" w:rsidP="001D6FA6">
            <w:pPr>
              <w:pStyle w:val="TSBullet1Square"/>
              <w:jc w:val="both"/>
              <w:rPr>
                <w:rFonts w:asciiTheme="minorHAnsi" w:hAnsiTheme="minorHAnsi" w:cstheme="minorHAnsi"/>
              </w:rPr>
            </w:pPr>
            <w:r>
              <w:rPr>
                <w:rFonts w:asciiTheme="minorHAnsi" w:hAnsiTheme="minorHAnsi" w:cstheme="minorHAnsi"/>
              </w:rPr>
              <w:t>Provide</w:t>
            </w:r>
            <w:r w:rsidR="002B7BCA" w:rsidRPr="007B5E46">
              <w:rPr>
                <w:rFonts w:asciiTheme="minorHAnsi" w:hAnsiTheme="minorHAnsi" w:cstheme="minorHAnsi"/>
              </w:rPr>
              <w:t xml:space="preserve"> an overview of any prior experience with ONR</w:t>
            </w:r>
          </w:p>
          <w:p w:rsidR="002B7BCA" w:rsidRDefault="007B5E46" w:rsidP="001D6FA6">
            <w:pPr>
              <w:pStyle w:val="TSBullet1Square"/>
              <w:jc w:val="both"/>
              <w:rPr>
                <w:rFonts w:asciiTheme="minorHAnsi" w:hAnsiTheme="minorHAnsi" w:cstheme="minorHAnsi"/>
              </w:rPr>
            </w:pPr>
            <w:r>
              <w:rPr>
                <w:rFonts w:asciiTheme="minorHAnsi" w:hAnsiTheme="minorHAnsi" w:cstheme="minorHAnsi"/>
              </w:rPr>
              <w:t>Provide</w:t>
            </w:r>
            <w:r w:rsidR="002B7BCA" w:rsidRPr="007B5E46">
              <w:rPr>
                <w:rFonts w:asciiTheme="minorHAnsi" w:hAnsiTheme="minorHAnsi" w:cstheme="minorHAnsi"/>
              </w:rPr>
              <w:t xml:space="preserve"> an outline of anticipate</w:t>
            </w:r>
            <w:r>
              <w:rPr>
                <w:rFonts w:asciiTheme="minorHAnsi" w:hAnsiTheme="minorHAnsi" w:cstheme="minorHAnsi"/>
              </w:rPr>
              <w:t xml:space="preserve">d engagement with ONR </w:t>
            </w:r>
            <w:r w:rsidR="002B7BCA" w:rsidRPr="007B5E46">
              <w:rPr>
                <w:rFonts w:asciiTheme="minorHAnsi" w:hAnsiTheme="minorHAnsi" w:cstheme="minorHAnsi"/>
              </w:rPr>
              <w:t>(including</w:t>
            </w:r>
            <w:r>
              <w:rPr>
                <w:rFonts w:asciiTheme="minorHAnsi" w:hAnsiTheme="minorHAnsi" w:cstheme="minorHAnsi"/>
              </w:rPr>
              <w:t xml:space="preserve"> project meetings &amp; management)</w:t>
            </w:r>
          </w:p>
          <w:p w:rsidR="00917E54" w:rsidRPr="007B5E46" w:rsidRDefault="00917E54" w:rsidP="001D6FA6">
            <w:pPr>
              <w:pStyle w:val="TSBullet1Square"/>
              <w:jc w:val="both"/>
              <w:rPr>
                <w:rFonts w:asciiTheme="minorHAnsi" w:hAnsiTheme="minorHAnsi" w:cstheme="minorHAnsi"/>
              </w:rPr>
            </w:pPr>
            <w:r>
              <w:rPr>
                <w:rFonts w:asciiTheme="minorHAnsi" w:hAnsiTheme="minorHAnsi" w:cstheme="minorHAnsi"/>
              </w:rPr>
              <w:t>Provide a clear strategy for ensuring ONR is kept informed of changes to availability of key individuals</w:t>
            </w:r>
          </w:p>
          <w:p w:rsidR="00495F75" w:rsidRPr="00917E54" w:rsidRDefault="007B5E46" w:rsidP="001D6FA6">
            <w:pPr>
              <w:pStyle w:val="TSBullet1Square"/>
              <w:tabs>
                <w:tab w:val="clear" w:pos="-31680"/>
              </w:tabs>
              <w:jc w:val="both"/>
              <w:rPr>
                <w:rFonts w:asciiTheme="minorHAnsi" w:hAnsiTheme="minorHAnsi" w:cstheme="minorHAnsi"/>
                <w:b/>
                <w:iCs/>
                <w:color w:val="FFFFFF" w:themeColor="background1"/>
                <w:sz w:val="24"/>
              </w:rPr>
            </w:pPr>
            <w:r>
              <w:rPr>
                <w:rFonts w:asciiTheme="minorHAnsi" w:hAnsiTheme="minorHAnsi" w:cstheme="minorHAnsi"/>
              </w:rPr>
              <w:t>Detail</w:t>
            </w:r>
            <w:r w:rsidR="0015181F">
              <w:rPr>
                <w:rFonts w:asciiTheme="minorHAnsi" w:hAnsiTheme="minorHAnsi" w:cstheme="minorHAnsi"/>
              </w:rPr>
              <w:t xml:space="preserve"> any assumptions</w:t>
            </w:r>
            <w:r w:rsidR="00917E54">
              <w:rPr>
                <w:rFonts w:asciiTheme="minorHAnsi" w:hAnsiTheme="minorHAnsi" w:cstheme="minorHAnsi"/>
              </w:rPr>
              <w:t xml:space="preserve"> or other constraints, including any potential conflict of interest</w:t>
            </w:r>
          </w:p>
        </w:tc>
      </w:tr>
    </w:tbl>
    <w:p w:rsidR="00D75DA2" w:rsidRPr="002C62C2" w:rsidRDefault="00D75DA2" w:rsidP="00457068">
      <w:pPr>
        <w:ind w:left="567" w:hanging="567"/>
        <w:rPr>
          <w:rFonts w:asciiTheme="minorHAnsi" w:hAnsiTheme="minorHAnsi" w:cstheme="minorHAnsi"/>
        </w:rPr>
      </w:pPr>
    </w:p>
    <w:sectPr w:rsidR="00D75DA2" w:rsidRPr="002C62C2" w:rsidSect="00457068">
      <w:headerReference w:type="default" r:id="rId10"/>
      <w:footerReference w:type="default" r:id="rId11"/>
      <w:headerReference w:type="first" r:id="rId12"/>
      <w:footerReference w:type="first" r:id="rId13"/>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790" w:rsidRDefault="00FF2790">
      <w:r>
        <w:separator/>
      </w:r>
    </w:p>
  </w:endnote>
  <w:endnote w:type="continuationSeparator" w:id="0">
    <w:p w:rsidR="00FF2790" w:rsidRDefault="00FF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rEavesModOTLight">
    <w:altName w:val="MrEavesModOT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4A0D30">
      <w:rPr>
        <w:b/>
        <w:noProof/>
        <w:color w:val="006D68"/>
        <w:sz w:val="14"/>
        <w:szCs w:val="14"/>
      </w:rPr>
      <w:t>7</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4A0D30">
      <w:rPr>
        <w:b/>
        <w:noProof/>
        <w:color w:val="006D68"/>
        <w:sz w:val="14"/>
        <w:szCs w:val="14"/>
      </w:rPr>
      <w:t>7</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D75DA2" w:rsidP="00B56CCE">
    <w:pPr>
      <w:pStyle w:val="Footer"/>
      <w:tabs>
        <w:tab w:val="clear" w:pos="4153"/>
        <w:tab w:val="clear" w:pos="8306"/>
        <w:tab w:val="right" w:pos="9214"/>
      </w:tabs>
      <w:rPr>
        <w:b/>
        <w:color w:val="006D68"/>
        <w:sz w:val="14"/>
        <w:szCs w:val="14"/>
      </w:rPr>
    </w:pP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4A0D30">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4A0D30">
      <w:rPr>
        <w:b/>
        <w:noProof/>
        <w:color w:val="006D68"/>
        <w:sz w:val="14"/>
        <w:szCs w:val="14"/>
      </w:rPr>
      <w:t>7</w:t>
    </w:r>
    <w:r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790" w:rsidRDefault="00FF2790">
      <w:r>
        <w:separator/>
      </w:r>
    </w:p>
  </w:footnote>
  <w:footnote w:type="continuationSeparator" w:id="0">
    <w:p w:rsidR="00FF2790" w:rsidRDefault="00FF2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pPr>
      <w:pStyle w:val="Header"/>
      <w:rPr>
        <w:b/>
        <w:color w:val="006D68"/>
        <w:sz w:val="14"/>
        <w:szCs w:val="14"/>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68" w:rsidRDefault="00457068" w:rsidP="00457068">
    <w:pPr>
      <w:pStyle w:val="Header"/>
      <w:rPr>
        <w:b/>
        <w:sz w:val="20"/>
        <w:szCs w:val="20"/>
      </w:rPr>
    </w:pPr>
    <w:r>
      <w:rPr>
        <w:b/>
        <w:noProof/>
        <w:sz w:val="20"/>
        <w:szCs w:val="20"/>
        <w:lang w:eastAsia="en-GB"/>
      </w:rPr>
      <w:drawing>
        <wp:inline distT="0" distB="0" distL="0" distR="0" wp14:anchorId="1266028C" wp14:editId="6E7C7299">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A25EB0" w:rsidRPr="00C754D7" w:rsidRDefault="00AF4C0F" w:rsidP="00457068">
    <w:pPr>
      <w:pStyle w:val="Header"/>
      <w:jc w:val="right"/>
      <w:rPr>
        <w:b/>
        <w:sz w:val="20"/>
        <w:szCs w:val="20"/>
      </w:rPr>
    </w:pPr>
    <w:r>
      <w:rPr>
        <w:b/>
        <w:sz w:val="20"/>
        <w:szCs w:val="20"/>
      </w:rPr>
      <w:t>ONR</w:t>
    </w:r>
    <w:r w:rsidR="00457068">
      <w:rPr>
        <w:b/>
        <w:sz w:val="20"/>
        <w:szCs w:val="20"/>
      </w:rPr>
      <w:t xml:space="preserve"> Ref:</w:t>
    </w:r>
    <w:r w:rsidR="001D6FA6">
      <w:rPr>
        <w:b/>
        <w:sz w:val="20"/>
        <w:szCs w:val="20"/>
      </w:rPr>
      <w:t xml:space="preserve"> ONR/T3483</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D61C1"/>
    <w:multiLevelType w:val="hybridMultilevel"/>
    <w:tmpl w:val="DDE06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78005F37"/>
    <w:multiLevelType w:val="hybridMultilevel"/>
    <w:tmpl w:val="602A9FD0"/>
    <w:lvl w:ilvl="0" w:tplc="5DBC4FA4">
      <w:start w:val="1"/>
      <w:numFmt w:val="bullet"/>
      <w:lvlText w:val=""/>
      <w:lvlJc w:val="left"/>
      <w:pPr>
        <w:ind w:left="1494" w:hanging="360"/>
      </w:pPr>
      <w:rPr>
        <w:rFonts w:ascii="Wingdings" w:hAnsi="Wingdings" w:hint="default"/>
        <w:sz w:val="36"/>
        <w:szCs w:val="36"/>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052A0"/>
    <w:rsid w:val="00030D3C"/>
    <w:rsid w:val="000312D3"/>
    <w:rsid w:val="000375D1"/>
    <w:rsid w:val="000462A5"/>
    <w:rsid w:val="000715BD"/>
    <w:rsid w:val="00077892"/>
    <w:rsid w:val="00096F71"/>
    <w:rsid w:val="000B1830"/>
    <w:rsid w:val="000B4E40"/>
    <w:rsid w:val="000D6244"/>
    <w:rsid w:val="000F16BF"/>
    <w:rsid w:val="000F2B30"/>
    <w:rsid w:val="00101D67"/>
    <w:rsid w:val="00110F81"/>
    <w:rsid w:val="001154E1"/>
    <w:rsid w:val="00121C8F"/>
    <w:rsid w:val="00131ECC"/>
    <w:rsid w:val="00132F94"/>
    <w:rsid w:val="00144CEA"/>
    <w:rsid w:val="0015181F"/>
    <w:rsid w:val="00164F4F"/>
    <w:rsid w:val="00175302"/>
    <w:rsid w:val="00184A1E"/>
    <w:rsid w:val="00193C9A"/>
    <w:rsid w:val="001A58B1"/>
    <w:rsid w:val="001C3DB8"/>
    <w:rsid w:val="001D64EA"/>
    <w:rsid w:val="001D6FA6"/>
    <w:rsid w:val="001D78A1"/>
    <w:rsid w:val="00200CB7"/>
    <w:rsid w:val="0021074A"/>
    <w:rsid w:val="00216018"/>
    <w:rsid w:val="00226A79"/>
    <w:rsid w:val="00232F56"/>
    <w:rsid w:val="00234DA9"/>
    <w:rsid w:val="0028011F"/>
    <w:rsid w:val="0028356A"/>
    <w:rsid w:val="00297401"/>
    <w:rsid w:val="002A5906"/>
    <w:rsid w:val="002B19C7"/>
    <w:rsid w:val="002B7BCA"/>
    <w:rsid w:val="002C62C2"/>
    <w:rsid w:val="0031706E"/>
    <w:rsid w:val="003528E2"/>
    <w:rsid w:val="00357B96"/>
    <w:rsid w:val="003B4AA2"/>
    <w:rsid w:val="003C25DD"/>
    <w:rsid w:val="003D005E"/>
    <w:rsid w:val="003D027F"/>
    <w:rsid w:val="003E2CA6"/>
    <w:rsid w:val="003E452E"/>
    <w:rsid w:val="0040222B"/>
    <w:rsid w:val="00432670"/>
    <w:rsid w:val="00457068"/>
    <w:rsid w:val="004750A2"/>
    <w:rsid w:val="00487A22"/>
    <w:rsid w:val="00493468"/>
    <w:rsid w:val="00495F75"/>
    <w:rsid w:val="004A0D30"/>
    <w:rsid w:val="004A7B1B"/>
    <w:rsid w:val="004E008A"/>
    <w:rsid w:val="004E5039"/>
    <w:rsid w:val="004E5F37"/>
    <w:rsid w:val="004F24BC"/>
    <w:rsid w:val="004F6EF0"/>
    <w:rsid w:val="00505F6E"/>
    <w:rsid w:val="00513471"/>
    <w:rsid w:val="005322E6"/>
    <w:rsid w:val="00534DE1"/>
    <w:rsid w:val="0055471D"/>
    <w:rsid w:val="005556C6"/>
    <w:rsid w:val="00562F2F"/>
    <w:rsid w:val="005700C4"/>
    <w:rsid w:val="00583D42"/>
    <w:rsid w:val="00586D02"/>
    <w:rsid w:val="005A1570"/>
    <w:rsid w:val="005A5A87"/>
    <w:rsid w:val="005D1EEA"/>
    <w:rsid w:val="005F0722"/>
    <w:rsid w:val="005F6438"/>
    <w:rsid w:val="00604F23"/>
    <w:rsid w:val="00627D9A"/>
    <w:rsid w:val="00686EC7"/>
    <w:rsid w:val="006A667F"/>
    <w:rsid w:val="006B2DA6"/>
    <w:rsid w:val="006B553A"/>
    <w:rsid w:val="006C519A"/>
    <w:rsid w:val="006E6294"/>
    <w:rsid w:val="006F1199"/>
    <w:rsid w:val="006F5420"/>
    <w:rsid w:val="00715C62"/>
    <w:rsid w:val="0072164C"/>
    <w:rsid w:val="007738E4"/>
    <w:rsid w:val="007A6E15"/>
    <w:rsid w:val="007B2A25"/>
    <w:rsid w:val="007B4EE0"/>
    <w:rsid w:val="007B5E46"/>
    <w:rsid w:val="007C7CF2"/>
    <w:rsid w:val="007D456E"/>
    <w:rsid w:val="007D545C"/>
    <w:rsid w:val="007E1767"/>
    <w:rsid w:val="007E276D"/>
    <w:rsid w:val="007F4A9B"/>
    <w:rsid w:val="007F7246"/>
    <w:rsid w:val="0080312E"/>
    <w:rsid w:val="00825091"/>
    <w:rsid w:val="00842FD6"/>
    <w:rsid w:val="00846A4A"/>
    <w:rsid w:val="00863CDC"/>
    <w:rsid w:val="00891423"/>
    <w:rsid w:val="008A7BDD"/>
    <w:rsid w:val="008D71E9"/>
    <w:rsid w:val="008E67CB"/>
    <w:rsid w:val="0091041C"/>
    <w:rsid w:val="00915738"/>
    <w:rsid w:val="00917E54"/>
    <w:rsid w:val="00930A54"/>
    <w:rsid w:val="00932851"/>
    <w:rsid w:val="00962038"/>
    <w:rsid w:val="009678DE"/>
    <w:rsid w:val="00971BA8"/>
    <w:rsid w:val="009765DB"/>
    <w:rsid w:val="00987AA6"/>
    <w:rsid w:val="0099431B"/>
    <w:rsid w:val="009962B1"/>
    <w:rsid w:val="009B5159"/>
    <w:rsid w:val="009C597F"/>
    <w:rsid w:val="009D3CD0"/>
    <w:rsid w:val="009D7075"/>
    <w:rsid w:val="009F1B6F"/>
    <w:rsid w:val="00A25EB0"/>
    <w:rsid w:val="00A41FDA"/>
    <w:rsid w:val="00A442D1"/>
    <w:rsid w:val="00A52A42"/>
    <w:rsid w:val="00A708B8"/>
    <w:rsid w:val="00A722BE"/>
    <w:rsid w:val="00AB2BB0"/>
    <w:rsid w:val="00AB7147"/>
    <w:rsid w:val="00AD5635"/>
    <w:rsid w:val="00AE199F"/>
    <w:rsid w:val="00AF4C0F"/>
    <w:rsid w:val="00B255B3"/>
    <w:rsid w:val="00B3374A"/>
    <w:rsid w:val="00B34CEC"/>
    <w:rsid w:val="00B43C54"/>
    <w:rsid w:val="00B504F7"/>
    <w:rsid w:val="00B56CCE"/>
    <w:rsid w:val="00B76C93"/>
    <w:rsid w:val="00B81B18"/>
    <w:rsid w:val="00B827A7"/>
    <w:rsid w:val="00BA4B11"/>
    <w:rsid w:val="00BB37AA"/>
    <w:rsid w:val="00BC24ED"/>
    <w:rsid w:val="00BC5FC8"/>
    <w:rsid w:val="00BE1CB6"/>
    <w:rsid w:val="00BF35D8"/>
    <w:rsid w:val="00C11A87"/>
    <w:rsid w:val="00C16730"/>
    <w:rsid w:val="00C25583"/>
    <w:rsid w:val="00C75298"/>
    <w:rsid w:val="00C75A1C"/>
    <w:rsid w:val="00CA3B14"/>
    <w:rsid w:val="00CD7B5F"/>
    <w:rsid w:val="00CE5958"/>
    <w:rsid w:val="00CE6571"/>
    <w:rsid w:val="00D273E5"/>
    <w:rsid w:val="00D27ECE"/>
    <w:rsid w:val="00D3061A"/>
    <w:rsid w:val="00D55197"/>
    <w:rsid w:val="00D55FE7"/>
    <w:rsid w:val="00D574ED"/>
    <w:rsid w:val="00D7080E"/>
    <w:rsid w:val="00D75DA2"/>
    <w:rsid w:val="00D7747E"/>
    <w:rsid w:val="00D84551"/>
    <w:rsid w:val="00D92BDA"/>
    <w:rsid w:val="00DB6B99"/>
    <w:rsid w:val="00DC6611"/>
    <w:rsid w:val="00DE3E4A"/>
    <w:rsid w:val="00DE4417"/>
    <w:rsid w:val="00DE4F61"/>
    <w:rsid w:val="00DE5C4B"/>
    <w:rsid w:val="00DE7D09"/>
    <w:rsid w:val="00DF096B"/>
    <w:rsid w:val="00DF3697"/>
    <w:rsid w:val="00E12A39"/>
    <w:rsid w:val="00E25E91"/>
    <w:rsid w:val="00E31667"/>
    <w:rsid w:val="00E32F3B"/>
    <w:rsid w:val="00E41F31"/>
    <w:rsid w:val="00E544C2"/>
    <w:rsid w:val="00E656F8"/>
    <w:rsid w:val="00E71B0C"/>
    <w:rsid w:val="00E71EE1"/>
    <w:rsid w:val="00E87C8C"/>
    <w:rsid w:val="00E9478E"/>
    <w:rsid w:val="00E97293"/>
    <w:rsid w:val="00EA5EB4"/>
    <w:rsid w:val="00EB54C6"/>
    <w:rsid w:val="00ED5F2B"/>
    <w:rsid w:val="00EF2014"/>
    <w:rsid w:val="00EF5A97"/>
    <w:rsid w:val="00F86724"/>
    <w:rsid w:val="00FB1331"/>
    <w:rsid w:val="00FD0C4A"/>
    <w:rsid w:val="00FE6D5F"/>
    <w:rsid w:val="00FF1AFB"/>
    <w:rsid w:val="00FF2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customStyle="1" w:styleId="Default">
    <w:name w:val="Default"/>
    <w:rsid w:val="000462A5"/>
    <w:pPr>
      <w:autoSpaceDE w:val="0"/>
      <w:autoSpaceDN w:val="0"/>
      <w:adjustRightInd w:val="0"/>
    </w:pPr>
    <w:rPr>
      <w:rFonts w:ascii="MrEavesModOTLight" w:hAnsi="MrEavesModOTLight" w:cs="MrEavesModOTLight"/>
      <w:color w:val="000000"/>
      <w:sz w:val="24"/>
      <w:szCs w:val="24"/>
    </w:rPr>
  </w:style>
  <w:style w:type="character" w:customStyle="1" w:styleId="A5">
    <w:name w:val="A5"/>
    <w:uiPriority w:val="99"/>
    <w:rsid w:val="000462A5"/>
    <w:rPr>
      <w:rFonts w:cs="MrEavesModOTLight"/>
      <w:color w:val="000000"/>
      <w:sz w:val="28"/>
      <w:szCs w:val="28"/>
    </w:rPr>
  </w:style>
  <w:style w:type="paragraph" w:styleId="NormalWeb">
    <w:name w:val="Normal (Web)"/>
    <w:basedOn w:val="Normal"/>
    <w:uiPriority w:val="99"/>
    <w:semiHidden/>
    <w:unhideWhenUsed/>
    <w:rsid w:val="00D27ECE"/>
    <w:pPr>
      <w:spacing w:after="240"/>
    </w:pPr>
    <w:rPr>
      <w:rFonts w:ascii="Times New Roman" w:hAnsi="Times New Roman"/>
      <w:color w:val="111111"/>
      <w:sz w:val="24"/>
      <w:lang w:eastAsia="en-GB"/>
    </w:rPr>
  </w:style>
  <w:style w:type="paragraph" w:styleId="Revision">
    <w:name w:val="Revision"/>
    <w:hidden/>
    <w:uiPriority w:val="99"/>
    <w:semiHidden/>
    <w:rsid w:val="00F86724"/>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customStyle="1" w:styleId="Default">
    <w:name w:val="Default"/>
    <w:rsid w:val="000462A5"/>
    <w:pPr>
      <w:autoSpaceDE w:val="0"/>
      <w:autoSpaceDN w:val="0"/>
      <w:adjustRightInd w:val="0"/>
    </w:pPr>
    <w:rPr>
      <w:rFonts w:ascii="MrEavesModOTLight" w:hAnsi="MrEavesModOTLight" w:cs="MrEavesModOTLight"/>
      <w:color w:val="000000"/>
      <w:sz w:val="24"/>
      <w:szCs w:val="24"/>
    </w:rPr>
  </w:style>
  <w:style w:type="character" w:customStyle="1" w:styleId="A5">
    <w:name w:val="A5"/>
    <w:uiPriority w:val="99"/>
    <w:rsid w:val="000462A5"/>
    <w:rPr>
      <w:rFonts w:cs="MrEavesModOTLight"/>
      <w:color w:val="000000"/>
      <w:sz w:val="28"/>
      <w:szCs w:val="28"/>
    </w:rPr>
  </w:style>
  <w:style w:type="paragraph" w:styleId="NormalWeb">
    <w:name w:val="Normal (Web)"/>
    <w:basedOn w:val="Normal"/>
    <w:uiPriority w:val="99"/>
    <w:semiHidden/>
    <w:unhideWhenUsed/>
    <w:rsid w:val="00D27ECE"/>
    <w:pPr>
      <w:spacing w:after="240"/>
    </w:pPr>
    <w:rPr>
      <w:rFonts w:ascii="Times New Roman" w:hAnsi="Times New Roman"/>
      <w:color w:val="111111"/>
      <w:sz w:val="24"/>
      <w:lang w:eastAsia="en-GB"/>
    </w:rPr>
  </w:style>
  <w:style w:type="paragraph" w:styleId="Revision">
    <w:name w:val="Revision"/>
    <w:hidden/>
    <w:uiPriority w:val="99"/>
    <w:semiHidden/>
    <w:rsid w:val="00F8672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274436441">
      <w:bodyDiv w:val="1"/>
      <w:marLeft w:val="0"/>
      <w:marRight w:val="0"/>
      <w:marTop w:val="0"/>
      <w:marBottom w:val="0"/>
      <w:divBdr>
        <w:top w:val="none" w:sz="0" w:space="0" w:color="auto"/>
        <w:left w:val="none" w:sz="0" w:space="0" w:color="auto"/>
        <w:bottom w:val="none" w:sz="0" w:space="0" w:color="auto"/>
        <w:right w:val="none" w:sz="0" w:space="0" w:color="auto"/>
      </w:divBdr>
      <w:divsChild>
        <w:div w:id="1960331388">
          <w:marLeft w:val="0"/>
          <w:marRight w:val="0"/>
          <w:marTop w:val="180"/>
          <w:marBottom w:val="150"/>
          <w:divBdr>
            <w:top w:val="none" w:sz="0" w:space="0" w:color="auto"/>
            <w:left w:val="none" w:sz="0" w:space="0" w:color="auto"/>
            <w:bottom w:val="none" w:sz="0" w:space="0" w:color="auto"/>
            <w:right w:val="none" w:sz="0" w:space="0" w:color="auto"/>
          </w:divBdr>
          <w:divsChild>
            <w:div w:id="4317822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9664E-9E13-4EBD-8CAD-9E4650C7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2721</Words>
  <Characters>15515</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Name</cp:lastModifiedBy>
  <cp:revision>2</cp:revision>
  <cp:lastPrinted>2019-08-08T13:59:00Z</cp:lastPrinted>
  <dcterms:created xsi:type="dcterms:W3CDTF">2020-01-02T11:00:00Z</dcterms:created>
  <dcterms:modified xsi:type="dcterms:W3CDTF">2020-01-02T11:00:00Z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