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Ind w:w="-414" w:type="dxa"/>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971BA8">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C758F9" w:rsidRPr="00C758F9">
              <w:rPr>
                <w:rFonts w:asciiTheme="minorHAnsi" w:hAnsiTheme="minorHAnsi" w:cstheme="minorHAnsi"/>
                <w:b/>
                <w:iCs/>
                <w:color w:val="FFFFFF" w:themeColor="background1"/>
                <w:sz w:val="24"/>
              </w:rPr>
              <w:t>technical support to deliver the UK’s modelling contribution to the PRISME 3 Analytical Working Group (AWG) as part of the PRISME 3 experimental programme.</w:t>
            </w:r>
          </w:p>
        </w:tc>
      </w:tr>
      <w:tr w:rsidR="00AF4C0F" w:rsidTr="00971BA8">
        <w:trPr>
          <w:jc w:val="center"/>
        </w:trPr>
        <w:tc>
          <w:tcPr>
            <w:tcW w:w="9709" w:type="dxa"/>
          </w:tcPr>
          <w:p w:rsidR="00AF4C0F" w:rsidRPr="002C62C2" w:rsidRDefault="00AF4C0F" w:rsidP="006B3B0D">
            <w:pPr>
              <w:pStyle w:val="Style2"/>
            </w:pPr>
            <w:r w:rsidRPr="002C62C2">
              <w:t>Background to the project</w:t>
            </w:r>
          </w:p>
          <w:p w:rsidR="00CC558F" w:rsidRDefault="00CC558F" w:rsidP="00CC558F">
            <w:pPr>
              <w:pStyle w:val="TSNumberedParagraph11"/>
              <w:rPr>
                <w:rFonts w:asciiTheme="minorHAnsi" w:hAnsiTheme="minorHAnsi" w:cstheme="minorHAnsi"/>
              </w:rPr>
            </w:pPr>
            <w:r w:rsidRPr="0058584B">
              <w:rPr>
                <w:rFonts w:asciiTheme="minorHAnsi" w:hAnsiTheme="minorHAnsi" w:cstheme="minorHAnsi"/>
              </w:rPr>
              <w:t>PRISME 3 is an experimental research programme designed to investigate fire behaviour in mechanically ventilated conditions representative of nuclear operational facilities. The PRISME 3 programme follows on from the findings from the previous two PRISME experimental campaigns. The focus of PRISME 3 is on multi-compartment fires in under-ventilated conditions with ventilation systems and real fire sources.</w:t>
            </w:r>
          </w:p>
          <w:p w:rsidR="00CC558F" w:rsidRDefault="00CC558F" w:rsidP="00CC558F">
            <w:pPr>
              <w:pStyle w:val="TSNumberedParagraph11"/>
              <w:rPr>
                <w:rFonts w:asciiTheme="minorHAnsi" w:hAnsiTheme="minorHAnsi" w:cstheme="minorHAnsi"/>
              </w:rPr>
            </w:pPr>
            <w:r w:rsidRPr="0058584B">
              <w:rPr>
                <w:rFonts w:asciiTheme="minorHAnsi" w:hAnsiTheme="minorHAnsi" w:cstheme="minorHAnsi"/>
              </w:rPr>
              <w:t>As per previous</w:t>
            </w:r>
            <w:r w:rsidR="008C04B7">
              <w:rPr>
                <w:rFonts w:asciiTheme="minorHAnsi" w:hAnsiTheme="minorHAnsi" w:cstheme="minorHAnsi"/>
              </w:rPr>
              <w:t xml:space="preserve"> phases of</w:t>
            </w:r>
            <w:r w:rsidRPr="0058584B">
              <w:rPr>
                <w:rFonts w:asciiTheme="minorHAnsi" w:hAnsiTheme="minorHAnsi" w:cstheme="minorHAnsi"/>
              </w:rPr>
              <w:t xml:space="preserve"> the PRISME programmes a benchmark fire</w:t>
            </w:r>
            <w:r>
              <w:rPr>
                <w:rFonts w:asciiTheme="minorHAnsi" w:hAnsiTheme="minorHAnsi" w:cstheme="minorHAnsi"/>
              </w:rPr>
              <w:t xml:space="preserve"> modelling programme will run</w:t>
            </w:r>
            <w:r w:rsidRPr="0058584B">
              <w:rPr>
                <w:rFonts w:asciiTheme="minorHAnsi" w:hAnsiTheme="minorHAnsi" w:cstheme="minorHAnsi"/>
              </w:rPr>
              <w:t xml:space="preserve"> in parallel to the experimental programme</w:t>
            </w:r>
            <w:r w:rsidR="008C04B7">
              <w:rPr>
                <w:rFonts w:asciiTheme="minorHAnsi" w:hAnsiTheme="minorHAnsi" w:cstheme="minorHAnsi"/>
              </w:rPr>
              <w:t xml:space="preserve"> of PRISME 3</w:t>
            </w:r>
            <w:r w:rsidRPr="0058584B">
              <w:rPr>
                <w:rFonts w:asciiTheme="minorHAnsi" w:hAnsiTheme="minorHAnsi" w:cstheme="minorHAnsi"/>
              </w:rPr>
              <w:t>.</w:t>
            </w:r>
            <w:r>
              <w:rPr>
                <w:rFonts w:asciiTheme="minorHAnsi" w:hAnsiTheme="minorHAnsi" w:cstheme="minorHAnsi"/>
              </w:rPr>
              <w:t xml:space="preserve"> This programme is managed through the Analytical Working Group (AWG).</w:t>
            </w:r>
            <w:r w:rsidRPr="0058584B">
              <w:rPr>
                <w:rFonts w:asciiTheme="minorHAnsi" w:hAnsiTheme="minorHAnsi" w:cstheme="minorHAnsi"/>
              </w:rPr>
              <w:t xml:space="preserve"> The purpose of which is to improve and</w:t>
            </w:r>
            <w:r>
              <w:rPr>
                <w:rFonts w:asciiTheme="minorHAnsi" w:hAnsiTheme="minorHAnsi" w:cstheme="minorHAnsi"/>
              </w:rPr>
              <w:t xml:space="preserve"> identify important aspects for</w:t>
            </w:r>
            <w:r w:rsidRPr="0058584B">
              <w:rPr>
                <w:rFonts w:asciiTheme="minorHAnsi" w:hAnsiTheme="minorHAnsi" w:cstheme="minorHAnsi"/>
              </w:rPr>
              <w:t xml:space="preserve"> defining and running complex fire scenario simulations. </w:t>
            </w:r>
          </w:p>
          <w:p w:rsidR="00CC558F" w:rsidRDefault="00CC558F" w:rsidP="00CC558F">
            <w:pPr>
              <w:pStyle w:val="TSNumberedParagraph11"/>
              <w:rPr>
                <w:rFonts w:asciiTheme="minorHAnsi" w:hAnsiTheme="minorHAnsi" w:cstheme="minorHAnsi"/>
              </w:rPr>
            </w:pPr>
            <w:r w:rsidRPr="0058584B">
              <w:rPr>
                <w:rFonts w:asciiTheme="minorHAnsi" w:hAnsiTheme="minorHAnsi" w:cstheme="minorHAnsi"/>
              </w:rPr>
              <w:t>A key aspect of this is the recognition of fire model limitations and data validity, when compared to real fire scenarios.</w:t>
            </w:r>
            <w:r>
              <w:rPr>
                <w:rFonts w:asciiTheme="minorHAnsi" w:hAnsiTheme="minorHAnsi" w:cstheme="minorHAnsi"/>
              </w:rPr>
              <w:t xml:space="preserve"> </w:t>
            </w:r>
            <w:r w:rsidRPr="00CC558F">
              <w:rPr>
                <w:rFonts w:asciiTheme="minorHAnsi" w:hAnsiTheme="minorHAnsi" w:cstheme="minorHAnsi"/>
              </w:rPr>
              <w:t>Fire consequence modelling is a subject area where shortfalls have been identified. These shortfalls range from the use of inappropriate assessment methods, use of codes outside of validated ranges and the lack of a substantiated combustible inventory</w:t>
            </w:r>
            <w:r>
              <w:rPr>
                <w:rFonts w:asciiTheme="minorHAnsi" w:hAnsiTheme="minorHAnsi" w:cstheme="minorHAnsi"/>
              </w:rPr>
              <w:t>.</w:t>
            </w:r>
          </w:p>
          <w:p w:rsidR="00CC558F" w:rsidRPr="00CC558F" w:rsidRDefault="00CC558F" w:rsidP="00CC558F">
            <w:pPr>
              <w:pStyle w:val="TSNumberedParagraph11"/>
              <w:rPr>
                <w:rFonts w:asciiTheme="minorHAnsi" w:hAnsiTheme="minorHAnsi" w:cstheme="minorHAnsi"/>
              </w:rPr>
            </w:pPr>
            <w:r w:rsidRPr="00CC558F">
              <w:rPr>
                <w:rFonts w:asciiTheme="minorHAnsi" w:hAnsiTheme="minorHAnsi" w:cstheme="minorHAnsi"/>
              </w:rPr>
              <w:t>In many specialist areas of the nuclear industry computational fluid dynamics (</w:t>
            </w:r>
            <w:r>
              <w:rPr>
                <w:rFonts w:asciiTheme="minorHAnsi" w:hAnsiTheme="minorHAnsi" w:cstheme="minorHAnsi"/>
              </w:rPr>
              <w:t>CFD) modelling is increasingly being</w:t>
            </w:r>
            <w:r w:rsidRPr="00CC558F">
              <w:rPr>
                <w:rFonts w:asciiTheme="minorHAnsi" w:hAnsiTheme="minorHAnsi" w:cstheme="minorHAnsi"/>
              </w:rPr>
              <w:t xml:space="preserve"> used, and this approach is increasingly being adopted for complex fire analysis</w:t>
            </w:r>
            <w:r>
              <w:rPr>
                <w:rFonts w:asciiTheme="minorHAnsi" w:hAnsiTheme="minorHAnsi" w:cstheme="minorHAnsi"/>
              </w:rPr>
              <w:t xml:space="preserve"> which pushes current validated ranges.</w:t>
            </w:r>
            <w:r w:rsidRPr="00CC558F">
              <w:rPr>
                <w:rFonts w:asciiTheme="minorHAnsi" w:hAnsiTheme="minorHAnsi" w:cstheme="minorHAnsi"/>
              </w:rPr>
              <w:t xml:space="preserve"> </w:t>
            </w:r>
            <w:r w:rsidR="008C04B7">
              <w:rPr>
                <w:rFonts w:asciiTheme="minorHAnsi" w:hAnsiTheme="minorHAnsi" w:cstheme="minorHAnsi"/>
              </w:rPr>
              <w:t>The AWG has carried out some work with simpler zone models, but this has shown limitations with these approaches; and the analytical work programme going forward is strongly focussed towards CFD modelling.</w:t>
            </w:r>
          </w:p>
          <w:p w:rsidR="00CC558F" w:rsidRDefault="00CC558F" w:rsidP="00CC558F">
            <w:pPr>
              <w:pStyle w:val="TSNumberedParagraph11"/>
              <w:rPr>
                <w:rFonts w:asciiTheme="minorHAnsi" w:hAnsiTheme="minorHAnsi" w:cstheme="minorHAnsi"/>
              </w:rPr>
            </w:pPr>
            <w:r w:rsidRPr="00CC558F">
              <w:rPr>
                <w:rFonts w:asciiTheme="minorHAnsi" w:hAnsiTheme="minorHAnsi" w:cstheme="minorHAnsi"/>
              </w:rPr>
              <w:t>It is important that both the licensee</w:t>
            </w:r>
            <w:r w:rsidR="008C04B7">
              <w:rPr>
                <w:rFonts w:asciiTheme="minorHAnsi" w:hAnsiTheme="minorHAnsi" w:cstheme="minorHAnsi"/>
              </w:rPr>
              <w:t>s</w:t>
            </w:r>
            <w:r w:rsidRPr="00CC558F">
              <w:rPr>
                <w:rFonts w:asciiTheme="minorHAnsi" w:hAnsiTheme="minorHAnsi" w:cstheme="minorHAnsi"/>
              </w:rPr>
              <w:t xml:space="preserve"> </w:t>
            </w:r>
            <w:r w:rsidR="008C04B7" w:rsidRPr="00CC558F">
              <w:rPr>
                <w:rFonts w:asciiTheme="minorHAnsi" w:hAnsiTheme="minorHAnsi" w:cstheme="minorHAnsi"/>
              </w:rPr>
              <w:t xml:space="preserve">and </w:t>
            </w:r>
            <w:r w:rsidR="008C04B7">
              <w:rPr>
                <w:rFonts w:asciiTheme="minorHAnsi" w:hAnsiTheme="minorHAnsi" w:cstheme="minorHAnsi"/>
              </w:rPr>
              <w:t xml:space="preserve">the </w:t>
            </w:r>
            <w:r w:rsidR="008C04B7" w:rsidRPr="00CC558F">
              <w:rPr>
                <w:rFonts w:asciiTheme="minorHAnsi" w:hAnsiTheme="minorHAnsi" w:cstheme="minorHAnsi"/>
              </w:rPr>
              <w:t>regulator</w:t>
            </w:r>
            <w:r w:rsidR="008C04B7">
              <w:rPr>
                <w:rFonts w:asciiTheme="minorHAnsi" w:hAnsiTheme="minorHAnsi" w:cstheme="minorHAnsi"/>
              </w:rPr>
              <w:t>s</w:t>
            </w:r>
            <w:r w:rsidR="008C04B7" w:rsidRPr="00CC558F">
              <w:rPr>
                <w:rFonts w:asciiTheme="minorHAnsi" w:hAnsiTheme="minorHAnsi" w:cstheme="minorHAnsi"/>
              </w:rPr>
              <w:t xml:space="preserve"> </w:t>
            </w:r>
            <w:r w:rsidRPr="00CC558F">
              <w:rPr>
                <w:rFonts w:asciiTheme="minorHAnsi" w:hAnsiTheme="minorHAnsi" w:cstheme="minorHAnsi"/>
              </w:rPr>
              <w:t>hav</w:t>
            </w:r>
            <w:r>
              <w:rPr>
                <w:rFonts w:asciiTheme="minorHAnsi" w:hAnsiTheme="minorHAnsi" w:cstheme="minorHAnsi"/>
              </w:rPr>
              <w:t>e confidence in the methods adopted</w:t>
            </w:r>
            <w:r w:rsidRPr="00CC558F">
              <w:rPr>
                <w:rFonts w:asciiTheme="minorHAnsi" w:hAnsiTheme="minorHAnsi" w:cstheme="minorHAnsi"/>
              </w:rPr>
              <w:t>. This requires evidence that the tools can predict fire behaviour through validation. The PRISME 3 benchmark modelling programme presents an opportunity to do this with large scale fire tests that are more representative of real life scenarios than many of the current data sets currently used to underpin modern models.</w:t>
            </w:r>
          </w:p>
          <w:p w:rsidR="00C758F9" w:rsidRDefault="0058584B" w:rsidP="006B3B0D">
            <w:pPr>
              <w:pStyle w:val="Style1"/>
              <w:rPr>
                <w:rFonts w:cstheme="minorHAnsi"/>
              </w:rPr>
            </w:pPr>
            <w:r w:rsidRPr="0058584B">
              <w:t xml:space="preserve">A requirement exists for a technical support contractor (TSC) to deliver alongside ONR the UK’s modelling contribution to the PRISME 3 AWG. The TSC will </w:t>
            </w:r>
            <w:r w:rsidR="008C04B7">
              <w:t xml:space="preserve">both </w:t>
            </w:r>
            <w:r w:rsidRPr="0058584B">
              <w:t xml:space="preserve">provide </w:t>
            </w:r>
            <w:r w:rsidR="00C758F9">
              <w:t xml:space="preserve">independent </w:t>
            </w:r>
            <w:r w:rsidRPr="0058584B">
              <w:t xml:space="preserve">specialist modelling skills to undertake the </w:t>
            </w:r>
            <w:r w:rsidR="009B07E8">
              <w:t xml:space="preserve">some of the </w:t>
            </w:r>
            <w:r w:rsidRPr="0058584B">
              <w:t>benchmark exercises</w:t>
            </w:r>
            <w:r w:rsidR="008C04B7">
              <w:t>,</w:t>
            </w:r>
            <w:r w:rsidRPr="0058584B">
              <w:t xml:space="preserve"> and </w:t>
            </w:r>
            <w:r w:rsidR="008C04B7">
              <w:t xml:space="preserve">also </w:t>
            </w:r>
            <w:r w:rsidRPr="0058584B">
              <w:t>facilitate in the distribution of key outputs of this work across the UK nuclear industry</w:t>
            </w:r>
            <w:r w:rsidR="008C04B7">
              <w:t xml:space="preserve"> so that other parties can also engage in the learning from </w:t>
            </w:r>
            <w:r w:rsidR="009B07E8">
              <w:t>PRISME and utilise the outputs within their own additional validation exercises</w:t>
            </w:r>
            <w:r w:rsidRPr="0058584B">
              <w:t>.</w:t>
            </w:r>
            <w:r w:rsidR="00C758F9" w:rsidRPr="0058584B">
              <w:rPr>
                <w:rFonts w:cstheme="minorHAnsi"/>
              </w:rPr>
              <w:t xml:space="preserve"> This requirement is based on the PRISME 3 business case (TRIM 2017/294219), that highlights the requirement </w:t>
            </w:r>
            <w:r w:rsidR="00C758F9">
              <w:rPr>
                <w:rFonts w:cstheme="minorHAnsi"/>
              </w:rPr>
              <w:t>for a TSC</w:t>
            </w:r>
            <w:r w:rsidR="00C758F9" w:rsidRPr="0058584B">
              <w:rPr>
                <w:rFonts w:cstheme="minorHAnsi"/>
              </w:rPr>
              <w:t xml:space="preserve"> to run in parallel with the main PRISME 3 experimental programme.</w:t>
            </w:r>
          </w:p>
          <w:p w:rsidR="002C62C2" w:rsidRPr="002C62C2" w:rsidRDefault="00C758F9" w:rsidP="00C758F9">
            <w:pPr>
              <w:pStyle w:val="TSNumberedParagraph11"/>
              <w:rPr>
                <w:rFonts w:asciiTheme="minorHAnsi" w:hAnsiTheme="minorHAnsi" w:cstheme="minorHAnsi"/>
              </w:rPr>
            </w:pPr>
            <w:r w:rsidRPr="00C758F9">
              <w:rPr>
                <w:rFonts w:asciiTheme="minorHAnsi" w:hAnsiTheme="minorHAnsi" w:cstheme="minorHAnsi"/>
              </w:rPr>
              <w:t>It shoul</w:t>
            </w:r>
            <w:r>
              <w:rPr>
                <w:rFonts w:asciiTheme="minorHAnsi" w:hAnsiTheme="minorHAnsi" w:cstheme="minorHAnsi"/>
              </w:rPr>
              <w:t>d be noted that participation in</w:t>
            </w:r>
            <w:r w:rsidRPr="00C758F9">
              <w:rPr>
                <w:rFonts w:asciiTheme="minorHAnsi" w:hAnsiTheme="minorHAnsi" w:cstheme="minorHAnsi"/>
              </w:rPr>
              <w:t xml:space="preserve"> this work will</w:t>
            </w:r>
            <w:r>
              <w:rPr>
                <w:rFonts w:asciiTheme="minorHAnsi" w:hAnsiTheme="minorHAnsi" w:cstheme="minorHAnsi"/>
              </w:rPr>
              <w:t xml:space="preserve"> be conducted </w:t>
            </w:r>
            <w:r w:rsidRPr="00C758F9">
              <w:rPr>
                <w:rFonts w:asciiTheme="minorHAnsi" w:hAnsiTheme="minorHAnsi" w:cstheme="minorHAnsi"/>
              </w:rPr>
              <w:t>under a non-disclosure agreement</w:t>
            </w:r>
            <w:r>
              <w:rPr>
                <w:rFonts w:asciiTheme="minorHAnsi" w:hAnsiTheme="minorHAnsi" w:cstheme="minorHAnsi"/>
              </w:rPr>
              <w:t>.</w:t>
            </w:r>
          </w:p>
        </w:tc>
      </w:tr>
      <w:tr w:rsidR="00AF4C0F" w:rsidTr="00971BA8">
        <w:trPr>
          <w:jc w:val="center"/>
        </w:trPr>
        <w:tc>
          <w:tcPr>
            <w:tcW w:w="9709" w:type="dxa"/>
          </w:tcPr>
          <w:p w:rsidR="00AF4C0F" w:rsidRPr="006B3B0D" w:rsidRDefault="00AF4C0F" w:rsidP="006B3B0D">
            <w:pPr>
              <w:pStyle w:val="Style2"/>
            </w:pPr>
            <w:r w:rsidRPr="006B3B0D">
              <w:t>SCOPE OF THE SERVICES REQUIRED</w:t>
            </w:r>
          </w:p>
          <w:p w:rsidR="00C758F9" w:rsidRPr="006B3B0D" w:rsidRDefault="00C758F9" w:rsidP="006B3B0D">
            <w:pPr>
              <w:pStyle w:val="Style1"/>
            </w:pPr>
            <w:r w:rsidRPr="006B3B0D">
              <w:t xml:space="preserve">There are three work packages that define the scope of this work, these packages are not </w:t>
            </w:r>
            <w:r w:rsidRPr="006B3B0D">
              <w:lastRenderedPageBreak/>
              <w:t>sequential and will need to be managed concurrently.</w:t>
            </w:r>
          </w:p>
          <w:p w:rsidR="00C758F9" w:rsidRPr="00214BE8" w:rsidRDefault="00C758F9" w:rsidP="00214BE8">
            <w:pPr>
              <w:pStyle w:val="TSBullet1Square"/>
              <w:rPr>
                <w:rFonts w:asciiTheme="minorHAnsi" w:hAnsiTheme="minorHAnsi"/>
              </w:rPr>
            </w:pPr>
            <w:r w:rsidRPr="00214BE8">
              <w:rPr>
                <w:rFonts w:asciiTheme="minorHAnsi" w:hAnsiTheme="minorHAnsi"/>
              </w:rPr>
              <w:t>Work package 1 – Benchmark Modelling</w:t>
            </w:r>
          </w:p>
          <w:p w:rsidR="00C758F9" w:rsidRPr="00214BE8" w:rsidRDefault="00C758F9" w:rsidP="00214BE8">
            <w:pPr>
              <w:pStyle w:val="TSBullet1Square"/>
              <w:rPr>
                <w:rFonts w:asciiTheme="minorHAnsi" w:hAnsiTheme="minorHAnsi"/>
              </w:rPr>
            </w:pPr>
            <w:r w:rsidRPr="00214BE8">
              <w:rPr>
                <w:rFonts w:asciiTheme="minorHAnsi" w:hAnsiTheme="minorHAnsi"/>
              </w:rPr>
              <w:t>Work package 2 – Industry Co-ordination</w:t>
            </w:r>
          </w:p>
          <w:p w:rsidR="00C758F9" w:rsidRPr="00214BE8" w:rsidRDefault="00C758F9" w:rsidP="00214BE8">
            <w:pPr>
              <w:pStyle w:val="TSBullet1Square"/>
              <w:rPr>
                <w:rFonts w:asciiTheme="minorHAnsi" w:hAnsiTheme="minorHAnsi"/>
              </w:rPr>
            </w:pPr>
            <w:r w:rsidRPr="00214BE8">
              <w:rPr>
                <w:rFonts w:asciiTheme="minorHAnsi" w:hAnsiTheme="minorHAnsi"/>
              </w:rPr>
              <w:t>Work package 3 – Knowledge Management</w:t>
            </w:r>
          </w:p>
          <w:p w:rsidR="00C758F9" w:rsidRPr="007426F8" w:rsidRDefault="00C758F9" w:rsidP="00C758F9">
            <w:pPr>
              <w:rPr>
                <w:rFonts w:asciiTheme="minorHAnsi" w:hAnsiTheme="minorHAnsi" w:cs="Arial"/>
                <w:b/>
                <w:u w:val="single"/>
              </w:rPr>
            </w:pPr>
            <w:r w:rsidRPr="007426F8">
              <w:rPr>
                <w:rFonts w:asciiTheme="minorHAnsi" w:hAnsiTheme="minorHAnsi" w:cs="Arial"/>
                <w:b/>
                <w:u w:val="single"/>
              </w:rPr>
              <w:t>Work package 1: Benchmark Modelling</w:t>
            </w:r>
          </w:p>
          <w:p w:rsidR="007426F8" w:rsidRPr="00DD08F1" w:rsidRDefault="007426F8" w:rsidP="00C758F9">
            <w:pPr>
              <w:rPr>
                <w:rFonts w:cs="Arial"/>
                <w:u w:val="single"/>
              </w:rPr>
            </w:pPr>
          </w:p>
          <w:p w:rsidR="007426F8" w:rsidRPr="006B3B0D" w:rsidRDefault="007426F8" w:rsidP="006B3B0D">
            <w:pPr>
              <w:pStyle w:val="Style1"/>
            </w:pPr>
            <w:r w:rsidRPr="006B3B0D">
              <w:t xml:space="preserve">To conduct and complete the three benchmark exercises in line with UK RGP (to be agreed as part of the industry co-ordination work) and as defined by the AWG. </w:t>
            </w:r>
          </w:p>
          <w:p w:rsidR="007426F8" w:rsidRPr="006B3B0D" w:rsidRDefault="007426F8" w:rsidP="006B3B0D">
            <w:pPr>
              <w:pStyle w:val="Style1"/>
            </w:pPr>
            <w:r w:rsidRPr="006B3B0D">
              <w:t>The benchmark exercises are comprised of three steps. For all the three steps agreed data inputs will be provided by the AWG as well as the requirement for agreed modelling results in the format prescribed by the group. The</w:t>
            </w:r>
            <w:r w:rsidR="00862C5D">
              <w:t xml:space="preserve"> purpose of this work is to provide the PRISME 3 AWG </w:t>
            </w:r>
            <w:r w:rsidR="00DC36BF">
              <w:t xml:space="preserve">with </w:t>
            </w:r>
            <w:r w:rsidR="00862C5D">
              <w:t>an overview of the impact of computer model behaviour and data inputs to</w:t>
            </w:r>
            <w:r w:rsidRPr="006B3B0D">
              <w:t xml:space="preserve"> understand the numerical </w:t>
            </w:r>
            <w:r w:rsidR="00DC36BF" w:rsidRPr="006B3B0D">
              <w:t>vers</w:t>
            </w:r>
            <w:r w:rsidR="00DC36BF">
              <w:t>u</w:t>
            </w:r>
            <w:r w:rsidR="00DC36BF" w:rsidRPr="006B3B0D">
              <w:t xml:space="preserve">s </w:t>
            </w:r>
            <w:r w:rsidRPr="006B3B0D">
              <w:t>experimental results (error estimation) and assessment of the relative behaviour of numerical results (behaviour estimation). Analysis and comparison of all the modelling outputs from each of the partners will be manged by the AWG (IRSN).</w:t>
            </w:r>
          </w:p>
          <w:p w:rsidR="00C758F9" w:rsidRPr="006B3B0D" w:rsidRDefault="007426F8" w:rsidP="006B3B0D">
            <w:pPr>
              <w:pStyle w:val="Style1"/>
            </w:pPr>
            <w:r w:rsidRPr="006B3B0D">
              <w:t>It is recognised that there are numerous fire modelling tools available to the UK nuclear industry. It is expected that the modelling tools proposed by the TSC are adequately representative to current UK practices and available to all UK licensees. The main purpose of this work will be to share exploitable knowledge in fire modelling across all UK Licensees and relevant supporting organisations; therefore the utilisation of in-house bespoke codes should be avoided, unless can be freely shared to all UK licensees and relevant supporting organisations.</w:t>
            </w:r>
            <w:r w:rsidR="00C43ED4">
              <w:t xml:space="preserve"> The modelling approach should be discussed with and agreed with ONR.</w:t>
            </w:r>
          </w:p>
          <w:p w:rsidR="007426F8" w:rsidRPr="006B3B0D" w:rsidRDefault="00862C5D" w:rsidP="006B3B0D">
            <w:pPr>
              <w:pStyle w:val="TSNumberedParagraph11"/>
              <w:numPr>
                <w:ilvl w:val="0"/>
                <w:numId w:val="0"/>
              </w:numPr>
              <w:ind w:left="720"/>
              <w:rPr>
                <w:rFonts w:asciiTheme="minorHAnsi" w:hAnsiTheme="minorHAnsi"/>
                <w:b/>
              </w:rPr>
            </w:pPr>
            <w:r>
              <w:rPr>
                <w:rFonts w:asciiTheme="minorHAnsi" w:hAnsiTheme="minorHAnsi"/>
                <w:b/>
              </w:rPr>
              <w:t xml:space="preserve">Step </w:t>
            </w:r>
            <w:r w:rsidR="006B3B0D">
              <w:rPr>
                <w:rFonts w:asciiTheme="minorHAnsi" w:hAnsiTheme="minorHAnsi"/>
                <w:b/>
              </w:rPr>
              <w:t xml:space="preserve"> </w:t>
            </w:r>
            <w:r w:rsidR="007426F8" w:rsidRPr="006B3B0D">
              <w:rPr>
                <w:rFonts w:asciiTheme="minorHAnsi" w:hAnsiTheme="minorHAnsi"/>
                <w:b/>
              </w:rPr>
              <w:t xml:space="preserve">1: To be completed by </w:t>
            </w:r>
            <w:r w:rsidR="00DC36BF">
              <w:rPr>
                <w:rFonts w:asciiTheme="minorHAnsi" w:hAnsiTheme="minorHAnsi"/>
                <w:b/>
              </w:rPr>
              <w:t xml:space="preserve">October </w:t>
            </w:r>
            <w:r w:rsidR="007426F8" w:rsidRPr="006B3B0D">
              <w:rPr>
                <w:rFonts w:asciiTheme="minorHAnsi" w:hAnsiTheme="minorHAnsi"/>
                <w:b/>
              </w:rPr>
              <w:t>2019</w:t>
            </w:r>
          </w:p>
          <w:p w:rsidR="00C758F9" w:rsidRPr="006B3B0D" w:rsidRDefault="006B3B0D" w:rsidP="006B3B0D">
            <w:pPr>
              <w:pStyle w:val="Style1"/>
            </w:pPr>
            <w:r>
              <w:t>Exercise</w:t>
            </w:r>
            <w:r w:rsidR="007426F8" w:rsidRPr="006B3B0D">
              <w:t xml:space="preserve"> 1 of this work is classed as the calibration phase. The goal of this stage is to calibrate the fire modelling of each AWG participant by modelling a cable fire scenario (CFS) from the PRISME 2 experimental programme. This will be an open modelling exercise using the data obtained through the experiments. It also should be noted a request for the FLASH-CAT model is to be utilised to obtain input HRR data.</w:t>
            </w:r>
            <w:r w:rsidR="00DC36BF">
              <w:t xml:space="preserve"> (FLASH</w:t>
            </w:r>
            <w:r w:rsidR="00C43ED4">
              <w:t>-CAT is a</w:t>
            </w:r>
            <w:r w:rsidR="00DC36BF">
              <w:t xml:space="preserve"> </w:t>
            </w:r>
            <w:r w:rsidR="00C43ED4">
              <w:t xml:space="preserve">free-use </w:t>
            </w:r>
            <w:r w:rsidR="00DC36BF">
              <w:t>USNRC empirical model for fire spread between cable trays based upon US experiments - NUREG-7010 Vol 1). Some countries have already started this step, and early progress will help set up the step2 work.</w:t>
            </w:r>
          </w:p>
          <w:p w:rsidR="007426F8" w:rsidRPr="006B3B0D" w:rsidRDefault="00862C5D" w:rsidP="006B3B0D">
            <w:pPr>
              <w:pStyle w:val="TSNumberedParagraph11"/>
              <w:numPr>
                <w:ilvl w:val="0"/>
                <w:numId w:val="0"/>
              </w:numPr>
              <w:ind w:left="720"/>
              <w:rPr>
                <w:rFonts w:asciiTheme="minorHAnsi" w:hAnsiTheme="minorHAnsi"/>
                <w:b/>
              </w:rPr>
            </w:pPr>
            <w:r>
              <w:rPr>
                <w:rFonts w:asciiTheme="minorHAnsi" w:hAnsiTheme="minorHAnsi"/>
                <w:b/>
              </w:rPr>
              <w:t xml:space="preserve">Step </w:t>
            </w:r>
            <w:r w:rsidR="007426F8" w:rsidRPr="006B3B0D">
              <w:rPr>
                <w:rFonts w:asciiTheme="minorHAnsi" w:hAnsiTheme="minorHAnsi"/>
                <w:b/>
              </w:rPr>
              <w:t xml:space="preserve"> 2:  To be completed by October 2019</w:t>
            </w:r>
          </w:p>
          <w:p w:rsidR="007426F8" w:rsidRPr="006B3B0D" w:rsidRDefault="006B3B0D" w:rsidP="006B3B0D">
            <w:pPr>
              <w:pStyle w:val="Style1"/>
            </w:pPr>
            <w:r>
              <w:t>Exercise</w:t>
            </w:r>
            <w:r w:rsidR="007426F8" w:rsidRPr="006B3B0D">
              <w:t xml:space="preserve"> 2 of this work is a blind simulation of a PRISME 3 cable fire scenario. The goal of this is stage is to predict the results of a cable fire scenario from the PRISME 3 project</w:t>
            </w:r>
            <w:r w:rsidR="00C43ED4">
              <w:t xml:space="preserve">, and the inputs will be based upon the step 1 output. </w:t>
            </w:r>
            <w:r w:rsidR="007426F8" w:rsidRPr="006B3B0D">
              <w:t>. The scenario inputs will be based on the experimental specification, which is yet to be finalised</w:t>
            </w:r>
            <w:r w:rsidR="00C43ED4">
              <w:t xml:space="preserve"> by the PRISME management board</w:t>
            </w:r>
            <w:r w:rsidR="007426F8" w:rsidRPr="006B3B0D">
              <w:t xml:space="preserve">. Once the experiment is completed the results will be made available to compare </w:t>
            </w:r>
            <w:r w:rsidR="00C43ED4">
              <w:t xml:space="preserve">with model </w:t>
            </w:r>
            <w:r w:rsidR="007426F8" w:rsidRPr="006B3B0D">
              <w:t xml:space="preserve">predictions </w:t>
            </w:r>
            <w:r w:rsidR="00C43ED4">
              <w:t xml:space="preserve">from all the different countries modelling teams </w:t>
            </w:r>
            <w:r w:rsidR="007426F8" w:rsidRPr="006B3B0D">
              <w:t>and identify model behaviour issues.</w:t>
            </w:r>
          </w:p>
          <w:p w:rsidR="007426F8" w:rsidRPr="006B3B0D" w:rsidRDefault="00862C5D" w:rsidP="006B3B0D">
            <w:pPr>
              <w:pStyle w:val="TSNumberedParagraph11"/>
              <w:numPr>
                <w:ilvl w:val="0"/>
                <w:numId w:val="0"/>
              </w:numPr>
              <w:ind w:left="720"/>
              <w:rPr>
                <w:rFonts w:asciiTheme="minorHAnsi" w:hAnsiTheme="minorHAnsi"/>
                <w:b/>
              </w:rPr>
            </w:pPr>
            <w:r>
              <w:rPr>
                <w:rFonts w:asciiTheme="minorHAnsi" w:hAnsiTheme="minorHAnsi"/>
                <w:b/>
              </w:rPr>
              <w:t xml:space="preserve">Step </w:t>
            </w:r>
            <w:r w:rsidR="007426F8" w:rsidRPr="006B3B0D">
              <w:rPr>
                <w:rFonts w:asciiTheme="minorHAnsi" w:hAnsiTheme="minorHAnsi"/>
                <w:b/>
              </w:rPr>
              <w:t xml:space="preserve"> 3:  To be completed by Nov 2020</w:t>
            </w:r>
          </w:p>
          <w:p w:rsidR="007426F8" w:rsidRPr="007426F8" w:rsidRDefault="006B3B0D" w:rsidP="006B3B0D">
            <w:pPr>
              <w:pStyle w:val="Style1"/>
            </w:pPr>
            <w:r>
              <w:t>Exercise</w:t>
            </w:r>
            <w:r w:rsidR="007426F8" w:rsidRPr="006B3B0D">
              <w:t xml:space="preserve"> 3 of this work is </w:t>
            </w:r>
            <w:r w:rsidR="00C43ED4">
              <w:t xml:space="preserve">both a deliberate attempt </w:t>
            </w:r>
            <w:r w:rsidR="007426F8" w:rsidRPr="006B3B0D">
              <w:t>to simulate a real fire event</w:t>
            </w:r>
            <w:r w:rsidR="00C43ED4">
              <w:t xml:space="preserve"> within the experimental facility, and to model this by the various analysis teams</w:t>
            </w:r>
            <w:r w:rsidR="007426F8" w:rsidRPr="006B3B0D">
              <w:t xml:space="preserve">. The fire event selected has been taken from the OECD </w:t>
            </w:r>
            <w:r w:rsidR="00C43ED4" w:rsidRPr="006B3B0D">
              <w:t xml:space="preserve">FIRE </w:t>
            </w:r>
            <w:r w:rsidR="007426F8" w:rsidRPr="006B3B0D">
              <w:t xml:space="preserve">data base. The intent is to try and predict/simulate a real fire event based on the learning from the previous modelling steps. To get a meaningful output of this work modelling objectives are yet to be derived </w:t>
            </w:r>
            <w:r w:rsidR="00C43ED4">
              <w:t xml:space="preserve">by the PRISME management board </w:t>
            </w:r>
            <w:r w:rsidR="007426F8" w:rsidRPr="006B3B0D">
              <w:t>to allow meaningful comparison between all participating parties</w:t>
            </w:r>
            <w:r w:rsidR="007426F8" w:rsidRPr="007426F8">
              <w:t xml:space="preserve">.  </w:t>
            </w:r>
          </w:p>
          <w:p w:rsidR="007426F8" w:rsidRPr="006B3B0D" w:rsidRDefault="007426F8" w:rsidP="006B3B0D">
            <w:pPr>
              <w:pStyle w:val="Style1"/>
            </w:pPr>
            <w:r w:rsidRPr="006B3B0D">
              <w:t xml:space="preserve">On the completion of each step it is required that a summary report will be produced outlining the </w:t>
            </w:r>
            <w:r w:rsidRPr="006B3B0D">
              <w:lastRenderedPageBreak/>
              <w:t>approach taken along with submission of the modelling results to the AWG in the required formats.</w:t>
            </w:r>
          </w:p>
          <w:p w:rsidR="007426F8" w:rsidRPr="007426F8" w:rsidRDefault="007426F8" w:rsidP="007426F8">
            <w:pPr>
              <w:rPr>
                <w:rFonts w:asciiTheme="minorHAnsi" w:hAnsiTheme="minorHAnsi" w:cs="Arial"/>
                <w:b/>
                <w:u w:val="single"/>
              </w:rPr>
            </w:pPr>
            <w:r w:rsidRPr="007426F8">
              <w:rPr>
                <w:rFonts w:asciiTheme="minorHAnsi" w:hAnsiTheme="minorHAnsi" w:cs="Arial"/>
                <w:b/>
                <w:u w:val="single"/>
              </w:rPr>
              <w:t>Work package 2: Industry Co-Ordination</w:t>
            </w:r>
          </w:p>
          <w:p w:rsidR="007426F8" w:rsidRDefault="007426F8" w:rsidP="007426F8">
            <w:pPr>
              <w:pStyle w:val="TSHeadingNumbered1"/>
              <w:numPr>
                <w:ilvl w:val="0"/>
                <w:numId w:val="0"/>
              </w:numPr>
            </w:pPr>
          </w:p>
          <w:p w:rsidR="007426F8" w:rsidRPr="006B3B0D" w:rsidRDefault="007426F8" w:rsidP="006B3B0D">
            <w:pPr>
              <w:pStyle w:val="Style1"/>
            </w:pPr>
            <w:r w:rsidRPr="006B3B0D">
              <w:t>To co-ordinate, in an independent capacity alongside ONR, engagement with industry partners to establish an agreed approach to the benchmark exercises and represent a UK approach.</w:t>
            </w:r>
            <w:r w:rsidR="006B3B0D" w:rsidRPr="006B3B0D">
              <w:t xml:space="preserve"> This will be delivered by:</w:t>
            </w:r>
          </w:p>
          <w:p w:rsidR="006B3B0D" w:rsidRPr="006B3B0D" w:rsidRDefault="006B3B0D" w:rsidP="006B3B0D">
            <w:pPr>
              <w:pStyle w:val="TSBullet1Square"/>
              <w:rPr>
                <w:rFonts w:asciiTheme="minorHAnsi" w:hAnsiTheme="minorHAnsi"/>
              </w:rPr>
            </w:pPr>
            <w:r w:rsidRPr="006B3B0D">
              <w:rPr>
                <w:rFonts w:asciiTheme="minorHAnsi" w:hAnsiTheme="minorHAnsi"/>
              </w:rPr>
              <w:t>Establishing an</w:t>
            </w:r>
            <w:r w:rsidR="00862C5D">
              <w:rPr>
                <w:rFonts w:asciiTheme="minorHAnsi" w:hAnsiTheme="minorHAnsi"/>
              </w:rPr>
              <w:t xml:space="preserve"> UK</w:t>
            </w:r>
            <w:r w:rsidRPr="006B3B0D">
              <w:rPr>
                <w:rFonts w:asciiTheme="minorHAnsi" w:hAnsiTheme="minorHAnsi"/>
              </w:rPr>
              <w:t xml:space="preserve"> industry working group representative of all UK license</w:t>
            </w:r>
            <w:r w:rsidR="001C7D21">
              <w:rPr>
                <w:rFonts w:asciiTheme="minorHAnsi" w:hAnsiTheme="minorHAnsi"/>
              </w:rPr>
              <w:t>e</w:t>
            </w:r>
            <w:r w:rsidRPr="006B3B0D">
              <w:rPr>
                <w:rFonts w:asciiTheme="minorHAnsi" w:hAnsiTheme="minorHAnsi"/>
              </w:rPr>
              <w:t>s, relevant UK technical support contractors and academia.</w:t>
            </w:r>
          </w:p>
          <w:p w:rsidR="006B3B0D" w:rsidRPr="006B3B0D" w:rsidRDefault="006B3B0D" w:rsidP="006B3B0D">
            <w:pPr>
              <w:pStyle w:val="TSBullet1Square"/>
              <w:rPr>
                <w:rFonts w:asciiTheme="minorHAnsi" w:hAnsiTheme="minorHAnsi"/>
              </w:rPr>
            </w:pPr>
            <w:r w:rsidRPr="006B3B0D">
              <w:rPr>
                <w:rFonts w:asciiTheme="minorHAnsi" w:hAnsiTheme="minorHAnsi"/>
              </w:rPr>
              <w:t xml:space="preserve">Management of the PRISME 3 non-disclosure agreement, ensuring all </w:t>
            </w:r>
            <w:r w:rsidR="009838A0">
              <w:rPr>
                <w:rFonts w:asciiTheme="minorHAnsi" w:hAnsiTheme="minorHAnsi"/>
              </w:rPr>
              <w:t xml:space="preserve">UK </w:t>
            </w:r>
            <w:r w:rsidRPr="006B3B0D">
              <w:rPr>
                <w:rFonts w:asciiTheme="minorHAnsi" w:hAnsiTheme="minorHAnsi"/>
              </w:rPr>
              <w:t xml:space="preserve">participants sign up to the agreement. </w:t>
            </w:r>
          </w:p>
          <w:p w:rsidR="006B3B0D" w:rsidRDefault="006B3B0D" w:rsidP="006B3B0D">
            <w:pPr>
              <w:pStyle w:val="TSBullet1Square"/>
              <w:rPr>
                <w:rFonts w:asciiTheme="minorHAnsi" w:hAnsiTheme="minorHAnsi"/>
              </w:rPr>
            </w:pPr>
            <w:r w:rsidRPr="006B3B0D">
              <w:rPr>
                <w:rFonts w:asciiTheme="minorHAnsi" w:hAnsiTheme="minorHAnsi"/>
              </w:rPr>
              <w:t>Management and co-ordination of this group and hold no less than 2 workshops per year</w:t>
            </w:r>
            <w:r w:rsidR="009838A0">
              <w:rPr>
                <w:rFonts w:asciiTheme="minorHAnsi" w:hAnsiTheme="minorHAnsi"/>
              </w:rPr>
              <w:t xml:space="preserve"> all interested UK stakeholders</w:t>
            </w:r>
            <w:r w:rsidRPr="006B3B0D">
              <w:rPr>
                <w:rFonts w:asciiTheme="minorHAnsi" w:hAnsiTheme="minorHAnsi"/>
              </w:rPr>
              <w:t>. The timing of which should be aligned with the AWG deliverables and PRISME 3 management board meetings (currently these meetings are scheduled twice in April/May and November.</w:t>
            </w:r>
            <w:r w:rsidR="006753F1">
              <w:rPr>
                <w:rFonts w:asciiTheme="minorHAnsi" w:hAnsiTheme="minorHAnsi"/>
              </w:rPr>
              <w:t xml:space="preserve"> Options and novel approaches should be presented to aid in cost effective and productive workshops and enabling maximum participation. </w:t>
            </w:r>
          </w:p>
          <w:p w:rsidR="00D15DFC" w:rsidRPr="006B3B0D" w:rsidRDefault="00D15DFC" w:rsidP="006B3B0D">
            <w:pPr>
              <w:pStyle w:val="TSBullet1Square"/>
              <w:rPr>
                <w:rFonts w:asciiTheme="minorHAnsi" w:hAnsiTheme="minorHAnsi"/>
              </w:rPr>
            </w:pPr>
            <w:r>
              <w:rPr>
                <w:rFonts w:asciiTheme="minorHAnsi" w:hAnsiTheme="minorHAnsi"/>
              </w:rPr>
              <w:t>It is expected that each workshop should be structured to focus on the key aspects required to deliver the modelling exercise.</w:t>
            </w:r>
          </w:p>
          <w:p w:rsidR="006B3B0D" w:rsidRPr="006B3B0D" w:rsidRDefault="006B3B0D" w:rsidP="006B3B0D">
            <w:pPr>
              <w:pStyle w:val="TSBullet1Square"/>
              <w:rPr>
                <w:rFonts w:asciiTheme="minorHAnsi" w:hAnsiTheme="minorHAnsi"/>
              </w:rPr>
            </w:pPr>
            <w:r w:rsidRPr="006B3B0D">
              <w:rPr>
                <w:rFonts w:asciiTheme="minorHAnsi" w:hAnsiTheme="minorHAnsi"/>
              </w:rPr>
              <w:t>Provide technical summary notes from the workshop meetings</w:t>
            </w:r>
            <w:r>
              <w:rPr>
                <w:rFonts w:asciiTheme="minorHAnsi" w:hAnsiTheme="minorHAnsi"/>
              </w:rPr>
              <w:t xml:space="preserve"> and distribute to all working group members</w:t>
            </w:r>
            <w:r w:rsidRPr="006B3B0D">
              <w:rPr>
                <w:rFonts w:asciiTheme="minorHAnsi" w:hAnsiTheme="minorHAnsi"/>
              </w:rPr>
              <w:t>.</w:t>
            </w:r>
          </w:p>
          <w:p w:rsidR="00214BE8" w:rsidRPr="00214BE8" w:rsidRDefault="00214BE8" w:rsidP="00214BE8">
            <w:pPr>
              <w:pStyle w:val="TSBullet1Square"/>
              <w:rPr>
                <w:rFonts w:asciiTheme="minorHAnsi" w:hAnsiTheme="minorHAnsi"/>
              </w:rPr>
            </w:pPr>
            <w:r w:rsidRPr="00214BE8">
              <w:rPr>
                <w:rFonts w:asciiTheme="minorHAnsi" w:hAnsiTheme="minorHAnsi"/>
              </w:rPr>
              <w:t>Share relevant media</w:t>
            </w:r>
            <w:r>
              <w:rPr>
                <w:rFonts w:asciiTheme="minorHAnsi" w:hAnsiTheme="minorHAnsi"/>
              </w:rPr>
              <w:t xml:space="preserve">, data and documents etc., </w:t>
            </w:r>
            <w:r w:rsidRPr="00214BE8">
              <w:rPr>
                <w:rFonts w:asciiTheme="minorHAnsi" w:hAnsiTheme="minorHAnsi"/>
              </w:rPr>
              <w:t>reporting best practice from UK indu</w:t>
            </w:r>
            <w:r>
              <w:rPr>
                <w:rFonts w:asciiTheme="minorHAnsi" w:hAnsiTheme="minorHAnsi"/>
              </w:rPr>
              <w:t>stry. It is envisaged that if possible additional modelling activities should be encouraged by the various participants in the working group</w:t>
            </w:r>
            <w:r w:rsidRPr="00214BE8">
              <w:rPr>
                <w:rFonts w:asciiTheme="minorHAnsi" w:hAnsiTheme="minorHAnsi"/>
              </w:rPr>
              <w:t xml:space="preserve"> to provide </w:t>
            </w:r>
            <w:r>
              <w:rPr>
                <w:rFonts w:asciiTheme="minorHAnsi" w:hAnsiTheme="minorHAnsi"/>
              </w:rPr>
              <w:t>additional modelling learning to share</w:t>
            </w:r>
            <w:r w:rsidRPr="00214BE8">
              <w:rPr>
                <w:rFonts w:asciiTheme="minorHAnsi" w:hAnsiTheme="minorHAnsi"/>
              </w:rPr>
              <w:t xml:space="preserve"> in addition to the </w:t>
            </w:r>
            <w:r>
              <w:rPr>
                <w:rFonts w:asciiTheme="minorHAnsi" w:hAnsiTheme="minorHAnsi"/>
              </w:rPr>
              <w:t xml:space="preserve">work planned for the </w:t>
            </w:r>
            <w:r w:rsidRPr="00214BE8">
              <w:rPr>
                <w:rFonts w:asciiTheme="minorHAnsi" w:hAnsiTheme="minorHAnsi"/>
              </w:rPr>
              <w:t xml:space="preserve">UK’s contribution. </w:t>
            </w:r>
          </w:p>
          <w:p w:rsidR="00214BE8" w:rsidRPr="007426F8" w:rsidRDefault="00214BE8" w:rsidP="00214BE8">
            <w:pPr>
              <w:rPr>
                <w:rFonts w:asciiTheme="minorHAnsi" w:hAnsiTheme="minorHAnsi" w:cs="Arial"/>
                <w:b/>
                <w:u w:val="single"/>
              </w:rPr>
            </w:pPr>
            <w:r>
              <w:rPr>
                <w:rFonts w:asciiTheme="minorHAnsi" w:hAnsiTheme="minorHAnsi" w:cs="Arial"/>
                <w:b/>
                <w:u w:val="single"/>
              </w:rPr>
              <w:t>Work package 3: Knowledge Management</w:t>
            </w:r>
          </w:p>
          <w:p w:rsidR="007426F8" w:rsidRDefault="007426F8" w:rsidP="00214BE8">
            <w:pPr>
              <w:pStyle w:val="TSBullet1Square"/>
              <w:numPr>
                <w:ilvl w:val="0"/>
                <w:numId w:val="0"/>
              </w:numPr>
            </w:pPr>
          </w:p>
          <w:p w:rsidR="00214BE8" w:rsidRDefault="00214BE8" w:rsidP="00214BE8">
            <w:pPr>
              <w:pStyle w:val="Style1"/>
            </w:pPr>
            <w:r>
              <w:t>To support ONR in sharing relevant good practice, PRISME 3 experimental results, the outputs of the modelling work and industry learning, a knowledge management strategy is to be adopted. To deliver this work we require:</w:t>
            </w:r>
          </w:p>
          <w:p w:rsidR="00214BE8" w:rsidRPr="00214BE8" w:rsidRDefault="00214BE8" w:rsidP="00214BE8">
            <w:pPr>
              <w:pStyle w:val="TSBullet1Square"/>
              <w:rPr>
                <w:rFonts w:asciiTheme="minorHAnsi" w:hAnsiTheme="minorHAnsi"/>
              </w:rPr>
            </w:pPr>
            <w:r w:rsidRPr="00214BE8">
              <w:rPr>
                <w:rFonts w:asciiTheme="minorHAnsi" w:hAnsiTheme="minorHAnsi"/>
              </w:rPr>
              <w:t xml:space="preserve">Provision of a means to share modelling data, reports, work shop summaries and programme progress, </w:t>
            </w:r>
            <w:r w:rsidR="009838A0" w:rsidRPr="00214BE8">
              <w:rPr>
                <w:rFonts w:asciiTheme="minorHAnsi" w:hAnsiTheme="minorHAnsi"/>
              </w:rPr>
              <w:t>etc.</w:t>
            </w:r>
            <w:r w:rsidRPr="00214BE8">
              <w:rPr>
                <w:rFonts w:asciiTheme="minorHAnsi" w:hAnsiTheme="minorHAnsi"/>
              </w:rPr>
              <w:t xml:space="preserve"> to all industry partners as and when required, for the Duration of the PRISME 3 project (2022), with options to maintain this capability after the programme has finished.</w:t>
            </w:r>
            <w:r w:rsidR="009838A0">
              <w:rPr>
                <w:rFonts w:asciiTheme="minorHAnsi" w:hAnsiTheme="minorHAnsi"/>
              </w:rPr>
              <w:t xml:space="preserve"> This is likely to be a web-based portal or equivalent and ONR will need to have administrative rights, as well as the contractor. Potential solutions need to be discussed and agreed with ONR.</w:t>
            </w:r>
          </w:p>
          <w:p w:rsidR="00214BE8" w:rsidRPr="00214BE8" w:rsidRDefault="00214BE8" w:rsidP="00214BE8">
            <w:pPr>
              <w:pStyle w:val="TSBullet1Square"/>
              <w:rPr>
                <w:rFonts w:asciiTheme="minorHAnsi" w:hAnsiTheme="minorHAnsi"/>
              </w:rPr>
            </w:pPr>
            <w:r w:rsidRPr="00214BE8">
              <w:rPr>
                <w:rFonts w:asciiTheme="minorHAnsi" w:hAnsiTheme="minorHAnsi"/>
              </w:rPr>
              <w:t>Produce a UK co-ordinated modelling report to document all the key learning points from the workshops and consolidation of findings from work package</w:t>
            </w:r>
            <w:r>
              <w:rPr>
                <w:rFonts w:asciiTheme="minorHAnsi" w:hAnsiTheme="minorHAnsi"/>
              </w:rPr>
              <w:t>s</w:t>
            </w:r>
            <w:r w:rsidRPr="00214BE8">
              <w:rPr>
                <w:rFonts w:asciiTheme="minorHAnsi" w:hAnsiTheme="minorHAnsi"/>
              </w:rPr>
              <w:t xml:space="preserve"> 1</w:t>
            </w:r>
            <w:r>
              <w:rPr>
                <w:rFonts w:asciiTheme="minorHAnsi" w:hAnsiTheme="minorHAnsi"/>
              </w:rPr>
              <w:t xml:space="preserve"> and 2</w:t>
            </w:r>
            <w:r w:rsidRPr="00214BE8">
              <w:rPr>
                <w:rFonts w:asciiTheme="minorHAnsi" w:hAnsiTheme="minorHAnsi"/>
              </w:rPr>
              <w:t>.</w:t>
            </w:r>
          </w:p>
          <w:p w:rsidR="00AF4C0F" w:rsidRPr="002C62C2" w:rsidRDefault="00AF4C0F" w:rsidP="00214BE8">
            <w:pPr>
              <w:tabs>
                <w:tab w:val="left" w:pos="0"/>
              </w:tabs>
              <w:jc w:val="both"/>
              <w:rPr>
                <w:rFonts w:asciiTheme="minorHAnsi" w:hAnsiTheme="minorHAnsi" w:cstheme="minorHAnsi"/>
                <w:iCs/>
                <w:sz w:val="20"/>
                <w:szCs w:val="20"/>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AF4C0F" w:rsidRDefault="00214BE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objectives for each of the three work packages as described above are:</w:t>
            </w:r>
          </w:p>
          <w:p w:rsidR="00D15DFC" w:rsidRDefault="00214BE8" w:rsidP="00214BE8">
            <w:pPr>
              <w:pStyle w:val="Style1"/>
            </w:pPr>
            <w:r>
              <w:t xml:space="preserve">Work Package 1: To deliver the UK’s results for the three modelling </w:t>
            </w:r>
            <w:proofErr w:type="gramStart"/>
            <w:r w:rsidR="00862C5D">
              <w:t xml:space="preserve">steps </w:t>
            </w:r>
            <w:r>
              <w:t xml:space="preserve"> as</w:t>
            </w:r>
            <w:proofErr w:type="gramEnd"/>
            <w:r>
              <w:t xml:space="preserve"> defined by the AWG reflecting current UK RGP as agreed in consultation with UK industry.</w:t>
            </w:r>
            <w:r w:rsidR="00D15DFC">
              <w:t xml:space="preserve"> A</w:t>
            </w:r>
            <w:r w:rsidR="00D15DFC" w:rsidRPr="006B3B0D">
              <w:t xml:space="preserve"> summary report will be produ</w:t>
            </w:r>
            <w:r w:rsidR="00D15DFC">
              <w:t xml:space="preserve">ced outlining the approach decisions taken for </w:t>
            </w:r>
            <w:r w:rsidR="00862C5D">
              <w:t xml:space="preserve">completing </w:t>
            </w:r>
            <w:r w:rsidR="00D15DFC">
              <w:t xml:space="preserve">each modelling </w:t>
            </w:r>
            <w:r w:rsidR="00862C5D">
              <w:t>step</w:t>
            </w:r>
            <w:r w:rsidR="00A93297">
              <w:t>.</w:t>
            </w:r>
            <w:r w:rsidR="007E7F08">
              <w:t xml:space="preserve"> This will need to be a contractor report produced for ONR, and should go through the contractor’s appropriate QA. ONR would expect to comment on a draft prior to issue.</w:t>
            </w:r>
          </w:p>
          <w:p w:rsidR="00D15DFC" w:rsidRDefault="00D15DFC" w:rsidP="00214BE8">
            <w:pPr>
              <w:pStyle w:val="Style1"/>
            </w:pPr>
            <w:r>
              <w:lastRenderedPageBreak/>
              <w:t>Work Package 2: To establish an industry fire modelling workshop, with two meetings held each year, obtain all parties signatures on the non-disclosure agreement, and produce a technical summary report for each workshop.</w:t>
            </w:r>
          </w:p>
          <w:p w:rsidR="00AF4C0F" w:rsidRPr="002C62C2" w:rsidRDefault="00D15DFC" w:rsidP="007E7F08">
            <w:pPr>
              <w:pStyle w:val="Style1"/>
              <w:rPr>
                <w:rFonts w:cstheme="minorHAnsi"/>
                <w:iCs/>
                <w:sz w:val="20"/>
                <w:szCs w:val="20"/>
              </w:rPr>
            </w:pPr>
            <w:r>
              <w:t>Work Package 3:  To provide a</w:t>
            </w:r>
            <w:r w:rsidR="007E7F08">
              <w:t>n appropriate</w:t>
            </w:r>
            <w:r w:rsidR="001C5C4D">
              <w:t xml:space="preserve"> </w:t>
            </w:r>
            <w:r>
              <w:t xml:space="preserve">solution to store, share and generate information that is readily accessible to the whole of the nuclear industry. Production of a final UK co-ordinated report to document all the </w:t>
            </w:r>
            <w:r w:rsidRPr="00214BE8">
              <w:t>key learning points from the workshops and consolidation of findings from work package</w:t>
            </w:r>
            <w:r>
              <w:t>s</w:t>
            </w:r>
            <w:r w:rsidRPr="00214BE8">
              <w:t xml:space="preserve"> 1</w:t>
            </w:r>
            <w:r>
              <w:t xml:space="preserve"> and 2.   </w:t>
            </w:r>
            <w:r w:rsidR="00214BE8">
              <w:t xml:space="preserve">  </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lastRenderedPageBreak/>
              <w:t>CONSTRAINTS</w:t>
            </w:r>
            <w:r w:rsidRPr="002C62C2">
              <w:rPr>
                <w:rFonts w:asciiTheme="minorHAnsi" w:hAnsiTheme="minorHAnsi" w:cstheme="minorHAnsi"/>
              </w:rPr>
              <w:t xml:space="preserve"> </w:t>
            </w:r>
          </w:p>
          <w:p w:rsidR="00D15DFC" w:rsidRDefault="00D15DFC" w:rsidP="00D15DFC">
            <w:pPr>
              <w:pStyle w:val="Style1"/>
            </w:pPr>
            <w:r>
              <w:t>Any prospective TSC should note the following:</w:t>
            </w:r>
          </w:p>
          <w:p w:rsidR="00021FD4" w:rsidRDefault="00021FD4" w:rsidP="00D15DFC">
            <w:pPr>
              <w:pStyle w:val="TSBullet1Square"/>
              <w:rPr>
                <w:rFonts w:asciiTheme="minorHAnsi" w:hAnsiTheme="minorHAnsi"/>
              </w:rPr>
            </w:pPr>
            <w:r>
              <w:rPr>
                <w:rFonts w:asciiTheme="minorHAnsi" w:hAnsiTheme="minorHAnsi"/>
              </w:rPr>
              <w:t xml:space="preserve">The successful TSC will be expected to provide </w:t>
            </w:r>
            <w:r w:rsidR="007E7F08">
              <w:rPr>
                <w:rFonts w:asciiTheme="minorHAnsi" w:hAnsiTheme="minorHAnsi"/>
              </w:rPr>
              <w:t>suitably qualified and experience personnel</w:t>
            </w:r>
            <w:r>
              <w:rPr>
                <w:rFonts w:asciiTheme="minorHAnsi" w:hAnsiTheme="minorHAnsi"/>
              </w:rPr>
              <w:t xml:space="preserve"> to undertake the modelling for </w:t>
            </w:r>
            <w:r w:rsidR="007E7F08">
              <w:rPr>
                <w:rFonts w:asciiTheme="minorHAnsi" w:hAnsiTheme="minorHAnsi"/>
              </w:rPr>
              <w:t xml:space="preserve">all </w:t>
            </w:r>
            <w:r>
              <w:rPr>
                <w:rFonts w:asciiTheme="minorHAnsi" w:hAnsiTheme="minorHAnsi"/>
              </w:rPr>
              <w:t>work package</w:t>
            </w:r>
            <w:r w:rsidR="007E7F08">
              <w:rPr>
                <w:rFonts w:asciiTheme="minorHAnsi" w:hAnsiTheme="minorHAnsi"/>
              </w:rPr>
              <w:t xml:space="preserve">s. The contractor </w:t>
            </w:r>
            <w:r w:rsidR="00721435">
              <w:rPr>
                <w:rFonts w:asciiTheme="minorHAnsi" w:hAnsiTheme="minorHAnsi"/>
              </w:rPr>
              <w:t xml:space="preserve">is required to be responsive to the delivery dates </w:t>
            </w:r>
            <w:r w:rsidR="007E7F08">
              <w:rPr>
                <w:rFonts w:asciiTheme="minorHAnsi" w:hAnsiTheme="minorHAnsi"/>
              </w:rPr>
              <w:t>described above</w:t>
            </w:r>
            <w:r w:rsidR="00721435">
              <w:rPr>
                <w:rFonts w:asciiTheme="minorHAnsi" w:hAnsiTheme="minorHAnsi"/>
              </w:rPr>
              <w:t xml:space="preserve">. </w:t>
            </w:r>
          </w:p>
          <w:p w:rsidR="00721435" w:rsidRPr="00721435" w:rsidRDefault="00D15DFC" w:rsidP="00721435">
            <w:pPr>
              <w:pStyle w:val="TSBullet1Square"/>
              <w:rPr>
                <w:rFonts w:asciiTheme="minorHAnsi" w:hAnsiTheme="minorHAnsi"/>
              </w:rPr>
            </w:pPr>
            <w:r w:rsidRPr="003219E0">
              <w:rPr>
                <w:rFonts w:asciiTheme="minorHAnsi" w:hAnsiTheme="minorHAnsi"/>
              </w:rPr>
              <w:t xml:space="preserve">The successful TSC will be expected to work alongside </w:t>
            </w:r>
            <w:r w:rsidR="007E7F08">
              <w:rPr>
                <w:rFonts w:asciiTheme="minorHAnsi" w:hAnsiTheme="minorHAnsi"/>
              </w:rPr>
              <w:t xml:space="preserve">any </w:t>
            </w:r>
            <w:r w:rsidRPr="003219E0">
              <w:rPr>
                <w:rFonts w:asciiTheme="minorHAnsi" w:hAnsiTheme="minorHAnsi"/>
              </w:rPr>
              <w:t xml:space="preserve">industry partners </w:t>
            </w:r>
            <w:r w:rsidR="007E7F08">
              <w:rPr>
                <w:rFonts w:asciiTheme="minorHAnsi" w:hAnsiTheme="minorHAnsi"/>
              </w:rPr>
              <w:t xml:space="preserve">interested in participating or learning from the work </w:t>
            </w:r>
            <w:r w:rsidRPr="003219E0">
              <w:rPr>
                <w:rFonts w:asciiTheme="minorHAnsi" w:hAnsiTheme="minorHAnsi"/>
              </w:rPr>
              <w:t>across the UK’s nuclear</w:t>
            </w:r>
            <w:r w:rsidR="003219E0" w:rsidRPr="003219E0">
              <w:rPr>
                <w:rFonts w:asciiTheme="minorHAnsi" w:hAnsiTheme="minorHAnsi"/>
              </w:rPr>
              <w:t xml:space="preserve"> industry for fire modelling</w:t>
            </w:r>
            <w:r w:rsidR="007E7F08">
              <w:rPr>
                <w:rFonts w:asciiTheme="minorHAnsi" w:hAnsiTheme="minorHAnsi"/>
              </w:rPr>
              <w:t>, including other contractors to the industry</w:t>
            </w:r>
            <w:r w:rsidRPr="003219E0">
              <w:rPr>
                <w:rFonts w:asciiTheme="minorHAnsi" w:hAnsiTheme="minorHAnsi"/>
              </w:rPr>
              <w:t>.</w:t>
            </w:r>
            <w:r w:rsidR="007E7F08">
              <w:rPr>
                <w:rFonts w:asciiTheme="minorHAnsi" w:hAnsiTheme="minorHAnsi"/>
              </w:rPr>
              <w:t xml:space="preserve"> This will require the ability t</w:t>
            </w:r>
            <w:r w:rsidR="004F066F">
              <w:rPr>
                <w:rFonts w:asciiTheme="minorHAnsi" w:hAnsiTheme="minorHAnsi"/>
              </w:rPr>
              <w:t>o be seen as acting independently and objectively in line with ONR’s regulatory remit.</w:t>
            </w:r>
            <w:r w:rsidR="007E7F08">
              <w:rPr>
                <w:rFonts w:asciiTheme="minorHAnsi" w:hAnsiTheme="minorHAnsi"/>
              </w:rPr>
              <w:t xml:space="preserve"> </w:t>
            </w:r>
          </w:p>
          <w:p w:rsidR="003219E0" w:rsidRPr="003219E0" w:rsidRDefault="003219E0" w:rsidP="00D15DFC">
            <w:pPr>
              <w:pStyle w:val="TSBullet1Square"/>
              <w:rPr>
                <w:rFonts w:asciiTheme="minorHAnsi" w:hAnsiTheme="minorHAnsi"/>
              </w:rPr>
            </w:pPr>
            <w:r>
              <w:rPr>
                <w:rFonts w:asciiTheme="minorHAnsi" w:hAnsiTheme="minorHAnsi"/>
              </w:rPr>
              <w:t xml:space="preserve">It is expected that the TSC will provide technical leadership to the UK therefore it is essential that the proposed team is </w:t>
            </w:r>
            <w:r w:rsidR="007E7F08">
              <w:rPr>
                <w:rFonts w:asciiTheme="minorHAnsi" w:hAnsiTheme="minorHAnsi"/>
              </w:rPr>
              <w:t>suitably qualified and experienced</w:t>
            </w:r>
            <w:r>
              <w:rPr>
                <w:rFonts w:asciiTheme="minorHAnsi" w:hAnsiTheme="minorHAnsi"/>
              </w:rPr>
              <w:t>.</w:t>
            </w:r>
          </w:p>
          <w:p w:rsidR="003219E0" w:rsidRDefault="003219E0" w:rsidP="003219E0">
            <w:pPr>
              <w:pStyle w:val="TSBullet1Square"/>
              <w:tabs>
                <w:tab w:val="clear" w:pos="-31680"/>
              </w:tabs>
              <w:rPr>
                <w:rFonts w:asciiTheme="minorHAnsi" w:hAnsiTheme="minorHAnsi"/>
              </w:rPr>
            </w:pPr>
            <w:r w:rsidRPr="003219E0">
              <w:rPr>
                <w:rFonts w:asciiTheme="minorHAnsi" w:hAnsiTheme="minorHAnsi"/>
              </w:rPr>
              <w:t xml:space="preserve">The successful TSC will be expected to share (to UK nuclear industry) any novel solutions/methodologies developed to address the various issues to deliver the modelling the benchmark exercises.  </w:t>
            </w:r>
          </w:p>
          <w:p w:rsidR="00021FD4" w:rsidRDefault="003219E0" w:rsidP="003219E0">
            <w:pPr>
              <w:pStyle w:val="TSBullet1Square"/>
              <w:tabs>
                <w:tab w:val="clear" w:pos="-31680"/>
              </w:tabs>
              <w:rPr>
                <w:rFonts w:asciiTheme="minorHAnsi" w:hAnsiTheme="minorHAnsi"/>
              </w:rPr>
            </w:pPr>
            <w:r>
              <w:rPr>
                <w:rFonts w:asciiTheme="minorHAnsi" w:hAnsiTheme="minorHAnsi"/>
              </w:rPr>
              <w:t>The successful TSC must hold two workshops that co-inside with the two yearly PRISME meetings. Time scales for delivering the exercises are outlined above in section 2.</w:t>
            </w:r>
          </w:p>
          <w:p w:rsidR="00D15DFC" w:rsidRPr="003219E0" w:rsidRDefault="00021FD4" w:rsidP="003219E0">
            <w:pPr>
              <w:pStyle w:val="TSBullet1Square"/>
              <w:tabs>
                <w:tab w:val="clear" w:pos="-31680"/>
              </w:tabs>
              <w:rPr>
                <w:rFonts w:asciiTheme="minorHAnsi" w:hAnsiTheme="minorHAnsi"/>
              </w:rPr>
            </w:pPr>
            <w:r>
              <w:rPr>
                <w:rFonts w:asciiTheme="minorHAnsi" w:hAnsiTheme="minorHAnsi"/>
              </w:rPr>
              <w:t>All written documents should be subject to Quality Assurance processes which are to be agreed with ONR.</w:t>
            </w:r>
            <w:r w:rsidR="003219E0">
              <w:rPr>
                <w:rFonts w:asciiTheme="minorHAnsi" w:hAnsiTheme="minorHAnsi"/>
              </w:rPr>
              <w:t xml:space="preserve">  </w:t>
            </w:r>
            <w:r w:rsidR="00D15DFC" w:rsidRPr="003219E0">
              <w:rPr>
                <w:rFonts w:asciiTheme="minorHAnsi" w:hAnsiTheme="minorHAnsi"/>
              </w:rPr>
              <w:t xml:space="preserve">  </w:t>
            </w:r>
          </w:p>
          <w:p w:rsidR="00AF4C0F" w:rsidRDefault="003219E0" w:rsidP="003219E0">
            <w:pPr>
              <w:pStyle w:val="Style1"/>
            </w:pPr>
            <w:r>
              <w:t>The PRSIME 3 AWG is an international programme. To ensure transparency and identification of any areas of conflicts of interest, the following international partners are</w:t>
            </w:r>
            <w:r w:rsidR="006753F1">
              <w:t xml:space="preserve"> intended to</w:t>
            </w:r>
            <w:r>
              <w:t xml:space="preserve"> </w:t>
            </w:r>
            <w:r w:rsidR="006753F1">
              <w:t>participate</w:t>
            </w:r>
            <w:r>
              <w:t xml:space="preserve"> in the PRISME 3 AWG.</w:t>
            </w:r>
          </w:p>
          <w:tbl>
            <w:tblPr>
              <w:tblStyle w:val="TableGrid"/>
              <w:tblW w:w="0" w:type="auto"/>
              <w:tblInd w:w="720" w:type="dxa"/>
              <w:tblLook w:val="04A0" w:firstRow="1" w:lastRow="0" w:firstColumn="1" w:lastColumn="0" w:noHBand="0" w:noVBand="1"/>
            </w:tblPr>
            <w:tblGrid>
              <w:gridCol w:w="2667"/>
              <w:gridCol w:w="3827"/>
            </w:tblGrid>
            <w:tr w:rsidR="00B52246" w:rsidTr="00C344B8">
              <w:tc>
                <w:tcPr>
                  <w:tcW w:w="2667" w:type="dxa"/>
                </w:tcPr>
                <w:p w:rsidR="00B52246" w:rsidRDefault="00A6570D" w:rsidP="00A6570D">
                  <w:pPr>
                    <w:pStyle w:val="Style1"/>
                    <w:numPr>
                      <w:ilvl w:val="0"/>
                      <w:numId w:val="0"/>
                    </w:numPr>
                    <w:spacing w:after="0"/>
                  </w:pPr>
                  <w:r>
                    <w:t xml:space="preserve">Country </w:t>
                  </w:r>
                </w:p>
              </w:tc>
              <w:tc>
                <w:tcPr>
                  <w:tcW w:w="3827" w:type="dxa"/>
                </w:tcPr>
                <w:p w:rsidR="00B52246" w:rsidRDefault="00A6570D" w:rsidP="00A6570D">
                  <w:pPr>
                    <w:pStyle w:val="Style1"/>
                    <w:numPr>
                      <w:ilvl w:val="0"/>
                      <w:numId w:val="0"/>
                    </w:numPr>
                    <w:spacing w:after="0"/>
                  </w:pPr>
                  <w:r>
                    <w:t>Organisation</w:t>
                  </w:r>
                </w:p>
              </w:tc>
            </w:tr>
            <w:tr w:rsidR="00A6570D" w:rsidTr="00C344B8">
              <w:tc>
                <w:tcPr>
                  <w:tcW w:w="2667" w:type="dxa"/>
                </w:tcPr>
                <w:p w:rsidR="00A6570D" w:rsidRDefault="00A6570D" w:rsidP="00A6570D">
                  <w:pPr>
                    <w:pStyle w:val="Style1"/>
                    <w:numPr>
                      <w:ilvl w:val="0"/>
                      <w:numId w:val="0"/>
                    </w:numPr>
                    <w:spacing w:after="0"/>
                  </w:pPr>
                  <w:r>
                    <w:t xml:space="preserve">Belgium </w:t>
                  </w:r>
                </w:p>
              </w:tc>
              <w:tc>
                <w:tcPr>
                  <w:tcW w:w="3827" w:type="dxa"/>
                </w:tcPr>
                <w:p w:rsidR="00A6570D" w:rsidRDefault="00A6570D" w:rsidP="00A6570D">
                  <w:pPr>
                    <w:pStyle w:val="Style1"/>
                    <w:numPr>
                      <w:ilvl w:val="0"/>
                      <w:numId w:val="0"/>
                    </w:numPr>
                    <w:spacing w:after="0"/>
                  </w:pPr>
                  <w:r w:rsidRPr="00C344B8">
                    <w:t>Bel-V</w:t>
                  </w:r>
                  <w:r>
                    <w:t xml:space="preserve"> &amp; University of Ghent</w:t>
                  </w:r>
                  <w:r w:rsidR="003F76AA">
                    <w:t xml:space="preserve"> &amp; </w:t>
                  </w:r>
                  <w:proofErr w:type="spellStart"/>
                  <w:r w:rsidR="003F76AA">
                    <w:t>Tractbel</w:t>
                  </w:r>
                  <w:proofErr w:type="spellEnd"/>
                </w:p>
              </w:tc>
            </w:tr>
            <w:tr w:rsidR="00A6570D" w:rsidTr="00C344B8">
              <w:tc>
                <w:tcPr>
                  <w:tcW w:w="2667" w:type="dxa"/>
                </w:tcPr>
                <w:p w:rsidR="00A6570D" w:rsidRDefault="00A6570D" w:rsidP="00A6570D">
                  <w:pPr>
                    <w:pStyle w:val="Style1"/>
                    <w:numPr>
                      <w:ilvl w:val="0"/>
                      <w:numId w:val="0"/>
                    </w:numPr>
                    <w:spacing w:after="0"/>
                  </w:pPr>
                  <w:r>
                    <w:t>Canada</w:t>
                  </w:r>
                </w:p>
              </w:tc>
              <w:tc>
                <w:tcPr>
                  <w:tcW w:w="3827" w:type="dxa"/>
                </w:tcPr>
                <w:p w:rsidR="00A6570D" w:rsidRDefault="00A6570D" w:rsidP="00A6570D">
                  <w:pPr>
                    <w:pStyle w:val="Style1"/>
                    <w:numPr>
                      <w:ilvl w:val="0"/>
                      <w:numId w:val="0"/>
                    </w:numPr>
                    <w:spacing w:after="0"/>
                  </w:pPr>
                  <w:r>
                    <w:t>CNSC</w:t>
                  </w:r>
                </w:p>
              </w:tc>
            </w:tr>
            <w:tr w:rsidR="00A6570D" w:rsidTr="00C344B8">
              <w:tc>
                <w:tcPr>
                  <w:tcW w:w="2667" w:type="dxa"/>
                </w:tcPr>
                <w:p w:rsidR="00A6570D" w:rsidRDefault="00A6570D" w:rsidP="00A6570D">
                  <w:pPr>
                    <w:pStyle w:val="Style1"/>
                    <w:numPr>
                      <w:ilvl w:val="0"/>
                      <w:numId w:val="0"/>
                    </w:numPr>
                    <w:spacing w:after="0"/>
                  </w:pPr>
                  <w:r>
                    <w:t xml:space="preserve">Japan </w:t>
                  </w:r>
                </w:p>
              </w:tc>
              <w:tc>
                <w:tcPr>
                  <w:tcW w:w="3827" w:type="dxa"/>
                </w:tcPr>
                <w:p w:rsidR="00A6570D" w:rsidRDefault="00A6570D" w:rsidP="00A6570D">
                  <w:pPr>
                    <w:pStyle w:val="Style1"/>
                    <w:numPr>
                      <w:ilvl w:val="0"/>
                      <w:numId w:val="0"/>
                    </w:numPr>
                    <w:spacing w:after="0"/>
                  </w:pPr>
                  <w:r>
                    <w:t>CRIEPI</w:t>
                  </w:r>
                  <w:r w:rsidR="003F76AA">
                    <w:t xml:space="preserve"> &amp; NRA</w:t>
                  </w:r>
                </w:p>
              </w:tc>
            </w:tr>
            <w:tr w:rsidR="00A6570D" w:rsidTr="00C344B8">
              <w:tc>
                <w:tcPr>
                  <w:tcW w:w="2667" w:type="dxa"/>
                </w:tcPr>
                <w:p w:rsidR="00A6570D" w:rsidRDefault="00A6570D" w:rsidP="00A6570D">
                  <w:pPr>
                    <w:pStyle w:val="Style1"/>
                    <w:numPr>
                      <w:ilvl w:val="0"/>
                      <w:numId w:val="0"/>
                    </w:numPr>
                    <w:spacing w:after="0"/>
                  </w:pPr>
                  <w:r>
                    <w:t>France</w:t>
                  </w:r>
                </w:p>
              </w:tc>
              <w:tc>
                <w:tcPr>
                  <w:tcW w:w="3827" w:type="dxa"/>
                </w:tcPr>
                <w:p w:rsidR="00A6570D" w:rsidRDefault="00A6570D" w:rsidP="00A6570D">
                  <w:pPr>
                    <w:pStyle w:val="Style1"/>
                    <w:numPr>
                      <w:ilvl w:val="0"/>
                      <w:numId w:val="0"/>
                    </w:numPr>
                    <w:spacing w:after="0"/>
                  </w:pPr>
                  <w:r>
                    <w:t>DGA</w:t>
                  </w:r>
                  <w:r w:rsidR="003F76AA">
                    <w:t xml:space="preserve"> &amp; </w:t>
                  </w:r>
                  <w:r w:rsidR="003F76AA" w:rsidRPr="00C344B8">
                    <w:t xml:space="preserve">IRSN </w:t>
                  </w:r>
                  <w:r w:rsidR="003F76AA">
                    <w:t>&amp; EDF (France)</w:t>
                  </w:r>
                </w:p>
              </w:tc>
            </w:tr>
            <w:tr w:rsidR="00A6570D" w:rsidTr="00C344B8">
              <w:tc>
                <w:tcPr>
                  <w:tcW w:w="2667" w:type="dxa"/>
                </w:tcPr>
                <w:p w:rsidR="00A6570D" w:rsidRDefault="003F76AA" w:rsidP="00A6570D">
                  <w:pPr>
                    <w:pStyle w:val="Style1"/>
                    <w:numPr>
                      <w:ilvl w:val="0"/>
                      <w:numId w:val="0"/>
                    </w:numPr>
                    <w:spacing w:after="0"/>
                  </w:pPr>
                  <w:r>
                    <w:t xml:space="preserve">Germany </w:t>
                  </w:r>
                </w:p>
              </w:tc>
              <w:tc>
                <w:tcPr>
                  <w:tcW w:w="3827" w:type="dxa"/>
                </w:tcPr>
                <w:p w:rsidR="00A6570D" w:rsidRDefault="003F76AA" w:rsidP="00A6570D">
                  <w:pPr>
                    <w:pStyle w:val="Style1"/>
                    <w:numPr>
                      <w:ilvl w:val="0"/>
                      <w:numId w:val="0"/>
                    </w:numPr>
                    <w:spacing w:after="0"/>
                  </w:pPr>
                  <w:r w:rsidRPr="00C344B8">
                    <w:t>GRS</w:t>
                  </w:r>
                  <w:r>
                    <w:t xml:space="preserve"> &amp; </w:t>
                  </w:r>
                  <w:proofErr w:type="spellStart"/>
                  <w:r>
                    <w:t>iBMB</w:t>
                  </w:r>
                  <w:proofErr w:type="spellEnd"/>
                </w:p>
              </w:tc>
            </w:tr>
            <w:tr w:rsidR="00A6570D" w:rsidTr="00C344B8">
              <w:tc>
                <w:tcPr>
                  <w:tcW w:w="2667" w:type="dxa"/>
                </w:tcPr>
                <w:p w:rsidR="00A6570D" w:rsidRDefault="003F76AA" w:rsidP="00A6570D">
                  <w:pPr>
                    <w:pStyle w:val="Style1"/>
                    <w:numPr>
                      <w:ilvl w:val="0"/>
                      <w:numId w:val="0"/>
                    </w:numPr>
                    <w:spacing w:after="0"/>
                  </w:pPr>
                  <w:r>
                    <w:t>Korea</w:t>
                  </w:r>
                </w:p>
              </w:tc>
              <w:tc>
                <w:tcPr>
                  <w:tcW w:w="3827" w:type="dxa"/>
                </w:tcPr>
                <w:p w:rsidR="00A6570D" w:rsidRDefault="003F76AA" w:rsidP="00A6570D">
                  <w:pPr>
                    <w:pStyle w:val="Style1"/>
                    <w:numPr>
                      <w:ilvl w:val="0"/>
                      <w:numId w:val="0"/>
                    </w:numPr>
                    <w:spacing w:after="0"/>
                  </w:pPr>
                  <w:r>
                    <w:t>KAERI &amp; KINS</w:t>
                  </w:r>
                </w:p>
              </w:tc>
            </w:tr>
            <w:tr w:rsidR="00A6570D" w:rsidTr="00C344B8">
              <w:tc>
                <w:tcPr>
                  <w:tcW w:w="2667" w:type="dxa"/>
                </w:tcPr>
                <w:p w:rsidR="00A6570D" w:rsidRDefault="003F76AA" w:rsidP="00A6570D">
                  <w:pPr>
                    <w:pStyle w:val="Style1"/>
                    <w:numPr>
                      <w:ilvl w:val="0"/>
                      <w:numId w:val="0"/>
                    </w:numPr>
                    <w:spacing w:after="0"/>
                  </w:pPr>
                  <w:r>
                    <w:t>USA</w:t>
                  </w:r>
                </w:p>
              </w:tc>
              <w:tc>
                <w:tcPr>
                  <w:tcW w:w="3827" w:type="dxa"/>
                </w:tcPr>
                <w:p w:rsidR="00A6570D" w:rsidRDefault="003F76AA" w:rsidP="00A6570D">
                  <w:pPr>
                    <w:pStyle w:val="Style1"/>
                    <w:numPr>
                      <w:ilvl w:val="0"/>
                      <w:numId w:val="0"/>
                    </w:numPr>
                    <w:spacing w:after="0"/>
                  </w:pPr>
                  <w:r>
                    <w:t>NIST &amp; NRC</w:t>
                  </w:r>
                </w:p>
              </w:tc>
            </w:tr>
            <w:tr w:rsidR="00A6570D" w:rsidTr="00C344B8">
              <w:tc>
                <w:tcPr>
                  <w:tcW w:w="2667" w:type="dxa"/>
                </w:tcPr>
                <w:p w:rsidR="00A6570D" w:rsidRDefault="003F76AA" w:rsidP="00A6570D">
                  <w:pPr>
                    <w:pStyle w:val="Style1"/>
                    <w:numPr>
                      <w:ilvl w:val="0"/>
                      <w:numId w:val="0"/>
                    </w:numPr>
                    <w:spacing w:after="0"/>
                  </w:pPr>
                  <w:r>
                    <w:t>Spain</w:t>
                  </w:r>
                </w:p>
              </w:tc>
              <w:tc>
                <w:tcPr>
                  <w:tcW w:w="3827" w:type="dxa"/>
                </w:tcPr>
                <w:p w:rsidR="00A6570D" w:rsidRDefault="003F76AA" w:rsidP="00A6570D">
                  <w:pPr>
                    <w:pStyle w:val="Style1"/>
                    <w:numPr>
                      <w:ilvl w:val="0"/>
                      <w:numId w:val="0"/>
                    </w:numPr>
                    <w:spacing w:after="0"/>
                  </w:pPr>
                  <w:r>
                    <w:t>U-Cantabria</w:t>
                  </w:r>
                </w:p>
              </w:tc>
            </w:tr>
            <w:tr w:rsidR="00A6570D" w:rsidTr="00C344B8">
              <w:tc>
                <w:tcPr>
                  <w:tcW w:w="2667" w:type="dxa"/>
                </w:tcPr>
                <w:p w:rsidR="00A6570D" w:rsidRDefault="003F76AA" w:rsidP="00A6570D">
                  <w:pPr>
                    <w:pStyle w:val="Style1"/>
                    <w:numPr>
                      <w:ilvl w:val="0"/>
                      <w:numId w:val="0"/>
                    </w:numPr>
                    <w:spacing w:after="0"/>
                  </w:pPr>
                  <w:r>
                    <w:t xml:space="preserve">Sweden </w:t>
                  </w:r>
                </w:p>
              </w:tc>
              <w:tc>
                <w:tcPr>
                  <w:tcW w:w="3827" w:type="dxa"/>
                </w:tcPr>
                <w:p w:rsidR="00A6570D" w:rsidRDefault="003F76AA" w:rsidP="00A6570D">
                  <w:pPr>
                    <w:pStyle w:val="Style1"/>
                    <w:numPr>
                      <w:ilvl w:val="0"/>
                      <w:numId w:val="0"/>
                    </w:numPr>
                    <w:spacing w:after="0"/>
                  </w:pPr>
                  <w:r>
                    <w:t xml:space="preserve">University Lund </w:t>
                  </w:r>
                </w:p>
              </w:tc>
            </w:tr>
            <w:tr w:rsidR="00A6570D" w:rsidTr="00C344B8">
              <w:tc>
                <w:tcPr>
                  <w:tcW w:w="2667" w:type="dxa"/>
                </w:tcPr>
                <w:p w:rsidR="00A6570D" w:rsidRDefault="003F76AA" w:rsidP="00A6570D">
                  <w:pPr>
                    <w:pStyle w:val="Style1"/>
                    <w:numPr>
                      <w:ilvl w:val="0"/>
                      <w:numId w:val="0"/>
                    </w:numPr>
                    <w:spacing w:after="0"/>
                  </w:pPr>
                  <w:r>
                    <w:t>Finland</w:t>
                  </w:r>
                </w:p>
              </w:tc>
              <w:tc>
                <w:tcPr>
                  <w:tcW w:w="3827" w:type="dxa"/>
                </w:tcPr>
                <w:p w:rsidR="00A6570D" w:rsidRDefault="003F76AA" w:rsidP="00A6570D">
                  <w:pPr>
                    <w:pStyle w:val="Style1"/>
                    <w:numPr>
                      <w:ilvl w:val="0"/>
                      <w:numId w:val="0"/>
                    </w:numPr>
                    <w:spacing w:after="0"/>
                  </w:pPr>
                  <w:r>
                    <w:t>VTT &amp; University Aalto</w:t>
                  </w:r>
                </w:p>
              </w:tc>
            </w:tr>
          </w:tbl>
          <w:p w:rsidR="003219E0" w:rsidRPr="003219E0" w:rsidRDefault="003219E0" w:rsidP="003219E0">
            <w:pPr>
              <w:pStyle w:val="Style1"/>
              <w:numPr>
                <w:ilvl w:val="0"/>
                <w:numId w:val="0"/>
              </w:numPr>
              <w:ind w:left="720"/>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CONTRACT MANAGEMENT</w:t>
            </w:r>
          </w:p>
          <w:p w:rsidR="00AF4C0F" w:rsidRPr="004F066F" w:rsidRDefault="00AF4C0F" w:rsidP="00971BA8">
            <w:pPr>
              <w:pStyle w:val="TSNumberedParagraph11"/>
              <w:tabs>
                <w:tab w:val="left" w:pos="0"/>
              </w:tabs>
              <w:ind w:left="0" w:firstLine="0"/>
              <w:jc w:val="both"/>
              <w:rPr>
                <w:rFonts w:asciiTheme="minorHAnsi" w:hAnsiTheme="minorHAnsi" w:cs="Arial"/>
              </w:rPr>
            </w:pPr>
            <w:r w:rsidRPr="004F066F">
              <w:rPr>
                <w:rFonts w:asciiTheme="minorHAnsi" w:hAnsiTheme="minorHAnsi" w:cs="Arial"/>
              </w:rPr>
              <w:t>ONR will require to be kept updated about progress and delivery of the required work via monthly meetings, to include a contract start-up me</w:t>
            </w:r>
            <w:r w:rsidR="00C344B8" w:rsidRPr="004F066F">
              <w:rPr>
                <w:rFonts w:asciiTheme="minorHAnsi" w:hAnsiTheme="minorHAnsi" w:cs="Arial"/>
              </w:rPr>
              <w:t>eting at one of ONR’s offices</w:t>
            </w:r>
            <w:r w:rsidRPr="001C5C4D">
              <w:rPr>
                <w:rFonts w:asciiTheme="minorHAnsi" w:hAnsiTheme="minorHAnsi" w:cs="Arial"/>
              </w:rPr>
              <w:t xml:space="preserve">. Subsequent progress meeting </w:t>
            </w:r>
            <w:r w:rsidRPr="001C5C4D">
              <w:rPr>
                <w:rFonts w:asciiTheme="minorHAnsi" w:hAnsiTheme="minorHAnsi" w:cs="Arial"/>
              </w:rPr>
              <w:lastRenderedPageBreak/>
              <w:t>should be arranged with the ONR Project Office and can b</w:t>
            </w:r>
            <w:r w:rsidR="00C344B8" w:rsidRPr="001C5C4D">
              <w:rPr>
                <w:rFonts w:asciiTheme="minorHAnsi" w:hAnsiTheme="minorHAnsi" w:cs="Arial"/>
              </w:rPr>
              <w:t>e held at any of the ONR’s offices</w:t>
            </w:r>
            <w:r w:rsidRPr="001C5C4D">
              <w:rPr>
                <w:rFonts w:asciiTheme="minorHAnsi" w:hAnsiTheme="minorHAnsi" w:cs="Arial"/>
              </w:rPr>
              <w:t>, or the contractor’s premises.</w:t>
            </w:r>
            <w:r w:rsidR="004F066F">
              <w:rPr>
                <w:rFonts w:asciiTheme="minorHAnsi" w:hAnsiTheme="minorHAnsi" w:cs="Arial"/>
              </w:rPr>
              <w:tab/>
            </w:r>
            <w:r w:rsidR="004F066F" w:rsidRPr="004F066F">
              <w:rPr>
                <w:rFonts w:asciiTheme="minorHAnsi" w:hAnsiTheme="minorHAnsi" w:cs="Arial"/>
              </w:rPr>
              <w:br/>
            </w:r>
            <w:r w:rsidR="004F066F">
              <w:rPr>
                <w:rFonts w:asciiTheme="minorHAnsi" w:hAnsiTheme="minorHAnsi" w:cs="Arial"/>
              </w:rPr>
              <w:t>(ONR is open to the use of video conferencing for progress meetings.)</w:t>
            </w:r>
          </w:p>
          <w:p w:rsidR="00AF4C0F" w:rsidRPr="002C62C2" w:rsidRDefault="00AF4C0F" w:rsidP="00971BA8">
            <w:pPr>
              <w:pStyle w:val="Header"/>
              <w:tabs>
                <w:tab w:val="left" w:pos="0"/>
              </w:tabs>
              <w:spacing w:before="120" w:after="120"/>
              <w:jc w:val="both"/>
              <w:rPr>
                <w:rFonts w:asciiTheme="minorHAnsi" w:hAnsiTheme="minorHAnsi" w:cstheme="minorHAnsi"/>
                <w:iCs/>
                <w:sz w:val="20"/>
                <w:szCs w:val="20"/>
              </w:rPr>
            </w:pP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 xml:space="preserve">Please provide </w:t>
            </w:r>
          </w:p>
          <w:p w:rsidR="00971BA8" w:rsidRPr="00C344B8" w:rsidRDefault="00C344B8" w:rsidP="00C344B8">
            <w:pPr>
              <w:pStyle w:val="TSBullet1Square"/>
              <w:rPr>
                <w:rFonts w:asciiTheme="minorHAnsi" w:hAnsiTheme="minorHAnsi"/>
              </w:rPr>
            </w:pPr>
            <w:r>
              <w:rPr>
                <w:rFonts w:asciiTheme="minorHAnsi" w:hAnsiTheme="minorHAnsi"/>
              </w:rPr>
              <w:t>A</w:t>
            </w:r>
            <w:r w:rsidR="00971BA8" w:rsidRPr="00C344B8">
              <w:rPr>
                <w:rFonts w:asciiTheme="minorHAnsi" w:hAnsiTheme="minorHAnsi"/>
              </w:rPr>
              <w:t xml:space="preserve"> description of how you will deliver the scope of work (methodology) and the proposed delivery team you will use, clearly signposting to relevant sections within your Capability Prospectus where appropriate/relevant ;</w:t>
            </w:r>
          </w:p>
          <w:p w:rsidR="00971BA8" w:rsidRPr="00C344B8" w:rsidRDefault="00C344B8" w:rsidP="00C344B8">
            <w:pPr>
              <w:pStyle w:val="TSBullet1Square"/>
              <w:rPr>
                <w:rFonts w:asciiTheme="minorHAnsi" w:hAnsiTheme="minorHAnsi"/>
              </w:rPr>
            </w:pPr>
            <w:r>
              <w:rPr>
                <w:rFonts w:asciiTheme="minorHAnsi" w:hAnsiTheme="minorHAnsi"/>
              </w:rPr>
              <w:t>A</w:t>
            </w:r>
            <w:r w:rsidR="00971BA8" w:rsidRPr="00C344B8">
              <w:rPr>
                <w:rFonts w:asciiTheme="minorHAnsi" w:hAnsiTheme="minorHAnsi"/>
              </w:rPr>
              <w:t xml:space="preserve"> description of proposed deliverables and/or outputs</w:t>
            </w:r>
          </w:p>
          <w:p w:rsidR="00971BA8" w:rsidRPr="00C344B8" w:rsidRDefault="00C344B8" w:rsidP="00C344B8">
            <w:pPr>
              <w:pStyle w:val="TSBullet1Square"/>
              <w:rPr>
                <w:rFonts w:asciiTheme="minorHAnsi" w:hAnsiTheme="minorHAnsi"/>
              </w:rPr>
            </w:pPr>
            <w:r>
              <w:rPr>
                <w:rFonts w:asciiTheme="minorHAnsi" w:hAnsiTheme="minorHAnsi"/>
              </w:rPr>
              <w:t>A</w:t>
            </w:r>
            <w:r w:rsidR="00971BA8" w:rsidRPr="00C344B8">
              <w:rPr>
                <w:rFonts w:asciiTheme="minorHAnsi" w:hAnsiTheme="minorHAnsi"/>
              </w:rPr>
              <w:t>n outline of anticipated engagement (project meetings &amp; management)</w:t>
            </w:r>
          </w:p>
          <w:p w:rsidR="00971BA8" w:rsidRPr="00C344B8" w:rsidRDefault="00971BA8" w:rsidP="00C344B8">
            <w:pPr>
              <w:pStyle w:val="TSBullet1Square"/>
              <w:rPr>
                <w:rFonts w:asciiTheme="minorHAnsi" w:hAnsiTheme="minorHAnsi"/>
              </w:rPr>
            </w:pPr>
            <w:r w:rsidRPr="00C344B8">
              <w:rPr>
                <w:rFonts w:asciiTheme="minorHAnsi" w:hAnsiTheme="minorHAnsi"/>
              </w:rPr>
              <w:t xml:space="preserve">details of proposed cost and associated effort assumptions </w:t>
            </w:r>
          </w:p>
          <w:p w:rsidR="00971BA8" w:rsidRPr="00C344B8" w:rsidRDefault="00C344B8" w:rsidP="00C344B8">
            <w:pPr>
              <w:pStyle w:val="TSBullet1Square"/>
              <w:rPr>
                <w:rFonts w:asciiTheme="minorHAnsi" w:hAnsiTheme="minorHAnsi"/>
              </w:rPr>
            </w:pPr>
            <w:r>
              <w:rPr>
                <w:rFonts w:asciiTheme="minorHAnsi" w:hAnsiTheme="minorHAnsi"/>
              </w:rPr>
              <w:t>A</w:t>
            </w:r>
            <w:r w:rsidR="00971BA8" w:rsidRPr="00C344B8">
              <w:rPr>
                <w:rFonts w:asciiTheme="minorHAnsi" w:hAnsiTheme="minorHAnsi"/>
              </w:rPr>
              <w:t xml:space="preserve"> project delivery plan showing activities and milestones </w:t>
            </w:r>
          </w:p>
          <w:p w:rsidR="00971BA8" w:rsidRPr="00C344B8" w:rsidRDefault="00C344B8" w:rsidP="00C344B8">
            <w:pPr>
              <w:pStyle w:val="TSBullet1Square"/>
              <w:rPr>
                <w:rFonts w:asciiTheme="minorHAnsi" w:hAnsiTheme="minorHAnsi"/>
              </w:rPr>
            </w:pPr>
            <w:r>
              <w:rPr>
                <w:rFonts w:asciiTheme="minorHAnsi" w:hAnsiTheme="minorHAnsi"/>
              </w:rPr>
              <w:t>A</w:t>
            </w:r>
            <w:r w:rsidR="00971BA8" w:rsidRPr="00C344B8">
              <w:rPr>
                <w:rFonts w:asciiTheme="minorHAnsi" w:hAnsiTheme="minorHAnsi"/>
              </w:rPr>
              <w:t xml:space="preserve"> planned invoice schedule</w:t>
            </w:r>
          </w:p>
          <w:p w:rsidR="00971BA8" w:rsidRPr="00C344B8" w:rsidRDefault="00C344B8" w:rsidP="00C344B8">
            <w:pPr>
              <w:pStyle w:val="TSBullet1Square"/>
              <w:rPr>
                <w:rFonts w:asciiTheme="minorHAnsi" w:hAnsiTheme="minorHAnsi"/>
              </w:rPr>
            </w:pPr>
            <w:r>
              <w:rPr>
                <w:rFonts w:asciiTheme="minorHAnsi" w:hAnsiTheme="minorHAnsi"/>
              </w:rPr>
              <w:t>D</w:t>
            </w:r>
            <w:r w:rsidR="00971BA8" w:rsidRPr="00C344B8">
              <w:rPr>
                <w:rFonts w:asciiTheme="minorHAnsi" w:hAnsiTheme="minorHAnsi"/>
              </w:rPr>
              <w:t>etails of any assumptions or constraints</w:t>
            </w:r>
          </w:p>
          <w:p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B53" w:rsidRDefault="00905B53">
      <w:r>
        <w:separator/>
      </w:r>
    </w:p>
  </w:endnote>
  <w:endnote w:type="continuationSeparator" w:id="0">
    <w:p w:rsidR="00905B53" w:rsidRDefault="0090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781130">
      <w:rPr>
        <w:b/>
        <w:noProof/>
        <w:color w:val="006D68"/>
        <w:sz w:val="14"/>
        <w:szCs w:val="14"/>
      </w:rPr>
      <w:t>5</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781130">
      <w:rPr>
        <w:b/>
        <w:noProof/>
        <w:color w:val="006D68"/>
        <w:sz w:val="14"/>
        <w:szCs w:val="14"/>
      </w:rPr>
      <w:t>5</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781130">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781130">
      <w:rPr>
        <w:b/>
        <w:noProof/>
        <w:color w:val="006D68"/>
        <w:sz w:val="14"/>
        <w:szCs w:val="14"/>
      </w:rPr>
      <w:t>1</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B53" w:rsidRDefault="00905B53">
      <w:r>
        <w:separator/>
      </w:r>
    </w:p>
  </w:footnote>
  <w:footnote w:type="continuationSeparator" w:id="0">
    <w:p w:rsidR="00905B53" w:rsidRDefault="00905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68" w:rsidRDefault="00457068" w:rsidP="00457068">
    <w:pPr>
      <w:pStyle w:val="Header"/>
      <w:rPr>
        <w:b/>
        <w:sz w:val="20"/>
        <w:szCs w:val="20"/>
      </w:rPr>
    </w:pPr>
    <w:r>
      <w:rPr>
        <w:b/>
        <w:noProof/>
        <w:sz w:val="20"/>
        <w:szCs w:val="20"/>
        <w:lang w:eastAsia="en-GB"/>
      </w:rPr>
      <w:drawing>
        <wp:inline distT="0" distB="0" distL="0" distR="0" wp14:anchorId="20FC5DD3" wp14:editId="0CA82339">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4BF4B7F"/>
    <w:multiLevelType w:val="hybridMultilevel"/>
    <w:tmpl w:val="D07484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5">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0">
    <w:nsid w:val="29706A39"/>
    <w:multiLevelType w:val="multilevel"/>
    <w:tmpl w:val="BD82D562"/>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2">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3047038"/>
    <w:multiLevelType w:val="multilevel"/>
    <w:tmpl w:val="D24090D6"/>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Wingdings" w:hAnsi="Wingding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6">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8">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C1A54DC"/>
    <w:multiLevelType w:val="hybridMultilevel"/>
    <w:tmpl w:val="91A635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1">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2">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5">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7">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9">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1"/>
  </w:num>
  <w:num w:numId="3">
    <w:abstractNumId w:val="17"/>
  </w:num>
  <w:num w:numId="4">
    <w:abstractNumId w:val="0"/>
  </w:num>
  <w:num w:numId="5">
    <w:abstractNumId w:val="15"/>
  </w:num>
  <w:num w:numId="6">
    <w:abstractNumId w:val="29"/>
  </w:num>
  <w:num w:numId="7">
    <w:abstractNumId w:val="24"/>
  </w:num>
  <w:num w:numId="8">
    <w:abstractNumId w:val="21"/>
  </w:num>
  <w:num w:numId="9">
    <w:abstractNumId w:val="30"/>
  </w:num>
  <w:num w:numId="10">
    <w:abstractNumId w:val="3"/>
  </w:num>
  <w:num w:numId="11">
    <w:abstractNumId w:val="7"/>
  </w:num>
  <w:num w:numId="12">
    <w:abstractNumId w:val="10"/>
  </w:num>
  <w:num w:numId="13">
    <w:abstractNumId w:val="2"/>
  </w:num>
  <w:num w:numId="14">
    <w:abstractNumId w:val="22"/>
  </w:num>
  <w:num w:numId="15">
    <w:abstractNumId w:val="12"/>
  </w:num>
  <w:num w:numId="16">
    <w:abstractNumId w:val="27"/>
  </w:num>
  <w:num w:numId="17">
    <w:abstractNumId w:val="8"/>
  </w:num>
  <w:num w:numId="18">
    <w:abstractNumId w:val="18"/>
  </w:num>
  <w:num w:numId="19">
    <w:abstractNumId w:val="16"/>
  </w:num>
  <w:num w:numId="20">
    <w:abstractNumId w:val="4"/>
  </w:num>
  <w:num w:numId="21">
    <w:abstractNumId w:val="28"/>
  </w:num>
  <w:num w:numId="22">
    <w:abstractNumId w:val="5"/>
  </w:num>
  <w:num w:numId="23">
    <w:abstractNumId w:val="23"/>
  </w:num>
  <w:num w:numId="24">
    <w:abstractNumId w:val="25"/>
  </w:num>
  <w:num w:numId="25">
    <w:abstractNumId w:val="14"/>
  </w:num>
  <w:num w:numId="26">
    <w:abstractNumId w:val="6"/>
  </w:num>
  <w:num w:numId="27">
    <w:abstractNumId w:val="11"/>
  </w:num>
  <w:num w:numId="28">
    <w:abstractNumId w:val="26"/>
  </w:num>
  <w:num w:numId="29">
    <w:abstractNumId w:val="20"/>
  </w:num>
  <w:num w:numId="30">
    <w:abstractNumId w:val="27"/>
  </w:num>
  <w:num w:numId="31">
    <w:abstractNumId w:val="10"/>
  </w:num>
  <w:num w:numId="32">
    <w:abstractNumId w:val="19"/>
  </w:num>
  <w:num w:numId="33">
    <w:abstractNumId w:val="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21FD4"/>
    <w:rsid w:val="00030D3C"/>
    <w:rsid w:val="000312D3"/>
    <w:rsid w:val="000375D1"/>
    <w:rsid w:val="000715BD"/>
    <w:rsid w:val="00096F71"/>
    <w:rsid w:val="000B1830"/>
    <w:rsid w:val="000B4E40"/>
    <w:rsid w:val="000D6244"/>
    <w:rsid w:val="00121C8F"/>
    <w:rsid w:val="00131ECC"/>
    <w:rsid w:val="00144CEA"/>
    <w:rsid w:val="00164F4F"/>
    <w:rsid w:val="00193C9A"/>
    <w:rsid w:val="001A58B1"/>
    <w:rsid w:val="001C3DB8"/>
    <w:rsid w:val="001C5C4D"/>
    <w:rsid w:val="001C7D21"/>
    <w:rsid w:val="001D78A1"/>
    <w:rsid w:val="00200CB7"/>
    <w:rsid w:val="0021074A"/>
    <w:rsid w:val="00214BE8"/>
    <w:rsid w:val="00216018"/>
    <w:rsid w:val="0028011F"/>
    <w:rsid w:val="0028356A"/>
    <w:rsid w:val="00297401"/>
    <w:rsid w:val="002C62C2"/>
    <w:rsid w:val="0031706E"/>
    <w:rsid w:val="003219E0"/>
    <w:rsid w:val="003B4AA2"/>
    <w:rsid w:val="003D005E"/>
    <w:rsid w:val="003E2CA6"/>
    <w:rsid w:val="003E452E"/>
    <w:rsid w:val="003F76AA"/>
    <w:rsid w:val="00405BE0"/>
    <w:rsid w:val="00457068"/>
    <w:rsid w:val="004750A2"/>
    <w:rsid w:val="00476981"/>
    <w:rsid w:val="00486E12"/>
    <w:rsid w:val="00487A22"/>
    <w:rsid w:val="004A7B1B"/>
    <w:rsid w:val="004E14DC"/>
    <w:rsid w:val="004F066F"/>
    <w:rsid w:val="004F24BC"/>
    <w:rsid w:val="00505F6E"/>
    <w:rsid w:val="005322E6"/>
    <w:rsid w:val="005556C6"/>
    <w:rsid w:val="00562F2F"/>
    <w:rsid w:val="0058584B"/>
    <w:rsid w:val="005A1570"/>
    <w:rsid w:val="005A5A87"/>
    <w:rsid w:val="005F0722"/>
    <w:rsid w:val="006020FA"/>
    <w:rsid w:val="00604F23"/>
    <w:rsid w:val="006753F1"/>
    <w:rsid w:val="006A667F"/>
    <w:rsid w:val="006B2DA6"/>
    <w:rsid w:val="006B3B0D"/>
    <w:rsid w:val="006C519A"/>
    <w:rsid w:val="006F1199"/>
    <w:rsid w:val="006F5420"/>
    <w:rsid w:val="00715C62"/>
    <w:rsid w:val="00721435"/>
    <w:rsid w:val="0072164C"/>
    <w:rsid w:val="007426F8"/>
    <w:rsid w:val="00781130"/>
    <w:rsid w:val="007B4EE0"/>
    <w:rsid w:val="007D545C"/>
    <w:rsid w:val="007E7F08"/>
    <w:rsid w:val="007F7246"/>
    <w:rsid w:val="00842FD6"/>
    <w:rsid w:val="00846808"/>
    <w:rsid w:val="00862C5D"/>
    <w:rsid w:val="00863CDC"/>
    <w:rsid w:val="00891423"/>
    <w:rsid w:val="008A7BDD"/>
    <w:rsid w:val="008C04B7"/>
    <w:rsid w:val="008D71E9"/>
    <w:rsid w:val="008E67CB"/>
    <w:rsid w:val="00905B53"/>
    <w:rsid w:val="0091041C"/>
    <w:rsid w:val="00932851"/>
    <w:rsid w:val="009678DE"/>
    <w:rsid w:val="00971BA8"/>
    <w:rsid w:val="009765DB"/>
    <w:rsid w:val="009838A0"/>
    <w:rsid w:val="00987AA6"/>
    <w:rsid w:val="009962B1"/>
    <w:rsid w:val="009B07E8"/>
    <w:rsid w:val="009B5159"/>
    <w:rsid w:val="009D3CD0"/>
    <w:rsid w:val="009F1B6F"/>
    <w:rsid w:val="00A25EB0"/>
    <w:rsid w:val="00A41FDA"/>
    <w:rsid w:val="00A442D1"/>
    <w:rsid w:val="00A6570D"/>
    <w:rsid w:val="00A93297"/>
    <w:rsid w:val="00AB2BB0"/>
    <w:rsid w:val="00AB7147"/>
    <w:rsid w:val="00AD5635"/>
    <w:rsid w:val="00AE199F"/>
    <w:rsid w:val="00AF4C0F"/>
    <w:rsid w:val="00B255B3"/>
    <w:rsid w:val="00B43C54"/>
    <w:rsid w:val="00B504F7"/>
    <w:rsid w:val="00B52246"/>
    <w:rsid w:val="00B56CCE"/>
    <w:rsid w:val="00B81B18"/>
    <w:rsid w:val="00BC24ED"/>
    <w:rsid w:val="00BC5FC8"/>
    <w:rsid w:val="00C25583"/>
    <w:rsid w:val="00C344B8"/>
    <w:rsid w:val="00C43ED4"/>
    <w:rsid w:val="00C75298"/>
    <w:rsid w:val="00C758F9"/>
    <w:rsid w:val="00C75A1C"/>
    <w:rsid w:val="00CA3B14"/>
    <w:rsid w:val="00CC558F"/>
    <w:rsid w:val="00CD7B5F"/>
    <w:rsid w:val="00CE5958"/>
    <w:rsid w:val="00CE6571"/>
    <w:rsid w:val="00D15DFC"/>
    <w:rsid w:val="00D3061A"/>
    <w:rsid w:val="00D55197"/>
    <w:rsid w:val="00D55FE7"/>
    <w:rsid w:val="00D75DA2"/>
    <w:rsid w:val="00D7747E"/>
    <w:rsid w:val="00DC36BF"/>
    <w:rsid w:val="00DC6611"/>
    <w:rsid w:val="00DE4417"/>
    <w:rsid w:val="00DF3697"/>
    <w:rsid w:val="00E12A39"/>
    <w:rsid w:val="00E32F3B"/>
    <w:rsid w:val="00E71B0C"/>
    <w:rsid w:val="00E87C8C"/>
    <w:rsid w:val="00E9478E"/>
    <w:rsid w:val="00E97293"/>
    <w:rsid w:val="00EA5EB4"/>
    <w:rsid w:val="00EC2DC3"/>
    <w:rsid w:val="00ED5F2B"/>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link w:val="TSHeadingNumbered1Char"/>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link w:val="TSHeadingNumbered11Char"/>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link w:val="TSNumberedParagraph11Char"/>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customStyle="1" w:styleId="Style1">
    <w:name w:val="Style1"/>
    <w:basedOn w:val="TSNumberedParagraph11"/>
    <w:link w:val="Style1Char"/>
    <w:qFormat/>
    <w:rsid w:val="006B3B0D"/>
    <w:rPr>
      <w:rFonts w:asciiTheme="minorHAnsi" w:hAnsiTheme="minorHAnsi" w:cs="Arial"/>
    </w:rPr>
  </w:style>
  <w:style w:type="paragraph" w:customStyle="1" w:styleId="Style2">
    <w:name w:val="Style2"/>
    <w:basedOn w:val="TSHeadingNumbered1"/>
    <w:link w:val="Style2Char"/>
    <w:qFormat/>
    <w:rsid w:val="006B3B0D"/>
    <w:pPr>
      <w:tabs>
        <w:tab w:val="left" w:pos="0"/>
      </w:tabs>
      <w:ind w:left="0" w:firstLine="0"/>
    </w:pPr>
    <w:rPr>
      <w:rFonts w:asciiTheme="minorHAnsi" w:hAnsiTheme="minorHAnsi" w:cstheme="minorHAnsi"/>
    </w:rPr>
  </w:style>
  <w:style w:type="character" w:customStyle="1" w:styleId="TSHeadingNumbered1Char">
    <w:name w:val="TS Heading Numbered 1. Char"/>
    <w:basedOn w:val="DefaultParagraphFont"/>
    <w:link w:val="TSHeadingNumbered1"/>
    <w:rsid w:val="006B3B0D"/>
    <w:rPr>
      <w:rFonts w:ascii="Arial Bold" w:hAnsi="Arial Bold"/>
      <w:b/>
      <w:caps/>
      <w:sz w:val="22"/>
      <w:szCs w:val="24"/>
      <w:lang w:eastAsia="en-US"/>
    </w:rPr>
  </w:style>
  <w:style w:type="character" w:customStyle="1" w:styleId="TSHeadingNumbered11Char">
    <w:name w:val="TS Heading Numbered 1.1 Char"/>
    <w:basedOn w:val="TSHeadingNumbered1Char"/>
    <w:link w:val="TSHeadingNumbered11"/>
    <w:rsid w:val="006B3B0D"/>
    <w:rPr>
      <w:rFonts w:ascii="Arial Bold" w:hAnsi="Arial Bold"/>
      <w:b/>
      <w:caps/>
      <w:sz w:val="22"/>
      <w:szCs w:val="24"/>
      <w:lang w:eastAsia="en-US"/>
    </w:rPr>
  </w:style>
  <w:style w:type="character" w:customStyle="1" w:styleId="TSNumberedParagraph11Char">
    <w:name w:val="TS Numbered Paragraph 1.1 Char"/>
    <w:basedOn w:val="TSHeadingNumbered11Char"/>
    <w:link w:val="TSNumberedParagraph11"/>
    <w:rsid w:val="006B3B0D"/>
    <w:rPr>
      <w:rFonts w:ascii="Arial" w:hAnsi="Arial"/>
      <w:b w:val="0"/>
      <w:caps w:val="0"/>
      <w:sz w:val="22"/>
      <w:szCs w:val="24"/>
      <w:lang w:eastAsia="en-US"/>
    </w:rPr>
  </w:style>
  <w:style w:type="character" w:customStyle="1" w:styleId="Style1Char">
    <w:name w:val="Style1 Char"/>
    <w:basedOn w:val="TSNumberedParagraph11Char"/>
    <w:link w:val="Style1"/>
    <w:rsid w:val="006B3B0D"/>
    <w:rPr>
      <w:rFonts w:asciiTheme="minorHAnsi" w:hAnsiTheme="minorHAnsi" w:cs="Arial"/>
      <w:b w:val="0"/>
      <w:caps w:val="0"/>
      <w:sz w:val="22"/>
      <w:szCs w:val="24"/>
      <w:lang w:eastAsia="en-US"/>
    </w:rPr>
  </w:style>
  <w:style w:type="character" w:customStyle="1" w:styleId="Style2Char">
    <w:name w:val="Style2 Char"/>
    <w:basedOn w:val="TSHeadingNumbered1Char"/>
    <w:link w:val="Style2"/>
    <w:rsid w:val="006B3B0D"/>
    <w:rPr>
      <w:rFonts w:asciiTheme="minorHAnsi" w:hAnsiTheme="minorHAnsi" w:cstheme="minorHAnsi"/>
      <w:b/>
      <w:caps/>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link w:val="TSHeadingNumbered1Char"/>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link w:val="TSHeadingNumbered11Char"/>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link w:val="TSNumberedParagraph11Char"/>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customStyle="1" w:styleId="Style1">
    <w:name w:val="Style1"/>
    <w:basedOn w:val="TSNumberedParagraph11"/>
    <w:link w:val="Style1Char"/>
    <w:qFormat/>
    <w:rsid w:val="006B3B0D"/>
    <w:rPr>
      <w:rFonts w:asciiTheme="minorHAnsi" w:hAnsiTheme="minorHAnsi" w:cs="Arial"/>
    </w:rPr>
  </w:style>
  <w:style w:type="paragraph" w:customStyle="1" w:styleId="Style2">
    <w:name w:val="Style2"/>
    <w:basedOn w:val="TSHeadingNumbered1"/>
    <w:link w:val="Style2Char"/>
    <w:qFormat/>
    <w:rsid w:val="006B3B0D"/>
    <w:pPr>
      <w:tabs>
        <w:tab w:val="left" w:pos="0"/>
      </w:tabs>
      <w:ind w:left="0" w:firstLine="0"/>
    </w:pPr>
    <w:rPr>
      <w:rFonts w:asciiTheme="minorHAnsi" w:hAnsiTheme="minorHAnsi" w:cstheme="minorHAnsi"/>
    </w:rPr>
  </w:style>
  <w:style w:type="character" w:customStyle="1" w:styleId="TSHeadingNumbered1Char">
    <w:name w:val="TS Heading Numbered 1. Char"/>
    <w:basedOn w:val="DefaultParagraphFont"/>
    <w:link w:val="TSHeadingNumbered1"/>
    <w:rsid w:val="006B3B0D"/>
    <w:rPr>
      <w:rFonts w:ascii="Arial Bold" w:hAnsi="Arial Bold"/>
      <w:b/>
      <w:caps/>
      <w:sz w:val="22"/>
      <w:szCs w:val="24"/>
      <w:lang w:eastAsia="en-US"/>
    </w:rPr>
  </w:style>
  <w:style w:type="character" w:customStyle="1" w:styleId="TSHeadingNumbered11Char">
    <w:name w:val="TS Heading Numbered 1.1 Char"/>
    <w:basedOn w:val="TSHeadingNumbered1Char"/>
    <w:link w:val="TSHeadingNumbered11"/>
    <w:rsid w:val="006B3B0D"/>
    <w:rPr>
      <w:rFonts w:ascii="Arial Bold" w:hAnsi="Arial Bold"/>
      <w:b/>
      <w:caps/>
      <w:sz w:val="22"/>
      <w:szCs w:val="24"/>
      <w:lang w:eastAsia="en-US"/>
    </w:rPr>
  </w:style>
  <w:style w:type="character" w:customStyle="1" w:styleId="TSNumberedParagraph11Char">
    <w:name w:val="TS Numbered Paragraph 1.1 Char"/>
    <w:basedOn w:val="TSHeadingNumbered11Char"/>
    <w:link w:val="TSNumberedParagraph11"/>
    <w:rsid w:val="006B3B0D"/>
    <w:rPr>
      <w:rFonts w:ascii="Arial" w:hAnsi="Arial"/>
      <w:b w:val="0"/>
      <w:caps w:val="0"/>
      <w:sz w:val="22"/>
      <w:szCs w:val="24"/>
      <w:lang w:eastAsia="en-US"/>
    </w:rPr>
  </w:style>
  <w:style w:type="character" w:customStyle="1" w:styleId="Style1Char">
    <w:name w:val="Style1 Char"/>
    <w:basedOn w:val="TSNumberedParagraph11Char"/>
    <w:link w:val="Style1"/>
    <w:rsid w:val="006B3B0D"/>
    <w:rPr>
      <w:rFonts w:asciiTheme="minorHAnsi" w:hAnsiTheme="minorHAnsi" w:cs="Arial"/>
      <w:b w:val="0"/>
      <w:caps w:val="0"/>
      <w:sz w:val="22"/>
      <w:szCs w:val="24"/>
      <w:lang w:eastAsia="en-US"/>
    </w:rPr>
  </w:style>
  <w:style w:type="character" w:customStyle="1" w:styleId="Style2Char">
    <w:name w:val="Style2 Char"/>
    <w:basedOn w:val="TSHeadingNumbered1Char"/>
    <w:link w:val="Style2"/>
    <w:rsid w:val="006B3B0D"/>
    <w:rPr>
      <w:rFonts w:asciiTheme="minorHAnsi" w:hAnsiTheme="minorHAnsi" w:cstheme="minorHAnsi"/>
      <w:b/>
      <w:cap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5D9DD-70D0-41BA-96AE-6C9CDE6B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11148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2018-10-29T09:55:00Z</cp:lastPrinted>
  <dcterms:created xsi:type="dcterms:W3CDTF">2019-07-15T08:48:00Z</dcterms:created>
  <dcterms:modified xsi:type="dcterms:W3CDTF">2019-07-15T08:48:00Z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