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4A8C" w:rsidRDefault="008B4A8C" w:rsidP="008B4A8C">
      <w:pPr>
        <w:jc w:val="center"/>
        <w:rPr>
          <w:rFonts w:cstheme="minorHAnsi"/>
          <w:b/>
          <w:u w:val="single"/>
        </w:rPr>
      </w:pPr>
      <w:r w:rsidRPr="003779A6">
        <w:rPr>
          <w:rFonts w:cstheme="minorHAnsi"/>
          <w:b/>
          <w:u w:val="single"/>
        </w:rPr>
        <w:t>Supplier Due Diligence Questionnaire</w:t>
      </w:r>
    </w:p>
    <w:p w:rsidR="00A47D1E" w:rsidRDefault="00A47D1E" w:rsidP="008B4A8C">
      <w:pPr>
        <w:jc w:val="center"/>
        <w:rPr>
          <w:rFonts w:cstheme="minorHAnsi"/>
          <w:b/>
          <w:u w:val="single"/>
        </w:rPr>
      </w:pPr>
      <w:r>
        <w:rPr>
          <w:rFonts w:cstheme="minorHAnsi"/>
          <w:b/>
          <w:u w:val="single"/>
        </w:rPr>
        <w:t>The Supplier is the Data Processor</w:t>
      </w:r>
    </w:p>
    <w:p w:rsidR="00A47D1E" w:rsidRDefault="00A47D1E" w:rsidP="008B4A8C">
      <w:pPr>
        <w:jc w:val="center"/>
        <w:rPr>
          <w:rFonts w:cstheme="minorHAnsi"/>
          <w:b/>
          <w:u w:val="single"/>
        </w:rPr>
      </w:pPr>
    </w:p>
    <w:tbl>
      <w:tblPr>
        <w:tblW w:w="9645" w:type="dxa"/>
        <w:tblLook w:val="04A0" w:firstRow="1" w:lastRow="0" w:firstColumn="1" w:lastColumn="0" w:noHBand="0" w:noVBand="1"/>
      </w:tblPr>
      <w:tblGrid>
        <w:gridCol w:w="3261"/>
        <w:gridCol w:w="6384"/>
      </w:tblGrid>
      <w:tr w:rsidR="00A47D1E" w:rsidRPr="00C87139" w:rsidTr="00264F19">
        <w:trPr>
          <w:gridAfter w:val="1"/>
          <w:wAfter w:w="6384" w:type="dxa"/>
          <w:trHeight w:val="280"/>
        </w:trPr>
        <w:tc>
          <w:tcPr>
            <w:tcW w:w="3261" w:type="dxa"/>
            <w:tcBorders>
              <w:top w:val="nil"/>
              <w:left w:val="nil"/>
              <w:bottom w:val="nil"/>
              <w:right w:val="nil"/>
            </w:tcBorders>
            <w:shd w:val="clear" w:color="auto" w:fill="auto"/>
            <w:noWrap/>
            <w:vAlign w:val="bottom"/>
            <w:hideMark/>
          </w:tcPr>
          <w:p w:rsidR="00A47D1E" w:rsidRPr="00C87139" w:rsidRDefault="00A47D1E" w:rsidP="00264F19">
            <w:pPr>
              <w:rPr>
                <w:rFonts w:ascii="Times New Roman" w:eastAsia="Times New Roman" w:hAnsi="Times New Roman"/>
                <w:sz w:val="20"/>
                <w:lang w:eastAsia="en-GB"/>
              </w:rPr>
            </w:pPr>
          </w:p>
        </w:tc>
      </w:tr>
      <w:tr w:rsidR="00A47D1E" w:rsidRPr="00C87139" w:rsidTr="00264F19">
        <w:trPr>
          <w:trHeight w:val="280"/>
        </w:trPr>
        <w:tc>
          <w:tcPr>
            <w:tcW w:w="964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A47D1E" w:rsidRPr="00C87139" w:rsidRDefault="00A47D1E" w:rsidP="00264F19">
            <w:pPr>
              <w:rPr>
                <w:rFonts w:eastAsia="Times New Roman" w:cs="Arial"/>
                <w:color w:val="000000"/>
                <w:sz w:val="18"/>
                <w:szCs w:val="18"/>
                <w:lang w:eastAsia="en-GB"/>
              </w:rPr>
            </w:pPr>
            <w:r w:rsidRPr="00C87139">
              <w:rPr>
                <w:rFonts w:eastAsia="Times New Roman" w:cs="Arial"/>
                <w:color w:val="000000"/>
                <w:sz w:val="18"/>
                <w:szCs w:val="18"/>
                <w:lang w:eastAsia="en-GB"/>
              </w:rPr>
              <w:t>As part of the provision of th</w:t>
            </w:r>
            <w:r>
              <w:rPr>
                <w:rFonts w:eastAsia="Times New Roman" w:cs="Arial"/>
                <w:color w:val="000000"/>
                <w:sz w:val="18"/>
                <w:szCs w:val="18"/>
                <w:lang w:eastAsia="en-GB"/>
              </w:rPr>
              <w:t>e (proposed) S</w:t>
            </w:r>
            <w:r w:rsidRPr="00C87139">
              <w:rPr>
                <w:rFonts w:eastAsia="Times New Roman" w:cs="Arial"/>
                <w:color w:val="000000"/>
                <w:sz w:val="18"/>
                <w:szCs w:val="18"/>
                <w:lang w:eastAsia="en-GB"/>
              </w:rPr>
              <w:t>ervice</w:t>
            </w:r>
            <w:r>
              <w:rPr>
                <w:rFonts w:eastAsia="Times New Roman" w:cs="Arial"/>
                <w:color w:val="000000"/>
                <w:sz w:val="18"/>
                <w:szCs w:val="18"/>
                <w:lang w:eastAsia="en-GB"/>
              </w:rPr>
              <w:t>(s)</w:t>
            </w:r>
            <w:r w:rsidRPr="00C87139">
              <w:rPr>
                <w:rFonts w:eastAsia="Times New Roman" w:cs="Arial"/>
                <w:color w:val="000000"/>
                <w:sz w:val="18"/>
                <w:szCs w:val="18"/>
                <w:lang w:eastAsia="en-GB"/>
              </w:rPr>
              <w:t>, we understand you will process personal data on our behalf as a “</w:t>
            </w:r>
            <w:r w:rsidRPr="00A47D1E">
              <w:rPr>
                <w:rFonts w:eastAsia="Times New Roman" w:cs="Arial"/>
                <w:b/>
                <w:bCs/>
                <w:color w:val="000000"/>
                <w:sz w:val="18"/>
                <w:szCs w:val="18"/>
                <w:lang w:eastAsia="en-GB"/>
              </w:rPr>
              <w:t>processor</w:t>
            </w:r>
            <w:r w:rsidRPr="00C87139">
              <w:rPr>
                <w:rFonts w:eastAsia="Times New Roman" w:cs="Arial"/>
                <w:color w:val="000000"/>
                <w:sz w:val="18"/>
                <w:szCs w:val="18"/>
                <w:lang w:eastAsia="en-GB"/>
              </w:rPr>
              <w:t xml:space="preserve">.” </w:t>
            </w:r>
            <w:r w:rsidRPr="00C87139">
              <w:rPr>
                <w:rFonts w:eastAsia="Times New Roman" w:cs="Arial"/>
                <w:color w:val="000000"/>
                <w:sz w:val="18"/>
                <w:szCs w:val="18"/>
                <w:lang w:eastAsia="en-GB"/>
              </w:rPr>
              <w:br/>
              <w:t xml:space="preserve">To give us comfort that you </w:t>
            </w:r>
            <w:proofErr w:type="gramStart"/>
            <w:r w:rsidRPr="00C87139">
              <w:rPr>
                <w:rFonts w:eastAsia="Times New Roman" w:cs="Arial"/>
                <w:color w:val="000000"/>
                <w:sz w:val="18"/>
                <w:szCs w:val="18"/>
                <w:lang w:eastAsia="en-GB"/>
              </w:rPr>
              <w:t>are able to</w:t>
            </w:r>
            <w:proofErr w:type="gramEnd"/>
            <w:r w:rsidRPr="00C87139">
              <w:rPr>
                <w:rFonts w:eastAsia="Times New Roman" w:cs="Arial"/>
                <w:color w:val="000000"/>
                <w:sz w:val="18"/>
                <w:szCs w:val="18"/>
                <w:lang w:eastAsia="en-GB"/>
              </w:rPr>
              <w:t xml:space="preserve"> do this compatibly with data protection legislation, we kindly ask you to complete our attached Supplier Due Diligence Questionnaire and send your response to procurement@frc.org.uk.</w:t>
            </w:r>
            <w:r w:rsidRPr="00C87139">
              <w:rPr>
                <w:rFonts w:eastAsia="Times New Roman" w:cs="Arial"/>
                <w:color w:val="000000"/>
                <w:sz w:val="18"/>
                <w:szCs w:val="18"/>
                <w:lang w:eastAsia="en-GB"/>
              </w:rPr>
              <w:br/>
              <w:t xml:space="preserve">If, in providing your service, you will not process any personal data on our behalf, please explain why this is the case in your response to Question </w:t>
            </w:r>
            <w:r>
              <w:rPr>
                <w:rFonts w:eastAsia="Times New Roman" w:cs="Arial"/>
                <w:color w:val="000000"/>
                <w:sz w:val="18"/>
                <w:szCs w:val="18"/>
                <w:lang w:eastAsia="en-GB"/>
              </w:rPr>
              <w:t>2</w:t>
            </w:r>
            <w:r w:rsidRPr="00C87139">
              <w:rPr>
                <w:rFonts w:eastAsia="Times New Roman" w:cs="Arial"/>
                <w:color w:val="000000"/>
                <w:sz w:val="18"/>
                <w:szCs w:val="18"/>
                <w:lang w:eastAsia="en-GB"/>
              </w:rPr>
              <w:t xml:space="preserve">. </w:t>
            </w:r>
          </w:p>
        </w:tc>
      </w:tr>
      <w:tr w:rsidR="00A47D1E" w:rsidRPr="00C87139" w:rsidTr="00264F19">
        <w:trPr>
          <w:trHeight w:val="280"/>
        </w:trPr>
        <w:tc>
          <w:tcPr>
            <w:tcW w:w="9645" w:type="dxa"/>
            <w:gridSpan w:val="2"/>
            <w:vMerge/>
            <w:tcBorders>
              <w:top w:val="single" w:sz="4" w:space="0" w:color="auto"/>
              <w:left w:val="single" w:sz="4" w:space="0" w:color="auto"/>
              <w:bottom w:val="single" w:sz="4" w:space="0" w:color="000000"/>
              <w:right w:val="single" w:sz="4" w:space="0" w:color="000000"/>
            </w:tcBorders>
            <w:vAlign w:val="center"/>
            <w:hideMark/>
          </w:tcPr>
          <w:p w:rsidR="00A47D1E" w:rsidRPr="00C87139" w:rsidRDefault="00A47D1E" w:rsidP="00264F19">
            <w:pPr>
              <w:rPr>
                <w:rFonts w:eastAsia="Times New Roman" w:cs="Arial"/>
                <w:color w:val="000000"/>
                <w:sz w:val="18"/>
                <w:szCs w:val="18"/>
                <w:lang w:eastAsia="en-GB"/>
              </w:rPr>
            </w:pPr>
          </w:p>
        </w:tc>
      </w:tr>
      <w:tr w:rsidR="00A47D1E" w:rsidRPr="00C87139" w:rsidTr="00264F19">
        <w:trPr>
          <w:trHeight w:val="280"/>
        </w:trPr>
        <w:tc>
          <w:tcPr>
            <w:tcW w:w="9645" w:type="dxa"/>
            <w:gridSpan w:val="2"/>
            <w:vMerge/>
            <w:tcBorders>
              <w:top w:val="single" w:sz="4" w:space="0" w:color="auto"/>
              <w:left w:val="single" w:sz="4" w:space="0" w:color="auto"/>
              <w:bottom w:val="single" w:sz="4" w:space="0" w:color="000000"/>
              <w:right w:val="single" w:sz="4" w:space="0" w:color="000000"/>
            </w:tcBorders>
            <w:vAlign w:val="center"/>
            <w:hideMark/>
          </w:tcPr>
          <w:p w:rsidR="00A47D1E" w:rsidRPr="00C87139" w:rsidRDefault="00A47D1E" w:rsidP="00264F19">
            <w:pPr>
              <w:rPr>
                <w:rFonts w:eastAsia="Times New Roman" w:cs="Arial"/>
                <w:color w:val="000000"/>
                <w:sz w:val="18"/>
                <w:szCs w:val="18"/>
                <w:lang w:eastAsia="en-GB"/>
              </w:rPr>
            </w:pPr>
          </w:p>
        </w:tc>
      </w:tr>
      <w:tr w:rsidR="00A47D1E" w:rsidRPr="00C87139" w:rsidTr="00264F19">
        <w:trPr>
          <w:trHeight w:val="280"/>
        </w:trPr>
        <w:tc>
          <w:tcPr>
            <w:tcW w:w="9645" w:type="dxa"/>
            <w:gridSpan w:val="2"/>
            <w:vMerge/>
            <w:tcBorders>
              <w:top w:val="single" w:sz="4" w:space="0" w:color="auto"/>
              <w:left w:val="single" w:sz="4" w:space="0" w:color="auto"/>
              <w:bottom w:val="single" w:sz="4" w:space="0" w:color="000000"/>
              <w:right w:val="single" w:sz="4" w:space="0" w:color="000000"/>
            </w:tcBorders>
            <w:vAlign w:val="center"/>
            <w:hideMark/>
          </w:tcPr>
          <w:p w:rsidR="00A47D1E" w:rsidRPr="00C87139" w:rsidRDefault="00A47D1E" w:rsidP="00264F19">
            <w:pPr>
              <w:rPr>
                <w:rFonts w:eastAsia="Times New Roman" w:cs="Arial"/>
                <w:color w:val="000000"/>
                <w:sz w:val="18"/>
                <w:szCs w:val="18"/>
                <w:lang w:eastAsia="en-GB"/>
              </w:rPr>
            </w:pPr>
          </w:p>
        </w:tc>
      </w:tr>
      <w:tr w:rsidR="00A47D1E" w:rsidRPr="00C87139" w:rsidTr="00264F19">
        <w:trPr>
          <w:trHeight w:val="280"/>
        </w:trPr>
        <w:tc>
          <w:tcPr>
            <w:tcW w:w="9645" w:type="dxa"/>
            <w:gridSpan w:val="2"/>
            <w:vMerge/>
            <w:tcBorders>
              <w:top w:val="single" w:sz="4" w:space="0" w:color="auto"/>
              <w:left w:val="single" w:sz="4" w:space="0" w:color="auto"/>
              <w:bottom w:val="single" w:sz="4" w:space="0" w:color="000000"/>
              <w:right w:val="single" w:sz="4" w:space="0" w:color="000000"/>
            </w:tcBorders>
            <w:vAlign w:val="center"/>
            <w:hideMark/>
          </w:tcPr>
          <w:p w:rsidR="00A47D1E" w:rsidRPr="00C87139" w:rsidRDefault="00A47D1E" w:rsidP="00264F19">
            <w:pPr>
              <w:rPr>
                <w:rFonts w:eastAsia="Times New Roman" w:cs="Arial"/>
                <w:color w:val="000000"/>
                <w:sz w:val="18"/>
                <w:szCs w:val="18"/>
                <w:lang w:eastAsia="en-GB"/>
              </w:rPr>
            </w:pPr>
          </w:p>
        </w:tc>
      </w:tr>
    </w:tbl>
    <w:p w:rsidR="00A47D1E" w:rsidRDefault="00A47D1E" w:rsidP="008B4A8C">
      <w:pPr>
        <w:jc w:val="center"/>
        <w:rPr>
          <w:rFonts w:cstheme="minorHAnsi"/>
          <w:b/>
          <w:u w:val="single"/>
        </w:rPr>
      </w:pPr>
    </w:p>
    <w:p w:rsidR="008B4A8C" w:rsidRPr="003779A6" w:rsidRDefault="008B4A8C" w:rsidP="008B4A8C">
      <w:pPr>
        <w:rPr>
          <w:rFonts w:cstheme="minorHAnsi"/>
        </w:rPr>
      </w:pPr>
    </w:p>
    <w:tbl>
      <w:tblPr>
        <w:tblStyle w:val="TableGrid"/>
        <w:tblW w:w="9634" w:type="dxa"/>
        <w:tblLook w:val="04A0" w:firstRow="1" w:lastRow="0" w:firstColumn="1" w:lastColumn="0" w:noHBand="0" w:noVBand="1"/>
      </w:tblPr>
      <w:tblGrid>
        <w:gridCol w:w="523"/>
        <w:gridCol w:w="3614"/>
        <w:gridCol w:w="5497"/>
      </w:tblGrid>
      <w:tr w:rsidR="008B4A8C" w:rsidRPr="003779A6" w:rsidTr="00B67513">
        <w:tc>
          <w:tcPr>
            <w:tcW w:w="523" w:type="dxa"/>
            <w:shd w:val="clear" w:color="auto" w:fill="B6DDE8" w:themeFill="accent5" w:themeFillTint="66"/>
          </w:tcPr>
          <w:p w:rsidR="008B4A8C" w:rsidRPr="003779A6" w:rsidRDefault="008B4A8C" w:rsidP="00B40548">
            <w:pPr>
              <w:rPr>
                <w:rFonts w:cstheme="minorHAnsi"/>
                <w:b/>
              </w:rPr>
            </w:pPr>
          </w:p>
        </w:tc>
        <w:tc>
          <w:tcPr>
            <w:tcW w:w="3614" w:type="dxa"/>
            <w:shd w:val="clear" w:color="auto" w:fill="B6DDE8" w:themeFill="accent5" w:themeFillTint="66"/>
          </w:tcPr>
          <w:p w:rsidR="008B4A8C" w:rsidRPr="003779A6" w:rsidRDefault="008B4A8C" w:rsidP="00B40548">
            <w:pPr>
              <w:rPr>
                <w:rFonts w:cstheme="minorHAnsi"/>
                <w:b/>
              </w:rPr>
            </w:pPr>
            <w:r w:rsidRPr="003779A6">
              <w:rPr>
                <w:rFonts w:cstheme="minorHAnsi"/>
                <w:b/>
              </w:rPr>
              <w:t>Question</w:t>
            </w:r>
          </w:p>
        </w:tc>
        <w:tc>
          <w:tcPr>
            <w:tcW w:w="5497" w:type="dxa"/>
            <w:shd w:val="clear" w:color="auto" w:fill="B6DDE8" w:themeFill="accent5" w:themeFillTint="66"/>
          </w:tcPr>
          <w:p w:rsidR="008B4A8C" w:rsidRPr="003779A6" w:rsidRDefault="008B4A8C" w:rsidP="00B40548">
            <w:pPr>
              <w:rPr>
                <w:rFonts w:cstheme="minorHAnsi"/>
                <w:b/>
              </w:rPr>
            </w:pPr>
            <w:r w:rsidRPr="003779A6">
              <w:rPr>
                <w:rFonts w:cstheme="minorHAnsi"/>
                <w:b/>
              </w:rPr>
              <w:t>Answer</w:t>
            </w:r>
          </w:p>
          <w:p w:rsidR="008B4A8C" w:rsidRPr="003779A6" w:rsidRDefault="008B4A8C" w:rsidP="00B40548">
            <w:pPr>
              <w:rPr>
                <w:rFonts w:cstheme="minorHAnsi"/>
                <w:b/>
              </w:rPr>
            </w:pPr>
          </w:p>
        </w:tc>
      </w:tr>
      <w:tr w:rsidR="008B4A8C" w:rsidRPr="003779A6" w:rsidTr="00B67513">
        <w:tc>
          <w:tcPr>
            <w:tcW w:w="9634" w:type="dxa"/>
            <w:gridSpan w:val="3"/>
            <w:shd w:val="clear" w:color="auto" w:fill="B6DDE8" w:themeFill="accent5" w:themeFillTint="66"/>
          </w:tcPr>
          <w:p w:rsidR="008B4A8C" w:rsidRPr="003779A6" w:rsidRDefault="008B4A8C" w:rsidP="00B40548">
            <w:pPr>
              <w:rPr>
                <w:rFonts w:cstheme="minorHAnsi"/>
                <w:b/>
              </w:rPr>
            </w:pPr>
            <w:r w:rsidRPr="003779A6">
              <w:rPr>
                <w:rFonts w:cstheme="minorHAnsi"/>
                <w:b/>
              </w:rPr>
              <w:t xml:space="preserve">General </w:t>
            </w:r>
          </w:p>
          <w:p w:rsidR="008B4A8C" w:rsidRPr="003779A6" w:rsidRDefault="008B4A8C" w:rsidP="00B40548">
            <w:pPr>
              <w:rPr>
                <w:rFonts w:cstheme="minorHAnsi"/>
                <w:b/>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Data </w:t>
            </w:r>
            <w:proofErr w:type="gramStart"/>
            <w:r w:rsidRPr="003779A6">
              <w:rPr>
                <w:rFonts w:cstheme="minorHAnsi"/>
              </w:rPr>
              <w:t>protection</w:t>
            </w:r>
            <w:proofErr w:type="gramEnd"/>
            <w:r w:rsidRPr="003779A6">
              <w:rPr>
                <w:rFonts w:cstheme="minorHAnsi"/>
              </w:rPr>
              <w:t xml:space="preserve"> contact details.</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Brief description of service provided and personal data you will process on the FRC’s behalf.</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9634" w:type="dxa"/>
            <w:gridSpan w:val="3"/>
            <w:shd w:val="clear" w:color="auto" w:fill="B6DDE8" w:themeFill="accent5" w:themeFillTint="66"/>
          </w:tcPr>
          <w:p w:rsidR="008B4A8C" w:rsidRPr="003779A6" w:rsidRDefault="008B4A8C" w:rsidP="00B40548">
            <w:pPr>
              <w:rPr>
                <w:rFonts w:cstheme="minorHAnsi"/>
                <w:b/>
              </w:rPr>
            </w:pPr>
            <w:r w:rsidRPr="003779A6">
              <w:rPr>
                <w:rFonts w:cstheme="minorHAnsi"/>
                <w:b/>
              </w:rPr>
              <w:t xml:space="preserve">Sub-Processors </w:t>
            </w:r>
          </w:p>
          <w:p w:rsidR="008B4A8C" w:rsidRPr="003779A6" w:rsidRDefault="008B4A8C" w:rsidP="00B40548">
            <w:pPr>
              <w:rPr>
                <w:rFonts w:cstheme="minorHAnsi"/>
                <w:b/>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Third parties to whom you will disclose FRC personal data. </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Your process for choosing sub-processors and auditing their compliance. </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9634" w:type="dxa"/>
            <w:gridSpan w:val="3"/>
            <w:shd w:val="clear" w:color="auto" w:fill="B6DDE8" w:themeFill="accent5" w:themeFillTint="66"/>
          </w:tcPr>
          <w:p w:rsidR="008B4A8C" w:rsidRPr="003779A6" w:rsidRDefault="008B4A8C" w:rsidP="00B40548">
            <w:pPr>
              <w:rPr>
                <w:rFonts w:cstheme="minorHAnsi"/>
                <w:b/>
              </w:rPr>
            </w:pPr>
            <w:r w:rsidRPr="003779A6">
              <w:rPr>
                <w:rFonts w:cstheme="minorHAnsi"/>
                <w:b/>
              </w:rPr>
              <w:t>Overseas transfers</w:t>
            </w:r>
          </w:p>
          <w:p w:rsidR="008B4A8C" w:rsidRPr="003779A6" w:rsidRDefault="008B4A8C" w:rsidP="00B40548">
            <w:pPr>
              <w:rPr>
                <w:rFonts w:cstheme="minorHAnsi"/>
                <w:b/>
              </w:rPr>
            </w:pPr>
            <w:r w:rsidRPr="003779A6">
              <w:rPr>
                <w:rFonts w:cstheme="minorHAnsi"/>
                <w:b/>
              </w:rPr>
              <w:t xml:space="preserve"> </w:t>
            </w: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Geographic location(s) in which you / your sub-processors will process our personal data including for storage and back up purposes.</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How transfers of our personal data out of the </w:t>
            </w:r>
            <w:r w:rsidR="000A18B1">
              <w:rPr>
                <w:rFonts w:cstheme="minorHAnsi"/>
              </w:rPr>
              <w:t xml:space="preserve">UK or the </w:t>
            </w:r>
            <w:r w:rsidRPr="003779A6">
              <w:rPr>
                <w:rFonts w:cstheme="minorHAnsi"/>
              </w:rPr>
              <w:t>EEA – including to sub-processors - will be made compatibly with data protection legislation.</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6360F9" w:rsidRDefault="008B4A8C" w:rsidP="006360F9">
            <w:pPr>
              <w:rPr>
                <w:rFonts w:cstheme="minorHAnsi"/>
                <w:b/>
              </w:rPr>
            </w:pPr>
          </w:p>
        </w:tc>
        <w:tc>
          <w:tcPr>
            <w:tcW w:w="3614" w:type="dxa"/>
          </w:tcPr>
          <w:p w:rsidR="008B4A8C" w:rsidRPr="003779A6" w:rsidRDefault="008B4A8C" w:rsidP="00862980">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9634" w:type="dxa"/>
            <w:gridSpan w:val="3"/>
            <w:shd w:val="clear" w:color="auto" w:fill="B6DDE8" w:themeFill="accent5" w:themeFillTint="66"/>
          </w:tcPr>
          <w:p w:rsidR="008B4A8C" w:rsidRPr="003779A6" w:rsidRDefault="008B4A8C" w:rsidP="00B40548">
            <w:pPr>
              <w:rPr>
                <w:rFonts w:cstheme="minorHAnsi"/>
                <w:b/>
              </w:rPr>
            </w:pPr>
            <w:r w:rsidRPr="003779A6">
              <w:rPr>
                <w:rFonts w:cstheme="minorHAnsi"/>
                <w:b/>
              </w:rPr>
              <w:t>Data Subjects</w:t>
            </w:r>
          </w:p>
          <w:p w:rsidR="008B4A8C" w:rsidRPr="003779A6" w:rsidRDefault="008B4A8C" w:rsidP="00B40548">
            <w:pPr>
              <w:rPr>
                <w:rFonts w:cstheme="minorHAnsi"/>
                <w:b/>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Details of how you can delete, </w:t>
            </w:r>
            <w:proofErr w:type="gramStart"/>
            <w:r w:rsidRPr="003779A6">
              <w:rPr>
                <w:rFonts w:cstheme="minorHAnsi"/>
              </w:rPr>
              <w:t>amend</w:t>
            </w:r>
            <w:proofErr w:type="gramEnd"/>
            <w:r w:rsidRPr="003779A6">
              <w:rPr>
                <w:rFonts w:cstheme="minorHAnsi"/>
              </w:rPr>
              <w:t xml:space="preserve"> and extract our personal data and restrict its use upon request.</w:t>
            </w:r>
          </w:p>
          <w:p w:rsidR="008B4A8C" w:rsidRPr="003779A6" w:rsidRDefault="008B4A8C" w:rsidP="00B40548">
            <w:pPr>
              <w:tabs>
                <w:tab w:val="left" w:pos="1245"/>
              </w:tabs>
              <w:rPr>
                <w:rFonts w:cstheme="minorHAnsi"/>
              </w:rPr>
            </w:pPr>
            <w:r w:rsidRPr="003779A6">
              <w:rPr>
                <w:rFonts w:cstheme="minorHAnsi"/>
              </w:rPr>
              <w:tab/>
            </w: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Process and timing for notifying us if you receive a request from a data subject of our personal data.</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9634" w:type="dxa"/>
            <w:gridSpan w:val="3"/>
            <w:shd w:val="clear" w:color="auto" w:fill="B6DDE8" w:themeFill="accent5" w:themeFillTint="66"/>
          </w:tcPr>
          <w:p w:rsidR="008B4A8C" w:rsidRPr="003779A6" w:rsidRDefault="008B4A8C" w:rsidP="00B40548">
            <w:pPr>
              <w:rPr>
                <w:rFonts w:cstheme="minorHAnsi"/>
                <w:b/>
              </w:rPr>
            </w:pPr>
            <w:r w:rsidRPr="003779A6">
              <w:rPr>
                <w:rFonts w:cstheme="minorHAnsi"/>
                <w:b/>
              </w:rPr>
              <w:t>Security and breaches</w:t>
            </w:r>
          </w:p>
          <w:p w:rsidR="008B4A8C" w:rsidRPr="003779A6" w:rsidRDefault="008B4A8C" w:rsidP="00B40548">
            <w:pPr>
              <w:rPr>
                <w:rFonts w:cstheme="minorHAnsi"/>
              </w:rPr>
            </w:pPr>
            <w:r w:rsidRPr="003779A6">
              <w:rPr>
                <w:rFonts w:cstheme="minorHAnsi"/>
              </w:rPr>
              <w:t xml:space="preserve">                                                                                                                                                                                                                                                                                                                                                                                                                                                                                                                              </w:t>
            </w: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Technical and organisational security measures (including security certifications) in place to secure our personal data.</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Process and timing for notifying us if our personal data is involved in a data breach.</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Have you had to notify the ICO of a personal data breach within the last 12 months?  </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If yes, please confirm what steps have been taken to prevent a recurrence of that or similar breaches.</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9634" w:type="dxa"/>
            <w:gridSpan w:val="3"/>
            <w:shd w:val="clear" w:color="auto" w:fill="B6DDE8" w:themeFill="accent5" w:themeFillTint="66"/>
          </w:tcPr>
          <w:p w:rsidR="008B4A8C" w:rsidRPr="003779A6" w:rsidRDefault="006D7C06" w:rsidP="00B40548">
            <w:pPr>
              <w:rPr>
                <w:rFonts w:cstheme="minorHAnsi"/>
                <w:b/>
              </w:rPr>
            </w:pPr>
            <w:r>
              <w:rPr>
                <w:rFonts w:cstheme="minorHAnsi"/>
                <w:b/>
              </w:rPr>
              <w:t xml:space="preserve">UK </w:t>
            </w:r>
            <w:r w:rsidR="008B4A8C" w:rsidRPr="003779A6">
              <w:rPr>
                <w:rFonts w:cstheme="minorHAnsi"/>
                <w:b/>
              </w:rPr>
              <w:t>GDPR compliance</w:t>
            </w:r>
          </w:p>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 xml:space="preserve">As data controller the obligation is on the FRC to have GDPR compliant processor terms in place. Our standard Data Processing Terms are below. Please confirm if you have any objection to </w:t>
            </w:r>
            <w:proofErr w:type="gramStart"/>
            <w:r w:rsidRPr="003779A6">
              <w:rPr>
                <w:rFonts w:cstheme="minorHAnsi"/>
              </w:rPr>
              <w:t>entering into</w:t>
            </w:r>
            <w:proofErr w:type="gramEnd"/>
            <w:r w:rsidRPr="003779A6">
              <w:rPr>
                <w:rFonts w:cstheme="minorHAnsi"/>
              </w:rPr>
              <w:t xml:space="preserve"> these terms.</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r w:rsidR="008B4A8C" w:rsidRPr="003779A6" w:rsidTr="00B67513">
        <w:tc>
          <w:tcPr>
            <w:tcW w:w="523" w:type="dxa"/>
            <w:shd w:val="clear" w:color="auto" w:fill="B6DDE8" w:themeFill="accent5" w:themeFillTint="66"/>
          </w:tcPr>
          <w:p w:rsidR="008B4A8C" w:rsidRPr="003779A6" w:rsidRDefault="008B4A8C" w:rsidP="008B4A8C">
            <w:pPr>
              <w:pStyle w:val="ListParagraph"/>
              <w:numPr>
                <w:ilvl w:val="0"/>
                <w:numId w:val="25"/>
              </w:numPr>
              <w:spacing w:after="0" w:line="240" w:lineRule="auto"/>
              <w:rPr>
                <w:rFonts w:cstheme="minorHAnsi"/>
                <w:b/>
              </w:rPr>
            </w:pPr>
          </w:p>
        </w:tc>
        <w:tc>
          <w:tcPr>
            <w:tcW w:w="3614" w:type="dxa"/>
          </w:tcPr>
          <w:p w:rsidR="008B4A8C" w:rsidRPr="003779A6" w:rsidRDefault="008B4A8C" w:rsidP="00B40548">
            <w:pPr>
              <w:rPr>
                <w:rFonts w:cstheme="minorHAnsi"/>
              </w:rPr>
            </w:pPr>
            <w:r w:rsidRPr="003779A6">
              <w:rPr>
                <w:rFonts w:cstheme="minorHAnsi"/>
              </w:rPr>
              <w:t>Details of how your service is GDPR compliant (</w:t>
            </w:r>
            <w:proofErr w:type="gramStart"/>
            <w:r w:rsidRPr="003779A6">
              <w:rPr>
                <w:rFonts w:cstheme="minorHAnsi"/>
              </w:rPr>
              <w:t>in particular with</w:t>
            </w:r>
            <w:proofErr w:type="gramEnd"/>
            <w:r w:rsidRPr="003779A6">
              <w:rPr>
                <w:rFonts w:cstheme="minorHAnsi"/>
              </w:rPr>
              <w:t xml:space="preserve"> the principles in Articles 5) plus copies of any relevant data protection impact assessments.</w:t>
            </w:r>
          </w:p>
          <w:p w:rsidR="008B4A8C" w:rsidRPr="003779A6" w:rsidRDefault="008B4A8C" w:rsidP="00B40548">
            <w:pPr>
              <w:rPr>
                <w:rFonts w:cstheme="minorHAnsi"/>
              </w:rPr>
            </w:pPr>
          </w:p>
        </w:tc>
        <w:tc>
          <w:tcPr>
            <w:tcW w:w="5497" w:type="dxa"/>
          </w:tcPr>
          <w:p w:rsidR="008B4A8C" w:rsidRPr="003779A6" w:rsidRDefault="008B4A8C" w:rsidP="00B40548">
            <w:pPr>
              <w:rPr>
                <w:rFonts w:cstheme="minorHAnsi"/>
              </w:rPr>
            </w:pPr>
          </w:p>
        </w:tc>
      </w:tr>
    </w:tbl>
    <w:p w:rsidR="008B4A8C" w:rsidRDefault="008B4A8C"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Pr="00B460D1" w:rsidRDefault="00A47D1E" w:rsidP="00A47D1E">
      <w:pPr>
        <w:pStyle w:val="PLHeading2"/>
        <w:numPr>
          <w:ilvl w:val="0"/>
          <w:numId w:val="0"/>
        </w:numPr>
        <w:ind w:left="851" w:hanging="851"/>
        <w:jc w:val="both"/>
        <w:rPr>
          <w:rFonts w:cstheme="minorHAnsi"/>
          <w:i/>
          <w:u w:val="single"/>
        </w:rPr>
      </w:pPr>
      <w:r w:rsidRPr="009D5A8C">
        <w:rPr>
          <w:rFonts w:ascii="Arial" w:eastAsia="Arial" w:hAnsi="Arial" w:cs="Arial"/>
          <w:b/>
          <w:sz w:val="24"/>
          <w:szCs w:val="24"/>
        </w:rPr>
        <w:t>Personal Data Processing</w:t>
      </w:r>
    </w:p>
    <w:tbl>
      <w:tblPr>
        <w:tblStyle w:val="TableGrid"/>
        <w:tblW w:w="10065" w:type="dxa"/>
        <w:tblInd w:w="-431" w:type="dxa"/>
        <w:tblLook w:val="04A0" w:firstRow="1" w:lastRow="0" w:firstColumn="1" w:lastColumn="0" w:noHBand="0" w:noVBand="1"/>
      </w:tblPr>
      <w:tblGrid>
        <w:gridCol w:w="3261"/>
        <w:gridCol w:w="6804"/>
      </w:tblGrid>
      <w:tr w:rsidR="00A47D1E" w:rsidTr="00B67513">
        <w:tc>
          <w:tcPr>
            <w:tcW w:w="3261" w:type="dxa"/>
            <w:vAlign w:val="center"/>
          </w:tcPr>
          <w:p w:rsidR="00A47D1E" w:rsidRDefault="00A47D1E" w:rsidP="00264F19">
            <w:pPr>
              <w:pStyle w:val="PLHeading1"/>
              <w:numPr>
                <w:ilvl w:val="0"/>
                <w:numId w:val="0"/>
              </w:numPr>
            </w:pPr>
            <w:r w:rsidRPr="004D3C05">
              <w:rPr>
                <w:rFonts w:ascii="Arial" w:hAnsi="Arial" w:cs="Arial"/>
                <w:sz w:val="24"/>
                <w:szCs w:val="24"/>
              </w:rPr>
              <w:t>Description</w:t>
            </w:r>
          </w:p>
        </w:tc>
        <w:tc>
          <w:tcPr>
            <w:tcW w:w="6804" w:type="dxa"/>
            <w:vAlign w:val="center"/>
          </w:tcPr>
          <w:p w:rsidR="00A47D1E" w:rsidRDefault="00A47D1E" w:rsidP="00264F19">
            <w:pPr>
              <w:pStyle w:val="PLHeading1"/>
              <w:numPr>
                <w:ilvl w:val="0"/>
                <w:numId w:val="0"/>
              </w:numPr>
            </w:pPr>
            <w:r w:rsidRPr="004D3C05">
              <w:rPr>
                <w:rFonts w:ascii="Arial" w:hAnsi="Arial" w:cs="Arial"/>
                <w:sz w:val="24"/>
                <w:szCs w:val="24"/>
              </w:rPr>
              <w:t>Details</w:t>
            </w:r>
          </w:p>
        </w:tc>
      </w:tr>
      <w:tr w:rsidR="00A47D1E" w:rsidTr="00B67513">
        <w:tc>
          <w:tcPr>
            <w:tcW w:w="3261" w:type="dxa"/>
          </w:tcPr>
          <w:p w:rsidR="00A47D1E" w:rsidRPr="00817095" w:rsidRDefault="00A47D1E" w:rsidP="00264F19">
            <w:pPr>
              <w:rPr>
                <w:rFonts w:cstheme="minorHAnsi"/>
              </w:rPr>
            </w:pPr>
            <w:r w:rsidRPr="00817095">
              <w:rPr>
                <w:rFonts w:cstheme="minorHAnsi"/>
              </w:rPr>
              <w:t xml:space="preserve">Data </w:t>
            </w:r>
            <w:proofErr w:type="gramStart"/>
            <w:r w:rsidRPr="00817095">
              <w:rPr>
                <w:rFonts w:cstheme="minorHAnsi"/>
              </w:rPr>
              <w:t>protection</w:t>
            </w:r>
            <w:proofErr w:type="gramEnd"/>
            <w:r w:rsidRPr="00817095">
              <w:rPr>
                <w:rFonts w:cstheme="minorHAnsi"/>
              </w:rPr>
              <w:t xml:space="preserve"> contact details</w:t>
            </w:r>
          </w:p>
          <w:p w:rsidR="00A47D1E" w:rsidRPr="00B460D1" w:rsidRDefault="00A47D1E" w:rsidP="00264F19">
            <w:pPr>
              <w:pStyle w:val="PLHeading1"/>
              <w:numPr>
                <w:ilvl w:val="0"/>
                <w:numId w:val="0"/>
              </w:numPr>
              <w:rPr>
                <w:rFonts w:ascii="Arial" w:hAnsi="Arial" w:cs="Arial"/>
                <w:b w:val="0"/>
                <w:bCs/>
                <w:sz w:val="24"/>
                <w:szCs w:val="24"/>
              </w:rPr>
            </w:pPr>
          </w:p>
        </w:tc>
        <w:tc>
          <w:tcPr>
            <w:tcW w:w="6804" w:type="dxa"/>
          </w:tcPr>
          <w:p w:rsidR="00A47D1E" w:rsidRPr="000C29E2" w:rsidRDefault="00A47D1E" w:rsidP="00264F19">
            <w:pPr>
              <w:pStyle w:val="PLHeading1"/>
              <w:numPr>
                <w:ilvl w:val="0"/>
                <w:numId w:val="0"/>
              </w:numPr>
              <w:spacing w:after="0" w:line="240" w:lineRule="auto"/>
              <w:rPr>
                <w:rFonts w:ascii="Arial" w:hAnsi="Arial" w:cs="Arial"/>
                <w:b w:val="0"/>
                <w:bCs/>
                <w:sz w:val="20"/>
                <w:szCs w:val="20"/>
              </w:rPr>
            </w:pPr>
            <w:r w:rsidRPr="000C29E2">
              <w:rPr>
                <w:rFonts w:ascii="Arial" w:hAnsi="Arial" w:cs="Arial"/>
                <w:b w:val="0"/>
                <w:bCs/>
                <w:sz w:val="20"/>
                <w:szCs w:val="20"/>
              </w:rPr>
              <w:t>Name</w:t>
            </w:r>
            <w:r w:rsidR="00B67513">
              <w:rPr>
                <w:rFonts w:ascii="Arial" w:hAnsi="Arial" w:cs="Arial"/>
                <w:b w:val="0"/>
                <w:bCs/>
                <w:sz w:val="20"/>
                <w:szCs w:val="20"/>
              </w:rPr>
              <w:t>:</w:t>
            </w:r>
          </w:p>
          <w:p w:rsidR="00A47D1E" w:rsidRPr="000C29E2" w:rsidRDefault="00A47D1E" w:rsidP="00264F19">
            <w:pPr>
              <w:pStyle w:val="PLHeading2"/>
              <w:numPr>
                <w:ilvl w:val="0"/>
                <w:numId w:val="0"/>
              </w:numPr>
              <w:spacing w:after="0" w:line="240" w:lineRule="auto"/>
              <w:ind w:left="851" w:hanging="851"/>
              <w:rPr>
                <w:rFonts w:ascii="Arial" w:hAnsi="Arial" w:cs="Arial"/>
                <w:sz w:val="20"/>
                <w:szCs w:val="20"/>
              </w:rPr>
            </w:pPr>
            <w:r w:rsidRPr="000C29E2">
              <w:rPr>
                <w:rFonts w:ascii="Arial" w:hAnsi="Arial" w:cs="Arial"/>
                <w:sz w:val="20"/>
                <w:szCs w:val="20"/>
              </w:rPr>
              <w:t>Email</w:t>
            </w:r>
            <w:r w:rsidR="00B67513">
              <w:rPr>
                <w:rFonts w:ascii="Arial" w:hAnsi="Arial" w:cs="Arial"/>
                <w:sz w:val="20"/>
                <w:szCs w:val="20"/>
              </w:rPr>
              <w:t>:</w:t>
            </w:r>
          </w:p>
          <w:p w:rsidR="00A47D1E" w:rsidRPr="000C29E2" w:rsidRDefault="00A47D1E" w:rsidP="00264F19">
            <w:pPr>
              <w:pStyle w:val="PLHeading2"/>
              <w:numPr>
                <w:ilvl w:val="0"/>
                <w:numId w:val="0"/>
              </w:numPr>
              <w:spacing w:after="0" w:line="240" w:lineRule="auto"/>
              <w:ind w:left="851" w:hanging="851"/>
            </w:pPr>
            <w:r w:rsidRPr="000C29E2">
              <w:rPr>
                <w:rFonts w:ascii="Arial" w:hAnsi="Arial" w:cs="Arial"/>
                <w:sz w:val="20"/>
                <w:szCs w:val="20"/>
              </w:rPr>
              <w:t>Telephone</w:t>
            </w:r>
            <w:r w:rsidR="00B67513">
              <w:rPr>
                <w:rFonts w:ascii="Arial" w:hAnsi="Arial" w:cs="Arial"/>
                <w:sz w:val="20"/>
                <w:szCs w:val="20"/>
              </w:rPr>
              <w:t>:</w:t>
            </w:r>
          </w:p>
        </w:tc>
      </w:tr>
      <w:tr w:rsidR="00A47D1E" w:rsidTr="00B67513">
        <w:tc>
          <w:tcPr>
            <w:tcW w:w="3261" w:type="dxa"/>
          </w:tcPr>
          <w:p w:rsidR="00A47D1E" w:rsidRPr="00B460D1" w:rsidRDefault="00A47D1E" w:rsidP="00264F19">
            <w:pPr>
              <w:rPr>
                <w:rFonts w:cs="Arial"/>
                <w:b/>
                <w:bCs/>
                <w:sz w:val="24"/>
                <w:szCs w:val="24"/>
              </w:rPr>
            </w:pPr>
            <w:r>
              <w:rPr>
                <w:rFonts w:cs="Arial"/>
                <w:b/>
                <w:bCs/>
                <w:sz w:val="24"/>
                <w:szCs w:val="24"/>
              </w:rPr>
              <w:t xml:space="preserve">FRC’s </w:t>
            </w:r>
            <w:r w:rsidRPr="00817095">
              <w:rPr>
                <w:rFonts w:cstheme="minorHAnsi"/>
              </w:rPr>
              <w:t>Data protection contact details</w:t>
            </w:r>
          </w:p>
        </w:tc>
        <w:tc>
          <w:tcPr>
            <w:tcW w:w="6804" w:type="dxa"/>
          </w:tcPr>
          <w:p w:rsidR="00A47D1E" w:rsidRDefault="00A47D1E" w:rsidP="00264F19">
            <w:pPr>
              <w:pStyle w:val="PLHeading1"/>
              <w:numPr>
                <w:ilvl w:val="0"/>
                <w:numId w:val="0"/>
              </w:numPr>
              <w:rPr>
                <w:rFonts w:ascii="Arial" w:hAnsi="Arial" w:cs="Arial"/>
                <w:b w:val="0"/>
                <w:bCs/>
              </w:rPr>
            </w:pPr>
            <w:r>
              <w:rPr>
                <w:rFonts w:ascii="Arial" w:hAnsi="Arial" w:cs="Arial"/>
                <w:b w:val="0"/>
                <w:bCs/>
              </w:rPr>
              <w:t xml:space="preserve">DPO - </w:t>
            </w:r>
            <w:hyperlink r:id="rId7" w:history="1">
              <w:r w:rsidRPr="003779A6">
                <w:rPr>
                  <w:rStyle w:val="Hyperlink"/>
                  <w:rFonts w:cstheme="minorHAnsi"/>
                  <w:i/>
                </w:rPr>
                <w:t>privacy@frc.org.uk</w:t>
              </w:r>
            </w:hyperlink>
          </w:p>
        </w:tc>
      </w:tr>
      <w:tr w:rsidR="00A47D1E" w:rsidTr="00B67513">
        <w:tc>
          <w:tcPr>
            <w:tcW w:w="3261" w:type="dxa"/>
          </w:tcPr>
          <w:p w:rsidR="00A47D1E" w:rsidRPr="00B460D1" w:rsidRDefault="00A47D1E" w:rsidP="00264F19">
            <w:pPr>
              <w:pStyle w:val="PLHeading1"/>
              <w:numPr>
                <w:ilvl w:val="0"/>
                <w:numId w:val="0"/>
              </w:numPr>
              <w:rPr>
                <w:b w:val="0"/>
                <w:bCs/>
              </w:rPr>
            </w:pPr>
            <w:r w:rsidRPr="00B460D1">
              <w:rPr>
                <w:rFonts w:ascii="Arial" w:hAnsi="Arial" w:cs="Arial"/>
                <w:b w:val="0"/>
                <w:bCs/>
                <w:sz w:val="24"/>
                <w:szCs w:val="24"/>
              </w:rPr>
              <w:t>Identity of Controller for each Category of Personal Data</w:t>
            </w:r>
          </w:p>
        </w:tc>
        <w:tc>
          <w:tcPr>
            <w:tcW w:w="6804" w:type="dxa"/>
          </w:tcPr>
          <w:p w:rsidR="00A47D1E" w:rsidRPr="00CD6AB4" w:rsidRDefault="00A47D1E" w:rsidP="00264F19">
            <w:pPr>
              <w:pStyle w:val="PLHeading1"/>
              <w:numPr>
                <w:ilvl w:val="0"/>
                <w:numId w:val="0"/>
              </w:numPr>
              <w:rPr>
                <w:rFonts w:ascii="Arial" w:hAnsi="Arial" w:cs="Arial"/>
                <w:b w:val="0"/>
                <w:bCs/>
              </w:rPr>
            </w:pPr>
            <w:r>
              <w:rPr>
                <w:rFonts w:ascii="Arial" w:hAnsi="Arial" w:cs="Arial"/>
                <w:b w:val="0"/>
                <w:bCs/>
              </w:rPr>
              <w:t xml:space="preserve">The supplier </w:t>
            </w:r>
            <w:r w:rsidRPr="00CD6AB4">
              <w:rPr>
                <w:rFonts w:ascii="Arial" w:hAnsi="Arial" w:cs="Arial"/>
                <w:b w:val="0"/>
                <w:bCs/>
              </w:rPr>
              <w:t>is the Data</w:t>
            </w:r>
            <w:r>
              <w:rPr>
                <w:rFonts w:ascii="Arial" w:hAnsi="Arial" w:cs="Arial"/>
                <w:b w:val="0"/>
                <w:bCs/>
              </w:rPr>
              <w:t xml:space="preserve"> Processor.</w:t>
            </w:r>
          </w:p>
          <w:p w:rsidR="00A47D1E" w:rsidRPr="00D91DCD" w:rsidRDefault="00A47D1E" w:rsidP="00264F19">
            <w:pPr>
              <w:pStyle w:val="PLHeading2"/>
              <w:numPr>
                <w:ilvl w:val="0"/>
                <w:numId w:val="0"/>
              </w:numPr>
              <w:ind w:left="851"/>
            </w:pPr>
          </w:p>
        </w:tc>
      </w:tr>
      <w:tr w:rsidR="00A47D1E" w:rsidTr="00B67513">
        <w:tc>
          <w:tcPr>
            <w:tcW w:w="3261" w:type="dxa"/>
          </w:tcPr>
          <w:p w:rsidR="00A47D1E" w:rsidRPr="00B460D1" w:rsidRDefault="00A47D1E" w:rsidP="00264F19">
            <w:pPr>
              <w:pStyle w:val="PLHeading1"/>
              <w:numPr>
                <w:ilvl w:val="0"/>
                <w:numId w:val="0"/>
              </w:numPr>
              <w:rPr>
                <w:b w:val="0"/>
                <w:bCs/>
              </w:rPr>
            </w:pPr>
            <w:r w:rsidRPr="00B460D1">
              <w:rPr>
                <w:rFonts w:ascii="Arial" w:hAnsi="Arial" w:cs="Arial"/>
                <w:b w:val="0"/>
                <w:bCs/>
                <w:sz w:val="24"/>
                <w:szCs w:val="24"/>
              </w:rPr>
              <w:t>Duration of the Processing</w:t>
            </w:r>
          </w:p>
        </w:tc>
        <w:tc>
          <w:tcPr>
            <w:tcW w:w="6804" w:type="dxa"/>
          </w:tcPr>
          <w:p w:rsidR="00A47D1E" w:rsidRDefault="00A47D1E" w:rsidP="00264F19">
            <w:pPr>
              <w:pStyle w:val="PLHeading1"/>
              <w:numPr>
                <w:ilvl w:val="0"/>
                <w:numId w:val="0"/>
              </w:numPr>
              <w:rPr>
                <w:rFonts w:ascii="Arial" w:hAnsi="Arial" w:cs="Arial"/>
                <w:b w:val="0"/>
                <w:bCs/>
                <w:color w:val="BFBFBF" w:themeColor="background1" w:themeShade="BF"/>
                <w:sz w:val="20"/>
                <w:szCs w:val="20"/>
              </w:rPr>
            </w:pPr>
            <w:r w:rsidRPr="00220F2B">
              <w:rPr>
                <w:rFonts w:ascii="Arial" w:hAnsi="Arial" w:cs="Arial"/>
                <w:b w:val="0"/>
                <w:bCs/>
                <w:color w:val="BFBFBF" w:themeColor="background1" w:themeShade="BF"/>
                <w:sz w:val="20"/>
                <w:szCs w:val="20"/>
              </w:rPr>
              <w:t xml:space="preserve">For example, </w:t>
            </w:r>
          </w:p>
          <w:p w:rsidR="00A47D1E" w:rsidRDefault="00A47D1E" w:rsidP="00264F19">
            <w:pPr>
              <w:pStyle w:val="PLHeading1"/>
              <w:numPr>
                <w:ilvl w:val="0"/>
                <w:numId w:val="0"/>
              </w:numPr>
              <w:rPr>
                <w:rFonts w:ascii="Arial" w:hAnsi="Arial" w:cs="Arial"/>
                <w:b w:val="0"/>
                <w:bCs/>
                <w:color w:val="BFBFBF" w:themeColor="background1" w:themeShade="BF"/>
                <w:sz w:val="20"/>
                <w:szCs w:val="20"/>
              </w:rPr>
            </w:pPr>
            <w:r>
              <w:rPr>
                <w:rFonts w:ascii="Arial" w:hAnsi="Arial" w:cs="Arial"/>
                <w:b w:val="0"/>
                <w:bCs/>
                <w:color w:val="BFBFBF" w:themeColor="background1" w:themeShade="BF"/>
                <w:sz w:val="20"/>
                <w:szCs w:val="20"/>
              </w:rPr>
              <w:t>Throughout the duration of the Agreement.</w:t>
            </w:r>
          </w:p>
          <w:p w:rsidR="00A47D1E" w:rsidRPr="00220F2B" w:rsidRDefault="00A47D1E" w:rsidP="00264F19">
            <w:pPr>
              <w:pStyle w:val="PLHeading1"/>
              <w:numPr>
                <w:ilvl w:val="0"/>
                <w:numId w:val="0"/>
              </w:numPr>
              <w:rPr>
                <w:rFonts w:ascii="Arial" w:hAnsi="Arial" w:cs="Arial"/>
                <w:b w:val="0"/>
                <w:bCs/>
                <w:sz w:val="20"/>
                <w:szCs w:val="20"/>
              </w:rPr>
            </w:pPr>
            <w:r w:rsidRPr="00220F2B">
              <w:rPr>
                <w:rFonts w:ascii="Arial" w:hAnsi="Arial" w:cs="Arial"/>
                <w:b w:val="0"/>
                <w:bCs/>
                <w:color w:val="BFBFBF" w:themeColor="background1" w:themeShade="BF"/>
                <w:sz w:val="20"/>
                <w:szCs w:val="20"/>
              </w:rPr>
              <w:t>Up to xx years after the expiry or termination of the Agreement</w:t>
            </w:r>
          </w:p>
        </w:tc>
      </w:tr>
      <w:tr w:rsidR="00A47D1E" w:rsidTr="00B67513">
        <w:tc>
          <w:tcPr>
            <w:tcW w:w="3261" w:type="dxa"/>
          </w:tcPr>
          <w:p w:rsidR="00A47D1E" w:rsidRPr="00B460D1" w:rsidRDefault="00A47D1E" w:rsidP="00264F19">
            <w:pPr>
              <w:pStyle w:val="PLHeading1"/>
              <w:numPr>
                <w:ilvl w:val="0"/>
                <w:numId w:val="0"/>
              </w:numPr>
              <w:rPr>
                <w:b w:val="0"/>
                <w:bCs/>
              </w:rPr>
            </w:pPr>
            <w:r w:rsidRPr="00B460D1">
              <w:rPr>
                <w:rFonts w:ascii="Arial" w:hAnsi="Arial" w:cs="Arial"/>
                <w:b w:val="0"/>
                <w:bCs/>
                <w:sz w:val="24"/>
                <w:szCs w:val="24"/>
              </w:rPr>
              <w:t>Nature and purposes of the Processing</w:t>
            </w:r>
          </w:p>
        </w:tc>
        <w:tc>
          <w:tcPr>
            <w:tcW w:w="6804" w:type="dxa"/>
          </w:tcPr>
          <w:p w:rsidR="00A47D1E" w:rsidRPr="00872803" w:rsidRDefault="00A47D1E" w:rsidP="00264F19">
            <w:pPr>
              <w:rPr>
                <w:rFonts w:cs="Arial"/>
                <w:color w:val="BFBFBF" w:themeColor="background1" w:themeShade="BF"/>
                <w:sz w:val="20"/>
                <w:szCs w:val="20"/>
              </w:rPr>
            </w:pPr>
            <w:r w:rsidRPr="00872803">
              <w:rPr>
                <w:rFonts w:cs="Arial"/>
                <w:color w:val="BFBFBF" w:themeColor="background1" w:themeShade="BF"/>
                <w:sz w:val="20"/>
                <w:szCs w:val="20"/>
              </w:rPr>
              <w:t>For example</w:t>
            </w:r>
          </w:p>
          <w:p w:rsidR="00A47D1E" w:rsidRPr="00872803" w:rsidRDefault="00A47D1E" w:rsidP="00264F19">
            <w:pPr>
              <w:rPr>
                <w:rFonts w:cs="Arial"/>
                <w:color w:val="BFBFBF" w:themeColor="background1" w:themeShade="BF"/>
                <w:sz w:val="20"/>
                <w:szCs w:val="20"/>
              </w:rPr>
            </w:pPr>
            <w:r w:rsidRPr="00872803">
              <w:rPr>
                <w:rFonts w:cs="Arial"/>
                <w:color w:val="BFBFBF" w:themeColor="background1" w:themeShade="BF"/>
                <w:sz w:val="20"/>
                <w:szCs w:val="20"/>
              </w:rPr>
              <w:t>To facilitate the fulfilment of the Supplier’s obligations arising under this Agreement specifically</w:t>
            </w:r>
          </w:p>
          <w:p w:rsidR="00A47D1E" w:rsidRPr="00872803" w:rsidRDefault="00A47D1E" w:rsidP="00264F19">
            <w:pPr>
              <w:rPr>
                <w:rFonts w:cs="Arial"/>
                <w:color w:val="BFBFBF" w:themeColor="background1" w:themeShade="BF"/>
                <w:sz w:val="20"/>
                <w:szCs w:val="20"/>
              </w:rPr>
            </w:pPr>
            <w:r w:rsidRPr="00872803">
              <w:rPr>
                <w:rFonts w:cs="Arial"/>
                <w:color w:val="BFBFBF" w:themeColor="background1" w:themeShade="BF"/>
                <w:sz w:val="20"/>
                <w:szCs w:val="20"/>
              </w:rPr>
              <w:t xml:space="preserve"> </w:t>
            </w:r>
          </w:p>
          <w:p w:rsidR="00A47D1E" w:rsidRPr="00872803" w:rsidRDefault="00A47D1E" w:rsidP="00264F19">
            <w:pPr>
              <w:pStyle w:val="ListParagraph"/>
              <w:numPr>
                <w:ilvl w:val="0"/>
                <w:numId w:val="32"/>
              </w:numPr>
              <w:rPr>
                <w:rFonts w:ascii="Arial" w:hAnsi="Arial" w:cs="Arial"/>
                <w:color w:val="BFBFBF" w:themeColor="background1" w:themeShade="BF"/>
                <w:sz w:val="20"/>
                <w:szCs w:val="20"/>
              </w:rPr>
            </w:pPr>
            <w:r w:rsidRPr="00872803">
              <w:rPr>
                <w:rFonts w:ascii="Arial" w:hAnsi="Arial" w:cs="Arial"/>
                <w:color w:val="BFBFBF" w:themeColor="background1" w:themeShade="BF"/>
                <w:sz w:val="20"/>
                <w:szCs w:val="20"/>
              </w:rPr>
              <w:t xml:space="preserve">TBA </w:t>
            </w:r>
          </w:p>
          <w:p w:rsidR="00A47D1E" w:rsidRPr="00872803" w:rsidRDefault="00A47D1E" w:rsidP="00264F19">
            <w:pPr>
              <w:pStyle w:val="ListParagraph"/>
              <w:numPr>
                <w:ilvl w:val="0"/>
                <w:numId w:val="32"/>
              </w:numPr>
              <w:rPr>
                <w:rFonts w:ascii="Arial" w:hAnsi="Arial" w:cs="Arial"/>
                <w:color w:val="BFBFBF" w:themeColor="background1" w:themeShade="BF"/>
                <w:sz w:val="20"/>
                <w:szCs w:val="20"/>
              </w:rPr>
            </w:pPr>
            <w:r w:rsidRPr="00872803">
              <w:rPr>
                <w:rFonts w:ascii="Arial" w:hAnsi="Arial" w:cs="Arial"/>
                <w:color w:val="BFBFBF" w:themeColor="background1" w:themeShade="BF"/>
                <w:sz w:val="20"/>
                <w:szCs w:val="20"/>
              </w:rPr>
              <w:t>TBA</w:t>
            </w:r>
          </w:p>
          <w:p w:rsidR="00A47D1E" w:rsidRPr="00872803" w:rsidRDefault="00A47D1E" w:rsidP="00264F19">
            <w:pPr>
              <w:rPr>
                <w:rFonts w:cs="Arial"/>
                <w:color w:val="BFBFBF" w:themeColor="background1" w:themeShade="BF"/>
                <w:sz w:val="20"/>
                <w:szCs w:val="20"/>
              </w:rPr>
            </w:pPr>
            <w:r w:rsidRPr="00872803">
              <w:rPr>
                <w:rFonts w:cs="Arial"/>
                <w:color w:val="BFBFBF" w:themeColor="background1" w:themeShade="BF"/>
                <w:sz w:val="20"/>
                <w:szCs w:val="20"/>
              </w:rPr>
              <w:t xml:space="preserve">Furthermore including </w:t>
            </w:r>
          </w:p>
          <w:p w:rsidR="00A47D1E" w:rsidRPr="00872803" w:rsidRDefault="00A47D1E" w:rsidP="00264F19">
            <w:pPr>
              <w:pStyle w:val="ListParagraph"/>
              <w:numPr>
                <w:ilvl w:val="0"/>
                <w:numId w:val="31"/>
              </w:numPr>
              <w:rPr>
                <w:rFonts w:ascii="Arial" w:hAnsi="Arial" w:cs="Arial"/>
                <w:color w:val="BFBFBF" w:themeColor="background1" w:themeShade="BF"/>
                <w:sz w:val="20"/>
                <w:szCs w:val="20"/>
              </w:rPr>
            </w:pPr>
            <w:r w:rsidRPr="00872803">
              <w:rPr>
                <w:rFonts w:ascii="Arial" w:hAnsi="Arial" w:cs="Arial"/>
                <w:color w:val="BFBFBF" w:themeColor="background1" w:themeShade="BF"/>
                <w:sz w:val="20"/>
                <w:szCs w:val="20"/>
              </w:rPr>
              <w:t>Ensuring effective communication between the Supplier and FRC</w:t>
            </w:r>
          </w:p>
          <w:p w:rsidR="00A47D1E" w:rsidRPr="00872803" w:rsidRDefault="00A47D1E" w:rsidP="00264F19">
            <w:pPr>
              <w:pStyle w:val="ListParagraph"/>
              <w:numPr>
                <w:ilvl w:val="0"/>
                <w:numId w:val="31"/>
              </w:numPr>
            </w:pPr>
            <w:r w:rsidRPr="00872803">
              <w:rPr>
                <w:rFonts w:ascii="Arial" w:hAnsi="Arial" w:cs="Arial"/>
                <w:color w:val="BFBFBF" w:themeColor="background1" w:themeShade="BF"/>
                <w:sz w:val="20"/>
                <w:szCs w:val="20"/>
              </w:rPr>
              <w:t>Maintaining full and accurate records in accordance with any Record Keeping and Reporting provisions under the Agreement.</w:t>
            </w:r>
          </w:p>
        </w:tc>
      </w:tr>
      <w:tr w:rsidR="00A47D1E" w:rsidTr="00B67513">
        <w:tc>
          <w:tcPr>
            <w:tcW w:w="3261" w:type="dxa"/>
          </w:tcPr>
          <w:p w:rsidR="00A47D1E" w:rsidRPr="00B460D1" w:rsidRDefault="00A47D1E" w:rsidP="00264F19">
            <w:pPr>
              <w:pStyle w:val="PLHeading1"/>
              <w:numPr>
                <w:ilvl w:val="0"/>
                <w:numId w:val="0"/>
              </w:numPr>
              <w:rPr>
                <w:b w:val="0"/>
                <w:bCs/>
              </w:rPr>
            </w:pPr>
            <w:r w:rsidRPr="00B460D1">
              <w:rPr>
                <w:rFonts w:ascii="Arial" w:hAnsi="Arial" w:cs="Arial"/>
                <w:b w:val="0"/>
                <w:bCs/>
                <w:sz w:val="24"/>
                <w:szCs w:val="24"/>
              </w:rPr>
              <w:t>Type of Personal Data</w:t>
            </w:r>
          </w:p>
        </w:tc>
        <w:tc>
          <w:tcPr>
            <w:tcW w:w="6804" w:type="dxa"/>
          </w:tcPr>
          <w:p w:rsidR="00A47D1E" w:rsidRDefault="00A47D1E" w:rsidP="00264F19">
            <w:pPr>
              <w:pStyle w:val="PLHeading1"/>
              <w:numPr>
                <w:ilvl w:val="0"/>
                <w:numId w:val="0"/>
              </w:numPr>
            </w:pPr>
            <w:r>
              <w:rPr>
                <w:rFonts w:ascii="Arial" w:hAnsi="Arial" w:cs="Arial"/>
                <w:b w:val="0"/>
                <w:bCs/>
                <w:color w:val="BFBFBF" w:themeColor="background1" w:themeShade="BF"/>
                <w:sz w:val="20"/>
                <w:szCs w:val="20"/>
                <w:shd w:val="clear" w:color="auto" w:fill="FFFFFF"/>
              </w:rPr>
              <w:t>For example, including but not limited to Name, Email, Telephone, Membership, Race, Sex, Religion, Education, Images, data monitoring usage, biometrics political opinion.</w:t>
            </w:r>
          </w:p>
        </w:tc>
      </w:tr>
      <w:tr w:rsidR="00A47D1E" w:rsidTr="00B67513">
        <w:tc>
          <w:tcPr>
            <w:tcW w:w="3261" w:type="dxa"/>
          </w:tcPr>
          <w:p w:rsidR="00A47D1E" w:rsidRPr="00B460D1" w:rsidRDefault="00A47D1E" w:rsidP="00264F19">
            <w:pPr>
              <w:pStyle w:val="PLHeading1"/>
              <w:numPr>
                <w:ilvl w:val="0"/>
                <w:numId w:val="0"/>
              </w:numPr>
              <w:rPr>
                <w:b w:val="0"/>
                <w:bCs/>
              </w:rPr>
            </w:pPr>
            <w:r w:rsidRPr="00B460D1">
              <w:rPr>
                <w:rFonts w:ascii="Arial" w:hAnsi="Arial" w:cs="Arial"/>
                <w:b w:val="0"/>
                <w:bCs/>
                <w:sz w:val="24"/>
                <w:szCs w:val="24"/>
              </w:rPr>
              <w:t>Categories of Data Subject</w:t>
            </w:r>
          </w:p>
        </w:tc>
        <w:tc>
          <w:tcPr>
            <w:tcW w:w="6804" w:type="dxa"/>
          </w:tcPr>
          <w:p w:rsidR="00A47D1E" w:rsidRPr="00A5551F" w:rsidRDefault="00A47D1E" w:rsidP="00264F19">
            <w:pPr>
              <w:pStyle w:val="PLHeading1"/>
              <w:numPr>
                <w:ilvl w:val="0"/>
                <w:numId w:val="0"/>
              </w:numPr>
            </w:pPr>
            <w:r>
              <w:rPr>
                <w:rFonts w:ascii="Arial" w:hAnsi="Arial" w:cs="Arial"/>
                <w:b w:val="0"/>
                <w:bCs/>
                <w:color w:val="BFBFBF" w:themeColor="background1" w:themeShade="BF"/>
                <w:sz w:val="20"/>
                <w:szCs w:val="20"/>
                <w:shd w:val="clear" w:color="auto" w:fill="FFFFFF"/>
              </w:rPr>
              <w:t xml:space="preserve">For example, including but not limited to </w:t>
            </w:r>
            <w:r w:rsidRPr="00A5551F">
              <w:rPr>
                <w:rFonts w:ascii="Arial" w:hAnsi="Arial" w:cs="Arial"/>
                <w:b w:val="0"/>
                <w:bCs/>
                <w:color w:val="BFBFBF" w:themeColor="background1" w:themeShade="BF"/>
                <w:sz w:val="20"/>
                <w:szCs w:val="20"/>
                <w:shd w:val="clear" w:color="auto" w:fill="FFFFFF"/>
              </w:rPr>
              <w:t>FRC’s (contact persons/representatives)</w:t>
            </w:r>
            <w:r>
              <w:rPr>
                <w:rFonts w:ascii="Arial" w:hAnsi="Arial" w:cs="Arial"/>
                <w:b w:val="0"/>
                <w:bCs/>
                <w:color w:val="BFBFBF" w:themeColor="background1" w:themeShade="BF"/>
                <w:sz w:val="20"/>
                <w:szCs w:val="20"/>
                <w:shd w:val="clear" w:color="auto" w:fill="FFFFFF"/>
              </w:rPr>
              <w:t xml:space="preserve">; </w:t>
            </w:r>
            <w:r w:rsidRPr="00A5551F">
              <w:rPr>
                <w:rFonts w:ascii="Arial" w:hAnsi="Arial" w:cs="Arial"/>
                <w:b w:val="0"/>
                <w:bCs/>
                <w:color w:val="BFBFBF" w:themeColor="background1" w:themeShade="BF"/>
                <w:sz w:val="20"/>
                <w:szCs w:val="20"/>
              </w:rPr>
              <w:t>Customers</w:t>
            </w:r>
            <w:r>
              <w:rPr>
                <w:rFonts w:ascii="Arial" w:hAnsi="Arial" w:cs="Arial"/>
                <w:b w:val="0"/>
                <w:bCs/>
                <w:color w:val="BFBFBF" w:themeColor="background1" w:themeShade="BF"/>
                <w:sz w:val="20"/>
                <w:szCs w:val="20"/>
              </w:rPr>
              <w:t xml:space="preserve">; </w:t>
            </w:r>
            <w:r w:rsidRPr="00A5551F">
              <w:rPr>
                <w:rFonts w:ascii="Arial" w:hAnsi="Arial" w:cs="Arial"/>
                <w:b w:val="0"/>
                <w:bCs/>
                <w:color w:val="BFBFBF" w:themeColor="background1" w:themeShade="BF"/>
                <w:sz w:val="20"/>
                <w:szCs w:val="20"/>
              </w:rPr>
              <w:t>Staff</w:t>
            </w:r>
            <w:r>
              <w:rPr>
                <w:rFonts w:ascii="Arial" w:hAnsi="Arial" w:cs="Arial"/>
                <w:b w:val="0"/>
                <w:bCs/>
                <w:color w:val="BFBFBF" w:themeColor="background1" w:themeShade="BF"/>
                <w:sz w:val="20"/>
                <w:szCs w:val="20"/>
              </w:rPr>
              <w:t xml:space="preserve">; </w:t>
            </w:r>
            <w:r w:rsidRPr="00A5551F">
              <w:rPr>
                <w:rFonts w:ascii="Arial" w:hAnsi="Arial" w:cs="Arial"/>
                <w:b w:val="0"/>
                <w:bCs/>
                <w:color w:val="BFBFBF" w:themeColor="background1" w:themeShade="BF"/>
                <w:sz w:val="20"/>
                <w:szCs w:val="20"/>
              </w:rPr>
              <w:t>Directors</w:t>
            </w:r>
            <w:r>
              <w:rPr>
                <w:rFonts w:ascii="Arial" w:hAnsi="Arial" w:cs="Arial"/>
                <w:b w:val="0"/>
                <w:bCs/>
                <w:color w:val="BFBFBF" w:themeColor="background1" w:themeShade="BF"/>
                <w:sz w:val="20"/>
                <w:szCs w:val="20"/>
              </w:rPr>
              <w:t xml:space="preserve">; </w:t>
            </w:r>
            <w:r w:rsidRPr="00A5551F">
              <w:rPr>
                <w:rFonts w:ascii="Arial" w:hAnsi="Arial" w:cs="Arial"/>
                <w:b w:val="0"/>
                <w:bCs/>
                <w:color w:val="BFBFBF" w:themeColor="background1" w:themeShade="BF"/>
                <w:sz w:val="20"/>
                <w:szCs w:val="20"/>
              </w:rPr>
              <w:t>Current staff</w:t>
            </w:r>
            <w:r>
              <w:rPr>
                <w:rFonts w:ascii="Arial" w:hAnsi="Arial" w:cs="Arial"/>
                <w:b w:val="0"/>
                <w:bCs/>
                <w:color w:val="BFBFBF" w:themeColor="background1" w:themeShade="BF"/>
                <w:sz w:val="20"/>
                <w:szCs w:val="20"/>
              </w:rPr>
              <w:t xml:space="preserve">; </w:t>
            </w:r>
            <w:r w:rsidRPr="00A5551F">
              <w:rPr>
                <w:rFonts w:ascii="Arial" w:hAnsi="Arial" w:cs="Arial"/>
                <w:b w:val="0"/>
                <w:bCs/>
                <w:color w:val="BFBFBF" w:themeColor="background1" w:themeShade="BF"/>
                <w:sz w:val="20"/>
                <w:szCs w:val="20"/>
              </w:rPr>
              <w:t>Potential staff</w:t>
            </w:r>
            <w:r>
              <w:rPr>
                <w:rFonts w:ascii="Arial" w:hAnsi="Arial" w:cs="Arial"/>
                <w:b w:val="0"/>
                <w:bCs/>
                <w:color w:val="BFBFBF" w:themeColor="background1" w:themeShade="BF"/>
                <w:sz w:val="20"/>
                <w:szCs w:val="20"/>
              </w:rPr>
              <w:t xml:space="preserve">; </w:t>
            </w:r>
            <w:r w:rsidRPr="00A5551F">
              <w:rPr>
                <w:rFonts w:ascii="Arial" w:hAnsi="Arial" w:cs="Arial"/>
                <w:b w:val="0"/>
                <w:bCs/>
                <w:color w:val="BFBFBF" w:themeColor="background1" w:themeShade="BF"/>
                <w:sz w:val="20"/>
                <w:szCs w:val="20"/>
              </w:rPr>
              <w:t xml:space="preserve">Contractor / </w:t>
            </w:r>
            <w:proofErr w:type="gramStart"/>
            <w:r w:rsidRPr="00A5551F">
              <w:rPr>
                <w:rFonts w:ascii="Arial" w:hAnsi="Arial" w:cs="Arial"/>
                <w:b w:val="0"/>
                <w:bCs/>
                <w:color w:val="BFBFBF" w:themeColor="background1" w:themeShade="BF"/>
                <w:sz w:val="20"/>
                <w:szCs w:val="20"/>
              </w:rPr>
              <w:t xml:space="preserve">Consultant </w:t>
            </w:r>
            <w:r>
              <w:rPr>
                <w:rFonts w:ascii="Arial" w:hAnsi="Arial" w:cs="Arial"/>
                <w:b w:val="0"/>
                <w:bCs/>
                <w:color w:val="BFBFBF" w:themeColor="background1" w:themeShade="BF"/>
                <w:sz w:val="20"/>
                <w:szCs w:val="20"/>
              </w:rPr>
              <w:t>;</w:t>
            </w:r>
            <w:proofErr w:type="gramEnd"/>
            <w:r>
              <w:rPr>
                <w:rFonts w:ascii="Arial" w:hAnsi="Arial" w:cs="Arial"/>
                <w:b w:val="0"/>
                <w:bCs/>
                <w:color w:val="BFBFBF" w:themeColor="background1" w:themeShade="BF"/>
                <w:sz w:val="20"/>
                <w:szCs w:val="20"/>
              </w:rPr>
              <w:t xml:space="preserve"> </w:t>
            </w:r>
            <w:r w:rsidRPr="00A5551F">
              <w:rPr>
                <w:rFonts w:ascii="Arial" w:hAnsi="Arial" w:cs="Arial"/>
                <w:b w:val="0"/>
                <w:bCs/>
                <w:color w:val="BFBFBF" w:themeColor="background1" w:themeShade="BF"/>
                <w:sz w:val="20"/>
                <w:szCs w:val="20"/>
              </w:rPr>
              <w:t>Temporary agency worker</w:t>
            </w:r>
          </w:p>
        </w:tc>
      </w:tr>
      <w:tr w:rsidR="00A47D1E" w:rsidTr="00B67513">
        <w:tc>
          <w:tcPr>
            <w:tcW w:w="3261" w:type="dxa"/>
          </w:tcPr>
          <w:p w:rsidR="00A47D1E" w:rsidRPr="004D3C05" w:rsidRDefault="00A47D1E" w:rsidP="00264F19">
            <w:pPr>
              <w:rPr>
                <w:rFonts w:cs="Arial"/>
                <w:sz w:val="24"/>
                <w:szCs w:val="24"/>
              </w:rPr>
            </w:pPr>
            <w:r w:rsidRPr="004D3C05">
              <w:rPr>
                <w:rFonts w:cs="Arial"/>
                <w:sz w:val="24"/>
                <w:szCs w:val="24"/>
              </w:rPr>
              <w:t xml:space="preserve">Plan for return and destruction of the data once the </w:t>
            </w:r>
            <w:r>
              <w:rPr>
                <w:rFonts w:cs="Arial"/>
                <w:sz w:val="24"/>
                <w:szCs w:val="24"/>
              </w:rPr>
              <w:t>P</w:t>
            </w:r>
            <w:r w:rsidRPr="004D3C05">
              <w:rPr>
                <w:rFonts w:cs="Arial"/>
                <w:sz w:val="24"/>
                <w:szCs w:val="24"/>
              </w:rPr>
              <w:t>rocessing is complete</w:t>
            </w:r>
          </w:p>
          <w:p w:rsidR="00A47D1E" w:rsidRDefault="00A47D1E" w:rsidP="00264F19">
            <w:pPr>
              <w:pStyle w:val="PLHeading1"/>
              <w:numPr>
                <w:ilvl w:val="0"/>
                <w:numId w:val="0"/>
              </w:numPr>
            </w:pPr>
          </w:p>
        </w:tc>
        <w:tc>
          <w:tcPr>
            <w:tcW w:w="6804" w:type="dxa"/>
          </w:tcPr>
          <w:p w:rsidR="00A47D1E" w:rsidRPr="00D46324" w:rsidRDefault="00A47D1E" w:rsidP="00264F19">
            <w:pPr>
              <w:pStyle w:val="PLHeading1"/>
              <w:numPr>
                <w:ilvl w:val="0"/>
                <w:numId w:val="0"/>
              </w:numPr>
              <w:rPr>
                <w:b w:val="0"/>
                <w:bCs/>
                <w:sz w:val="20"/>
                <w:szCs w:val="20"/>
              </w:rPr>
            </w:pPr>
            <w:r w:rsidRPr="00D46324">
              <w:rPr>
                <w:rFonts w:ascii="Arial" w:hAnsi="Arial" w:cs="Arial"/>
                <w:b w:val="0"/>
                <w:bCs/>
                <w:color w:val="BFBFBF" w:themeColor="background1" w:themeShade="BF"/>
                <w:sz w:val="20"/>
                <w:szCs w:val="20"/>
              </w:rPr>
              <w:t>For examples, Data will be retained for the delivery of the contract. It will then be securely destroyed according to ISO27001 compliant practices.</w:t>
            </w:r>
          </w:p>
        </w:tc>
      </w:tr>
    </w:tbl>
    <w:p w:rsidR="00A47D1E" w:rsidRPr="008B4A8C" w:rsidRDefault="00A47D1E" w:rsidP="00A47D1E">
      <w:pPr>
        <w:rPr>
          <w:rFonts w:cstheme="minorHAnsi"/>
        </w:rPr>
      </w:pPr>
    </w:p>
    <w:p w:rsidR="00A47D1E" w:rsidRPr="00547B5D" w:rsidRDefault="00A47D1E" w:rsidP="00A47D1E">
      <w:pPr>
        <w:rPr>
          <w:rFonts w:asciiTheme="minorHAnsi" w:hAnsiTheme="minorHAnsi" w:cstheme="minorHAnsi"/>
        </w:rPr>
      </w:pPr>
    </w:p>
    <w:p w:rsidR="00A47D1E" w:rsidRDefault="00A47D1E" w:rsidP="00A47D1E">
      <w:pPr>
        <w:rPr>
          <w:rFonts w:cstheme="minorHAnsi"/>
          <w:szCs w:val="22"/>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A47D1E" w:rsidRDefault="00A47D1E" w:rsidP="008B4A8C">
      <w:pPr>
        <w:rPr>
          <w:rFonts w:cstheme="minorHAnsi"/>
        </w:rPr>
      </w:pPr>
    </w:p>
    <w:p w:rsidR="00862980" w:rsidRDefault="00862980" w:rsidP="00862980">
      <w:pPr>
        <w:jc w:val="center"/>
        <w:rPr>
          <w:b/>
        </w:rPr>
      </w:pPr>
    </w:p>
    <w:p w:rsidR="00862980" w:rsidRPr="00454EB3" w:rsidRDefault="00862980" w:rsidP="00862980">
      <w:pPr>
        <w:jc w:val="center"/>
        <w:rPr>
          <w:b/>
        </w:rPr>
      </w:pPr>
      <w:r>
        <w:rPr>
          <w:b/>
        </w:rPr>
        <w:t>Data Processing Clause</w:t>
      </w:r>
    </w:p>
    <w:p w:rsidR="00862980" w:rsidRPr="00E34EA6" w:rsidRDefault="00862980" w:rsidP="00862980">
      <w:pPr>
        <w:pStyle w:val="PLHeading1"/>
      </w:pPr>
      <w:r w:rsidRPr="00E34EA6">
        <w:t>Data Protection</w:t>
      </w:r>
    </w:p>
    <w:p w:rsidR="00862980" w:rsidRPr="00E34EA6" w:rsidRDefault="00862980" w:rsidP="00862980">
      <w:pPr>
        <w:pStyle w:val="PLHeading2"/>
      </w:pPr>
      <w:r w:rsidRPr="00E34EA6">
        <w:rPr>
          <w:i/>
          <w:u w:val="single"/>
        </w:rPr>
        <w:t>Definitions</w:t>
      </w:r>
      <w:r w:rsidRPr="00E34EA6">
        <w:rPr>
          <w:i/>
        </w:rPr>
        <w:t xml:space="preserve">:  </w:t>
      </w:r>
      <w:r w:rsidRPr="00E34EA6">
        <w:t xml:space="preserve">In this Clause, the following terms shall have the following meanings: </w:t>
      </w:r>
    </w:p>
    <w:p w:rsidR="00862980" w:rsidRPr="00E34EA6" w:rsidRDefault="00862980" w:rsidP="00862980">
      <w:pPr>
        <w:pStyle w:val="PLHeading3"/>
        <w:numPr>
          <w:ilvl w:val="0"/>
          <w:numId w:val="27"/>
        </w:numPr>
        <w:ind w:left="1213" w:hanging="357"/>
        <w:jc w:val="both"/>
      </w:pPr>
      <w:r w:rsidRPr="00E34EA6">
        <w:t>"</w:t>
      </w:r>
      <w:r w:rsidRPr="00E34EA6">
        <w:rPr>
          <w:b/>
        </w:rPr>
        <w:t>controller</w:t>
      </w:r>
      <w:r w:rsidRPr="00E34EA6">
        <w:t>", "</w:t>
      </w:r>
      <w:r w:rsidRPr="00E34EA6">
        <w:rPr>
          <w:b/>
        </w:rPr>
        <w:t>processor</w:t>
      </w:r>
      <w:r w:rsidRPr="00E34EA6">
        <w:t>", "</w:t>
      </w:r>
      <w:r w:rsidRPr="00E34EA6">
        <w:rPr>
          <w:b/>
        </w:rPr>
        <w:t>data subject</w:t>
      </w:r>
      <w:r w:rsidRPr="00E34EA6">
        <w:t>", "</w:t>
      </w:r>
      <w:r w:rsidRPr="00E34EA6">
        <w:rPr>
          <w:b/>
        </w:rPr>
        <w:t>personal</w:t>
      </w:r>
      <w:r w:rsidRPr="00E34EA6">
        <w:t xml:space="preserve"> </w:t>
      </w:r>
      <w:r w:rsidRPr="00E34EA6">
        <w:rPr>
          <w:b/>
        </w:rPr>
        <w:t>data</w:t>
      </w:r>
      <w:r w:rsidRPr="00E34EA6">
        <w:t>" and "</w:t>
      </w:r>
      <w:r w:rsidRPr="00E34EA6">
        <w:rPr>
          <w:b/>
        </w:rPr>
        <w:t>processing</w:t>
      </w:r>
      <w:r w:rsidRPr="00E34EA6">
        <w:t>" (and "</w:t>
      </w:r>
      <w:r w:rsidRPr="00E34EA6">
        <w:rPr>
          <w:b/>
        </w:rPr>
        <w:t>process</w:t>
      </w:r>
      <w:r w:rsidRPr="00E34EA6">
        <w:t xml:space="preserve">") shall have the meanings given in Applicable Data Protection </w:t>
      </w:r>
      <w:proofErr w:type="gramStart"/>
      <w:r w:rsidRPr="00E34EA6">
        <w:t>Law;</w:t>
      </w:r>
      <w:proofErr w:type="gramEnd"/>
      <w:r w:rsidRPr="00E34EA6">
        <w:t xml:space="preserve"> </w:t>
      </w:r>
    </w:p>
    <w:p w:rsidR="00862980" w:rsidRDefault="00862980" w:rsidP="00862980">
      <w:pPr>
        <w:pStyle w:val="PLHeading3"/>
        <w:numPr>
          <w:ilvl w:val="0"/>
          <w:numId w:val="27"/>
        </w:numPr>
        <w:ind w:left="1213" w:hanging="357"/>
      </w:pPr>
      <w:r w:rsidRPr="00E34EA6">
        <w:t>"</w:t>
      </w:r>
      <w:r w:rsidRPr="00E34EA6">
        <w:rPr>
          <w:b/>
        </w:rPr>
        <w:t>Applicable Data Protection Law</w:t>
      </w:r>
      <w:r w:rsidRPr="00E34EA6">
        <w:t>" shall mean</w:t>
      </w:r>
      <w:r>
        <w:t xml:space="preserve"> UK Data Protection law and, where relevant, EU Data Protection </w:t>
      </w:r>
      <w:proofErr w:type="gramStart"/>
      <w:r>
        <w:t>Law;</w:t>
      </w:r>
      <w:proofErr w:type="gramEnd"/>
    </w:p>
    <w:p w:rsidR="00862980" w:rsidRDefault="00862980" w:rsidP="00862980">
      <w:pPr>
        <w:pStyle w:val="PLHeading3"/>
        <w:numPr>
          <w:ilvl w:val="0"/>
          <w:numId w:val="27"/>
        </w:numPr>
        <w:ind w:left="1134" w:hanging="283"/>
        <w:jc w:val="both"/>
      </w:pPr>
      <w:r>
        <w:t>"</w:t>
      </w:r>
      <w:r w:rsidRPr="0098119B">
        <w:rPr>
          <w:b/>
        </w:rPr>
        <w:t xml:space="preserve">EU </w:t>
      </w:r>
      <w:r>
        <w:rPr>
          <w:b/>
        </w:rPr>
        <w:t>Data Protection Law</w:t>
      </w:r>
      <w:r>
        <w:t>" means (</w:t>
      </w:r>
      <w:proofErr w:type="spellStart"/>
      <w:r>
        <w:t>i</w:t>
      </w:r>
      <w:proofErr w:type="spellEnd"/>
      <w:r>
        <w:t>) Regulation 2016/679 of the European Parliament and of the Council on the protection of natural persons with regard to the Processing of Personal Data and on the free movement of such data (General Data Protection Regulation) (the "</w:t>
      </w:r>
      <w:r w:rsidRPr="007618B4">
        <w:rPr>
          <w:b/>
        </w:rPr>
        <w:t>EU</w:t>
      </w:r>
      <w:r>
        <w:t xml:space="preserve"> </w:t>
      </w:r>
      <w:r w:rsidRPr="00465926">
        <w:rPr>
          <w:b/>
        </w:rPr>
        <w:t>GDPR</w:t>
      </w:r>
      <w:r>
        <w:t>"); (ii) the EU e-Privacy Directive (Directive 2002/58/EC); and (iii) any and all applicable national data protection laws made under, pursuant to or that apply in conjunction with any of (</w:t>
      </w:r>
      <w:proofErr w:type="spellStart"/>
      <w:r>
        <w:t>i</w:t>
      </w:r>
      <w:proofErr w:type="spellEnd"/>
      <w:r>
        <w:t>), (ii) or (iii); in each case as may be amended or superseded from time to time;</w:t>
      </w:r>
    </w:p>
    <w:p w:rsidR="00862980" w:rsidRDefault="00862980" w:rsidP="00862980">
      <w:pPr>
        <w:pStyle w:val="PLHeading3"/>
        <w:numPr>
          <w:ilvl w:val="0"/>
          <w:numId w:val="27"/>
        </w:numPr>
        <w:ind w:left="1213" w:hanging="357"/>
        <w:jc w:val="both"/>
      </w:pPr>
      <w:r>
        <w:t>"</w:t>
      </w:r>
      <w:r>
        <w:rPr>
          <w:b/>
        </w:rPr>
        <w:t>UK Data Protection Law</w:t>
      </w:r>
      <w:r>
        <w:t>" means: (</w:t>
      </w:r>
      <w:proofErr w:type="spellStart"/>
      <w:r>
        <w:t>i</w:t>
      </w:r>
      <w:proofErr w:type="spellEnd"/>
      <w:r>
        <w:t>) the EU GDPR as saved into domestic law by virtue of section 3 of the European Union (Withdrawal) Act 2018 (the "</w:t>
      </w:r>
      <w:r w:rsidRPr="00DF5E57">
        <w:rPr>
          <w:b/>
        </w:rPr>
        <w:t>UK</w:t>
      </w:r>
      <w:r>
        <w:t xml:space="preserve"> </w:t>
      </w:r>
      <w:r w:rsidRPr="00DF5E57">
        <w:rPr>
          <w:b/>
        </w:rPr>
        <w:t>GDPR</w:t>
      </w:r>
      <w:r>
        <w:t xml:space="preserve">"); (ii) the Data Protection Act 2018; and (iii) the Privacy and Electronic Communications (EC Directive) Regulations 2003, in each case as may be amended, repealed, </w:t>
      </w:r>
      <w:proofErr w:type="gramStart"/>
      <w:r>
        <w:t>revoked</w:t>
      </w:r>
      <w:proofErr w:type="gramEnd"/>
      <w:r>
        <w:t xml:space="preserve"> or replaced from time to time; and</w:t>
      </w:r>
    </w:p>
    <w:p w:rsidR="00862980" w:rsidRPr="00B67513" w:rsidRDefault="00862980" w:rsidP="00862980">
      <w:pPr>
        <w:pStyle w:val="PLHeading3"/>
        <w:numPr>
          <w:ilvl w:val="0"/>
          <w:numId w:val="27"/>
        </w:numPr>
        <w:ind w:left="1213" w:hanging="357"/>
        <w:jc w:val="both"/>
      </w:pPr>
      <w:r w:rsidRPr="00B67513">
        <w:t>“</w:t>
      </w:r>
      <w:r w:rsidRPr="00B67513">
        <w:rPr>
          <w:b/>
        </w:rPr>
        <w:t>Service Provider</w:t>
      </w:r>
      <w:r w:rsidRPr="00B67513">
        <w:t>” means you/your company</w:t>
      </w:r>
      <w:r w:rsidR="00B67513" w:rsidRPr="00B67513">
        <w:t>/ the Supplier</w:t>
      </w:r>
      <w:r w:rsidRPr="00B67513">
        <w:t>.</w:t>
      </w:r>
    </w:p>
    <w:p w:rsidR="00862980" w:rsidRPr="006724CC" w:rsidRDefault="00862980" w:rsidP="00862980">
      <w:pPr>
        <w:pStyle w:val="PLHeading3"/>
        <w:numPr>
          <w:ilvl w:val="0"/>
          <w:numId w:val="0"/>
        </w:numPr>
        <w:ind w:left="1213" w:hanging="357"/>
        <w:jc w:val="both"/>
      </w:pPr>
    </w:p>
    <w:p w:rsidR="00862980" w:rsidRPr="00A47D1E" w:rsidRDefault="00862980" w:rsidP="00862980">
      <w:pPr>
        <w:pStyle w:val="PLHeading2"/>
        <w:jc w:val="both"/>
        <w:rPr>
          <w:u w:val="single"/>
        </w:rPr>
      </w:pPr>
      <w:r w:rsidRPr="00E34EA6">
        <w:rPr>
          <w:i/>
          <w:u w:val="single"/>
        </w:rPr>
        <w:t>Relationship of the parties:</w:t>
      </w:r>
      <w:r w:rsidRPr="00E34EA6">
        <w:t xml:space="preserve">  </w:t>
      </w:r>
      <w:r w:rsidRPr="00A47D1E">
        <w:t>In connection with th</w:t>
      </w:r>
      <w:r w:rsidR="00A47D1E" w:rsidRPr="00A47D1E">
        <w:t>is a</w:t>
      </w:r>
      <w:r w:rsidRPr="00A47D1E">
        <w:t xml:space="preserve">greement for </w:t>
      </w:r>
      <w:bookmarkStart w:id="0" w:name="_Hlk81997838"/>
      <w:r w:rsidRPr="00A47D1E">
        <w:t>supplies/services</w:t>
      </w:r>
      <w:bookmarkEnd w:id="0"/>
      <w:r w:rsidRPr="00A47D1E">
        <w:t>, as applicable, to the Financial Reporting Council ("</w:t>
      </w:r>
      <w:r w:rsidRPr="00A47D1E">
        <w:rPr>
          <w:b/>
        </w:rPr>
        <w:t>FRC</w:t>
      </w:r>
      <w:r w:rsidRPr="00A47D1E">
        <w:t xml:space="preserve">") the FRC (the controller) appoints Service Provider as a processor to process the personal data identified in clause 1.3 below and in the Agreement. Each party shall comply with the obligations that apply to it under Applicable Data Protection Law.  </w:t>
      </w:r>
    </w:p>
    <w:p w:rsidR="00862980" w:rsidRPr="00E34EA6" w:rsidRDefault="00862980" w:rsidP="00862980">
      <w:pPr>
        <w:pStyle w:val="PLHeading2"/>
        <w:jc w:val="both"/>
        <w:rPr>
          <w:u w:val="single"/>
        </w:rPr>
      </w:pPr>
      <w:r>
        <w:rPr>
          <w:i/>
          <w:u w:val="single"/>
        </w:rPr>
        <w:t>Personal Data (the “</w:t>
      </w:r>
      <w:r w:rsidRPr="0098164D">
        <w:rPr>
          <w:b/>
          <w:i/>
          <w:u w:val="single"/>
        </w:rPr>
        <w:t>Data</w:t>
      </w:r>
      <w:r>
        <w:rPr>
          <w:i/>
          <w:u w:val="single"/>
        </w:rPr>
        <w:t>”):</w:t>
      </w:r>
      <w:r>
        <w:rPr>
          <w:u w:val="single"/>
        </w:rPr>
        <w:t xml:space="preserve"> </w:t>
      </w:r>
      <w:r w:rsidRPr="00E34EA6">
        <w:t>The Parties acknowledge that the subject-matter and duration of the processing, the nature and purpose of the processing, the type of personal data and categories of data subjects are set out further in the Agreement</w:t>
      </w:r>
      <w:r>
        <w:t xml:space="preserve"> (for these purposes Agreement includes any quote, purchase order or documentation which describes the provision of the relevant supplies/services)</w:t>
      </w:r>
      <w:r w:rsidRPr="00E34EA6">
        <w:t>.</w:t>
      </w:r>
    </w:p>
    <w:p w:rsidR="00862980" w:rsidRPr="00E34EA6" w:rsidRDefault="00862980" w:rsidP="00862980">
      <w:pPr>
        <w:pStyle w:val="PLHeading2"/>
      </w:pPr>
      <w:r w:rsidRPr="00E34EA6">
        <w:rPr>
          <w:i/>
          <w:u w:val="single"/>
        </w:rPr>
        <w:t>Purpose limitation:</w:t>
      </w:r>
      <w:r w:rsidRPr="00E34EA6">
        <w:t xml:space="preserve">  Service Provider shall process the Data </w:t>
      </w:r>
      <w:r>
        <w:t xml:space="preserve">as a processor and </w:t>
      </w:r>
      <w:r w:rsidRPr="00E34EA6">
        <w:t xml:space="preserve">only </w:t>
      </w:r>
      <w:r>
        <w:t xml:space="preserve">as necessary to perform its obligations under the Agreement </w:t>
      </w:r>
      <w:r w:rsidRPr="00E34EA6">
        <w:t xml:space="preserve">and strictly in accordance with </w:t>
      </w:r>
      <w:r>
        <w:t>any</w:t>
      </w:r>
      <w:r w:rsidRPr="00E34EA6">
        <w:t xml:space="preserve"> documented instructions of FRC (the "</w:t>
      </w:r>
      <w:r w:rsidRPr="00E34EA6">
        <w:rPr>
          <w:b/>
        </w:rPr>
        <w:t>Permitted Purpose</w:t>
      </w:r>
      <w:r w:rsidRPr="00E34EA6">
        <w:t xml:space="preserve">"), except where otherwise required by </w:t>
      </w:r>
      <w:r w:rsidRPr="00315EBD">
        <w:t>law(s) that are not incompatible with Applicable Data Protection Law</w:t>
      </w:r>
      <w:r w:rsidRPr="00E34EA6">
        <w:t>.  In no event shall Service Provider process the Data for its own purposes or those of any third party.</w:t>
      </w:r>
      <w:r>
        <w:t xml:space="preserve">  Service Provider </w:t>
      </w:r>
      <w:r w:rsidRPr="00316503">
        <w:t>shall immediately inform</w:t>
      </w:r>
      <w:r>
        <w:t xml:space="preserve"> FRC</w:t>
      </w:r>
      <w:r w:rsidRPr="00316503">
        <w:t xml:space="preserve"> if it</w:t>
      </w:r>
      <w:r>
        <w:t xml:space="preserve"> becomes aware that FRC</w:t>
      </w:r>
      <w:r w:rsidRPr="00316503">
        <w:t>'s processing instructions infringe Applicable Data Protection Law</w:t>
      </w:r>
      <w:r>
        <w:t>.</w:t>
      </w:r>
    </w:p>
    <w:p w:rsidR="00862980" w:rsidRDefault="00862980" w:rsidP="00862980">
      <w:pPr>
        <w:pStyle w:val="PLHeading2"/>
        <w:jc w:val="both"/>
      </w:pPr>
      <w:r w:rsidRPr="00E34EA6">
        <w:rPr>
          <w:i/>
          <w:u w:val="single"/>
        </w:rPr>
        <w:t>International transfers:</w:t>
      </w:r>
      <w:r w:rsidRPr="00E34EA6">
        <w:t xml:space="preserve">  Service Provider shall not transfer the Data (nor permit the Data to be transferred) outside of the </w:t>
      </w:r>
      <w:r>
        <w:t xml:space="preserve">United Kingdom or, where applicable, the </w:t>
      </w:r>
      <w:r w:rsidRPr="00E34EA6">
        <w:t>European Economic Area ("</w:t>
      </w:r>
      <w:r w:rsidRPr="00E34EA6">
        <w:rPr>
          <w:b/>
        </w:rPr>
        <w:t>EEA</w:t>
      </w:r>
      <w:r w:rsidRPr="00E34EA6">
        <w:t>") unless (</w:t>
      </w:r>
      <w:proofErr w:type="spellStart"/>
      <w:r w:rsidRPr="00E34EA6">
        <w:t>i</w:t>
      </w:r>
      <w:proofErr w:type="spellEnd"/>
      <w:r w:rsidRPr="00E34EA6">
        <w:t>) it has first obtained FRC's prior written consent; and (ii) it takes such measures as are</w:t>
      </w:r>
      <w:r>
        <w:t xml:space="preserve"> </w:t>
      </w:r>
      <w:r w:rsidRPr="00E34EA6">
        <w:t xml:space="preserve">necessary to ensure the transfer is in compliance with Applicable Data Protection Law, including but not limited to:  </w:t>
      </w:r>
      <w:r>
        <w:t>(</w:t>
      </w:r>
      <w:proofErr w:type="spellStart"/>
      <w:r>
        <w:t>i</w:t>
      </w:r>
      <w:proofErr w:type="spellEnd"/>
      <w:r>
        <w:t xml:space="preserve">) </w:t>
      </w:r>
      <w:r w:rsidRPr="00E86303">
        <w:t xml:space="preserve">transferring the Data to a recipient in a country that the </w:t>
      </w:r>
      <w:r>
        <w:t xml:space="preserve">Secretary of State or the </w:t>
      </w:r>
      <w:r w:rsidRPr="00E86303">
        <w:t xml:space="preserve">European Commission </w:t>
      </w:r>
      <w:r>
        <w:t xml:space="preserve">(as applicable) </w:t>
      </w:r>
      <w:r w:rsidRPr="00E86303">
        <w:t xml:space="preserve">has decided provides adequate protection for personal data, </w:t>
      </w:r>
      <w:r>
        <w:t xml:space="preserve">(ii) </w:t>
      </w:r>
      <w:r w:rsidRPr="00E86303">
        <w:t xml:space="preserve">to a recipient that has achieved binding corporate rules authorisation in accordance with Applicable Data Protection Law, , or </w:t>
      </w:r>
      <w:r>
        <w:t xml:space="preserve">(iii) </w:t>
      </w:r>
      <w:r w:rsidRPr="00E86303">
        <w:t xml:space="preserve">to a recipient that has executed standard contractual clauses adopted or approved by the </w:t>
      </w:r>
      <w:r>
        <w:t xml:space="preserve">Secretary of State or the Information Commissioner or, where relevant, the </w:t>
      </w:r>
      <w:r w:rsidRPr="00E86303">
        <w:t>European Commission.</w:t>
      </w:r>
      <w:r>
        <w:t xml:space="preserve"> </w:t>
      </w:r>
    </w:p>
    <w:p w:rsidR="00862980" w:rsidRPr="00E34EA6" w:rsidRDefault="00862980" w:rsidP="00862980">
      <w:pPr>
        <w:pStyle w:val="PLHeading2"/>
        <w:jc w:val="both"/>
      </w:pPr>
      <w:r w:rsidRPr="00E34EA6">
        <w:rPr>
          <w:i/>
          <w:u w:val="single"/>
        </w:rPr>
        <w:t>Confidentiality of processing</w:t>
      </w:r>
      <w:r w:rsidRPr="00E34EA6">
        <w:rPr>
          <w:i/>
        </w:rPr>
        <w:t>:</w:t>
      </w:r>
      <w:r w:rsidRPr="00E34EA6">
        <w:t xml:space="preserve">  Service Provider shall ensure that any person that it authorises to process the Data (including Service Provider's staff, agents and subcontractors) (an "</w:t>
      </w:r>
      <w:r w:rsidRPr="00E34EA6">
        <w:rPr>
          <w:b/>
        </w:rPr>
        <w:t>Authorised Person</w:t>
      </w:r>
      <w:r w:rsidRPr="00E34EA6">
        <w:t>") shall be subject to a strict duty of confidentiality (whether a contractual duty or a statutory duty</w:t>
      </w:r>
      <w:proofErr w:type="gramStart"/>
      <w:r w:rsidRPr="00E34EA6">
        <w:t>), and</w:t>
      </w:r>
      <w:proofErr w:type="gramEnd"/>
      <w:r w:rsidRPr="00E34EA6">
        <w:t xml:space="preserve"> shall not permit any person to process the Data who is not under such a duty of confidentiality. Service Provider shall ensure that all Authorised Persons process the Data only as necessary for the Permitted Purpose.</w:t>
      </w:r>
    </w:p>
    <w:p w:rsidR="00862980" w:rsidRPr="00E86303" w:rsidRDefault="00862980" w:rsidP="00862980">
      <w:pPr>
        <w:pStyle w:val="PLHeading2"/>
        <w:jc w:val="both"/>
      </w:pPr>
      <w:r w:rsidRPr="00E34EA6">
        <w:rPr>
          <w:i/>
          <w:u w:val="single"/>
        </w:rPr>
        <w:t>Security</w:t>
      </w:r>
      <w:r w:rsidRPr="00E34EA6">
        <w:rPr>
          <w:i/>
        </w:rPr>
        <w:t xml:space="preserve">:  </w:t>
      </w:r>
      <w:r w:rsidRPr="00E34EA6">
        <w:t>Service Provider shall implement appropriate technical and organisational measures to protect the Data (</w:t>
      </w:r>
      <w:proofErr w:type="spellStart"/>
      <w:r w:rsidRPr="00E34EA6">
        <w:t>i</w:t>
      </w:r>
      <w:proofErr w:type="spellEnd"/>
      <w:r w:rsidRPr="00E34EA6">
        <w:t>) from accidental or unlawful destruction, and (ii) loss, alteration, unauthorised disclosure of, or access to the Data (a "</w:t>
      </w:r>
      <w:r w:rsidRPr="00E34EA6">
        <w:rPr>
          <w:b/>
        </w:rPr>
        <w:t>Security Incident</w:t>
      </w:r>
      <w:r w:rsidRPr="00E34EA6">
        <w:t xml:space="preserve">").  </w:t>
      </w:r>
      <w:r w:rsidRPr="00E86303">
        <w:t>Such measures shall include (without limitation), as appropriate:</w:t>
      </w:r>
    </w:p>
    <w:p w:rsidR="00862980" w:rsidRPr="00E86303" w:rsidRDefault="00862980" w:rsidP="00862980">
      <w:pPr>
        <w:pStyle w:val="PLHeading3"/>
        <w:numPr>
          <w:ilvl w:val="0"/>
          <w:numId w:val="28"/>
        </w:numPr>
        <w:ind w:left="1216"/>
        <w:jc w:val="both"/>
      </w:pPr>
      <w:r w:rsidRPr="00E86303">
        <w:t xml:space="preserve">the pseudonymisation and encryption of personal </w:t>
      </w:r>
      <w:proofErr w:type="gramStart"/>
      <w:r w:rsidRPr="00E86303">
        <w:t>data;</w:t>
      </w:r>
      <w:proofErr w:type="gramEnd"/>
      <w:r w:rsidRPr="00E86303">
        <w:t xml:space="preserve"> </w:t>
      </w:r>
    </w:p>
    <w:p w:rsidR="00862980" w:rsidRPr="00E86303" w:rsidRDefault="00862980" w:rsidP="00862980">
      <w:pPr>
        <w:pStyle w:val="PLHeading3"/>
        <w:numPr>
          <w:ilvl w:val="0"/>
          <w:numId w:val="27"/>
        </w:numPr>
        <w:ind w:left="1213" w:hanging="357"/>
        <w:jc w:val="both"/>
      </w:pPr>
      <w:r w:rsidRPr="00E86303">
        <w:t xml:space="preserve">the ability to ensure the ongoing confidentiality, integrity, availability and resilience of processing systems and </w:t>
      </w:r>
      <w:proofErr w:type="gramStart"/>
      <w:r w:rsidRPr="00E86303">
        <w:t>services;</w:t>
      </w:r>
      <w:proofErr w:type="gramEnd"/>
      <w:r w:rsidRPr="00E86303">
        <w:t xml:space="preserve"> </w:t>
      </w:r>
    </w:p>
    <w:p w:rsidR="00862980" w:rsidRPr="00E86303" w:rsidRDefault="00862980" w:rsidP="00862980">
      <w:pPr>
        <w:pStyle w:val="PLHeading3"/>
        <w:numPr>
          <w:ilvl w:val="0"/>
          <w:numId w:val="27"/>
        </w:numPr>
        <w:ind w:left="1213" w:hanging="357"/>
        <w:jc w:val="both"/>
      </w:pPr>
      <w:r w:rsidRPr="00E86303">
        <w:t xml:space="preserve">the ability to restore the availability and access to personal data in a timely manner in the event of a physical or technical </w:t>
      </w:r>
      <w:proofErr w:type="gramStart"/>
      <w:r w:rsidRPr="00E86303">
        <w:t>incident;</w:t>
      </w:r>
      <w:proofErr w:type="gramEnd"/>
      <w:r w:rsidRPr="00E86303">
        <w:t xml:space="preserve"> </w:t>
      </w:r>
    </w:p>
    <w:p w:rsidR="00862980" w:rsidRPr="00E34EA6" w:rsidRDefault="00862980" w:rsidP="00862980">
      <w:pPr>
        <w:pStyle w:val="PLHeading3"/>
        <w:numPr>
          <w:ilvl w:val="0"/>
          <w:numId w:val="27"/>
        </w:numPr>
        <w:ind w:left="1213" w:hanging="357"/>
        <w:jc w:val="both"/>
      </w:pPr>
      <w:r w:rsidRPr="00E86303">
        <w:t xml:space="preserve">a process for regularly testing, </w:t>
      </w:r>
      <w:proofErr w:type="gramStart"/>
      <w:r w:rsidRPr="00E86303">
        <w:t>assessing</w:t>
      </w:r>
      <w:proofErr w:type="gramEnd"/>
      <w:r w:rsidRPr="00E86303">
        <w:t xml:space="preserve"> and evaluating the effectiveness of technical and organisational measures for ensuring the security of the processing.</w:t>
      </w:r>
      <w:r w:rsidRPr="00E34EA6">
        <w:t xml:space="preserve"> </w:t>
      </w:r>
    </w:p>
    <w:p w:rsidR="00862980" w:rsidRPr="00E34EA6" w:rsidRDefault="00862980" w:rsidP="00862980">
      <w:pPr>
        <w:pStyle w:val="PLHeading2"/>
        <w:numPr>
          <w:ilvl w:val="0"/>
          <w:numId w:val="0"/>
        </w:numPr>
        <w:ind w:left="851"/>
      </w:pPr>
      <w:r w:rsidRPr="00E34EA6">
        <w:t>and any additional measures reasonably requested by the FRC.</w:t>
      </w:r>
    </w:p>
    <w:p w:rsidR="00862980" w:rsidRPr="00E34EA6" w:rsidRDefault="00862980" w:rsidP="00862980">
      <w:pPr>
        <w:pStyle w:val="PLHeading2"/>
        <w:jc w:val="both"/>
      </w:pPr>
      <w:proofErr w:type="spellStart"/>
      <w:r w:rsidRPr="00E34EA6">
        <w:rPr>
          <w:i/>
          <w:u w:val="single"/>
        </w:rPr>
        <w:t>Subprocessing</w:t>
      </w:r>
      <w:proofErr w:type="spellEnd"/>
      <w:r w:rsidRPr="00E34EA6">
        <w:rPr>
          <w:i/>
        </w:rPr>
        <w:t>:</w:t>
      </w:r>
      <w:r w:rsidRPr="00E34EA6">
        <w:t xml:space="preserve">  Service Provider shall not subcontract any processing of the Data to a third party </w:t>
      </w:r>
      <w:proofErr w:type="spellStart"/>
      <w:r w:rsidRPr="00E34EA6">
        <w:t>subprocessor</w:t>
      </w:r>
      <w:proofErr w:type="spellEnd"/>
      <w:r w:rsidRPr="00E34EA6">
        <w:t xml:space="preserve"> without the prior written consent of FRC.  </w:t>
      </w:r>
      <w:r w:rsidRPr="00E86303">
        <w:t>Notwithstanding this and subject to clause 1.</w:t>
      </w:r>
      <w:r>
        <w:t>5</w:t>
      </w:r>
      <w:r w:rsidRPr="00E86303">
        <w:t xml:space="preserve">, FRC consents to Service Provider engaging third party </w:t>
      </w:r>
      <w:proofErr w:type="spellStart"/>
      <w:r w:rsidRPr="00E86303">
        <w:t>subprocessors</w:t>
      </w:r>
      <w:proofErr w:type="spellEnd"/>
      <w:r w:rsidRPr="00E86303">
        <w:t xml:space="preserve"> to process the Data provided that: (</w:t>
      </w:r>
      <w:proofErr w:type="spellStart"/>
      <w:r w:rsidRPr="00E86303">
        <w:t>i</w:t>
      </w:r>
      <w:proofErr w:type="spellEnd"/>
      <w:r w:rsidRPr="00E86303">
        <w:t xml:space="preserve">) Service Provider provides at least 30 days' prior notice of the addition or removal of any </w:t>
      </w:r>
      <w:proofErr w:type="spellStart"/>
      <w:r w:rsidRPr="00E86303">
        <w:t>subprocessor</w:t>
      </w:r>
      <w:proofErr w:type="spellEnd"/>
      <w:r w:rsidRPr="00E86303">
        <w:t xml:space="preserve"> (including details of the processing it performs or will perform and details of the adequate protections in place for transfers to or by the intended third party processor out of the </w:t>
      </w:r>
      <w:r>
        <w:t xml:space="preserve">United Kingdom or the </w:t>
      </w:r>
      <w:r w:rsidRPr="00E86303">
        <w:t xml:space="preserve">EEA as applicable), which may be given by emailing to </w:t>
      </w:r>
      <w:hyperlink r:id="rId8" w:history="1">
        <w:r w:rsidRPr="00E86303">
          <w:rPr>
            <w:rStyle w:val="Hyperlink"/>
          </w:rPr>
          <w:t>gdprcontracts@frc.org.uk</w:t>
        </w:r>
      </w:hyperlink>
      <w:r w:rsidRPr="00E86303">
        <w:t xml:space="preserve"> details of such addition or removal; (ii) Service Provider imposes data protection terms on any </w:t>
      </w:r>
      <w:proofErr w:type="spellStart"/>
      <w:r w:rsidRPr="00E86303">
        <w:t>subprocessor</w:t>
      </w:r>
      <w:proofErr w:type="spellEnd"/>
      <w:r w:rsidRPr="00E86303">
        <w:t xml:space="preserve"> it appoints that protect the Data to the same standard provided for by this </w:t>
      </w:r>
      <w:r>
        <w:t xml:space="preserve">clause </w:t>
      </w:r>
      <w:r w:rsidR="00A47D1E">
        <w:t>1.8</w:t>
      </w:r>
      <w:r w:rsidRPr="00E86303">
        <w:t xml:space="preserve">; and (iii) Service Provider remains fully liable for any breach of this Clause that is caused by an act, error or omission of its </w:t>
      </w:r>
      <w:proofErr w:type="spellStart"/>
      <w:r w:rsidRPr="00E86303">
        <w:t>subprocessor</w:t>
      </w:r>
      <w:proofErr w:type="spellEnd"/>
      <w:r w:rsidRPr="00E86303">
        <w:t>.</w:t>
      </w:r>
      <w:r w:rsidRPr="00E34EA6">
        <w:t xml:space="preserve"> If FRC refuses to consent to Service Provider's appointment of a third party </w:t>
      </w:r>
      <w:proofErr w:type="spellStart"/>
      <w:r w:rsidRPr="00E34EA6">
        <w:t>subprocessor</w:t>
      </w:r>
      <w:proofErr w:type="spellEnd"/>
      <w:r w:rsidRPr="00E34EA6">
        <w:t xml:space="preserve"> on </w:t>
      </w:r>
      <w:r w:rsidRPr="00E86303">
        <w:t>reasonable</w:t>
      </w:r>
      <w:r w:rsidRPr="00E34EA6">
        <w:t xml:space="preserve"> grounds relating to the protection of the Data, then either Service Provider will not appoint the </w:t>
      </w:r>
      <w:proofErr w:type="spellStart"/>
      <w:r w:rsidRPr="00E34EA6">
        <w:t>subprocessor</w:t>
      </w:r>
      <w:proofErr w:type="spellEnd"/>
      <w:r w:rsidRPr="00E34EA6">
        <w:t xml:space="preserve"> or FRC may elect to suspend or terminate the Agreement </w:t>
      </w:r>
      <w:r w:rsidRPr="00E86303">
        <w:t>without penalty</w:t>
      </w:r>
      <w:r w:rsidRPr="00E34EA6">
        <w:t>.</w:t>
      </w:r>
    </w:p>
    <w:p w:rsidR="00862980" w:rsidRPr="00E34EA6" w:rsidRDefault="00862980" w:rsidP="00862980">
      <w:pPr>
        <w:pStyle w:val="PLHeading2"/>
        <w:jc w:val="both"/>
      </w:pPr>
      <w:r w:rsidRPr="00E34EA6">
        <w:rPr>
          <w:i/>
          <w:u w:val="single"/>
        </w:rPr>
        <w:t>Cooperation and data subjects' rights:</w:t>
      </w:r>
      <w:r w:rsidRPr="00E34EA6">
        <w:t xml:space="preserve">  Service Provider shall provide all reasonable and timely assistance </w:t>
      </w:r>
      <w:r w:rsidRPr="00E86303">
        <w:t>including by appropriate technical and organisational measures</w:t>
      </w:r>
      <w:r w:rsidRPr="00E34EA6">
        <w:t xml:space="preserve"> to FRC to enable FRC to respond to: (</w:t>
      </w:r>
      <w:proofErr w:type="spellStart"/>
      <w:r w:rsidRPr="00E34EA6">
        <w:t>i</w:t>
      </w:r>
      <w:proofErr w:type="spellEnd"/>
      <w:r w:rsidRPr="00E34EA6">
        <w:t>) any request from a data subject to exercise any of its rights under Applicable Data Protection Law (including its rights of access, correction, objection, erasure and data portability, as applicable); and (ii) any other correspondence, enquiry or complaint received from a data subject, regulator or other third party in connection with the processing of the Data</w:t>
      </w:r>
      <w:r>
        <w:t>.</w:t>
      </w:r>
      <w:r w:rsidRPr="00E34EA6">
        <w:t xml:space="preserve"> </w:t>
      </w:r>
      <w:proofErr w:type="gramStart"/>
      <w:r w:rsidRPr="00E34EA6">
        <w:t>In the event that</w:t>
      </w:r>
      <w:proofErr w:type="gramEnd"/>
      <w:r w:rsidRPr="00E34EA6">
        <w:t xml:space="preserve"> any such request, correspondence, enquiry or complaint is made directly to Service Provider, Service Provider shall promptly inform FRC providing full details of the same.</w:t>
      </w:r>
    </w:p>
    <w:p w:rsidR="00862980" w:rsidRPr="00E34EA6" w:rsidRDefault="00862980" w:rsidP="00862980">
      <w:pPr>
        <w:pStyle w:val="PLHeading2"/>
        <w:jc w:val="both"/>
      </w:pPr>
      <w:r w:rsidRPr="00E34EA6">
        <w:rPr>
          <w:i/>
          <w:u w:val="single"/>
        </w:rPr>
        <w:t>Data Protection Impact Assessment:</w:t>
      </w:r>
      <w:r w:rsidRPr="00E34EA6">
        <w:t xml:space="preserve">  If Service Provider believes or becomes aware that its processing of the Data is likely to result in a high risk to the data protection rights and freedoms of data subjects, it shall promptly inform FRC and provide FRC with all such reasonable and timely assistance as FRC may require in order to conduct a data protection impact assessment </w:t>
      </w:r>
      <w:r>
        <w:t>in accordance with Applicable Data Protection Law including</w:t>
      </w:r>
      <w:r w:rsidRPr="00E34EA6">
        <w:t xml:space="preserve">, if necessary, </w:t>
      </w:r>
      <w:r>
        <w:t xml:space="preserve">to assist FRC to </w:t>
      </w:r>
      <w:r w:rsidRPr="00E34EA6">
        <w:t xml:space="preserve">consult with </w:t>
      </w:r>
      <w:r>
        <w:t>the Information Commissioner's Office</w:t>
      </w:r>
      <w:r w:rsidRPr="00E34EA6">
        <w:t xml:space="preserve">. </w:t>
      </w:r>
    </w:p>
    <w:p w:rsidR="00862980" w:rsidRPr="00E34EA6" w:rsidRDefault="00862980" w:rsidP="00862980">
      <w:pPr>
        <w:pStyle w:val="PLHeading2"/>
        <w:jc w:val="both"/>
      </w:pPr>
      <w:r w:rsidRPr="00E34EA6">
        <w:rPr>
          <w:i/>
          <w:u w:val="single"/>
        </w:rPr>
        <w:t>Security incidents:</w:t>
      </w:r>
      <w:r w:rsidRPr="00E34EA6">
        <w:t xml:space="preserve">  Upon becoming aware of a Security Incident, Service Provider shall inform FRC without undue delay and shall provide all such timely information and cooperation as FRC may require </w:t>
      </w:r>
      <w:proofErr w:type="gramStart"/>
      <w:r w:rsidRPr="00E34EA6">
        <w:t>in order for</w:t>
      </w:r>
      <w:proofErr w:type="gramEnd"/>
      <w:r w:rsidRPr="00E34EA6">
        <w:t xml:space="preserve"> FRC to fulfil its data breach reporting obligations under (and in accordance with the timescales required by) Applicable Data Protection Law.  Service Provider shall further take all such measures and actions as are necessary to remedy or mitigate the effects of the Security Incident and shall keep FRC </w:t>
      </w:r>
      <w:r>
        <w:t xml:space="preserve">informed </w:t>
      </w:r>
      <w:r w:rsidRPr="00E34EA6">
        <w:t>of all developments in connection with the Security Incident.</w:t>
      </w:r>
    </w:p>
    <w:p w:rsidR="00862980" w:rsidRPr="00E34EA6" w:rsidRDefault="00862980" w:rsidP="00862980">
      <w:pPr>
        <w:pStyle w:val="PLHeading2"/>
      </w:pPr>
      <w:r w:rsidRPr="00E34EA6">
        <w:rPr>
          <w:i/>
          <w:u w:val="single"/>
        </w:rPr>
        <w:t>Deletion or return of Data:</w:t>
      </w:r>
      <w:r w:rsidRPr="00E34EA6">
        <w:t xml:space="preserve">  Upon termination or expiry of </w:t>
      </w:r>
      <w:r w:rsidRPr="00E86303">
        <w:t>the Agreement</w:t>
      </w:r>
      <w:r w:rsidRPr="00E34EA6">
        <w:t xml:space="preserve">, Service Provider shall (at FRC's election) destroy or return to FRC all Data (including all copies of the Data) in its possession or control (including any Data subcontracted to a third party for processing).  This requirement shall not apply to the extent that Service Provider is required by any </w:t>
      </w:r>
      <w:r w:rsidRPr="00E01791">
        <w:t xml:space="preserve">applicable </w:t>
      </w:r>
      <w:r w:rsidRPr="00E34EA6">
        <w:t xml:space="preserve">Law to retain some or </w:t>
      </w:r>
      <w:proofErr w:type="gramStart"/>
      <w:r w:rsidRPr="00E34EA6">
        <w:t>all of</w:t>
      </w:r>
      <w:proofErr w:type="gramEnd"/>
      <w:r w:rsidRPr="00E34EA6">
        <w:t xml:space="preserve"> the Data, in which event Service Provider shall isolate and protect the Data from any further processing except to the extent required by such law</w:t>
      </w:r>
      <w:r>
        <w:t xml:space="preserve"> until deletion is possible</w:t>
      </w:r>
      <w:r w:rsidRPr="00E34EA6">
        <w:t>.</w:t>
      </w:r>
    </w:p>
    <w:p w:rsidR="00862980" w:rsidRDefault="00862980" w:rsidP="00862980">
      <w:pPr>
        <w:pStyle w:val="PLHeading2"/>
        <w:jc w:val="both"/>
      </w:pPr>
      <w:r w:rsidRPr="00E34EA6">
        <w:rPr>
          <w:i/>
          <w:u w:val="single"/>
        </w:rPr>
        <w:t>Audit:</w:t>
      </w:r>
      <w:r w:rsidRPr="00E34EA6">
        <w:t xml:space="preserve">  You agree to provide reasonable assistance including the provision of information upon the FRC’s reasonable request to enable the FRC to audit data protection compliance, for example but not limited to, cooperation with a competent data protection authority; or </w:t>
      </w:r>
      <w:r>
        <w:t>if the</w:t>
      </w:r>
      <w:r w:rsidRPr="00E34EA6">
        <w:t xml:space="preserve"> FRC believes a further audit is necessary due to a Security Incident suffered by Service Provider</w:t>
      </w:r>
      <w:r>
        <w:t>.</w:t>
      </w:r>
    </w:p>
    <w:p w:rsidR="00A47D1E" w:rsidRDefault="00A47D1E" w:rsidP="00A47D1E">
      <w:pPr>
        <w:pStyle w:val="PLHeading2"/>
        <w:numPr>
          <w:ilvl w:val="0"/>
          <w:numId w:val="0"/>
        </w:numPr>
        <w:ind w:left="851"/>
        <w:jc w:val="both"/>
        <w:rPr>
          <w:i/>
          <w:u w:val="single"/>
        </w:rPr>
      </w:pPr>
    </w:p>
    <w:p w:rsidR="00A47D1E" w:rsidRPr="00E34EA6" w:rsidRDefault="00A47D1E" w:rsidP="00A47D1E">
      <w:pPr>
        <w:pStyle w:val="PLHeading2"/>
        <w:numPr>
          <w:ilvl w:val="0"/>
          <w:numId w:val="0"/>
        </w:numPr>
        <w:ind w:left="851"/>
        <w:jc w:val="both"/>
      </w:pPr>
    </w:p>
    <w:p w:rsidR="00862980" w:rsidRDefault="00862980" w:rsidP="00862980"/>
    <w:p w:rsidR="00862980" w:rsidRPr="006360F9" w:rsidRDefault="00862980">
      <w:pPr>
        <w:jc w:val="center"/>
      </w:pPr>
      <w:r w:rsidRPr="00E917BD">
        <w:rPr>
          <w:b/>
          <w:highlight w:val="yellow"/>
        </w:rPr>
        <w:t>[OPTIONAL]</w:t>
      </w:r>
    </w:p>
    <w:p w:rsidR="00862980" w:rsidRPr="00E917BD" w:rsidRDefault="00862980" w:rsidP="00862980">
      <w:pPr>
        <w:jc w:val="center"/>
      </w:pPr>
      <w:r>
        <w:rPr>
          <w:b/>
        </w:rPr>
        <w:t>Annex</w:t>
      </w:r>
    </w:p>
    <w:p w:rsidR="00862980" w:rsidRDefault="00862980" w:rsidP="00862980">
      <w:pPr>
        <w:jc w:val="center"/>
        <w:rPr>
          <w:b/>
        </w:rPr>
      </w:pPr>
      <w:r>
        <w:rPr>
          <w:b/>
        </w:rPr>
        <w:t>Security Measures</w:t>
      </w:r>
    </w:p>
    <w:p w:rsidR="00862980" w:rsidRDefault="00862980" w:rsidP="00862980">
      <w:pPr>
        <w:jc w:val="center"/>
        <w:rPr>
          <w:b/>
        </w:rPr>
      </w:pPr>
      <w:r w:rsidRPr="00EF5B07">
        <w:rPr>
          <w:b/>
          <w:highlight w:val="yellow"/>
        </w:rPr>
        <w:t xml:space="preserve">[List any </w:t>
      </w:r>
      <w:r>
        <w:rPr>
          <w:b/>
          <w:highlight w:val="yellow"/>
        </w:rPr>
        <w:t>agreed</w:t>
      </w:r>
      <w:r w:rsidRPr="00EF5B07">
        <w:rPr>
          <w:b/>
          <w:highlight w:val="yellow"/>
        </w:rPr>
        <w:t xml:space="preserve"> security measures here.]</w:t>
      </w:r>
    </w:p>
    <w:p w:rsidR="00862980" w:rsidRDefault="00862980" w:rsidP="00862980">
      <w:pPr>
        <w:pStyle w:val="PLHeading2"/>
        <w:numPr>
          <w:ilvl w:val="0"/>
          <w:numId w:val="0"/>
        </w:numPr>
        <w:ind w:left="851" w:hanging="851"/>
      </w:pPr>
    </w:p>
    <w:p w:rsidR="00B67513" w:rsidRDefault="00B67513" w:rsidP="00862980">
      <w:pPr>
        <w:pStyle w:val="PLHeading2"/>
        <w:numPr>
          <w:ilvl w:val="0"/>
          <w:numId w:val="0"/>
        </w:numPr>
        <w:ind w:left="851" w:hanging="851"/>
      </w:pPr>
    </w:p>
    <w:sectPr w:rsidR="00B675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2055" w:rsidRDefault="00832055" w:rsidP="00547B5D">
      <w:r>
        <w:separator/>
      </w:r>
    </w:p>
  </w:endnote>
  <w:endnote w:type="continuationSeparator" w:id="0">
    <w:p w:rsidR="00832055" w:rsidRDefault="00832055" w:rsidP="0054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2055" w:rsidRDefault="00832055" w:rsidP="00547B5D">
      <w:r>
        <w:separator/>
      </w:r>
    </w:p>
  </w:footnote>
  <w:footnote w:type="continuationSeparator" w:id="0">
    <w:p w:rsidR="00832055" w:rsidRDefault="00832055" w:rsidP="00547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2D9F5BF9"/>
    <w:multiLevelType w:val="hybridMultilevel"/>
    <w:tmpl w:val="67EE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200CF"/>
    <w:multiLevelType w:val="hybridMultilevel"/>
    <w:tmpl w:val="3A6A40FE"/>
    <w:lvl w:ilvl="0" w:tplc="C5B40668">
      <w:start w:val="7"/>
      <w:numFmt w:val="bullet"/>
      <w:lvlText w:val="-"/>
      <w:lvlJc w:val="left"/>
      <w:pPr>
        <w:ind w:left="1152" w:hanging="360"/>
      </w:pPr>
      <w:rPr>
        <w:rFonts w:ascii="Calibri" w:eastAsiaTheme="minorHAnsi" w:hAnsi="Calibri" w:cs="Calibri" w:hint="default"/>
        <w:b w:val="0"/>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770E2"/>
    <w:multiLevelType w:val="multilevel"/>
    <w:tmpl w:val="9A8C84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044F8B"/>
    <w:multiLevelType w:val="multilevel"/>
    <w:tmpl w:val="C0E6C8AE"/>
    <w:lvl w:ilvl="0">
      <w:start w:val="1"/>
      <w:numFmt w:val="decimal"/>
      <w:pStyle w:val="PLHeading1"/>
      <w:lvlText w:val="%1."/>
      <w:lvlJc w:val="left"/>
      <w:pPr>
        <w:ind w:left="360" w:hanging="360"/>
      </w:pPr>
      <w:rPr>
        <w:rFonts w:asciiTheme="minorHAnsi" w:eastAsiaTheme="minorEastAsia" w:hAnsiTheme="minorHAnsi" w:cstheme="minorBidi"/>
      </w:r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3D7173"/>
    <w:multiLevelType w:val="hybridMultilevel"/>
    <w:tmpl w:val="3508DF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A840837"/>
    <w:multiLevelType w:val="hybridMultilevel"/>
    <w:tmpl w:val="3508DF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1E4F58"/>
    <w:multiLevelType w:val="hybridMultilevel"/>
    <w:tmpl w:val="2542C212"/>
    <w:lvl w:ilvl="0" w:tplc="FA342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FB765C4"/>
    <w:multiLevelType w:val="hybridMultilevel"/>
    <w:tmpl w:val="A7C6C9C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3"/>
  </w:num>
  <w:num w:numId="5">
    <w:abstractNumId w:val="1"/>
  </w:num>
  <w:num w:numId="6">
    <w:abstractNumId w:val="11"/>
  </w:num>
  <w:num w:numId="7">
    <w:abstractNumId w:val="0"/>
  </w:num>
  <w:num w:numId="8">
    <w:abstractNumId w:val="0"/>
  </w:num>
  <w:num w:numId="9">
    <w:abstractNumId w:val="0"/>
  </w:num>
  <w:num w:numId="10">
    <w:abstractNumId w:val="0"/>
  </w:num>
  <w:num w:numId="11">
    <w:abstractNumId w:val="4"/>
  </w:num>
  <w:num w:numId="12">
    <w:abstractNumId w:val="12"/>
  </w:num>
  <w:num w:numId="13">
    <w:abstractNumId w:val="7"/>
  </w:num>
  <w:num w:numId="14">
    <w:abstractNumId w:val="3"/>
  </w:num>
  <w:num w:numId="15">
    <w:abstractNumId w:val="1"/>
  </w:num>
  <w:num w:numId="16">
    <w:abstractNumId w:val="11"/>
  </w:num>
  <w:num w:numId="17">
    <w:abstractNumId w:val="0"/>
  </w:num>
  <w:num w:numId="18">
    <w:abstractNumId w:val="0"/>
  </w:num>
  <w:num w:numId="19">
    <w:abstractNumId w:val="0"/>
  </w:num>
  <w:num w:numId="20">
    <w:abstractNumId w:val="0"/>
  </w:num>
  <w:num w:numId="21">
    <w:abstractNumId w:val="2"/>
  </w:num>
  <w:num w:numId="22">
    <w:abstractNumId w:val="2"/>
  </w:num>
  <w:num w:numId="23">
    <w:abstractNumId w:val="8"/>
  </w:num>
  <w:num w:numId="24">
    <w:abstractNumId w:val="6"/>
  </w:num>
  <w:num w:numId="25">
    <w:abstractNumId w:val="10"/>
  </w:num>
  <w:num w:numId="26">
    <w:abstractNumId w:val="9"/>
  </w:num>
  <w:num w:numId="27">
    <w:abstractNumId w:val="14"/>
  </w:num>
  <w:num w:numId="28">
    <w:abstractNumId w:val="14"/>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5D"/>
    <w:rsid w:val="000A18B1"/>
    <w:rsid w:val="001568F4"/>
    <w:rsid w:val="001A2D9A"/>
    <w:rsid w:val="001C1C86"/>
    <w:rsid w:val="002120AB"/>
    <w:rsid w:val="00292FE7"/>
    <w:rsid w:val="002D739A"/>
    <w:rsid w:val="002F6E2C"/>
    <w:rsid w:val="00413A18"/>
    <w:rsid w:val="004B1D2D"/>
    <w:rsid w:val="00517A9D"/>
    <w:rsid w:val="00526CE7"/>
    <w:rsid w:val="00544324"/>
    <w:rsid w:val="00547B5D"/>
    <w:rsid w:val="005A0710"/>
    <w:rsid w:val="005C340D"/>
    <w:rsid w:val="006360F9"/>
    <w:rsid w:val="00663E0C"/>
    <w:rsid w:val="006D7C06"/>
    <w:rsid w:val="00763D45"/>
    <w:rsid w:val="007C4DFC"/>
    <w:rsid w:val="00832055"/>
    <w:rsid w:val="00862980"/>
    <w:rsid w:val="008B4A8C"/>
    <w:rsid w:val="00905FF0"/>
    <w:rsid w:val="009A5396"/>
    <w:rsid w:val="009E2533"/>
    <w:rsid w:val="00A44095"/>
    <w:rsid w:val="00A47D1E"/>
    <w:rsid w:val="00A7582F"/>
    <w:rsid w:val="00A85B4B"/>
    <w:rsid w:val="00AB3D52"/>
    <w:rsid w:val="00AC5619"/>
    <w:rsid w:val="00B022B1"/>
    <w:rsid w:val="00B67513"/>
    <w:rsid w:val="00B928D2"/>
    <w:rsid w:val="00BB21EE"/>
    <w:rsid w:val="00C229BC"/>
    <w:rsid w:val="00C47A31"/>
    <w:rsid w:val="00C75230"/>
    <w:rsid w:val="00D51DAC"/>
    <w:rsid w:val="00E44BA8"/>
    <w:rsid w:val="00E55539"/>
    <w:rsid w:val="00EF3E8F"/>
    <w:rsid w:val="00F8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C25B"/>
  <w15:chartTrackingRefBased/>
  <w15:docId w15:val="{21E82918-7A6A-4037-8169-EA2E9064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33"/>
    <w:rPr>
      <w:rFonts w:ascii="Arial" w:hAnsi="Arial"/>
      <w:sz w:val="22"/>
      <w:lang w:val="en-GB"/>
    </w:rPr>
  </w:style>
  <w:style w:type="paragraph" w:styleId="Heading1">
    <w:name w:val="heading 1"/>
    <w:aliases w:val="_FRC Numbered Heading 1"/>
    <w:next w:val="FRCBodytext"/>
    <w:link w:val="Heading1Char"/>
    <w:qFormat/>
    <w:rsid w:val="00F84C96"/>
    <w:pPr>
      <w:numPr>
        <w:numId w:val="20"/>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
    <w:basedOn w:val="Heading3"/>
    <w:next w:val="FRCBodytext"/>
    <w:link w:val="Heading4Char"/>
    <w:unhideWhenUsed/>
    <w:qFormat/>
    <w:rsid w:val="00F84C96"/>
    <w:pPr>
      <w:numPr>
        <w:ilvl w:val="3"/>
      </w:numPr>
      <w:outlineLvl w:val="3"/>
    </w:pPr>
    <w:rPr>
      <w:rFonts w:cstheme="majorBidi"/>
      <w:bCs w:val="0"/>
      <w:i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rPr>
  </w:style>
  <w:style w:type="paragraph" w:customStyle="1" w:styleId="FRCNumberedparagraphs">
    <w:name w:val="_FRC Numbered paragraphs"/>
    <w:basedOn w:val="Normal"/>
    <w:qFormat/>
    <w:rsid w:val="00F84C96"/>
    <w:pPr>
      <w:numPr>
        <w:numId w:val="11"/>
      </w:numPr>
      <w:spacing w:after="240"/>
      <w:jc w:val="both"/>
    </w:pPr>
    <w:rPr>
      <w:rFonts w:eastAsia="Times New Roman"/>
      <w:szCs w:val="24"/>
    </w:rPr>
  </w:style>
  <w:style w:type="paragraph" w:customStyle="1" w:styleId="FRCAlphanumbering">
    <w:name w:val="_FRC Alpha numbering"/>
    <w:basedOn w:val="FRCNumberedparagraphs"/>
    <w:qFormat/>
    <w:rsid w:val="00F84C96"/>
    <w:pPr>
      <w:numPr>
        <w:numId w:val="1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1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1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1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rPr>
  </w:style>
  <w:style w:type="paragraph" w:styleId="Footer">
    <w:name w:val="footer"/>
    <w:basedOn w:val="Normal"/>
    <w:link w:val="FooterChar"/>
    <w:uiPriority w:val="99"/>
    <w:semiHidden/>
    <w:unhideWhenUsed/>
    <w:rsid w:val="00A44095"/>
    <w:pPr>
      <w:tabs>
        <w:tab w:val="center" w:pos="4513"/>
        <w:tab w:val="right" w:pos="9026"/>
      </w:tabs>
    </w:pPr>
  </w:style>
  <w:style w:type="character" w:customStyle="1" w:styleId="FooterChar">
    <w:name w:val="Footer Char"/>
    <w:basedOn w:val="DefaultParagraphFont"/>
    <w:link w:val="Footer"/>
    <w:uiPriority w:val="99"/>
    <w:semiHidden/>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rPr>
  </w:style>
  <w:style w:type="paragraph" w:customStyle="1" w:styleId="FRCRomannumbering">
    <w:name w:val="_FRC Roman numbering"/>
    <w:basedOn w:val="FRCAlphanumbering"/>
    <w:qFormat/>
    <w:rsid w:val="00F84C96"/>
    <w:pPr>
      <w:numPr>
        <w:numId w:val="16"/>
      </w:numPr>
    </w:pPr>
  </w:style>
  <w:style w:type="paragraph" w:customStyle="1" w:styleId="FRCTableText">
    <w:name w:val="_FRC Table Text"/>
    <w:basedOn w:val="Normal"/>
    <w:qFormat/>
    <w:rsid w:val="00F84C96"/>
    <w:pPr>
      <w:keepNext/>
      <w:keepLines/>
      <w:jc w:val="center"/>
    </w:pPr>
    <w:rPr>
      <w:rFonts w:eastAsia="Times New Roman"/>
      <w:sz w:val="18"/>
      <w:szCs w:val="24"/>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rPr>
  </w:style>
  <w:style w:type="paragraph" w:styleId="FootnoteText">
    <w:name w:val="footnote text"/>
    <w:aliases w:val="_FRC Footnote Text"/>
    <w:basedOn w:val="Normal"/>
    <w:link w:val="FootnoteTextChar"/>
    <w:uiPriority w:val="99"/>
    <w:rsid w:val="00F84C96"/>
    <w:pPr>
      <w:spacing w:after="240" w:line="320" w:lineRule="exact"/>
    </w:pPr>
    <w:rPr>
      <w:rFonts w:eastAsia="Times New Roman"/>
      <w:sz w:val="18"/>
    </w:rPr>
  </w:style>
  <w:style w:type="character" w:customStyle="1" w:styleId="FootnoteTextChar">
    <w:name w:val="Footnote Text Char"/>
    <w:aliases w:val="_FRC Footnote Text Char"/>
    <w:basedOn w:val="DefaultParagraphFont"/>
    <w:link w:val="FootnoteText"/>
    <w:uiPriority w:val="99"/>
    <w:rsid w:val="00F84C96"/>
    <w:rPr>
      <w:rFonts w:ascii="Arial" w:eastAsia="Times New Roman" w:hAnsi="Arial"/>
      <w:sz w:val="18"/>
      <w:lang w:val="en-GB"/>
    </w:rPr>
  </w:style>
  <w:style w:type="character" w:customStyle="1" w:styleId="Heading1Char">
    <w:name w:val="Heading 1 Char"/>
    <w:aliases w:val="_FRC Numbered Heading 1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rPr>
  </w:style>
  <w:style w:type="paragraph" w:customStyle="1" w:styleId="FRCNumberedParaLevel1">
    <w:name w:val="_FRC Numbered Para Level 1"/>
    <w:basedOn w:val="Normal"/>
    <w:qFormat/>
    <w:rsid w:val="00AB3D52"/>
    <w:pPr>
      <w:numPr>
        <w:numId w:val="22"/>
      </w:numPr>
      <w:spacing w:after="240"/>
      <w:jc w:val="both"/>
    </w:pPr>
    <w:rPr>
      <w:rFonts w:eastAsia="Times New Roman"/>
      <w:b/>
      <w:sz w:val="28"/>
      <w:szCs w:val="24"/>
    </w:rPr>
  </w:style>
  <w:style w:type="paragraph" w:customStyle="1" w:styleId="FRCNumberedParaLevel2">
    <w:name w:val="_FRC Numbered Para Level 2"/>
    <w:basedOn w:val="FRCBodytext"/>
    <w:qFormat/>
    <w:rsid w:val="00AB3D52"/>
    <w:pPr>
      <w:numPr>
        <w:ilvl w:val="1"/>
        <w:numId w:val="22"/>
      </w:numPr>
    </w:pPr>
    <w:rPr>
      <w:szCs w:val="24"/>
    </w:rPr>
  </w:style>
  <w:style w:type="paragraph" w:styleId="PlainText">
    <w:name w:val="Plain Text"/>
    <w:basedOn w:val="Normal"/>
    <w:link w:val="PlainTextChar"/>
    <w:uiPriority w:val="99"/>
    <w:semiHidden/>
    <w:unhideWhenUsed/>
    <w:rsid w:val="00547B5D"/>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semiHidden/>
    <w:rsid w:val="00547B5D"/>
    <w:rPr>
      <w:rFonts w:ascii="Calibri" w:eastAsia="Times New Roman" w:hAnsi="Calibri" w:cs="Calibri"/>
      <w:sz w:val="22"/>
      <w:szCs w:val="21"/>
      <w:lang w:val="en-GB" w:eastAsia="en-GB"/>
    </w:rPr>
  </w:style>
  <w:style w:type="table" w:styleId="TableGrid">
    <w:name w:val="Table Grid"/>
    <w:basedOn w:val="TableNormal"/>
    <w:uiPriority w:val="59"/>
    <w:rsid w:val="00547B5D"/>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547B5D"/>
    <w:pPr>
      <w:spacing w:after="160" w:line="259" w:lineRule="auto"/>
      <w:ind w:left="720"/>
      <w:contextualSpacing/>
    </w:pPr>
    <w:rPr>
      <w:rFonts w:asciiTheme="minorHAnsi" w:hAnsiTheme="minorHAnsi" w:cstheme="minorBidi"/>
      <w:szCs w:val="22"/>
    </w:rPr>
  </w:style>
  <w:style w:type="character" w:styleId="FootnoteReference">
    <w:name w:val="footnote reference"/>
    <w:basedOn w:val="DefaultParagraphFont"/>
    <w:uiPriority w:val="99"/>
    <w:semiHidden/>
    <w:unhideWhenUsed/>
    <w:rsid w:val="00547B5D"/>
    <w:rPr>
      <w:vertAlign w:val="superscript"/>
    </w:rPr>
  </w:style>
  <w:style w:type="character" w:styleId="Hyperlink">
    <w:name w:val="Hyperlink"/>
    <w:basedOn w:val="DefaultParagraphFont"/>
    <w:uiPriority w:val="99"/>
    <w:unhideWhenUsed/>
    <w:rsid w:val="00547B5D"/>
    <w:rPr>
      <w:color w:val="0000FF" w:themeColor="hyperlink"/>
      <w:u w:val="single"/>
    </w:rPr>
  </w:style>
  <w:style w:type="paragraph" w:customStyle="1" w:styleId="PLHeading1">
    <w:name w:val="PL Heading 1"/>
    <w:basedOn w:val="Normal"/>
    <w:next w:val="PLHeading2"/>
    <w:qFormat/>
    <w:rsid w:val="008B4A8C"/>
    <w:pPr>
      <w:numPr>
        <w:numId w:val="26"/>
      </w:numPr>
      <w:spacing w:after="200" w:line="276" w:lineRule="auto"/>
      <w:ind w:left="851" w:hanging="851"/>
    </w:pPr>
    <w:rPr>
      <w:rFonts w:asciiTheme="minorHAnsi" w:eastAsiaTheme="minorEastAsia" w:hAnsiTheme="minorHAnsi" w:cstheme="minorBidi"/>
      <w:b/>
      <w:szCs w:val="22"/>
    </w:rPr>
  </w:style>
  <w:style w:type="paragraph" w:customStyle="1" w:styleId="PLHeading2">
    <w:name w:val="PL Heading 2"/>
    <w:basedOn w:val="PLHeading1"/>
    <w:qFormat/>
    <w:rsid w:val="008B4A8C"/>
    <w:pPr>
      <w:numPr>
        <w:ilvl w:val="1"/>
      </w:numPr>
      <w:ind w:left="851" w:hanging="857"/>
    </w:pPr>
    <w:rPr>
      <w:b w:val="0"/>
    </w:rPr>
  </w:style>
  <w:style w:type="paragraph" w:customStyle="1" w:styleId="PLHeading3">
    <w:name w:val="PL Heading 3"/>
    <w:basedOn w:val="PLHeading2"/>
    <w:qFormat/>
    <w:rsid w:val="008B4A8C"/>
    <w:pPr>
      <w:numPr>
        <w:ilvl w:val="3"/>
      </w:numPr>
      <w:ind w:left="1701" w:hanging="85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A47D1E"/>
    <w:rPr>
      <w:rFonts w:ascii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4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contracts@frc.org.uk" TargetMode="External"/><Relationship Id="rId3" Type="http://schemas.openxmlformats.org/officeDocument/2006/relationships/settings" Target="settings.xml"/><Relationship Id="rId7" Type="http://schemas.openxmlformats.org/officeDocument/2006/relationships/hyperlink" Target="mailto:privacy@fr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Vora</dc:creator>
  <cp:keywords/>
  <dc:description/>
  <cp:lastModifiedBy>Nilay Vora</cp:lastModifiedBy>
  <cp:revision>1</cp:revision>
  <dcterms:created xsi:type="dcterms:W3CDTF">2021-12-02T09:28:00Z</dcterms:created>
  <dcterms:modified xsi:type="dcterms:W3CDTF">2021-12-02T09:28:00Z</dcterms:modified>
</cp:coreProperties>
</file>