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2C69" w14:textId="77777777" w:rsidR="00F97929" w:rsidRDefault="006E0B8C">
      <w:pPr>
        <w:pBdr>
          <w:top w:val="nil"/>
          <w:left w:val="nil"/>
          <w:bottom w:val="nil"/>
          <w:right w:val="nil"/>
          <w:between w:val="nil"/>
        </w:pBdr>
        <w:tabs>
          <w:tab w:val="center" w:pos="4513"/>
          <w:tab w:val="right" w:pos="9026"/>
        </w:tabs>
        <w:spacing w:after="0"/>
        <w:jc w:val="left"/>
        <w:rPr>
          <w:rFonts w:ascii="Arial" w:eastAsia="Arial" w:hAnsi="Arial" w:cs="Arial"/>
          <w:b/>
          <w:color w:val="000000"/>
          <w:sz w:val="36"/>
          <w:szCs w:val="36"/>
        </w:rPr>
      </w:pPr>
      <w:r>
        <w:rPr>
          <w:rFonts w:ascii="Arial" w:eastAsia="Arial" w:hAnsi="Arial" w:cs="Arial"/>
          <w:b/>
          <w:color w:val="000000"/>
          <w:sz w:val="36"/>
          <w:szCs w:val="36"/>
        </w:rPr>
        <w:t>Joint Schedule 7 (Financial Difficulties)</w:t>
      </w:r>
    </w:p>
    <w:p w14:paraId="770F9AA6" w14:textId="77777777" w:rsidR="00F97929" w:rsidRDefault="006E0B8C">
      <w:pPr>
        <w:pBdr>
          <w:top w:val="nil"/>
          <w:left w:val="nil"/>
          <w:bottom w:val="nil"/>
          <w:right w:val="nil"/>
          <w:between w:val="nil"/>
        </w:pBdr>
        <w:tabs>
          <w:tab w:val="left" w:pos="1985"/>
        </w:tabs>
        <w:spacing w:before="120" w:after="120"/>
        <w:ind w:left="-142" w:hanging="720"/>
        <w:jc w:val="left"/>
        <w:rPr>
          <w:rFonts w:ascii="Arial" w:eastAsia="Arial" w:hAnsi="Arial" w:cs="Arial"/>
          <w:color w:val="000000"/>
          <w:sz w:val="24"/>
          <w:szCs w:val="24"/>
        </w:rPr>
      </w:pPr>
      <w:r>
        <w:rPr>
          <w:rFonts w:ascii="Arial" w:eastAsia="Arial" w:hAnsi="Arial" w:cs="Arial"/>
          <w:color w:val="000000"/>
          <w:sz w:val="24"/>
          <w:szCs w:val="24"/>
          <w:highlight w:val="yellow"/>
        </w:rPr>
        <w:t>[</w:t>
      </w:r>
    </w:p>
    <w:p w14:paraId="2CACDC66" w14:textId="77777777"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Definitions</w:t>
      </w:r>
    </w:p>
    <w:p w14:paraId="7E9005E6" w14:textId="77777777" w:rsidR="00F97929" w:rsidRPr="00B0383D" w:rsidRDefault="006E0B8C">
      <w:pPr>
        <w:numPr>
          <w:ilvl w:val="1"/>
          <w:numId w:val="2"/>
        </w:numPr>
        <w:pBdr>
          <w:top w:val="nil"/>
          <w:left w:val="nil"/>
          <w:bottom w:val="nil"/>
          <w:right w:val="nil"/>
          <w:between w:val="nil"/>
        </w:pBdr>
        <w:tabs>
          <w:tab w:val="left" w:pos="1134"/>
        </w:tabs>
        <w:spacing w:before="120" w:after="120"/>
        <w:ind w:left="936" w:hanging="576"/>
        <w:jc w:val="left"/>
      </w:pPr>
      <w:r>
        <w:rPr>
          <w:rFonts w:ascii="Arial" w:eastAsia="Arial" w:hAnsi="Arial" w:cs="Arial"/>
          <w:color w:val="000000"/>
          <w:sz w:val="24"/>
          <w:szCs w:val="24"/>
        </w:rPr>
        <w:t>In this Schedule, the following definitions shall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5952"/>
      </w:tblGrid>
      <w:tr w:rsidR="00B0383D" w14:paraId="519F958E" w14:textId="77777777" w:rsidTr="00981174">
        <w:tc>
          <w:tcPr>
            <w:tcW w:w="5228" w:type="dxa"/>
          </w:tcPr>
          <w:p w14:paraId="763F4861" w14:textId="77777777" w:rsidR="00B0383D" w:rsidRPr="00981174" w:rsidRDefault="00B0383D"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“Applicable Financial Indicators”</w:t>
            </w:r>
          </w:p>
        </w:tc>
        <w:tc>
          <w:tcPr>
            <w:tcW w:w="5228" w:type="dxa"/>
          </w:tcPr>
          <w:p w14:paraId="74C8ACF1" w14:textId="77777777"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the financial indicators from Paragraph 5.1 of this Schedule which are to apply to the Monitored Suppliers as set out in Paragraph 5.2 of this Schedule;</w:t>
            </w:r>
          </w:p>
        </w:tc>
      </w:tr>
      <w:tr w:rsidR="00B0383D" w14:paraId="1A11E30F" w14:textId="77777777" w:rsidTr="00981174">
        <w:tc>
          <w:tcPr>
            <w:tcW w:w="5228" w:type="dxa"/>
          </w:tcPr>
          <w:p w14:paraId="72395A19" w14:textId="77777777" w:rsidR="00B0383D"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“Board”</w:t>
            </w:r>
          </w:p>
        </w:tc>
        <w:tc>
          <w:tcPr>
            <w:tcW w:w="5228" w:type="dxa"/>
          </w:tcPr>
          <w:p w14:paraId="1D427868" w14:textId="77777777"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the Supplier’s board of directors;</w:t>
            </w:r>
          </w:p>
        </w:tc>
      </w:tr>
      <w:tr w:rsidR="00B0383D" w14:paraId="610FB6C1" w14:textId="77777777" w:rsidTr="00981174">
        <w:tc>
          <w:tcPr>
            <w:tcW w:w="5228" w:type="dxa"/>
          </w:tcPr>
          <w:p w14:paraId="3B406F8C" w14:textId="77777777" w:rsidR="00B0383D"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“Board Confirmation”</w:t>
            </w:r>
          </w:p>
        </w:tc>
        <w:tc>
          <w:tcPr>
            <w:tcW w:w="5228" w:type="dxa"/>
          </w:tcPr>
          <w:p w14:paraId="32041112" w14:textId="77777777"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written confirmation from the Board in accordance with Paragraph 8 of this Schedule;</w:t>
            </w:r>
          </w:p>
        </w:tc>
      </w:tr>
      <w:tr w:rsidR="00B0383D" w14:paraId="67D3AB65" w14:textId="77777777" w:rsidTr="00981174">
        <w:tc>
          <w:tcPr>
            <w:tcW w:w="5228" w:type="dxa"/>
          </w:tcPr>
          <w:p w14:paraId="32E2F470" w14:textId="77777777" w:rsidR="00B0383D"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“Bronze Contract”</w:t>
            </w:r>
          </w:p>
        </w:tc>
        <w:tc>
          <w:tcPr>
            <w:tcW w:w="5228" w:type="dxa"/>
          </w:tcPr>
          <w:p w14:paraId="47C83CDC" w14:textId="77777777"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A Call-Off Contract categorised as a Bronze contract using the Cabinet Office Contract Tiering Tool;</w:t>
            </w:r>
          </w:p>
        </w:tc>
      </w:tr>
      <w:tr w:rsidR="00B0383D" w14:paraId="3489AD50" w14:textId="77777777" w:rsidTr="00981174">
        <w:tc>
          <w:tcPr>
            <w:tcW w:w="5228" w:type="dxa"/>
          </w:tcPr>
          <w:p w14:paraId="3E633BFA" w14:textId="77777777" w:rsidR="00B0383D"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“Cabinet Office Markets and Suppliers Team”</w:t>
            </w:r>
          </w:p>
        </w:tc>
        <w:tc>
          <w:tcPr>
            <w:tcW w:w="5228" w:type="dxa"/>
          </w:tcPr>
          <w:p w14:paraId="0000AA16" w14:textId="77777777"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the UK Government’s team responsible for managing the relationship between government and its Strategic Suppliers, or any replacement or successor body carrying out the same function;</w:t>
            </w:r>
          </w:p>
        </w:tc>
      </w:tr>
      <w:tr w:rsidR="00B0383D" w14:paraId="1CCC649B" w14:textId="77777777" w:rsidTr="00981174">
        <w:tc>
          <w:tcPr>
            <w:tcW w:w="5228" w:type="dxa"/>
          </w:tcPr>
          <w:p w14:paraId="20CAAD0F" w14:textId="77777777" w:rsidR="00B0383D"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“Credit Rating Threshold”</w:t>
            </w:r>
          </w:p>
        </w:tc>
        <w:tc>
          <w:tcPr>
            <w:tcW w:w="5228" w:type="dxa"/>
          </w:tcPr>
          <w:p w14:paraId="1A5DD54B" w14:textId="77777777"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the minimum credit rating level for each entity in the FDE Group as set out in Annex 1 to this Schedule;</w:t>
            </w:r>
          </w:p>
        </w:tc>
      </w:tr>
      <w:tr w:rsidR="00981174" w14:paraId="4C9D4F4F" w14:textId="77777777" w:rsidTr="00981174">
        <w:tc>
          <w:tcPr>
            <w:tcW w:w="5228" w:type="dxa"/>
          </w:tcPr>
          <w:p w14:paraId="683C5749" w14:textId="77777777"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“FDE Group”</w:t>
            </w:r>
          </w:p>
        </w:tc>
        <w:tc>
          <w:tcPr>
            <w:tcW w:w="5228" w:type="dxa"/>
          </w:tcPr>
          <w:p w14:paraId="6DED8893" w14:textId="7DBC638B"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the Supplier</w:t>
            </w:r>
          </w:p>
        </w:tc>
      </w:tr>
      <w:tr w:rsidR="00981174" w14:paraId="07B77A3D" w14:textId="77777777" w:rsidTr="00981174">
        <w:tc>
          <w:tcPr>
            <w:tcW w:w="5228" w:type="dxa"/>
          </w:tcPr>
          <w:p w14:paraId="49F876B8" w14:textId="77777777"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“Financial Distress Event”</w:t>
            </w:r>
          </w:p>
        </w:tc>
        <w:tc>
          <w:tcPr>
            <w:tcW w:w="5228" w:type="dxa"/>
          </w:tcPr>
          <w:p w14:paraId="5BEF55B2" w14:textId="77777777"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Any of the events listed in Paragraph 3.1 of this Schedule;</w:t>
            </w:r>
          </w:p>
        </w:tc>
      </w:tr>
      <w:tr w:rsidR="00981174" w14:paraId="59785BCF" w14:textId="77777777" w:rsidTr="00981174">
        <w:tc>
          <w:tcPr>
            <w:tcW w:w="5228" w:type="dxa"/>
          </w:tcPr>
          <w:p w14:paraId="24D93135" w14:textId="77777777"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“Financial Distress Remediation Plan”</w:t>
            </w:r>
          </w:p>
        </w:tc>
        <w:tc>
          <w:tcPr>
            <w:tcW w:w="5228" w:type="dxa"/>
          </w:tcPr>
          <w:p w14:paraId="3B4176D3" w14:textId="77777777"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a plan setting out how the Supplier will ensure the continued performance and delivery of the Deliverables in accordance with the Contract in the event that a Financial Distress Event occurs;</w:t>
            </w:r>
          </w:p>
        </w:tc>
      </w:tr>
      <w:tr w:rsidR="00981174" w14:paraId="351D9A75" w14:textId="77777777" w:rsidTr="00981174">
        <w:tc>
          <w:tcPr>
            <w:tcW w:w="5228" w:type="dxa"/>
          </w:tcPr>
          <w:p w14:paraId="79670843" w14:textId="77777777"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“Financial Indicators”</w:t>
            </w:r>
          </w:p>
        </w:tc>
        <w:tc>
          <w:tcPr>
            <w:tcW w:w="5228" w:type="dxa"/>
          </w:tcPr>
          <w:p w14:paraId="00B4DA0B" w14:textId="77777777"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981174" w14:paraId="2ACA61B4" w14:textId="77777777" w:rsidTr="00981174">
        <w:tc>
          <w:tcPr>
            <w:tcW w:w="5228" w:type="dxa"/>
          </w:tcPr>
          <w:p w14:paraId="4BBB58C4" w14:textId="77777777"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“Financial Target Thresholds”</w:t>
            </w:r>
          </w:p>
        </w:tc>
        <w:tc>
          <w:tcPr>
            <w:tcW w:w="5228" w:type="dxa"/>
          </w:tcPr>
          <w:p w14:paraId="6D492982" w14:textId="77777777"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the target thresholds for each of the Financial Indicators set out at paragraph 5.1 of this Schedule;</w:t>
            </w:r>
          </w:p>
        </w:tc>
      </w:tr>
      <w:tr w:rsidR="00981174" w14:paraId="22326133" w14:textId="77777777" w:rsidTr="00981174">
        <w:tc>
          <w:tcPr>
            <w:tcW w:w="5228" w:type="dxa"/>
          </w:tcPr>
          <w:p w14:paraId="31130B6F" w14:textId="77777777"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“Monitored Suppliers”</w:t>
            </w:r>
          </w:p>
        </w:tc>
        <w:tc>
          <w:tcPr>
            <w:tcW w:w="5228" w:type="dxa"/>
          </w:tcPr>
          <w:p w14:paraId="42AA8162" w14:textId="77777777"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those entities specified at paragraph 5.2 of this Schedule;</w:t>
            </w:r>
          </w:p>
        </w:tc>
      </w:tr>
      <w:tr w:rsidR="00981174" w14:paraId="3576959E" w14:textId="77777777" w:rsidTr="00981174">
        <w:tc>
          <w:tcPr>
            <w:tcW w:w="5228" w:type="dxa"/>
          </w:tcPr>
          <w:p w14:paraId="01C797C8" w14:textId="77777777"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lastRenderedPageBreak/>
              <w:t>“Rating Agencies”</w:t>
            </w:r>
          </w:p>
        </w:tc>
        <w:tc>
          <w:tcPr>
            <w:tcW w:w="5228" w:type="dxa"/>
          </w:tcPr>
          <w:p w14:paraId="61167440" w14:textId="77777777"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The rating agencies listed in Annex 1 of this Schedule;</w:t>
            </w:r>
          </w:p>
        </w:tc>
      </w:tr>
      <w:tr w:rsidR="00981174" w14:paraId="51744AE7" w14:textId="77777777" w:rsidTr="00981174">
        <w:tc>
          <w:tcPr>
            <w:tcW w:w="5228" w:type="dxa"/>
          </w:tcPr>
          <w:p w14:paraId="21569B21" w14:textId="77777777"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“Strategic Supplier”</w:t>
            </w:r>
          </w:p>
        </w:tc>
        <w:tc>
          <w:tcPr>
            <w:tcW w:w="5228" w:type="dxa"/>
          </w:tcPr>
          <w:p w14:paraId="1289F478" w14:textId="77777777"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those suppliers to government listed at https://www.gov.uk/government/publications/strategic-suppliers.</w:t>
            </w:r>
          </w:p>
        </w:tc>
      </w:tr>
    </w:tbl>
    <w:p w14:paraId="756A594E" w14:textId="77777777" w:rsidR="00F97929" w:rsidRDefault="00F97929">
      <w:pPr>
        <w:pBdr>
          <w:top w:val="nil"/>
          <w:left w:val="nil"/>
          <w:bottom w:val="nil"/>
          <w:right w:val="nil"/>
          <w:between w:val="nil"/>
        </w:pBdr>
        <w:tabs>
          <w:tab w:val="left" w:pos="1134"/>
        </w:tabs>
        <w:spacing w:before="120" w:after="120"/>
        <w:ind w:left="360" w:hanging="1004"/>
        <w:jc w:val="left"/>
        <w:rPr>
          <w:rFonts w:ascii="Arial" w:eastAsia="Arial" w:hAnsi="Arial" w:cs="Arial"/>
          <w:color w:val="000000"/>
          <w:sz w:val="24"/>
          <w:szCs w:val="24"/>
        </w:rPr>
      </w:pPr>
    </w:p>
    <w:p w14:paraId="0BF0F9EE" w14:textId="77777777"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Warranties and duty to notify</w:t>
      </w:r>
    </w:p>
    <w:p w14:paraId="36B0C4DA" w14:textId="77777777" w:rsidR="00F97929" w:rsidRDefault="006E0B8C">
      <w:pPr>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The Supplier warrants and represents to the Relevant Authority for the benefit of the Relevant Authority that as at the Effective Date:</w:t>
      </w:r>
    </w:p>
    <w:p w14:paraId="367CAB2C" w14:textId="33B07C43"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 xml:space="preserve">the </w:t>
      </w:r>
      <w:r w:rsidR="0091373B">
        <w:rPr>
          <w:rFonts w:ascii="Arial" w:eastAsia="Arial" w:hAnsi="Arial" w:cs="Arial"/>
          <w:color w:val="000000"/>
          <w:sz w:val="24"/>
          <w:szCs w:val="24"/>
        </w:rPr>
        <w:t>long-term</w:t>
      </w:r>
      <w:r>
        <w:rPr>
          <w:rFonts w:ascii="Arial" w:eastAsia="Arial" w:hAnsi="Arial" w:cs="Arial"/>
          <w:color w:val="000000"/>
          <w:sz w:val="24"/>
          <w:szCs w:val="24"/>
        </w:rPr>
        <w:t xml:space="preserve"> credit ratings issued for each entity in the FDE Group by each of the Rating Agencies are as set out in Annex 2 to this Schedule; and</w:t>
      </w:r>
    </w:p>
    <w:p w14:paraId="67BF97DD"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3C31F42B"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6370EB43"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Supplier shall:</w:t>
      </w:r>
    </w:p>
    <w:p w14:paraId="7DFE5AC7"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regularly monitor the credit ratings of each entity in the FDE Group with the Rating Agencies;</w:t>
      </w:r>
    </w:p>
    <w:p w14:paraId="21ED84A6"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30068DA0"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06740B3F"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2CE01461"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Each report submitted by the Supplier pursuant to paragraph 2.3.2 shall:</w:t>
      </w:r>
    </w:p>
    <w:p w14:paraId="2B7A9253"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be a single report with separate sections for each of the FDE Group entities;</w:t>
      </w:r>
    </w:p>
    <w:p w14:paraId="184C3FC3"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lastRenderedPageBreak/>
        <w:t>contain a sufficient level of information to enable the Relevant Authority to verify the calculations that have been made in respect of the Financial Indicators;</w:t>
      </w:r>
    </w:p>
    <w:p w14:paraId="4036EBDD"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include key financial and other supporting information (including any accounts data that has been relied on) as separate annexes;</w:t>
      </w:r>
    </w:p>
    <w:p w14:paraId="160356D4"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1926B8D1"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7D8CED6F" w14:textId="77777777"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Financial Distress events</w:t>
      </w:r>
    </w:p>
    <w:p w14:paraId="227DAE6B"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following shall be Financial Distress Events:</w:t>
      </w:r>
    </w:p>
    <w:p w14:paraId="4A98F259"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credit rating of an FDE Group entity dropping below the applicable Credit Rating Threshold;</w:t>
      </w:r>
    </w:p>
    <w:p w14:paraId="68961200"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603D89C0"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there being a public investigation into improper financial accounting and reporting, suspected fraud or any other impropriety of an FDE Group entity;</w:t>
      </w:r>
    </w:p>
    <w:p w14:paraId="33DA7F57"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an FDE Group entity committing a material breach of covenant to its lenders;</w:t>
      </w:r>
    </w:p>
    <w:p w14:paraId="6053F85B"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 Key Sub-contractor notifying CCS or the Buyer that the Supplier has not satisfied any material sums properly due under a specified invoice and not subject to a genuine dispute;</w:t>
      </w:r>
    </w:p>
    <w:p w14:paraId="106BAD67"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any of the following:</w:t>
      </w:r>
    </w:p>
    <w:p w14:paraId="0DE802F1" w14:textId="77777777" w:rsidR="00F97929" w:rsidRDefault="006E0B8C">
      <w:pPr>
        <w:numPr>
          <w:ilvl w:val="3"/>
          <w:numId w:val="2"/>
        </w:numPr>
        <w:pBdr>
          <w:top w:val="nil"/>
          <w:left w:val="nil"/>
          <w:bottom w:val="nil"/>
          <w:right w:val="nil"/>
          <w:between w:val="nil"/>
        </w:pBdr>
        <w:tabs>
          <w:tab w:val="left" w:pos="1985"/>
        </w:tabs>
        <w:spacing w:before="120" w:after="120"/>
        <w:ind w:left="3402"/>
      </w:pPr>
      <w:r>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18C585B6" w14:textId="77777777" w:rsidR="00F97929" w:rsidRDefault="006E0B8C">
      <w:pPr>
        <w:numPr>
          <w:ilvl w:val="3"/>
          <w:numId w:val="2"/>
        </w:numPr>
        <w:pBdr>
          <w:top w:val="nil"/>
          <w:left w:val="nil"/>
          <w:bottom w:val="nil"/>
          <w:right w:val="nil"/>
          <w:between w:val="nil"/>
        </w:pBdr>
        <w:tabs>
          <w:tab w:val="left" w:pos="1985"/>
        </w:tabs>
        <w:spacing w:before="120" w:after="120"/>
        <w:ind w:left="3402"/>
      </w:pPr>
      <w:r>
        <w:rPr>
          <w:rFonts w:ascii="Arial" w:eastAsia="Arial" w:hAnsi="Arial" w:cs="Arial"/>
          <w:color w:val="000000"/>
          <w:sz w:val="24"/>
          <w:szCs w:val="24"/>
        </w:rPr>
        <w:t>non-payment by an FDE Group entity of any financial indebtedness;</w:t>
      </w:r>
    </w:p>
    <w:p w14:paraId="6CA74665" w14:textId="77777777" w:rsidR="00F97929" w:rsidRDefault="006E0B8C">
      <w:pPr>
        <w:numPr>
          <w:ilvl w:val="3"/>
          <w:numId w:val="2"/>
        </w:numPr>
        <w:pBdr>
          <w:top w:val="nil"/>
          <w:left w:val="nil"/>
          <w:bottom w:val="nil"/>
          <w:right w:val="nil"/>
          <w:between w:val="nil"/>
        </w:pBdr>
        <w:tabs>
          <w:tab w:val="left" w:pos="1985"/>
        </w:tabs>
        <w:spacing w:before="120" w:after="120"/>
        <w:ind w:left="3402"/>
      </w:pPr>
      <w:r>
        <w:rPr>
          <w:rFonts w:ascii="Arial" w:eastAsia="Arial" w:hAnsi="Arial" w:cs="Arial"/>
          <w:color w:val="000000"/>
          <w:sz w:val="24"/>
          <w:szCs w:val="24"/>
        </w:rPr>
        <w:t>any financial indebtedness of an FDE Group entity becoming due as a result of an event of default;</w:t>
      </w:r>
    </w:p>
    <w:p w14:paraId="68448221" w14:textId="77777777" w:rsidR="00F97929" w:rsidRDefault="006E0B8C">
      <w:pPr>
        <w:numPr>
          <w:ilvl w:val="3"/>
          <w:numId w:val="2"/>
        </w:numPr>
        <w:pBdr>
          <w:top w:val="nil"/>
          <w:left w:val="nil"/>
          <w:bottom w:val="nil"/>
          <w:right w:val="nil"/>
          <w:between w:val="nil"/>
        </w:pBdr>
        <w:tabs>
          <w:tab w:val="left" w:pos="1985"/>
        </w:tabs>
        <w:spacing w:before="120" w:after="120"/>
        <w:ind w:left="3402"/>
      </w:pPr>
      <w:r>
        <w:rPr>
          <w:rFonts w:ascii="Arial" w:eastAsia="Arial" w:hAnsi="Arial" w:cs="Arial"/>
          <w:color w:val="000000"/>
          <w:sz w:val="24"/>
          <w:szCs w:val="24"/>
        </w:rPr>
        <w:t>the cancellation or suspension of any financial indebtedness in respect of an FDE Group entity; or</w:t>
      </w:r>
    </w:p>
    <w:p w14:paraId="27412C7E" w14:textId="77777777" w:rsidR="00F97929" w:rsidRDefault="006E0B8C">
      <w:pPr>
        <w:numPr>
          <w:ilvl w:val="3"/>
          <w:numId w:val="2"/>
        </w:numPr>
        <w:pBdr>
          <w:top w:val="nil"/>
          <w:left w:val="nil"/>
          <w:bottom w:val="nil"/>
          <w:right w:val="nil"/>
          <w:between w:val="nil"/>
        </w:pBdr>
        <w:tabs>
          <w:tab w:val="left" w:pos="1985"/>
        </w:tabs>
        <w:spacing w:before="120" w:after="120"/>
        <w:ind w:left="3402"/>
      </w:pPr>
      <w:r>
        <w:rPr>
          <w:rFonts w:ascii="Arial" w:eastAsia="Arial" w:hAnsi="Arial" w:cs="Arial"/>
          <w:color w:val="000000"/>
          <w:sz w:val="24"/>
          <w:szCs w:val="24"/>
        </w:rPr>
        <w:t>the external auditor of an FDE Group entity expressing a qualified opinion on, or including an emphasis of matter in, its opinion on the statutory accounts of that FDE entity;</w:t>
      </w:r>
    </w:p>
    <w:p w14:paraId="0A54A4F5" w14:textId="77777777" w:rsidR="00F97929" w:rsidRDefault="006E0B8C">
      <w:pPr>
        <w:pBdr>
          <w:top w:val="nil"/>
          <w:left w:val="nil"/>
          <w:bottom w:val="nil"/>
          <w:right w:val="nil"/>
          <w:between w:val="nil"/>
        </w:pBdr>
        <w:tabs>
          <w:tab w:val="left" w:pos="1985"/>
        </w:tabs>
        <w:spacing w:before="120" w:after="120"/>
        <w:ind w:left="2466" w:hanging="720"/>
        <w:rPr>
          <w:rFonts w:ascii="Arial" w:eastAsia="Arial" w:hAnsi="Arial" w:cs="Arial"/>
          <w:color w:val="000000"/>
          <w:sz w:val="24"/>
          <w:szCs w:val="24"/>
        </w:rPr>
      </w:pPr>
      <w:r>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6C4913E8"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lastRenderedPageBreak/>
        <w:t>any [one] of the Financial Indicators set out at Paragraph 5 for any of the FDE Group entities failing to meet the required Financial Target Threshold.</w:t>
      </w:r>
    </w:p>
    <w:p w14:paraId="4A8DA15E" w14:textId="77777777"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Consequences</w:t>
      </w:r>
      <w:r>
        <w:rPr>
          <w:rFonts w:ascii="Arial Bold" w:eastAsia="Arial Bold" w:hAnsi="Arial Bold" w:cs="Arial Bold"/>
          <w:color w:val="000000"/>
          <w:sz w:val="24"/>
          <w:szCs w:val="24"/>
        </w:rPr>
        <w:t xml:space="preserve"> of Financial Distress Events</w:t>
      </w:r>
    </w:p>
    <w:p w14:paraId="3674772E"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2D0CE5FF"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62E029A6"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rectify such late or non-payment; or</w:t>
      </w:r>
    </w:p>
    <w:p w14:paraId="4CAAA01E"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demonstrate to the Relevant Authority’s reasonable satisfaction that there is a valid reason for late or non-payment.</w:t>
      </w:r>
    </w:p>
    <w:p w14:paraId="48CD7E6F"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Supplier shall (and shall procure that any Monitored Supplier, the Guarantor and/or any relevant Key Sub-contractor shall):</w:t>
      </w:r>
    </w:p>
    <w:p w14:paraId="0E783282"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343651F6"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22F30EB4" w14:textId="77777777" w:rsidR="00F97929" w:rsidRDefault="006E0B8C">
      <w:pPr>
        <w:numPr>
          <w:ilvl w:val="3"/>
          <w:numId w:val="2"/>
        </w:numPr>
        <w:pBdr>
          <w:top w:val="nil"/>
          <w:left w:val="nil"/>
          <w:bottom w:val="nil"/>
          <w:right w:val="nil"/>
          <w:between w:val="nil"/>
        </w:pBdr>
        <w:tabs>
          <w:tab w:val="left" w:pos="1985"/>
        </w:tabs>
        <w:spacing w:before="120" w:after="120"/>
        <w:ind w:left="3402" w:hanging="936"/>
      </w:pPr>
      <w:r>
        <w:rPr>
          <w:rFonts w:ascii="Arial" w:eastAsia="Arial" w:hAnsi="Arial" w:cs="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6187DC0A" w14:textId="77777777" w:rsidR="00F97929" w:rsidRDefault="006E0B8C">
      <w:pPr>
        <w:numPr>
          <w:ilvl w:val="3"/>
          <w:numId w:val="2"/>
        </w:numPr>
        <w:pBdr>
          <w:top w:val="nil"/>
          <w:left w:val="nil"/>
          <w:bottom w:val="nil"/>
          <w:right w:val="nil"/>
          <w:between w:val="nil"/>
        </w:pBdr>
        <w:tabs>
          <w:tab w:val="left" w:pos="1985"/>
        </w:tabs>
        <w:spacing w:before="120" w:after="120"/>
        <w:ind w:left="3402" w:hanging="936"/>
      </w:pPr>
      <w:r>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341164DE"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w:t>
      </w:r>
      <w:r>
        <w:rPr>
          <w:rFonts w:ascii="Arial" w:eastAsia="Arial" w:hAnsi="Arial" w:cs="Arial"/>
          <w:color w:val="000000"/>
          <w:sz w:val="24"/>
          <w:szCs w:val="24"/>
        </w:rPr>
        <w:lastRenderedPageBreak/>
        <w:t>approved by the Relevant Authority or referred to the Dispute Resolution Procedure set out in Clause 34 of the Core Terms under Paragraph 4.5.</w:t>
      </w:r>
    </w:p>
    <w:p w14:paraId="1A576E72"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2734BE11"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Following approval of the Financial Distress Remediation Plan by the Relevant Authority, the Supplier shall:</w:t>
      </w:r>
    </w:p>
    <w:p w14:paraId="2D6C63ED"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on a regular basis (which shall not be less than fortnightly):</w:t>
      </w:r>
    </w:p>
    <w:p w14:paraId="32423518" w14:textId="77777777" w:rsidR="00F97929" w:rsidRDefault="006E0B8C">
      <w:pPr>
        <w:numPr>
          <w:ilvl w:val="3"/>
          <w:numId w:val="2"/>
        </w:numPr>
        <w:pBdr>
          <w:top w:val="nil"/>
          <w:left w:val="nil"/>
          <w:bottom w:val="nil"/>
          <w:right w:val="nil"/>
          <w:between w:val="nil"/>
        </w:pBdr>
        <w:tabs>
          <w:tab w:val="left" w:pos="1985"/>
        </w:tabs>
        <w:spacing w:before="120" w:after="120"/>
        <w:ind w:left="3402" w:hanging="936"/>
      </w:pPr>
      <w:r>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30FBA3D3" w14:textId="77777777" w:rsidR="00F97929" w:rsidRDefault="006E0B8C">
      <w:pPr>
        <w:numPr>
          <w:ilvl w:val="3"/>
          <w:numId w:val="2"/>
        </w:numPr>
        <w:pBdr>
          <w:top w:val="nil"/>
          <w:left w:val="nil"/>
          <w:bottom w:val="nil"/>
          <w:right w:val="nil"/>
          <w:between w:val="nil"/>
        </w:pBdr>
        <w:tabs>
          <w:tab w:val="left" w:pos="1985"/>
        </w:tabs>
        <w:spacing w:before="120" w:after="120"/>
        <w:ind w:left="3402" w:hanging="936"/>
      </w:pPr>
      <w:r>
        <w:rPr>
          <w:rFonts w:ascii="Arial" w:eastAsia="Arial" w:hAnsi="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40C8A1C8"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6BF33E1C"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6DA2AACF"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147FC41C"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049311DC"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1920D46E"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 xml:space="preserve">agreeing in advance with the Relevant Authority, Key Sub-contractors, the Guarantor and/or Monitored Suppliers a form of confidentiality agreement to </w:t>
      </w:r>
      <w:r>
        <w:rPr>
          <w:rFonts w:ascii="Arial" w:eastAsia="Arial" w:hAnsi="Arial" w:cs="Arial"/>
          <w:color w:val="000000"/>
          <w:sz w:val="24"/>
          <w:szCs w:val="24"/>
        </w:rPr>
        <w:lastRenderedPageBreak/>
        <w:t>be entered by the relevant parties to enable the disclosure of the information to the Relevant Authority;</w:t>
      </w:r>
    </w:p>
    <w:p w14:paraId="1B823995"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6DE7D6C1"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72268AD8" w14:textId="77777777"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Financial Indicators</w:t>
      </w:r>
    </w:p>
    <w:p w14:paraId="4BA96D7D"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3DDA3957" w14:textId="77777777" w:rsidR="00F97929" w:rsidRDefault="006E0B8C">
      <w:pPr>
        <w:pBdr>
          <w:top w:val="nil"/>
          <w:left w:val="nil"/>
          <w:bottom w:val="nil"/>
          <w:right w:val="nil"/>
          <w:between w:val="nil"/>
        </w:pBdr>
        <w:tabs>
          <w:tab w:val="left" w:pos="1134"/>
        </w:tabs>
        <w:spacing w:before="120" w:after="120"/>
        <w:jc w:val="left"/>
        <w:rPr>
          <w:rFonts w:ascii="Arial" w:eastAsia="Arial" w:hAnsi="Arial" w:cs="Arial"/>
          <w:color w:val="000000"/>
        </w:rPr>
      </w:pPr>
      <w:r>
        <w:rPr>
          <w:rFonts w:ascii="Arial" w:eastAsia="Arial" w:hAnsi="Arial" w:cs="Arial"/>
          <w:color w:val="000000"/>
          <w:sz w:val="24"/>
          <w:szCs w:val="24"/>
        </w:rPr>
        <w:t>Lots 1 to 7</w:t>
      </w: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F97929" w14:paraId="5337BE2B" w14:textId="77777777">
        <w:tc>
          <w:tcPr>
            <w:tcW w:w="2253" w:type="dxa"/>
            <w:shd w:val="clear" w:color="auto" w:fill="D9D9D9"/>
            <w:vAlign w:val="center"/>
          </w:tcPr>
          <w:p w14:paraId="77D68BC7" w14:textId="77777777" w:rsidR="00F97929" w:rsidRDefault="006E0B8C">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1977" w:type="dxa"/>
            <w:shd w:val="clear" w:color="auto" w:fill="D9D9D9"/>
            <w:vAlign w:val="center"/>
          </w:tcPr>
          <w:p w14:paraId="7CBD54F0" w14:textId="77777777" w:rsidR="00F97929" w:rsidRDefault="006E0B8C">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Calculation</w:t>
            </w:r>
            <w:r>
              <w:rPr>
                <w:rFonts w:ascii="Arial" w:eastAsia="Arial" w:hAnsi="Arial" w:cs="Arial"/>
                <w:b/>
                <w:color w:val="000000"/>
                <w:sz w:val="24"/>
                <w:szCs w:val="24"/>
                <w:vertAlign w:val="superscript"/>
              </w:rPr>
              <w:t>1</w:t>
            </w:r>
          </w:p>
        </w:tc>
        <w:tc>
          <w:tcPr>
            <w:tcW w:w="1697" w:type="dxa"/>
            <w:shd w:val="clear" w:color="auto" w:fill="D9D9D9"/>
            <w:vAlign w:val="center"/>
          </w:tcPr>
          <w:p w14:paraId="067080F0" w14:textId="77777777" w:rsidR="00F97929" w:rsidRDefault="006E0B8C">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Target Threshold:</w:t>
            </w:r>
          </w:p>
        </w:tc>
        <w:tc>
          <w:tcPr>
            <w:tcW w:w="3089" w:type="dxa"/>
            <w:shd w:val="clear" w:color="auto" w:fill="D9D9D9"/>
            <w:vAlign w:val="center"/>
          </w:tcPr>
          <w:p w14:paraId="250F3382" w14:textId="77777777" w:rsidR="00F97929" w:rsidRDefault="006E0B8C">
            <w:pPr>
              <w:pBdr>
                <w:top w:val="nil"/>
                <w:left w:val="nil"/>
                <w:bottom w:val="nil"/>
                <w:right w:val="nil"/>
                <w:between w:val="nil"/>
              </w:pBdr>
              <w:spacing w:before="100" w:after="200"/>
              <w:jc w:val="center"/>
              <w:rPr>
                <w:rFonts w:ascii="Arial" w:eastAsia="Arial" w:hAnsi="Arial" w:cs="Arial"/>
                <w:b/>
                <w:color w:val="000000"/>
                <w:sz w:val="24"/>
                <w:szCs w:val="24"/>
              </w:rPr>
            </w:pPr>
            <w:bookmarkStart w:id="0" w:name="_30j0zll" w:colFirst="0" w:colLast="0"/>
            <w:bookmarkEnd w:id="0"/>
            <w:r>
              <w:rPr>
                <w:rFonts w:ascii="Arial" w:eastAsia="Arial" w:hAnsi="Arial" w:cs="Arial"/>
                <w:b/>
                <w:color w:val="000000"/>
                <w:sz w:val="24"/>
                <w:szCs w:val="24"/>
              </w:rPr>
              <w:t xml:space="preserve">Monitoring and Reporting Frequency </w:t>
            </w:r>
          </w:p>
        </w:tc>
      </w:tr>
      <w:tr w:rsidR="00F97929" w14:paraId="2E7FF5A2" w14:textId="77777777">
        <w:tc>
          <w:tcPr>
            <w:tcW w:w="2253" w:type="dxa"/>
            <w:shd w:val="clear" w:color="auto" w:fill="auto"/>
            <w:vAlign w:val="center"/>
          </w:tcPr>
          <w:p w14:paraId="1C875D73"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1</w:t>
            </w:r>
          </w:p>
          <w:p w14:paraId="1018D8DA"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Operating Margin</w:t>
            </w:r>
          </w:p>
          <w:p w14:paraId="2443CF08" w14:textId="77777777" w:rsidR="00F97929" w:rsidRDefault="00F97929">
            <w:pPr>
              <w:pBdr>
                <w:top w:val="nil"/>
                <w:left w:val="nil"/>
                <w:bottom w:val="nil"/>
                <w:right w:val="nil"/>
                <w:between w:val="nil"/>
              </w:pBdr>
              <w:spacing w:before="100" w:after="200"/>
              <w:jc w:val="left"/>
              <w:rPr>
                <w:rFonts w:ascii="Arial" w:eastAsia="Arial" w:hAnsi="Arial" w:cs="Arial"/>
                <w:b/>
                <w:color w:val="000000"/>
                <w:sz w:val="24"/>
                <w:szCs w:val="24"/>
              </w:rPr>
            </w:pPr>
          </w:p>
        </w:tc>
        <w:tc>
          <w:tcPr>
            <w:tcW w:w="1977" w:type="dxa"/>
            <w:shd w:val="clear" w:color="auto" w:fill="auto"/>
            <w:vAlign w:val="center"/>
          </w:tcPr>
          <w:p w14:paraId="586A2359"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Operating Margin = Operating Profit / Revenue</w:t>
            </w:r>
          </w:p>
        </w:tc>
        <w:tc>
          <w:tcPr>
            <w:tcW w:w="1697" w:type="dxa"/>
            <w:shd w:val="clear" w:color="auto" w:fill="auto"/>
            <w:vAlign w:val="center"/>
          </w:tcPr>
          <w:p w14:paraId="7ADAE512"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8%</w:t>
            </w:r>
          </w:p>
        </w:tc>
        <w:tc>
          <w:tcPr>
            <w:tcW w:w="3089" w:type="dxa"/>
            <w:shd w:val="clear" w:color="auto" w:fill="auto"/>
            <w:vAlign w:val="center"/>
          </w:tcPr>
          <w:p w14:paraId="3A92D847" w14:textId="3404E0CF"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Tested and reported yearly in arrears </w:t>
            </w:r>
            <w:r w:rsidR="006C22F0">
              <w:rPr>
                <w:rFonts w:ascii="Arial" w:eastAsia="Arial" w:hAnsi="Arial" w:cs="Arial"/>
                <w:i/>
                <w:color w:val="000000"/>
                <w:sz w:val="24"/>
                <w:szCs w:val="24"/>
              </w:rPr>
              <w:t>within 90</w:t>
            </w:r>
            <w:r>
              <w:rPr>
                <w:rFonts w:ascii="Arial" w:eastAsia="Arial" w:hAnsi="Arial" w:cs="Arial"/>
                <w:i/>
                <w:color w:val="000000"/>
                <w:sz w:val="24"/>
                <w:szCs w:val="24"/>
              </w:rPr>
              <w:t xml:space="preserve"> days of each accounting reference date based upon figures for the 12 months ending on the relevant accounting reference date. </w:t>
            </w:r>
          </w:p>
        </w:tc>
      </w:tr>
      <w:tr w:rsidR="00F97929" w14:paraId="6F7D3236" w14:textId="77777777">
        <w:tc>
          <w:tcPr>
            <w:tcW w:w="2253" w:type="dxa"/>
            <w:vAlign w:val="center"/>
          </w:tcPr>
          <w:p w14:paraId="7DFF1985"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2</w:t>
            </w:r>
          </w:p>
          <w:p w14:paraId="3E830312"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1977" w:type="dxa"/>
            <w:vAlign w:val="center"/>
          </w:tcPr>
          <w:p w14:paraId="431997D7" w14:textId="77777777" w:rsidR="00F97929" w:rsidRDefault="00F97929">
            <w:pPr>
              <w:pBdr>
                <w:top w:val="nil"/>
                <w:left w:val="nil"/>
                <w:bottom w:val="nil"/>
                <w:right w:val="nil"/>
                <w:between w:val="nil"/>
              </w:pBdr>
              <w:spacing w:before="100" w:after="200"/>
              <w:jc w:val="center"/>
              <w:rPr>
                <w:rFonts w:ascii="Arial" w:eastAsia="Arial" w:hAnsi="Arial" w:cs="Arial"/>
                <w:i/>
                <w:color w:val="7030A0"/>
                <w:sz w:val="24"/>
                <w:szCs w:val="24"/>
              </w:rPr>
            </w:pPr>
          </w:p>
          <w:p w14:paraId="47E2E5D3"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to EBITDA ratio = Net Debt / EBITDA</w:t>
            </w:r>
          </w:p>
        </w:tc>
        <w:tc>
          <w:tcPr>
            <w:tcW w:w="1697" w:type="dxa"/>
            <w:vAlign w:val="center"/>
          </w:tcPr>
          <w:p w14:paraId="6697BDDF" w14:textId="77777777" w:rsidR="00F97929" w:rsidRDefault="00F97929">
            <w:pPr>
              <w:pBdr>
                <w:top w:val="nil"/>
                <w:left w:val="nil"/>
                <w:bottom w:val="nil"/>
                <w:right w:val="nil"/>
                <w:between w:val="nil"/>
              </w:pBdr>
              <w:spacing w:before="100" w:after="200"/>
              <w:jc w:val="center"/>
              <w:rPr>
                <w:rFonts w:ascii="Arial" w:eastAsia="Arial" w:hAnsi="Arial" w:cs="Arial"/>
                <w:i/>
                <w:color w:val="000000"/>
                <w:sz w:val="24"/>
                <w:szCs w:val="24"/>
              </w:rPr>
            </w:pPr>
          </w:p>
          <w:p w14:paraId="665BF544"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3.5 times</w:t>
            </w:r>
          </w:p>
        </w:tc>
        <w:tc>
          <w:tcPr>
            <w:tcW w:w="3089" w:type="dxa"/>
            <w:vAlign w:val="center"/>
          </w:tcPr>
          <w:p w14:paraId="70DD2910" w14:textId="1BD59E92"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Tested and reported yearly </w:t>
            </w:r>
            <w:r>
              <w:rPr>
                <w:rFonts w:ascii="Arial" w:eastAsia="Arial" w:hAnsi="Arial" w:cs="Arial"/>
                <w:i/>
                <w:color w:val="7030A0"/>
                <w:sz w:val="24"/>
                <w:szCs w:val="24"/>
              </w:rPr>
              <w:t>in</w:t>
            </w:r>
            <w:r>
              <w:rPr>
                <w:rFonts w:ascii="Arial" w:eastAsia="Arial" w:hAnsi="Arial" w:cs="Arial"/>
                <w:i/>
                <w:color w:val="000000"/>
                <w:sz w:val="24"/>
                <w:szCs w:val="24"/>
              </w:rPr>
              <w:t xml:space="preserve"> arrears </w:t>
            </w:r>
            <w:r w:rsidR="006C22F0">
              <w:rPr>
                <w:rFonts w:ascii="Arial" w:eastAsia="Arial" w:hAnsi="Arial" w:cs="Arial"/>
                <w:i/>
                <w:color w:val="000000"/>
                <w:sz w:val="24"/>
                <w:szCs w:val="24"/>
              </w:rPr>
              <w:t>within 90</w:t>
            </w:r>
            <w:r>
              <w:rPr>
                <w:rFonts w:ascii="Arial" w:eastAsia="Arial" w:hAnsi="Arial" w:cs="Arial"/>
                <w:i/>
                <w:color w:val="000000"/>
                <w:sz w:val="24"/>
                <w:szCs w:val="24"/>
              </w:rPr>
              <w:t xml:space="preserve"> days of each accounting reference date based </w:t>
            </w:r>
            <w:r w:rsidR="006C22F0">
              <w:rPr>
                <w:rFonts w:ascii="Arial" w:eastAsia="Arial" w:hAnsi="Arial" w:cs="Arial"/>
                <w:i/>
                <w:color w:val="000000"/>
                <w:sz w:val="24"/>
                <w:szCs w:val="24"/>
              </w:rPr>
              <w:t>upon EBITDA</w:t>
            </w:r>
            <w:r>
              <w:rPr>
                <w:rFonts w:ascii="Arial" w:eastAsia="Arial" w:hAnsi="Arial" w:cs="Arial"/>
                <w:i/>
                <w:color w:val="000000"/>
                <w:sz w:val="24"/>
                <w:szCs w:val="24"/>
              </w:rPr>
              <w:t xml:space="preserve"> for the 12 months ending on, and Net Debt at, the relevant accounting reference date.</w:t>
            </w:r>
          </w:p>
        </w:tc>
      </w:tr>
      <w:tr w:rsidR="00F97929" w14:paraId="67E2FFE1" w14:textId="77777777">
        <w:tc>
          <w:tcPr>
            <w:tcW w:w="2253" w:type="dxa"/>
            <w:vAlign w:val="center"/>
          </w:tcPr>
          <w:p w14:paraId="30FC34EF"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3</w:t>
            </w:r>
          </w:p>
          <w:p w14:paraId="56877D47"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Debt + Net Pension Deficit to EBITDA ratio</w:t>
            </w:r>
          </w:p>
        </w:tc>
        <w:tc>
          <w:tcPr>
            <w:tcW w:w="1977" w:type="dxa"/>
            <w:vAlign w:val="center"/>
          </w:tcPr>
          <w:p w14:paraId="26DDFF6F"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 Net Pension Deficit to EBITDA Ratio = (Net Debt + Net Pension Deficit) / EBITDA</w:t>
            </w:r>
          </w:p>
        </w:tc>
        <w:tc>
          <w:tcPr>
            <w:tcW w:w="1697" w:type="dxa"/>
            <w:vAlign w:val="center"/>
          </w:tcPr>
          <w:p w14:paraId="2D9D1BB8"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5 times</w:t>
            </w:r>
          </w:p>
        </w:tc>
        <w:tc>
          <w:tcPr>
            <w:tcW w:w="3089" w:type="dxa"/>
            <w:vAlign w:val="center"/>
          </w:tcPr>
          <w:p w14:paraId="7F3D25E0"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w:t>
            </w:r>
            <w:r>
              <w:rPr>
                <w:rFonts w:ascii="Arial" w:eastAsia="Arial" w:hAnsi="Arial" w:cs="Arial"/>
                <w:i/>
                <w:sz w:val="24"/>
                <w:szCs w:val="24"/>
              </w:rPr>
              <w:t>thin 90 d</w:t>
            </w:r>
            <w:r>
              <w:rPr>
                <w:rFonts w:ascii="Arial" w:eastAsia="Arial" w:hAnsi="Arial" w:cs="Arial"/>
                <w:i/>
                <w:color w:val="000000"/>
                <w:sz w:val="24"/>
                <w:szCs w:val="24"/>
              </w:rPr>
              <w:t xml:space="preserve">ays of each accounting reference date based upon EBITDA for the 12 months ending on, and the Net Debt and Net Pension </w:t>
            </w:r>
            <w:r>
              <w:rPr>
                <w:rFonts w:ascii="Arial" w:eastAsia="Arial" w:hAnsi="Arial" w:cs="Arial"/>
                <w:i/>
                <w:color w:val="000000"/>
                <w:sz w:val="24"/>
                <w:szCs w:val="24"/>
              </w:rPr>
              <w:lastRenderedPageBreak/>
              <w:t>Deficit at, the relevant accounting reference date</w:t>
            </w:r>
          </w:p>
        </w:tc>
      </w:tr>
      <w:tr w:rsidR="00F97929" w14:paraId="0375C60C" w14:textId="77777777">
        <w:tc>
          <w:tcPr>
            <w:tcW w:w="2253" w:type="dxa"/>
            <w:vAlign w:val="center"/>
          </w:tcPr>
          <w:p w14:paraId="0A7F3E2C"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lastRenderedPageBreak/>
              <w:t>4</w:t>
            </w:r>
          </w:p>
          <w:p w14:paraId="4E80D2E2"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1977" w:type="dxa"/>
            <w:vAlign w:val="center"/>
          </w:tcPr>
          <w:p w14:paraId="3F270B15"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Interest Paid Cover = Earnings Before Interest and Tax / Net Interest Paid</w:t>
            </w:r>
          </w:p>
        </w:tc>
        <w:tc>
          <w:tcPr>
            <w:tcW w:w="1697" w:type="dxa"/>
            <w:vAlign w:val="center"/>
          </w:tcPr>
          <w:p w14:paraId="57E0FC72"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3 times</w:t>
            </w:r>
          </w:p>
        </w:tc>
        <w:tc>
          <w:tcPr>
            <w:tcW w:w="3089" w:type="dxa"/>
            <w:vAlign w:val="center"/>
          </w:tcPr>
          <w:p w14:paraId="6D4176C1" w14:textId="4981BE9C"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w:t>
            </w:r>
            <w:r>
              <w:rPr>
                <w:rFonts w:ascii="Arial" w:eastAsia="Arial" w:hAnsi="Arial" w:cs="Arial"/>
                <w:i/>
                <w:color w:val="8064A2"/>
                <w:sz w:val="24"/>
                <w:szCs w:val="24"/>
              </w:rPr>
              <w:t xml:space="preserve"> </w:t>
            </w:r>
            <w:r>
              <w:rPr>
                <w:rFonts w:ascii="Arial" w:eastAsia="Arial" w:hAnsi="Arial" w:cs="Arial"/>
                <w:i/>
                <w:color w:val="000000"/>
                <w:sz w:val="24"/>
                <w:szCs w:val="24"/>
              </w:rPr>
              <w:t xml:space="preserve">in arrears within </w:t>
            </w:r>
            <w:r w:rsidR="006C22F0">
              <w:rPr>
                <w:rFonts w:ascii="Arial" w:eastAsia="Arial" w:hAnsi="Arial" w:cs="Arial"/>
                <w:i/>
                <w:color w:val="000000"/>
                <w:sz w:val="24"/>
                <w:szCs w:val="24"/>
              </w:rPr>
              <w:t>90 days</w:t>
            </w:r>
            <w:r>
              <w:rPr>
                <w:rFonts w:ascii="Arial" w:eastAsia="Arial" w:hAnsi="Arial" w:cs="Arial"/>
                <w:i/>
                <w:color w:val="000000"/>
                <w:sz w:val="24"/>
                <w:szCs w:val="24"/>
              </w:rPr>
              <w:t xml:space="preserve"> of each accounting reference date based upon figures for the 12 months ending on the relevant accounting reference date.</w:t>
            </w:r>
          </w:p>
        </w:tc>
      </w:tr>
      <w:tr w:rsidR="00F97929" w14:paraId="763EC10D" w14:textId="77777777">
        <w:tc>
          <w:tcPr>
            <w:tcW w:w="2253" w:type="dxa"/>
            <w:vAlign w:val="center"/>
          </w:tcPr>
          <w:p w14:paraId="583B7E9E"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5</w:t>
            </w:r>
          </w:p>
          <w:p w14:paraId="7D755F71"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Acid Ratio</w:t>
            </w:r>
          </w:p>
        </w:tc>
        <w:tc>
          <w:tcPr>
            <w:tcW w:w="1977" w:type="dxa"/>
            <w:vAlign w:val="center"/>
          </w:tcPr>
          <w:p w14:paraId="1ADB6F69"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Acid Ratio = (Current Assets – Inventories) / Current Liabilities</w:t>
            </w:r>
          </w:p>
        </w:tc>
        <w:tc>
          <w:tcPr>
            <w:tcW w:w="1697" w:type="dxa"/>
            <w:vAlign w:val="center"/>
          </w:tcPr>
          <w:p w14:paraId="6F4DBE46"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0.8 times</w:t>
            </w:r>
          </w:p>
        </w:tc>
        <w:tc>
          <w:tcPr>
            <w:tcW w:w="3089" w:type="dxa"/>
            <w:vAlign w:val="center"/>
          </w:tcPr>
          <w:p w14:paraId="148966F0" w14:textId="0D71D86B"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Tested and reported yearly in arrears within </w:t>
            </w:r>
            <w:r w:rsidR="00127855">
              <w:rPr>
                <w:rFonts w:ascii="Arial" w:eastAsia="Arial" w:hAnsi="Arial" w:cs="Arial"/>
                <w:i/>
                <w:color w:val="000000"/>
                <w:sz w:val="24"/>
                <w:szCs w:val="24"/>
              </w:rPr>
              <w:t>90 days</w:t>
            </w:r>
            <w:r>
              <w:rPr>
                <w:rFonts w:ascii="Arial" w:eastAsia="Arial" w:hAnsi="Arial" w:cs="Arial"/>
                <w:i/>
                <w:color w:val="000000"/>
                <w:sz w:val="24"/>
                <w:szCs w:val="24"/>
              </w:rPr>
              <w:t xml:space="preserve"> of each accounting reference date based upon figures at the relevant accounting reference date</w:t>
            </w:r>
          </w:p>
        </w:tc>
      </w:tr>
      <w:tr w:rsidR="00F97929" w14:paraId="7CA4F0E2" w14:textId="77777777">
        <w:tc>
          <w:tcPr>
            <w:tcW w:w="2253" w:type="dxa"/>
            <w:vAlign w:val="center"/>
          </w:tcPr>
          <w:p w14:paraId="608114F2"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6</w:t>
            </w:r>
          </w:p>
          <w:p w14:paraId="530D6041"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Asset value</w:t>
            </w:r>
          </w:p>
        </w:tc>
        <w:tc>
          <w:tcPr>
            <w:tcW w:w="1977" w:type="dxa"/>
            <w:vAlign w:val="center"/>
          </w:tcPr>
          <w:p w14:paraId="43327D5F"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Asset Value = Net Assets</w:t>
            </w:r>
          </w:p>
        </w:tc>
        <w:tc>
          <w:tcPr>
            <w:tcW w:w="1697" w:type="dxa"/>
            <w:vAlign w:val="center"/>
          </w:tcPr>
          <w:p w14:paraId="0300849A"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w:t>
            </w:r>
          </w:p>
        </w:tc>
        <w:tc>
          <w:tcPr>
            <w:tcW w:w="3089" w:type="dxa"/>
            <w:vAlign w:val="center"/>
          </w:tcPr>
          <w:p w14:paraId="45EBA850"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sz w:val="24"/>
                <w:szCs w:val="24"/>
              </w:rPr>
              <w:t xml:space="preserve">Tested and reported yearly in arrears within 90 days of each accounting reference date based upon figures at the relevant accounting reference date </w:t>
            </w:r>
          </w:p>
        </w:tc>
      </w:tr>
      <w:tr w:rsidR="00F97929" w14:paraId="6BC59563" w14:textId="77777777">
        <w:tc>
          <w:tcPr>
            <w:tcW w:w="2253" w:type="dxa"/>
            <w:vAlign w:val="center"/>
          </w:tcPr>
          <w:p w14:paraId="5EBA0D8E"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7</w:t>
            </w:r>
          </w:p>
          <w:p w14:paraId="22A6D961"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1977" w:type="dxa"/>
            <w:vAlign w:val="center"/>
          </w:tcPr>
          <w:p w14:paraId="75EE1B14"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Group Exposure / Gross Assets</w:t>
            </w:r>
          </w:p>
        </w:tc>
        <w:tc>
          <w:tcPr>
            <w:tcW w:w="1697" w:type="dxa"/>
            <w:vAlign w:val="center"/>
          </w:tcPr>
          <w:p w14:paraId="4A91BAFC"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50%</w:t>
            </w:r>
          </w:p>
        </w:tc>
        <w:tc>
          <w:tcPr>
            <w:tcW w:w="3089" w:type="dxa"/>
            <w:vAlign w:val="center"/>
          </w:tcPr>
          <w:p w14:paraId="53BF44F7" w14:textId="77777777"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14:paraId="1600F91E" w14:textId="77777777" w:rsidR="00F97929" w:rsidRDefault="006E0B8C">
      <w:pPr>
        <w:pBdr>
          <w:top w:val="nil"/>
          <w:left w:val="nil"/>
          <w:bottom w:val="nil"/>
          <w:right w:val="nil"/>
          <w:between w:val="nil"/>
        </w:pBdr>
        <w:tabs>
          <w:tab w:val="left" w:pos="142"/>
        </w:tabs>
        <w:spacing w:before="120"/>
        <w:ind w:left="360" w:hanging="360"/>
        <w:rPr>
          <w:rFonts w:ascii="Arial" w:eastAsia="Arial" w:hAnsi="Arial" w:cs="Arial"/>
          <w:color w:val="000000"/>
          <w:sz w:val="24"/>
          <w:szCs w:val="24"/>
        </w:rPr>
      </w:pPr>
      <w:r>
        <w:rPr>
          <w:rFonts w:ascii="Arial" w:eastAsia="Arial" w:hAnsi="Arial" w:cs="Arial"/>
          <w:color w:val="000000"/>
          <w:sz w:val="24"/>
          <w:szCs w:val="24"/>
        </w:rPr>
        <w:t>Key: 1 – see Annex 3 to this Schedule which sets out the calculation methodology to be used in the calculation of each financial indicator.</w:t>
      </w:r>
    </w:p>
    <w:p w14:paraId="0CCBE12F" w14:textId="77777777"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Termination rights</w:t>
      </w:r>
    </w:p>
    <w:p w14:paraId="048A915C"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Relevant Authority shall be entitled to terminate the Contract if:</w:t>
      </w:r>
    </w:p>
    <w:p w14:paraId="52F71C43"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Supplier fails to notify the Relevant Authority of a Financial Distress Event in accordance with Paragraph 2.3.3;</w:t>
      </w:r>
    </w:p>
    <w:p w14:paraId="6D0405C3"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4E5DF85C"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lastRenderedPageBreak/>
        <w:t>the Supplier fails to comply with the terms of the Financial Distress Remediation Plan (or any updated Financial Distress Remediation Plan) in accordance with Paragraph 4.6.3,</w:t>
      </w:r>
    </w:p>
    <w:p w14:paraId="060DB845" w14:textId="77777777" w:rsidR="00F97929" w:rsidRDefault="006E0B8C">
      <w:pPr>
        <w:pBdr>
          <w:top w:val="nil"/>
          <w:left w:val="nil"/>
          <w:bottom w:val="nil"/>
          <w:right w:val="nil"/>
          <w:between w:val="nil"/>
        </w:pBdr>
        <w:tabs>
          <w:tab w:val="left" w:pos="1985"/>
        </w:tabs>
        <w:spacing w:before="120" w:after="120"/>
        <w:ind w:left="2422" w:hanging="720"/>
        <w:rPr>
          <w:rFonts w:ascii="Arial" w:eastAsia="Arial" w:hAnsi="Arial" w:cs="Arial"/>
          <w:color w:val="000000"/>
          <w:sz w:val="24"/>
          <w:szCs w:val="24"/>
        </w:rPr>
      </w:pPr>
      <w:r>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5762D02F" w14:textId="77777777"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Primacy of Credit Ratings</w:t>
      </w:r>
    </w:p>
    <w:p w14:paraId="04D97FDB"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270AB3CD"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Supplier shall be relieved automatically of its obligations under Paragraphs 4.3 to 4.6; and</w:t>
      </w:r>
    </w:p>
    <w:p w14:paraId="60A07EA3"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Relevant Authority shall not be entitled to require the Supplier to provide financial information in accordance with Paragraph 4.3.2(b).</w:t>
      </w:r>
    </w:p>
    <w:p w14:paraId="082711C7" w14:textId="77777777"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Board confirmation</w:t>
      </w:r>
    </w:p>
    <w:p w14:paraId="5DE1BB9C"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If the Contract has been specified as a Critical Service Contract under Paragraph 1.1 of Part B of Annex 1 to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37E731FB"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that a Financial Distress Event has occurred since the later of the Effective Date or the previous Board Confirmation or is subsisting; or</w:t>
      </w:r>
    </w:p>
    <w:p w14:paraId="3B7529A6" w14:textId="77777777"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of any matters which have occurred or are subsisting that could reasonably be expected to cause a Financial Distress Event.</w:t>
      </w:r>
    </w:p>
    <w:p w14:paraId="18CB9960"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55C7CA12"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6C9FF857" w14:textId="77777777"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50071FB6" w14:textId="77777777"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lastRenderedPageBreak/>
        <w:t>Optional Clauses</w:t>
      </w:r>
    </w:p>
    <w:p w14:paraId="3C585791" w14:textId="77777777" w:rsidR="00F97929" w:rsidRDefault="006E0B8C">
      <w:pPr>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24243656" w14:textId="77777777" w:rsidR="00F97929" w:rsidRDefault="00F97929">
      <w:pPr>
        <w:pBdr>
          <w:top w:val="nil"/>
          <w:left w:val="nil"/>
          <w:bottom w:val="nil"/>
          <w:right w:val="nil"/>
          <w:between w:val="nil"/>
        </w:pBdr>
        <w:tabs>
          <w:tab w:val="left" w:pos="142"/>
        </w:tabs>
        <w:spacing w:before="120"/>
        <w:ind w:left="360" w:hanging="360"/>
        <w:rPr>
          <w:b/>
          <w:smallCaps/>
          <w:color w:val="000000"/>
        </w:rPr>
      </w:pPr>
    </w:p>
    <w:p w14:paraId="2389A60E" w14:textId="77777777" w:rsidR="004C61ED" w:rsidRDefault="006E0B8C">
      <w:pPr>
        <w:spacing w:after="200" w:line="276" w:lineRule="auto"/>
        <w:jc w:val="left"/>
      </w:pPr>
      <w:r>
        <w:br w:type="page"/>
      </w:r>
    </w:p>
    <w:p w14:paraId="03E1872D" w14:textId="77777777" w:rsidR="004C61ED" w:rsidRDefault="004C61ED">
      <w:pPr>
        <w:spacing w:after="200" w:line="276" w:lineRule="auto"/>
        <w:jc w:val="left"/>
      </w:pPr>
    </w:p>
    <w:p w14:paraId="1C4540DC" w14:textId="72B4244D" w:rsidR="00F97929" w:rsidRDefault="006E0B8C">
      <w:pPr>
        <w:spacing w:after="200" w:line="276" w:lineRule="auto"/>
        <w:jc w:val="left"/>
        <w:rPr>
          <w:rFonts w:ascii="Arial" w:eastAsia="Arial" w:hAnsi="Arial" w:cs="Arial"/>
          <w:b/>
          <w:sz w:val="24"/>
          <w:szCs w:val="24"/>
        </w:rPr>
      </w:pPr>
      <w:r w:rsidRPr="004C61ED">
        <w:rPr>
          <w:rFonts w:ascii="Arial" w:eastAsia="Arial" w:hAnsi="Arial" w:cs="Arial"/>
          <w:b/>
          <w:smallCaps/>
          <w:sz w:val="36"/>
          <w:szCs w:val="36"/>
        </w:rPr>
        <w:t>Annex 1: Rating Agencies and their standard Rating System</w:t>
      </w:r>
    </w:p>
    <w:p w14:paraId="27D5F391" w14:textId="0CF6B9A3" w:rsidR="00F97929" w:rsidRPr="00EC1870" w:rsidRDefault="006E0B8C">
      <w:pPr>
        <w:keepNext/>
        <w:pBdr>
          <w:top w:val="nil"/>
          <w:left w:val="nil"/>
          <w:bottom w:val="nil"/>
          <w:right w:val="nil"/>
          <w:between w:val="nil"/>
        </w:pBdr>
        <w:spacing w:before="240" w:after="120"/>
        <w:ind w:left="142"/>
        <w:jc w:val="left"/>
        <w:rPr>
          <w:rFonts w:ascii="Arial" w:eastAsia="Arial" w:hAnsi="Arial" w:cs="Arial"/>
          <w:sz w:val="24"/>
          <w:szCs w:val="24"/>
        </w:rPr>
      </w:pPr>
      <w:r w:rsidRPr="00EC1870">
        <w:rPr>
          <w:rFonts w:ascii="Arial" w:eastAsia="Arial" w:hAnsi="Arial" w:cs="Arial"/>
          <w:color w:val="000000"/>
          <w:sz w:val="24"/>
          <w:szCs w:val="24"/>
        </w:rPr>
        <w:t xml:space="preserve">Rating Agency 1 - </w:t>
      </w:r>
      <w:r w:rsidRPr="00EC1870">
        <w:rPr>
          <w:rFonts w:ascii="Arial" w:eastAsia="Arial" w:hAnsi="Arial" w:cs="Arial"/>
          <w:sz w:val="24"/>
          <w:szCs w:val="24"/>
        </w:rPr>
        <w:t>Dun &amp; Bradstreet</w:t>
      </w:r>
    </w:p>
    <w:p w14:paraId="55EDCBA1" w14:textId="0EC8A13D" w:rsidR="00F97929" w:rsidRPr="00EC1870" w:rsidRDefault="006E0B8C" w:rsidP="002A382E">
      <w:pPr>
        <w:keepNext/>
        <w:pBdr>
          <w:top w:val="nil"/>
          <w:left w:val="nil"/>
          <w:bottom w:val="nil"/>
          <w:right w:val="nil"/>
          <w:between w:val="nil"/>
        </w:pBdr>
        <w:spacing w:before="240" w:after="120"/>
        <w:ind w:left="142"/>
        <w:jc w:val="left"/>
        <w:rPr>
          <w:rFonts w:ascii="Arial" w:eastAsia="Arial" w:hAnsi="Arial" w:cs="Arial"/>
          <w:color w:val="000000"/>
          <w:sz w:val="24"/>
          <w:szCs w:val="24"/>
        </w:rPr>
      </w:pPr>
      <w:r w:rsidRPr="00EC1870">
        <w:rPr>
          <w:rFonts w:ascii="Arial" w:eastAsia="Arial" w:hAnsi="Arial" w:cs="Arial"/>
          <w:color w:val="000000"/>
          <w:sz w:val="24"/>
          <w:szCs w:val="24"/>
        </w:rPr>
        <w:t>Rating Agency 2</w:t>
      </w:r>
      <w:r w:rsidR="00A308A2" w:rsidRPr="00EC1870">
        <w:rPr>
          <w:rFonts w:ascii="Arial" w:eastAsia="Arial" w:hAnsi="Arial" w:cs="Arial"/>
          <w:color w:val="000000"/>
          <w:sz w:val="24"/>
          <w:szCs w:val="24"/>
        </w:rPr>
        <w:t xml:space="preserve"> – Company</w:t>
      </w:r>
      <w:r w:rsidR="002A382E" w:rsidRPr="00EC1870">
        <w:rPr>
          <w:rFonts w:ascii="Arial" w:eastAsia="Arial" w:hAnsi="Arial" w:cs="Arial"/>
          <w:color w:val="000000"/>
          <w:sz w:val="24"/>
          <w:szCs w:val="24"/>
        </w:rPr>
        <w:t xml:space="preserve"> Watch</w:t>
      </w:r>
      <w:r w:rsidRPr="00EC1870">
        <w:rPr>
          <w:rFonts w:ascii="Arial" w:eastAsia="Arial" w:hAnsi="Arial" w:cs="Arial"/>
          <w:color w:val="000000"/>
          <w:sz w:val="24"/>
          <w:szCs w:val="24"/>
        </w:rPr>
        <w:t xml:space="preserve"> </w:t>
      </w:r>
    </w:p>
    <w:p w14:paraId="1EA9C40B" w14:textId="77777777" w:rsidR="00F97929" w:rsidRDefault="006E0B8C">
      <w:pPr>
        <w:spacing w:after="200" w:line="276" w:lineRule="auto"/>
        <w:jc w:val="left"/>
        <w:rPr>
          <w:rFonts w:ascii="Arial" w:eastAsia="Arial" w:hAnsi="Arial" w:cs="Arial"/>
          <w:sz w:val="24"/>
          <w:szCs w:val="24"/>
        </w:rPr>
      </w:pPr>
      <w:r>
        <w:br w:type="page"/>
      </w:r>
    </w:p>
    <w:p w14:paraId="19E2FAC6" w14:textId="77777777" w:rsidR="004C61ED" w:rsidRDefault="004C61ED" w:rsidP="004C61ED">
      <w:pPr>
        <w:spacing w:after="200" w:line="276" w:lineRule="auto"/>
        <w:jc w:val="left"/>
        <w:rPr>
          <w:rFonts w:ascii="Arial" w:eastAsia="Arial" w:hAnsi="Arial" w:cs="Arial"/>
          <w:b/>
          <w:smallCaps/>
          <w:sz w:val="36"/>
          <w:szCs w:val="36"/>
        </w:rPr>
      </w:pPr>
    </w:p>
    <w:p w14:paraId="71D2AAB1" w14:textId="7E0B7DB8" w:rsidR="00F97929" w:rsidRPr="004C61ED" w:rsidRDefault="006E0B8C" w:rsidP="004C61ED">
      <w:pPr>
        <w:spacing w:after="200" w:line="276" w:lineRule="auto"/>
        <w:jc w:val="left"/>
        <w:rPr>
          <w:rFonts w:ascii="Arial" w:eastAsia="Arial" w:hAnsi="Arial" w:cs="Arial"/>
          <w:b/>
          <w:smallCaps/>
          <w:sz w:val="36"/>
          <w:szCs w:val="36"/>
        </w:rPr>
      </w:pPr>
      <w:r w:rsidRPr="004C61ED">
        <w:rPr>
          <w:rFonts w:ascii="Arial" w:eastAsia="Arial" w:hAnsi="Arial" w:cs="Arial"/>
          <w:b/>
          <w:smallCaps/>
          <w:sz w:val="36"/>
          <w:szCs w:val="36"/>
        </w:rPr>
        <w:t>Annex 2: Credit Ratings and Credit Rating Thresholds</w:t>
      </w:r>
    </w:p>
    <w:tbl>
      <w:tblPr>
        <w:tblStyle w:val="a2"/>
        <w:tblW w:w="8489"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244"/>
        <w:gridCol w:w="4245"/>
      </w:tblGrid>
      <w:tr w:rsidR="00F97929" w14:paraId="5ACDB60A" w14:textId="77777777" w:rsidTr="00054BC6">
        <w:trPr>
          <w:trHeight w:val="940"/>
        </w:trPr>
        <w:tc>
          <w:tcPr>
            <w:tcW w:w="4244" w:type="dxa"/>
            <w:tcBorders>
              <w:top w:val="single" w:sz="4" w:space="0" w:color="000000"/>
            </w:tcBorders>
            <w:shd w:val="clear" w:color="auto" w:fill="FFFFFF"/>
          </w:tcPr>
          <w:p w14:paraId="39EB3A31" w14:textId="77777777" w:rsidR="00F97929" w:rsidRDefault="006E0B8C">
            <w:pPr>
              <w:keepNext/>
              <w:pBdr>
                <w:top w:val="nil"/>
                <w:left w:val="nil"/>
                <w:bottom w:val="nil"/>
                <w:right w:val="nil"/>
                <w:between w:val="nil"/>
              </w:pBdr>
              <w:spacing w:before="240" w:after="120"/>
              <w:ind w:left="142"/>
              <w:jc w:val="left"/>
              <w:rPr>
                <w:rFonts w:ascii="Arial" w:eastAsia="Arial" w:hAnsi="Arial" w:cs="Arial"/>
                <w:b/>
                <w:color w:val="000000"/>
                <w:sz w:val="24"/>
                <w:szCs w:val="24"/>
              </w:rPr>
            </w:pPr>
            <w:r>
              <w:rPr>
                <w:rFonts w:ascii="Arial" w:eastAsia="Arial" w:hAnsi="Arial" w:cs="Arial"/>
                <w:b/>
                <w:color w:val="000000"/>
                <w:sz w:val="24"/>
                <w:szCs w:val="24"/>
              </w:rPr>
              <w:t>Entity</w:t>
            </w:r>
          </w:p>
        </w:tc>
        <w:tc>
          <w:tcPr>
            <w:tcW w:w="4245" w:type="dxa"/>
            <w:tcBorders>
              <w:top w:val="single" w:sz="4" w:space="0" w:color="000000"/>
            </w:tcBorders>
            <w:shd w:val="clear" w:color="auto" w:fill="FFFFFF"/>
          </w:tcPr>
          <w:p w14:paraId="1024473D" w14:textId="77777777" w:rsidR="00F97929" w:rsidRDefault="006E0B8C">
            <w:pPr>
              <w:keepNext/>
              <w:pBdr>
                <w:top w:val="nil"/>
                <w:left w:val="nil"/>
                <w:bottom w:val="nil"/>
                <w:right w:val="nil"/>
                <w:between w:val="nil"/>
              </w:pBdr>
              <w:spacing w:before="240" w:after="120"/>
              <w:ind w:left="142"/>
              <w:jc w:val="left"/>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F97929" w14:paraId="213F8F58" w14:textId="77777777" w:rsidTr="00054BC6">
        <w:trPr>
          <w:trHeight w:val="1504"/>
        </w:trPr>
        <w:tc>
          <w:tcPr>
            <w:tcW w:w="4244" w:type="dxa"/>
            <w:shd w:val="clear" w:color="auto" w:fill="FFFFFF"/>
          </w:tcPr>
          <w:p w14:paraId="20CD9765" w14:textId="7030B4B6" w:rsidR="00F97929" w:rsidRDefault="004A3345">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Dun &amp; Bradstree</w:t>
            </w:r>
            <w:r w:rsidR="00495AB4">
              <w:rPr>
                <w:rFonts w:ascii="Arial" w:eastAsia="Arial" w:hAnsi="Arial" w:cs="Arial"/>
                <w:color w:val="000000"/>
                <w:sz w:val="24"/>
                <w:szCs w:val="24"/>
              </w:rPr>
              <w:t>t</w:t>
            </w:r>
          </w:p>
        </w:tc>
        <w:tc>
          <w:tcPr>
            <w:tcW w:w="4245" w:type="dxa"/>
            <w:shd w:val="clear" w:color="auto" w:fill="FFFFFF"/>
          </w:tcPr>
          <w:p w14:paraId="07743F01" w14:textId="77777777" w:rsidR="00F97929" w:rsidRDefault="00054BC6">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Risk Indicator – Level 2</w:t>
            </w:r>
          </w:p>
          <w:p w14:paraId="49CEE54D" w14:textId="0B0E3043" w:rsidR="00054BC6" w:rsidRDefault="00054BC6">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Financial Strength Indicator – 4A</w:t>
            </w:r>
          </w:p>
        </w:tc>
      </w:tr>
      <w:tr w:rsidR="00495AB4" w14:paraId="191E120F" w14:textId="77777777" w:rsidTr="00054BC6">
        <w:trPr>
          <w:trHeight w:val="658"/>
        </w:trPr>
        <w:tc>
          <w:tcPr>
            <w:tcW w:w="4244" w:type="dxa"/>
            <w:shd w:val="clear" w:color="auto" w:fill="FFFFFF"/>
          </w:tcPr>
          <w:p w14:paraId="09EA795E" w14:textId="63B34A4A" w:rsidR="00495AB4" w:rsidRDefault="00495AB4">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Company Watch</w:t>
            </w:r>
          </w:p>
        </w:tc>
        <w:tc>
          <w:tcPr>
            <w:tcW w:w="4245" w:type="dxa"/>
            <w:shd w:val="clear" w:color="auto" w:fill="FFFFFF"/>
          </w:tcPr>
          <w:p w14:paraId="033EBE7A" w14:textId="2F64676B" w:rsidR="00495AB4" w:rsidRDefault="00495AB4">
            <w:pPr>
              <w:keepNext/>
              <w:pBdr>
                <w:top w:val="nil"/>
                <w:left w:val="nil"/>
                <w:bottom w:val="nil"/>
                <w:right w:val="nil"/>
                <w:between w:val="nil"/>
              </w:pBdr>
              <w:spacing w:before="240" w:after="120"/>
              <w:ind w:left="142"/>
              <w:jc w:val="left"/>
              <w:rPr>
                <w:rFonts w:ascii="Arial" w:eastAsia="Arial" w:hAnsi="Arial" w:cs="Arial"/>
                <w:color w:val="000000"/>
                <w:sz w:val="24"/>
                <w:szCs w:val="24"/>
                <w:highlight w:val="yellow"/>
              </w:rPr>
            </w:pPr>
            <w:r w:rsidRPr="00054BC6">
              <w:rPr>
                <w:rFonts w:ascii="Arial" w:eastAsia="Arial" w:hAnsi="Arial" w:cs="Arial"/>
                <w:color w:val="000000"/>
                <w:sz w:val="24"/>
                <w:szCs w:val="24"/>
              </w:rPr>
              <w:t>H score - 20</w:t>
            </w:r>
          </w:p>
        </w:tc>
      </w:tr>
    </w:tbl>
    <w:p w14:paraId="0BD22F1D" w14:textId="77777777"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14:paraId="19661AAB" w14:textId="77777777" w:rsidR="00F97929" w:rsidRDefault="006E0B8C">
      <w:pPr>
        <w:spacing w:after="200" w:line="276" w:lineRule="auto"/>
        <w:jc w:val="left"/>
        <w:rPr>
          <w:rFonts w:ascii="Arial" w:eastAsia="Arial" w:hAnsi="Arial" w:cs="Arial"/>
          <w:sz w:val="24"/>
          <w:szCs w:val="24"/>
        </w:rPr>
      </w:pPr>
      <w:r>
        <w:br w:type="page"/>
      </w:r>
    </w:p>
    <w:p w14:paraId="336E05E6" w14:textId="77777777" w:rsidR="004C61ED" w:rsidRDefault="004C61ED" w:rsidP="004C61ED">
      <w:pPr>
        <w:spacing w:after="200" w:line="276" w:lineRule="auto"/>
        <w:jc w:val="left"/>
        <w:rPr>
          <w:rFonts w:ascii="Arial" w:eastAsia="Arial" w:hAnsi="Arial" w:cs="Arial"/>
          <w:b/>
          <w:smallCaps/>
          <w:sz w:val="36"/>
          <w:szCs w:val="36"/>
        </w:rPr>
      </w:pPr>
    </w:p>
    <w:p w14:paraId="7D19CF42" w14:textId="33BB4C61" w:rsidR="00F97929" w:rsidRPr="004C61ED" w:rsidRDefault="006E0B8C" w:rsidP="004C61ED">
      <w:pPr>
        <w:spacing w:after="200" w:line="276" w:lineRule="auto"/>
        <w:jc w:val="left"/>
        <w:rPr>
          <w:rFonts w:ascii="Arial" w:eastAsia="Arial" w:hAnsi="Arial" w:cs="Arial"/>
          <w:b/>
          <w:smallCaps/>
          <w:sz w:val="36"/>
          <w:szCs w:val="36"/>
        </w:rPr>
      </w:pPr>
      <w:r w:rsidRPr="004C61ED">
        <w:rPr>
          <w:rFonts w:ascii="Arial" w:eastAsia="Arial" w:hAnsi="Arial" w:cs="Arial"/>
          <w:b/>
          <w:smallCaps/>
          <w:sz w:val="36"/>
          <w:szCs w:val="36"/>
        </w:rPr>
        <w:t>Annex 3: Calculation methodology for Financial Indicators</w:t>
      </w:r>
    </w:p>
    <w:p w14:paraId="62311F92" w14:textId="77777777" w:rsidR="00F97929" w:rsidRDefault="00F97929">
      <w:pPr>
        <w:pBdr>
          <w:top w:val="nil"/>
          <w:left w:val="nil"/>
          <w:bottom w:val="nil"/>
          <w:right w:val="nil"/>
          <w:between w:val="nil"/>
        </w:pBdr>
        <w:spacing w:before="100" w:after="200"/>
        <w:jc w:val="left"/>
        <w:rPr>
          <w:rFonts w:ascii="Arial" w:eastAsia="Arial" w:hAnsi="Arial" w:cs="Arial"/>
          <w:b/>
          <w:i/>
          <w:color w:val="000000"/>
          <w:sz w:val="24"/>
          <w:szCs w:val="24"/>
        </w:rPr>
      </w:pPr>
      <w:bookmarkStart w:id="1" w:name="_3znysh7" w:colFirst="0" w:colLast="0"/>
      <w:bookmarkEnd w:id="1"/>
    </w:p>
    <w:p w14:paraId="119502FA"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1C9FE99E"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u w:val="single"/>
        </w:rPr>
      </w:pPr>
      <w:r>
        <w:rPr>
          <w:rFonts w:ascii="Arial" w:eastAsia="Arial" w:hAnsi="Arial" w:cs="Arial"/>
          <w:b/>
          <w:color w:val="000000"/>
          <w:sz w:val="24"/>
          <w:szCs w:val="24"/>
          <w:u w:val="single"/>
        </w:rPr>
        <w:t>General methodology</w:t>
      </w:r>
    </w:p>
    <w:p w14:paraId="3DD22019" w14:textId="77777777" w:rsidR="00F97929" w:rsidRDefault="006E0B8C">
      <w:pPr>
        <w:numPr>
          <w:ilvl w:val="0"/>
          <w:numId w:val="3"/>
        </w:num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b/>
          <w:i/>
          <w:color w:val="000000"/>
          <w:sz w:val="24"/>
          <w:szCs w:val="24"/>
        </w:rPr>
        <w:t>Terminology</w:t>
      </w:r>
      <w:r>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412646C8" w14:textId="77777777" w:rsidR="00F97929" w:rsidRDefault="006E0B8C">
      <w:pPr>
        <w:numPr>
          <w:ilvl w:val="0"/>
          <w:numId w:val="3"/>
        </w:numPr>
        <w:pBdr>
          <w:top w:val="nil"/>
          <w:left w:val="nil"/>
          <w:bottom w:val="nil"/>
          <w:right w:val="nil"/>
          <w:between w:val="nil"/>
        </w:pBdr>
        <w:spacing w:before="100" w:after="200"/>
        <w:jc w:val="left"/>
        <w:rPr>
          <w:rFonts w:ascii="Arial" w:eastAsia="Arial" w:hAnsi="Arial" w:cs="Arial"/>
          <w:color w:val="000000"/>
          <w:sz w:val="24"/>
          <w:szCs w:val="24"/>
        </w:rPr>
      </w:pPr>
      <w:bookmarkStart w:id="2" w:name="_2et92p0" w:colFirst="0" w:colLast="0"/>
      <w:bookmarkEnd w:id="2"/>
      <w:r>
        <w:rPr>
          <w:rFonts w:ascii="Arial" w:eastAsia="Arial" w:hAnsi="Arial" w:cs="Arial"/>
          <w:b/>
          <w:i/>
          <w:color w:val="000000"/>
          <w:sz w:val="24"/>
          <w:szCs w:val="24"/>
        </w:rPr>
        <w:t>Groups</w:t>
      </w:r>
      <w:r>
        <w:rPr>
          <w:rFonts w:ascii="Arial" w:eastAsia="Arial" w:hAnsi="Arial" w:cs="Arial"/>
          <w:color w:val="000000"/>
          <w:sz w:val="24"/>
          <w:szCs w:val="24"/>
        </w:rPr>
        <w:t>: Where the entity is the holding company of a group and prepares consolidated financial statements, the consolidated figures should be used.</w:t>
      </w:r>
    </w:p>
    <w:p w14:paraId="74764F7A" w14:textId="77777777" w:rsidR="00F97929" w:rsidRDefault="006E0B8C">
      <w:pPr>
        <w:numPr>
          <w:ilvl w:val="0"/>
          <w:numId w:val="3"/>
        </w:num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b/>
          <w:i/>
          <w:color w:val="000000"/>
          <w:sz w:val="24"/>
          <w:szCs w:val="24"/>
        </w:rPr>
        <w:t>Foreign currency conversion</w:t>
      </w:r>
      <w:r>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79D3FFF1" w14:textId="77777777" w:rsidR="00F97929" w:rsidRDefault="006E0B8C">
      <w:pPr>
        <w:numPr>
          <w:ilvl w:val="0"/>
          <w:numId w:val="3"/>
        </w:num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b/>
          <w:i/>
          <w:color w:val="000000"/>
          <w:sz w:val="24"/>
          <w:szCs w:val="24"/>
        </w:rPr>
        <w:t>Treatment of non-underlying items</w:t>
      </w:r>
      <w:r>
        <w:rPr>
          <w:rFonts w:ascii="Arial" w:eastAsia="Arial" w:hAnsi="Arial" w:cs="Arial"/>
          <w:color w:val="000000"/>
          <w:sz w:val="24"/>
          <w:szCs w:val="24"/>
        </w:rPr>
        <w:t>: Financial Indicators should be based on the figures in the financial statements before adjusting for non-underlying items.</w:t>
      </w:r>
    </w:p>
    <w:p w14:paraId="550EADDF" w14:textId="77777777" w:rsidR="00F97929" w:rsidRDefault="006E0B8C">
      <w:pPr>
        <w:pBdr>
          <w:top w:val="nil"/>
          <w:left w:val="nil"/>
          <w:bottom w:val="nil"/>
          <w:right w:val="nil"/>
          <w:between w:val="nil"/>
        </w:pBdr>
        <w:spacing w:before="100" w:after="200"/>
        <w:ind w:left="720" w:hanging="720"/>
        <w:jc w:val="left"/>
        <w:rPr>
          <w:rFonts w:ascii="Arial" w:eastAsia="Arial" w:hAnsi="Arial" w:cs="Arial"/>
          <w:b/>
          <w:color w:val="000000"/>
          <w:sz w:val="24"/>
          <w:szCs w:val="24"/>
          <w:u w:val="single"/>
        </w:rPr>
      </w:pPr>
      <w:r>
        <w:rPr>
          <w:rFonts w:ascii="Arial" w:eastAsia="Arial" w:hAnsi="Arial" w:cs="Arial"/>
          <w:b/>
          <w:color w:val="000000"/>
          <w:sz w:val="24"/>
          <w:szCs w:val="24"/>
          <w:u w:val="single"/>
        </w:rPr>
        <w:t>Specific Methodology</w:t>
      </w:r>
    </w:p>
    <w:tbl>
      <w:tblPr>
        <w:tblStyle w:val="a3"/>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F97929" w14:paraId="20483E2A" w14:textId="77777777">
        <w:tc>
          <w:tcPr>
            <w:tcW w:w="2538" w:type="dxa"/>
            <w:shd w:val="clear" w:color="auto" w:fill="D9D9D9"/>
          </w:tcPr>
          <w:p w14:paraId="2F311E74"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6478" w:type="dxa"/>
            <w:shd w:val="clear" w:color="auto" w:fill="D9D9D9"/>
          </w:tcPr>
          <w:p w14:paraId="0A6A04D6"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Specific Methodology</w:t>
            </w:r>
          </w:p>
        </w:tc>
      </w:tr>
      <w:tr w:rsidR="00F97929" w14:paraId="16CFA8E9" w14:textId="77777777">
        <w:tc>
          <w:tcPr>
            <w:tcW w:w="2538" w:type="dxa"/>
          </w:tcPr>
          <w:p w14:paraId="0E85A27C"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1</w:t>
            </w:r>
          </w:p>
          <w:p w14:paraId="37B71EA1"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Operating Margin</w:t>
            </w:r>
          </w:p>
        </w:tc>
        <w:tc>
          <w:tcPr>
            <w:tcW w:w="6478" w:type="dxa"/>
          </w:tcPr>
          <w:p w14:paraId="071EC715"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The elements used to calculate the Operating Margin should be shown on the face of the Income Statement in a standard set of financial statements.</w:t>
            </w:r>
          </w:p>
          <w:p w14:paraId="42C813C5"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Figures for Operating Profit and Revenue should exclude the entity’s share of the results of any joint ventures or Associates.</w:t>
            </w:r>
          </w:p>
          <w:p w14:paraId="10AB4DAD"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Where an entity has an operating loss (i.e. where the operating profit is negative), Operating Profit should be taken to be zero.</w:t>
            </w:r>
          </w:p>
        </w:tc>
      </w:tr>
      <w:tr w:rsidR="00F97929" w14:paraId="5C040756" w14:textId="77777777">
        <w:tc>
          <w:tcPr>
            <w:tcW w:w="2538" w:type="dxa"/>
          </w:tcPr>
          <w:p w14:paraId="378FBBED"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2</w:t>
            </w:r>
          </w:p>
          <w:p w14:paraId="20293F4D"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6478" w:type="dxa"/>
          </w:tcPr>
          <w:p w14:paraId="696E3C65" w14:textId="77777777"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14:paraId="450FDD36" w14:textId="77777777"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EBITDA</w:t>
            </w:r>
            <w:r>
              <w:rPr>
                <w:rFonts w:ascii="Arial" w:eastAsia="Arial" w:hAnsi="Arial" w:cs="Arial"/>
                <w:i/>
                <w:color w:val="000000"/>
                <w:sz w:val="24"/>
                <w:szCs w:val="24"/>
              </w:rPr>
              <w:t>” = Operating profit + Depreciation charge + Amortisation charge</w:t>
            </w:r>
          </w:p>
          <w:p w14:paraId="0CA63763"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The majority of the elements used to calculate the Net Debt to EBITDA Ratio should be shown on the face of the</w:t>
            </w:r>
            <w:r>
              <w:rPr>
                <w:rFonts w:ascii="Arial" w:eastAsia="Arial" w:hAnsi="Arial" w:cs="Arial"/>
                <w:color w:val="000000"/>
                <w:sz w:val="24"/>
                <w:szCs w:val="24"/>
                <w:highlight w:val="yellow"/>
              </w:rPr>
              <w:t xml:space="preserve"> </w:t>
            </w:r>
            <w:r>
              <w:rPr>
                <w:rFonts w:ascii="Arial" w:eastAsia="Arial" w:hAnsi="Arial" w:cs="Arial"/>
                <w:color w:val="000000"/>
                <w:sz w:val="24"/>
                <w:szCs w:val="24"/>
              </w:rPr>
              <w:t xml:space="preserve">Balance sheet, Income statement and Statement of Cash </w:t>
            </w:r>
            <w:r>
              <w:rPr>
                <w:rFonts w:ascii="Arial" w:eastAsia="Arial" w:hAnsi="Arial" w:cs="Arial"/>
                <w:color w:val="000000"/>
                <w:sz w:val="24"/>
                <w:szCs w:val="24"/>
              </w:rPr>
              <w:lastRenderedPageBreak/>
              <w:t>Flows in a standard set of financial statements but will otherwise be found in the notes to the financial statements.</w:t>
            </w:r>
          </w:p>
          <w:p w14:paraId="5FA7917A" w14:textId="2CF04DEF"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D3D25">
              <w:rPr>
                <w:rFonts w:ascii="Arial" w:eastAsia="Arial" w:hAnsi="Arial" w:cs="Arial"/>
                <w:color w:val="000000"/>
                <w:sz w:val="24"/>
                <w:szCs w:val="24"/>
              </w:rPr>
              <w:t>interest-bearing</w:t>
            </w:r>
            <w:r>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3A84DE38"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14:paraId="164DEF93"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14:paraId="46EC9D17"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 xml:space="preserve">Where Net debt is negative (i.e. an entity has net cash), the relevant Financial Target Threshold should be treated as having been met. </w:t>
            </w:r>
          </w:p>
          <w:p w14:paraId="7E534827" w14:textId="77777777"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bookmarkStart w:id="3" w:name="_tyjcwt" w:colFirst="0" w:colLast="0"/>
            <w:bookmarkEnd w:id="3"/>
            <w:r>
              <w:rPr>
                <w:rFonts w:ascii="Arial" w:eastAsia="Arial" w:hAnsi="Arial" w:cs="Arial"/>
                <w:i/>
                <w:color w:val="000000"/>
                <w:sz w:val="24"/>
                <w:szCs w:val="24"/>
                <w:u w:val="single"/>
              </w:rPr>
              <w:t>EBITDA</w:t>
            </w:r>
            <w:r>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F97929" w14:paraId="58532F05" w14:textId="77777777">
        <w:tc>
          <w:tcPr>
            <w:tcW w:w="2538" w:type="dxa"/>
          </w:tcPr>
          <w:p w14:paraId="219A6229"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lastRenderedPageBreak/>
              <w:t>3</w:t>
            </w:r>
          </w:p>
          <w:p w14:paraId="3AB4724C" w14:textId="7ABBAEEB"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 xml:space="preserve">Net Debt + </w:t>
            </w:r>
            <w:r w:rsidR="004C61ED">
              <w:rPr>
                <w:rFonts w:ascii="Arial" w:eastAsia="Arial" w:hAnsi="Arial" w:cs="Arial"/>
                <w:b/>
                <w:color w:val="000000"/>
                <w:sz w:val="24"/>
                <w:szCs w:val="24"/>
              </w:rPr>
              <w:t>Net Pension</w:t>
            </w:r>
            <w:r>
              <w:rPr>
                <w:rFonts w:ascii="Arial" w:eastAsia="Arial" w:hAnsi="Arial" w:cs="Arial"/>
                <w:b/>
                <w:color w:val="000000"/>
                <w:sz w:val="24"/>
                <w:szCs w:val="24"/>
              </w:rPr>
              <w:t xml:space="preserve"> Deficit to EBITDA ratio</w:t>
            </w:r>
          </w:p>
        </w:tc>
        <w:tc>
          <w:tcPr>
            <w:tcW w:w="6478" w:type="dxa"/>
          </w:tcPr>
          <w:p w14:paraId="37919850" w14:textId="77777777"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14:paraId="678D1292" w14:textId="77777777"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Pension Deficit</w:t>
            </w:r>
            <w:r>
              <w:rPr>
                <w:rFonts w:ascii="Arial" w:eastAsia="Arial" w:hAnsi="Arial" w:cs="Arial"/>
                <w:i/>
                <w:color w:val="000000"/>
                <w:sz w:val="24"/>
                <w:szCs w:val="24"/>
              </w:rPr>
              <w:t>” = Retirement Benefit Obligations – Retirement Benefit Assets</w:t>
            </w:r>
          </w:p>
          <w:p w14:paraId="2A0E5F41" w14:textId="77777777"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EBITDA</w:t>
            </w:r>
            <w:r>
              <w:rPr>
                <w:rFonts w:ascii="Arial" w:eastAsia="Arial" w:hAnsi="Arial" w:cs="Arial"/>
                <w:i/>
                <w:color w:val="000000"/>
                <w:sz w:val="24"/>
                <w:szCs w:val="24"/>
              </w:rPr>
              <w:t>” = Operating profit + Depreciation charge + Amortisation charge</w:t>
            </w:r>
          </w:p>
          <w:p w14:paraId="04690FE4"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 xml:space="preserve">The majority of the elements used to calculate the Net Debt + Net Pension Deficit to EBITDA Ratio should be shown on the face of the Balance sheet, Income statement and Statement of Cash Flows in a standard set of financial </w:t>
            </w:r>
            <w:r>
              <w:rPr>
                <w:rFonts w:ascii="Arial" w:eastAsia="Arial" w:hAnsi="Arial" w:cs="Arial"/>
                <w:color w:val="000000"/>
                <w:sz w:val="24"/>
                <w:szCs w:val="24"/>
              </w:rPr>
              <w:lastRenderedPageBreak/>
              <w:t>statements but will otherwise be found in the notes to the financial statements.</w:t>
            </w:r>
          </w:p>
          <w:p w14:paraId="4D93580C" w14:textId="57289E5D"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D3D25">
              <w:rPr>
                <w:rFonts w:ascii="Arial" w:eastAsia="Arial" w:hAnsi="Arial" w:cs="Arial"/>
                <w:color w:val="000000"/>
                <w:sz w:val="24"/>
                <w:szCs w:val="24"/>
              </w:rPr>
              <w:t>interest-bearing</w:t>
            </w:r>
            <w:r>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color w:val="000000"/>
                <w:sz w:val="24"/>
                <w:szCs w:val="24"/>
              </w:rPr>
              <w:t>not</w:t>
            </w:r>
            <w:r>
              <w:rPr>
                <w:rFonts w:ascii="Arial" w:eastAsia="Arial" w:hAnsi="Arial" w:cs="Arial"/>
                <w:color w:val="000000"/>
                <w:sz w:val="24"/>
                <w:szCs w:val="24"/>
              </w:rPr>
              <w:t xml:space="preserve"> non-designated hedges). Borrowings should also include balances owed to other group members.</w:t>
            </w:r>
          </w:p>
          <w:p w14:paraId="28A5A35F"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14:paraId="75793346"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14:paraId="45B0F45F"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Net Pension Deficit</w:t>
            </w:r>
            <w:r>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309BC8BD"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Where ‘Net Debt + Net Pension Deficit’ is negative, the relevant Financial Target Threshold should be treated as having been met.</w:t>
            </w:r>
          </w:p>
          <w:p w14:paraId="6370C789"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EBITDA</w:t>
            </w:r>
            <w:r>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8A3BA8B"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bookmarkStart w:id="4" w:name="_3dy6vkm" w:colFirst="0" w:colLast="0"/>
            <w:bookmarkEnd w:id="4"/>
            <w:r>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14:paraId="3C38564A"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F97929" w14:paraId="308BD5F7" w14:textId="77777777">
        <w:tc>
          <w:tcPr>
            <w:tcW w:w="2538" w:type="dxa"/>
          </w:tcPr>
          <w:p w14:paraId="0A3FC05D"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lastRenderedPageBreak/>
              <w:t>4</w:t>
            </w:r>
          </w:p>
          <w:p w14:paraId="4AC378B1"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6478" w:type="dxa"/>
          </w:tcPr>
          <w:p w14:paraId="47F9EE06" w14:textId="77777777"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Earnings Before Interest and Tax</w:t>
            </w:r>
            <w:r>
              <w:rPr>
                <w:rFonts w:ascii="Arial" w:eastAsia="Arial" w:hAnsi="Arial" w:cs="Arial"/>
                <w:i/>
                <w:color w:val="000000"/>
                <w:sz w:val="24"/>
                <w:szCs w:val="24"/>
              </w:rPr>
              <w:t>” = Operating profit</w:t>
            </w:r>
          </w:p>
          <w:p w14:paraId="5A2D4035" w14:textId="77777777"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Interest Paid</w:t>
            </w:r>
            <w:r>
              <w:rPr>
                <w:rFonts w:ascii="Arial" w:eastAsia="Arial" w:hAnsi="Arial" w:cs="Arial"/>
                <w:i/>
                <w:color w:val="000000"/>
                <w:sz w:val="24"/>
                <w:szCs w:val="24"/>
              </w:rPr>
              <w:t>” = Interest paid – Interest received</w:t>
            </w:r>
          </w:p>
          <w:p w14:paraId="15051DE7"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 xml:space="preserve">Operating profit should be shown on the face of the Income Statement in a standard set of financial statements and, for the purposes of calculating this Financial </w:t>
            </w:r>
            <w:r>
              <w:rPr>
                <w:rFonts w:ascii="Arial" w:eastAsia="Arial" w:hAnsi="Arial" w:cs="Arial"/>
                <w:color w:val="000000"/>
                <w:sz w:val="24"/>
                <w:szCs w:val="24"/>
              </w:rPr>
              <w:lastRenderedPageBreak/>
              <w:t>Indicator, should include the entity’s share of the results of any joint ventures or Associates.</w:t>
            </w:r>
          </w:p>
          <w:p w14:paraId="0058E8EF"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Interest received and interest paid should be shown on the face of the Cash Flow statement.</w:t>
            </w:r>
          </w:p>
          <w:p w14:paraId="6DECCD46"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F97929" w14:paraId="1AB340F4" w14:textId="77777777">
        <w:tc>
          <w:tcPr>
            <w:tcW w:w="2538" w:type="dxa"/>
          </w:tcPr>
          <w:p w14:paraId="7F9C3D5E"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lastRenderedPageBreak/>
              <w:t>5</w:t>
            </w:r>
          </w:p>
          <w:p w14:paraId="27EB3AC8"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Acid Ratio</w:t>
            </w:r>
          </w:p>
        </w:tc>
        <w:tc>
          <w:tcPr>
            <w:tcW w:w="6478" w:type="dxa"/>
          </w:tcPr>
          <w:p w14:paraId="063AD969"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F97929" w14:paraId="13E2146E" w14:textId="77777777">
        <w:tc>
          <w:tcPr>
            <w:tcW w:w="2538" w:type="dxa"/>
          </w:tcPr>
          <w:p w14:paraId="69CF7FC5"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6</w:t>
            </w:r>
          </w:p>
          <w:p w14:paraId="58658C12"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Asset value</w:t>
            </w:r>
          </w:p>
        </w:tc>
        <w:tc>
          <w:tcPr>
            <w:tcW w:w="6478" w:type="dxa"/>
          </w:tcPr>
          <w:p w14:paraId="4ABB70C5"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F97929" w14:paraId="61F06E83" w14:textId="77777777">
        <w:tc>
          <w:tcPr>
            <w:tcW w:w="2538" w:type="dxa"/>
          </w:tcPr>
          <w:p w14:paraId="633671C9"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7</w:t>
            </w:r>
          </w:p>
          <w:p w14:paraId="3AB82435"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6478" w:type="dxa"/>
          </w:tcPr>
          <w:p w14:paraId="4551C637" w14:textId="77777777"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Group Exposure</w:t>
            </w:r>
            <w:r>
              <w:rPr>
                <w:rFonts w:ascii="Arial" w:eastAsia="Arial" w:hAnsi="Arial" w:cs="Arial"/>
                <w:i/>
                <w:color w:val="000000"/>
                <w:sz w:val="24"/>
                <w:szCs w:val="24"/>
              </w:rPr>
              <w:t>” = Balances owed by Group Undertakings + Contingent liabilities assumed in support of Group Undertakings</w:t>
            </w:r>
          </w:p>
          <w:p w14:paraId="6D2E1853" w14:textId="77777777"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Gross Assets</w:t>
            </w:r>
            <w:r>
              <w:rPr>
                <w:rFonts w:ascii="Arial" w:eastAsia="Arial" w:hAnsi="Arial" w:cs="Arial"/>
                <w:i/>
                <w:color w:val="000000"/>
                <w:sz w:val="24"/>
                <w:szCs w:val="24"/>
              </w:rPr>
              <w:t>” = Fixed Assets + Current Assets</w:t>
            </w:r>
          </w:p>
          <w:p w14:paraId="1C681B05"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Group Exposure</w:t>
            </w:r>
            <w:r>
              <w:rPr>
                <w:rFonts w:ascii="Arial" w:eastAsia="Arial" w:hAnsi="Arial" w:cs="Arial"/>
                <w:color w:val="000000"/>
                <w:sz w:val="24"/>
                <w:szCs w:val="24"/>
              </w:rPr>
              <w:t>:  Balances owed by (</w:t>
            </w:r>
            <w:proofErr w:type="spellStart"/>
            <w:r>
              <w:rPr>
                <w:rFonts w:ascii="Arial" w:eastAsia="Arial" w:hAnsi="Arial" w:cs="Arial"/>
                <w:color w:val="000000"/>
                <w:sz w:val="24"/>
                <w:szCs w:val="24"/>
              </w:rPr>
              <w:t>ie</w:t>
            </w:r>
            <w:proofErr w:type="spellEnd"/>
            <w:r>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0E153D3"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3F59AAA8"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lastRenderedPageBreak/>
              <w:t>In many cases an entity may not have assumed any contingent liabilities in support of Group Undertakings, in particular where an entity is not a member of a group or is itself the ultimate holding company of the group.</w:t>
            </w:r>
          </w:p>
          <w:p w14:paraId="6DF4C32C" w14:textId="77777777"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Gross Assets</w:t>
            </w:r>
            <w:r>
              <w:rPr>
                <w:rFonts w:ascii="Arial" w:eastAsia="Arial" w:hAnsi="Arial" w:cs="Arial"/>
                <w:color w:val="000000"/>
                <w:sz w:val="24"/>
                <w:szCs w:val="24"/>
              </w:rPr>
              <w:t>: Both Fixed assets and Current assets are shown on the face of the Balance Sheet.</w:t>
            </w:r>
          </w:p>
        </w:tc>
      </w:tr>
    </w:tbl>
    <w:p w14:paraId="5FCC776C" w14:textId="77777777"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14:paraId="420E5049" w14:textId="77777777" w:rsidR="00F97929" w:rsidRDefault="006E0B8C">
      <w:pPr>
        <w:spacing w:after="200" w:line="276" w:lineRule="auto"/>
        <w:jc w:val="left"/>
        <w:rPr>
          <w:rFonts w:ascii="Arial" w:eastAsia="Arial" w:hAnsi="Arial" w:cs="Arial"/>
          <w:sz w:val="24"/>
          <w:szCs w:val="24"/>
        </w:rPr>
      </w:pPr>
      <w:r>
        <w:br w:type="page"/>
      </w:r>
    </w:p>
    <w:p w14:paraId="71A1C8D3" w14:textId="77777777" w:rsidR="004C61ED" w:rsidRDefault="004C61ED" w:rsidP="004C61ED">
      <w:pPr>
        <w:spacing w:after="200" w:line="276" w:lineRule="auto"/>
        <w:jc w:val="left"/>
        <w:rPr>
          <w:rFonts w:ascii="Arial" w:eastAsia="Arial" w:hAnsi="Arial" w:cs="Arial"/>
          <w:b/>
          <w:smallCaps/>
          <w:sz w:val="36"/>
          <w:szCs w:val="36"/>
        </w:rPr>
      </w:pPr>
      <w:bookmarkStart w:id="5" w:name="_1t3h5sf" w:colFirst="0" w:colLast="0"/>
      <w:bookmarkEnd w:id="5"/>
    </w:p>
    <w:p w14:paraId="3A2AE97F" w14:textId="172E989F" w:rsidR="00F97929" w:rsidRPr="004C61ED" w:rsidRDefault="006E0B8C" w:rsidP="004C61ED">
      <w:pPr>
        <w:spacing w:after="200" w:line="276" w:lineRule="auto"/>
        <w:jc w:val="left"/>
        <w:rPr>
          <w:rFonts w:ascii="Arial" w:eastAsia="Arial" w:hAnsi="Arial" w:cs="Arial"/>
          <w:b/>
          <w:smallCaps/>
          <w:sz w:val="36"/>
          <w:szCs w:val="36"/>
        </w:rPr>
      </w:pPr>
      <w:r w:rsidRPr="004C61ED">
        <w:rPr>
          <w:rFonts w:ascii="Arial" w:eastAsia="Arial" w:hAnsi="Arial" w:cs="Arial"/>
          <w:b/>
          <w:smallCaps/>
          <w:sz w:val="36"/>
          <w:szCs w:val="36"/>
        </w:rPr>
        <w:t>Annex 4: Board Confirmation</w:t>
      </w:r>
    </w:p>
    <w:p w14:paraId="1B4C72F9" w14:textId="77777777"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14:paraId="5EE37905"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Supplier Name:</w:t>
      </w:r>
    </w:p>
    <w:p w14:paraId="57A6A85B" w14:textId="77777777"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Contract Reference Number:</w:t>
      </w:r>
    </w:p>
    <w:p w14:paraId="2F958858" w14:textId="77777777"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14:paraId="169C7748" w14:textId="77777777" w:rsidR="00F97929" w:rsidRDefault="006E0B8C">
      <w:pPr>
        <w:pBdr>
          <w:top w:val="nil"/>
          <w:left w:val="nil"/>
          <w:bottom w:val="nil"/>
          <w:right w:val="nil"/>
          <w:between w:val="nil"/>
        </w:pBdr>
        <w:spacing w:before="100" w:after="200"/>
        <w:ind w:left="720"/>
        <w:jc w:val="left"/>
        <w:rPr>
          <w:rFonts w:ascii="Arial" w:eastAsia="Arial" w:hAnsi="Arial" w:cs="Arial"/>
          <w:color w:val="000000"/>
          <w:sz w:val="24"/>
          <w:szCs w:val="24"/>
        </w:rPr>
      </w:pPr>
      <w:bookmarkStart w:id="6" w:name="_4d34og8" w:colFirst="0" w:colLast="0"/>
      <w:bookmarkEnd w:id="6"/>
      <w:r>
        <w:rPr>
          <w:rFonts w:ascii="Arial" w:eastAsia="Arial" w:hAnsi="Arial" w:cs="Arial"/>
          <w:color w:val="000000"/>
          <w:sz w:val="24"/>
          <w:szCs w:val="24"/>
        </w:rPr>
        <w:t>The Board of Directors acknowledge the requirements set out at paragraph 8 of Joint Schedule 7 (</w:t>
      </w:r>
      <w:r>
        <w:rPr>
          <w:rFonts w:ascii="Arial" w:eastAsia="Arial" w:hAnsi="Arial" w:cs="Arial"/>
          <w:i/>
          <w:color w:val="000000"/>
          <w:sz w:val="24"/>
          <w:szCs w:val="24"/>
        </w:rPr>
        <w:t>Financial Distress</w:t>
      </w:r>
      <w:r>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0B98BA6F" w14:textId="77777777" w:rsidR="00F97929" w:rsidRDefault="006E0B8C">
      <w:pPr>
        <w:pBdr>
          <w:top w:val="nil"/>
          <w:left w:val="nil"/>
          <w:bottom w:val="nil"/>
          <w:right w:val="nil"/>
          <w:between w:val="nil"/>
        </w:pBdr>
        <w:spacing w:before="100" w:after="200"/>
        <w:ind w:left="720"/>
        <w:jc w:val="left"/>
        <w:rPr>
          <w:rFonts w:ascii="Arial" w:eastAsia="Arial" w:hAnsi="Arial" w:cs="Arial"/>
          <w:color w:val="000000"/>
          <w:sz w:val="24"/>
          <w:szCs w:val="24"/>
        </w:rPr>
      </w:pPr>
      <w:r>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7D34ED6B" w14:textId="77777777" w:rsidR="00F97929" w:rsidRDefault="006E0B8C">
      <w:pPr>
        <w:numPr>
          <w:ilvl w:val="3"/>
          <w:numId w:val="3"/>
        </w:numPr>
        <w:pBdr>
          <w:top w:val="nil"/>
          <w:left w:val="nil"/>
          <w:bottom w:val="nil"/>
          <w:right w:val="nil"/>
          <w:between w:val="nil"/>
        </w:pBdr>
        <w:tabs>
          <w:tab w:val="left" w:pos="720"/>
          <w:tab w:val="left" w:pos="1803"/>
        </w:tabs>
        <w:spacing w:before="100" w:after="200"/>
        <w:jc w:val="left"/>
      </w:pPr>
      <w:r>
        <w:rPr>
          <w:rFonts w:ascii="Arial" w:eastAsia="Arial" w:hAnsi="Arial" w:cs="Arial"/>
          <w:color w:val="000000"/>
          <w:sz w:val="24"/>
          <w:szCs w:val="24"/>
        </w:rPr>
        <w:t>that a Financial Distress Event has occurred since the later of the previous Board Confirmation and the Effective Date or is subsisting; or</w:t>
      </w:r>
    </w:p>
    <w:p w14:paraId="72850B71" w14:textId="77777777" w:rsidR="00F97929" w:rsidRDefault="006E0B8C">
      <w:pPr>
        <w:numPr>
          <w:ilvl w:val="3"/>
          <w:numId w:val="3"/>
        </w:numPr>
        <w:pBdr>
          <w:top w:val="nil"/>
          <w:left w:val="nil"/>
          <w:bottom w:val="nil"/>
          <w:right w:val="nil"/>
          <w:between w:val="nil"/>
        </w:pBdr>
        <w:tabs>
          <w:tab w:val="left" w:pos="720"/>
          <w:tab w:val="left" w:pos="1803"/>
        </w:tabs>
        <w:spacing w:before="100" w:after="200"/>
        <w:jc w:val="left"/>
      </w:pPr>
      <w:r>
        <w:rPr>
          <w:rFonts w:ascii="Arial" w:eastAsia="Arial" w:hAnsi="Arial" w:cs="Arial"/>
          <w:color w:val="000000"/>
          <w:sz w:val="24"/>
          <w:szCs w:val="24"/>
        </w:rPr>
        <w:t>of any matters which have occurred or are subsisting that could reasonably be expected to cause a Financial Distress Event</w:t>
      </w:r>
    </w:p>
    <w:p w14:paraId="7514EBB4" w14:textId="77777777"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14:paraId="3EA349C2" w14:textId="77777777" w:rsidR="00F97929" w:rsidRDefault="006E0B8C">
      <w:pPr>
        <w:pBdr>
          <w:top w:val="nil"/>
          <w:left w:val="nil"/>
          <w:bottom w:val="nil"/>
          <w:right w:val="nil"/>
          <w:between w:val="nil"/>
        </w:pBdr>
        <w:spacing w:before="100" w:after="200"/>
        <w:ind w:left="720"/>
        <w:jc w:val="left"/>
        <w:rPr>
          <w:rFonts w:ascii="Arial" w:eastAsia="Arial" w:hAnsi="Arial" w:cs="Arial"/>
          <w:color w:val="000000"/>
          <w:sz w:val="24"/>
          <w:szCs w:val="24"/>
        </w:rPr>
      </w:pPr>
      <w:r>
        <w:rPr>
          <w:rFonts w:ascii="Arial" w:eastAsia="Arial" w:hAnsi="Arial" w:cs="Arial"/>
          <w:color w:val="000000"/>
          <w:sz w:val="24"/>
          <w:szCs w:val="24"/>
        </w:rPr>
        <w:t>On behalf of the Board of Directors:</w:t>
      </w:r>
    </w:p>
    <w:p w14:paraId="19516A93" w14:textId="77777777"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14:paraId="63724DBC" w14:textId="77777777"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Chair</w:t>
      </w:r>
      <w:r>
        <w:rPr>
          <w:rFonts w:ascii="Arial" w:eastAsia="Arial" w:hAnsi="Arial" w:cs="Arial"/>
          <w:color w:val="000000"/>
          <w:sz w:val="24"/>
          <w:szCs w:val="24"/>
        </w:rPr>
        <w:tab/>
      </w:r>
      <w:r>
        <w:rPr>
          <w:rFonts w:ascii="Arial" w:eastAsia="Arial" w:hAnsi="Arial" w:cs="Arial"/>
          <w:color w:val="000000"/>
          <w:sz w:val="24"/>
          <w:szCs w:val="24"/>
        </w:rPr>
        <w:tab/>
        <w:t>…………………………………</w:t>
      </w:r>
    </w:p>
    <w:p w14:paraId="331D1850" w14:textId="77777777"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14:paraId="7E3A87EE" w14:textId="77777777"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14:paraId="267DB19E" w14:textId="77777777"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14:paraId="3F13D37D" w14:textId="77777777"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Director</w:t>
      </w:r>
      <w:r>
        <w:rPr>
          <w:rFonts w:ascii="Arial" w:eastAsia="Arial" w:hAnsi="Arial" w:cs="Arial"/>
          <w:color w:val="000000"/>
          <w:sz w:val="24"/>
          <w:szCs w:val="24"/>
        </w:rPr>
        <w:tab/>
      </w:r>
      <w:r>
        <w:rPr>
          <w:rFonts w:ascii="Arial" w:eastAsia="Arial" w:hAnsi="Arial" w:cs="Arial"/>
          <w:color w:val="000000"/>
          <w:sz w:val="24"/>
          <w:szCs w:val="24"/>
        </w:rPr>
        <w:tab/>
        <w:t>…………………………………</w:t>
      </w:r>
    </w:p>
    <w:p w14:paraId="76A53B1F" w14:textId="77777777"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14:paraId="3BDA16DD" w14:textId="77777777"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14:paraId="38ABE6D7" w14:textId="77777777"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14:paraId="35C395AE" w14:textId="77777777" w:rsidR="00F97929" w:rsidRDefault="006E0B8C">
      <w:pPr>
        <w:spacing w:after="200" w:line="276" w:lineRule="auto"/>
        <w:jc w:val="left"/>
        <w:rPr>
          <w:rFonts w:ascii="Arial" w:eastAsia="Arial" w:hAnsi="Arial" w:cs="Arial"/>
          <w:sz w:val="36"/>
          <w:szCs w:val="36"/>
        </w:rPr>
      </w:pPr>
      <w:r>
        <w:br w:type="page"/>
      </w:r>
    </w:p>
    <w:p w14:paraId="2B520A4E" w14:textId="77777777" w:rsidR="00F97929" w:rsidRDefault="00F97929">
      <w:pPr>
        <w:spacing w:after="200" w:line="276" w:lineRule="auto"/>
        <w:jc w:val="left"/>
        <w:rPr>
          <w:rFonts w:ascii="Arial" w:eastAsia="Arial" w:hAnsi="Arial" w:cs="Arial"/>
          <w:sz w:val="36"/>
          <w:szCs w:val="36"/>
        </w:rPr>
      </w:pPr>
    </w:p>
    <w:p w14:paraId="056220DD" w14:textId="77777777" w:rsidR="00F97929" w:rsidRDefault="006E0B8C">
      <w:pPr>
        <w:spacing w:after="200" w:line="276" w:lineRule="auto"/>
        <w:jc w:val="left"/>
        <w:rPr>
          <w:rFonts w:ascii="Arial" w:eastAsia="Arial" w:hAnsi="Arial" w:cs="Arial"/>
          <w:b/>
          <w:smallCaps/>
          <w:sz w:val="36"/>
          <w:szCs w:val="36"/>
        </w:rPr>
      </w:pPr>
      <w:r>
        <w:rPr>
          <w:rFonts w:ascii="Arial" w:eastAsia="Arial" w:hAnsi="Arial" w:cs="Arial"/>
          <w:b/>
          <w:smallCaps/>
          <w:sz w:val="36"/>
          <w:szCs w:val="36"/>
        </w:rPr>
        <w:t>ANNEX 5: OPTIONAL CLAUSES FOR BRONZE CONTRACTS</w:t>
      </w:r>
    </w:p>
    <w:p w14:paraId="4C33F6CA" w14:textId="74B1543B" w:rsidR="00F97929" w:rsidRDefault="004C61ED">
      <w:pPr>
        <w:spacing w:after="200" w:line="276" w:lineRule="auto"/>
        <w:jc w:val="left"/>
        <w:rPr>
          <w:rFonts w:ascii="Arial" w:eastAsia="Arial" w:hAnsi="Arial" w:cs="Arial"/>
          <w:sz w:val="24"/>
          <w:szCs w:val="24"/>
        </w:rPr>
      </w:pPr>
      <w:r>
        <w:rPr>
          <w:rFonts w:ascii="Arial" w:eastAsia="Arial" w:hAnsi="Arial" w:cs="Arial"/>
          <w:sz w:val="24"/>
          <w:szCs w:val="24"/>
        </w:rPr>
        <w:t>NOT USED</w:t>
      </w:r>
    </w:p>
    <w:sectPr w:rsidR="00F97929" w:rsidSect="00E46C8C">
      <w:headerReference w:type="default" r:id="rId10"/>
      <w:footerReference w:type="default" r:id="rId11"/>
      <w:footerReference w:type="first" r:id="rId12"/>
      <w:pgSz w:w="11906" w:h="16838"/>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FFA08" w14:textId="77777777" w:rsidR="007D1AD3" w:rsidRDefault="007D1AD3">
      <w:pPr>
        <w:spacing w:after="0"/>
      </w:pPr>
      <w:r>
        <w:separator/>
      </w:r>
    </w:p>
  </w:endnote>
  <w:endnote w:type="continuationSeparator" w:id="0">
    <w:p w14:paraId="0919BEF3" w14:textId="77777777" w:rsidR="007D1AD3" w:rsidRDefault="007D1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E1C7" w14:textId="77777777" w:rsidR="00F97929" w:rsidRDefault="006E0B8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79798E8E" w14:textId="77777777" w:rsidR="00122F4F" w:rsidRDefault="00122F4F" w:rsidP="00122F4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5F745D38" w14:textId="475EC416" w:rsidR="00F97929" w:rsidRDefault="00122F4F" w:rsidP="00122F4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CCTS25A58 Microsoft Enterprise Agreement Renewal 2025</w:t>
    </w:r>
    <w:r>
      <w:rPr>
        <w:rFonts w:ascii="Arial" w:eastAsia="Arial" w:hAnsi="Arial" w:cs="Arial"/>
        <w:color w:val="000000"/>
        <w:sz w:val="20"/>
        <w:szCs w:val="20"/>
      </w:rPr>
      <w:tab/>
    </w:r>
    <w:r w:rsidR="006E0B8C">
      <w:rPr>
        <w:rFonts w:ascii="Arial" w:eastAsia="Arial" w:hAnsi="Arial" w:cs="Arial"/>
        <w:color w:val="000000"/>
        <w:sz w:val="20"/>
        <w:szCs w:val="20"/>
      </w:rPr>
      <w:tab/>
    </w:r>
    <w:r w:rsidR="006E0B8C">
      <w:rPr>
        <w:rFonts w:ascii="Arial" w:eastAsia="Arial" w:hAnsi="Arial" w:cs="Arial"/>
        <w:color w:val="000000"/>
        <w:sz w:val="20"/>
        <w:szCs w:val="20"/>
      </w:rPr>
      <w:tab/>
      <w:t xml:space="preserve"> </w:t>
    </w:r>
    <w:r w:rsidR="006E0B8C">
      <w:rPr>
        <w:rFonts w:ascii="Arial" w:eastAsia="Arial" w:hAnsi="Arial" w:cs="Arial"/>
        <w:color w:val="000000"/>
        <w:sz w:val="20"/>
        <w:szCs w:val="20"/>
      </w:rPr>
      <w:fldChar w:fldCharType="begin"/>
    </w:r>
    <w:r w:rsidR="006E0B8C">
      <w:rPr>
        <w:rFonts w:ascii="Arial" w:eastAsia="Arial" w:hAnsi="Arial" w:cs="Arial"/>
        <w:color w:val="000000"/>
        <w:sz w:val="20"/>
        <w:szCs w:val="20"/>
      </w:rPr>
      <w:instrText>PAGE</w:instrText>
    </w:r>
    <w:r w:rsidR="006E0B8C">
      <w:rPr>
        <w:rFonts w:ascii="Arial" w:eastAsia="Arial" w:hAnsi="Arial" w:cs="Arial"/>
        <w:color w:val="000000"/>
        <w:sz w:val="20"/>
        <w:szCs w:val="20"/>
      </w:rPr>
      <w:fldChar w:fldCharType="separate"/>
    </w:r>
    <w:r w:rsidR="00E46C8C">
      <w:rPr>
        <w:rFonts w:ascii="Arial" w:eastAsia="Arial" w:hAnsi="Arial" w:cs="Arial"/>
        <w:noProof/>
        <w:color w:val="000000"/>
        <w:sz w:val="20"/>
        <w:szCs w:val="20"/>
      </w:rPr>
      <w:t>1</w:t>
    </w:r>
    <w:r w:rsidR="006E0B8C">
      <w:rPr>
        <w:rFonts w:ascii="Arial" w:eastAsia="Arial" w:hAnsi="Arial" w:cs="Arial"/>
        <w:color w:val="000000"/>
        <w:sz w:val="20"/>
        <w:szCs w:val="20"/>
      </w:rPr>
      <w:fldChar w:fldCharType="end"/>
    </w:r>
  </w:p>
  <w:p w14:paraId="0E290397" w14:textId="42353CE2" w:rsidR="00F97929" w:rsidRDefault="006E0B8C">
    <w:pPr>
      <w:spacing w:after="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0906" w14:textId="77777777" w:rsidR="00F97929" w:rsidRDefault="006E0B8C">
    <w:pPr>
      <w:tabs>
        <w:tab w:val="center" w:pos="4513"/>
        <w:tab w:val="right" w:pos="9026"/>
      </w:tabs>
      <w:spacing w:after="0"/>
      <w:rPr>
        <w:color w:val="BFBFBF"/>
      </w:rPr>
    </w:pPr>
    <w:r>
      <w:rPr>
        <w:color w:val="BFBFBF"/>
      </w:rPr>
      <w:t>Framework Ref: RM</w:t>
    </w:r>
    <w:r>
      <w:rPr>
        <w:color w:val="BFBFBF"/>
      </w:rPr>
      <w:tab/>
      <w:t xml:space="preserve">                                           </w:t>
    </w:r>
  </w:p>
  <w:p w14:paraId="2C050DC9" w14:textId="77777777" w:rsidR="00F97929" w:rsidRDefault="006E0B8C">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58EEB35B" w14:textId="77777777" w:rsidR="00F97929" w:rsidRDefault="006E0B8C">
    <w:pPr>
      <w:spacing w:after="0"/>
      <w:rPr>
        <w:rFonts w:ascii="Arial" w:eastAsia="Arial" w:hAnsi="Arial" w:cs="Arial"/>
        <w:color w:val="BFBFBF"/>
        <w:sz w:val="20"/>
        <w:szCs w:val="20"/>
      </w:rPr>
    </w:pPr>
    <w:r>
      <w:rPr>
        <w:color w:val="BFBFBF"/>
      </w:rPr>
      <w:t>Model Version :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7DEF" w14:textId="77777777" w:rsidR="007D1AD3" w:rsidRDefault="007D1AD3">
      <w:pPr>
        <w:spacing w:after="0"/>
      </w:pPr>
      <w:r>
        <w:separator/>
      </w:r>
    </w:p>
  </w:footnote>
  <w:footnote w:type="continuationSeparator" w:id="0">
    <w:p w14:paraId="65F56951" w14:textId="77777777" w:rsidR="007D1AD3" w:rsidRDefault="007D1A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B238" w14:textId="77777777" w:rsidR="00F97929" w:rsidRDefault="006E0B8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7 (Financial Difficulties)</w:t>
    </w:r>
  </w:p>
  <w:p w14:paraId="6FE0EE66" w14:textId="77777777" w:rsidR="00F97929" w:rsidRDefault="006E0B8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5412E"/>
    <w:multiLevelType w:val="multilevel"/>
    <w:tmpl w:val="8B0238A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8E5CBA"/>
    <w:multiLevelType w:val="multilevel"/>
    <w:tmpl w:val="46A478E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B2510F9"/>
    <w:multiLevelType w:val="multilevel"/>
    <w:tmpl w:val="8EA2882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EF231AA"/>
    <w:multiLevelType w:val="multilevel"/>
    <w:tmpl w:val="064E5B4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505024442">
    <w:abstractNumId w:val="0"/>
  </w:num>
  <w:num w:numId="2" w16cid:durableId="163591159">
    <w:abstractNumId w:val="1"/>
  </w:num>
  <w:num w:numId="3" w16cid:durableId="1625849611">
    <w:abstractNumId w:val="3"/>
  </w:num>
  <w:num w:numId="4" w16cid:durableId="2055032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29"/>
    <w:rsid w:val="00054BC6"/>
    <w:rsid w:val="000D3D25"/>
    <w:rsid w:val="00122F4F"/>
    <w:rsid w:val="00127855"/>
    <w:rsid w:val="00263A09"/>
    <w:rsid w:val="002A382E"/>
    <w:rsid w:val="00495AB4"/>
    <w:rsid w:val="004A3345"/>
    <w:rsid w:val="004C61ED"/>
    <w:rsid w:val="004D0366"/>
    <w:rsid w:val="00595142"/>
    <w:rsid w:val="005D3093"/>
    <w:rsid w:val="006C22F0"/>
    <w:rsid w:val="006E0B8C"/>
    <w:rsid w:val="0078208F"/>
    <w:rsid w:val="007D1AD3"/>
    <w:rsid w:val="0091373B"/>
    <w:rsid w:val="00981174"/>
    <w:rsid w:val="009E5E60"/>
    <w:rsid w:val="00A308A2"/>
    <w:rsid w:val="00B0383D"/>
    <w:rsid w:val="00D158AA"/>
    <w:rsid w:val="00E46C8C"/>
    <w:rsid w:val="00EC1870"/>
    <w:rsid w:val="00F741B7"/>
    <w:rsid w:val="00F9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4B04"/>
  <w15:docId w15:val="{C067CF44-AED3-4FEE-A0F8-2947D537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sz w:val="20"/>
      <w:szCs w:val="20"/>
    </w:rPr>
    <w:tblPr>
      <w:tblStyleRowBandSize w:val="1"/>
      <w:tblStyleColBandSize w:val="1"/>
      <w:tblCellMar>
        <w:left w:w="115" w:type="dxa"/>
        <w:right w:w="115" w:type="dxa"/>
      </w:tblCellMar>
    </w:tblPr>
  </w:style>
  <w:style w:type="table" w:customStyle="1" w:styleId="a0">
    <w:basedOn w:val="TableNormal"/>
    <w:pPr>
      <w:spacing w:after="0"/>
    </w:pPr>
    <w:rPr>
      <w:sz w:val="20"/>
      <w:szCs w:val="20"/>
    </w:rPr>
    <w:tblPr>
      <w:tblStyleRowBandSize w:val="1"/>
      <w:tblStyleColBandSize w:val="1"/>
      <w:tblCellMar>
        <w:left w:w="115" w:type="dxa"/>
        <w:right w:w="115" w:type="dxa"/>
      </w:tblCellMar>
    </w:tblPr>
  </w:style>
  <w:style w:type="table" w:customStyle="1" w:styleId="a1">
    <w:basedOn w:val="TableNormal"/>
    <w:pPr>
      <w:spacing w:after="0"/>
    </w:pPr>
    <w:rPr>
      <w:sz w:val="20"/>
      <w:szCs w:val="20"/>
    </w:rPr>
    <w:tblPr>
      <w:tblStyleRowBandSize w:val="1"/>
      <w:tblStyleColBandSize w:val="1"/>
      <w:tblCellMar>
        <w:left w:w="115" w:type="dxa"/>
        <w:right w:w="115" w:type="dxa"/>
      </w:tblCellMar>
    </w:tblPr>
  </w:style>
  <w:style w:type="table" w:customStyle="1" w:styleId="a2">
    <w:basedOn w:val="TableNormal"/>
    <w:pPr>
      <w:spacing w:after="0"/>
    </w:pPr>
    <w:rPr>
      <w:sz w:val="20"/>
      <w:szCs w:val="20"/>
    </w:rPr>
    <w:tblPr>
      <w:tblStyleRowBandSize w:val="1"/>
      <w:tblStyleColBandSize w:val="1"/>
      <w:tblCellMar>
        <w:left w:w="115" w:type="dxa"/>
        <w:right w:w="115" w:type="dxa"/>
      </w:tblCellMar>
    </w:tblPr>
  </w:style>
  <w:style w:type="table" w:customStyle="1" w:styleId="a3">
    <w:basedOn w:val="TableNormal"/>
    <w:pPr>
      <w:spacing w:after="0"/>
    </w:pPr>
    <w:rPr>
      <w:sz w:val="20"/>
      <w:szCs w:val="20"/>
    </w:rPr>
    <w:tblPr>
      <w:tblStyleRowBandSize w:val="1"/>
      <w:tblStyleColBandSize w:val="1"/>
      <w:tblCellMar>
        <w:left w:w="115" w:type="dxa"/>
        <w:right w:w="115" w:type="dxa"/>
      </w:tblCellMar>
    </w:tblPr>
  </w:style>
  <w:style w:type="table" w:customStyle="1" w:styleId="a4">
    <w:basedOn w:val="TableNormal"/>
    <w:pPr>
      <w:spacing w:after="0"/>
    </w:pPr>
    <w:rPr>
      <w:sz w:val="20"/>
      <w:szCs w:val="20"/>
    </w:rPr>
    <w:tblPr>
      <w:tblStyleRowBandSize w:val="1"/>
      <w:tblStyleColBandSize w:val="1"/>
      <w:tblCellMar>
        <w:left w:w="115" w:type="dxa"/>
        <w:right w:w="115" w:type="dxa"/>
      </w:tblCellMar>
    </w:tblPr>
  </w:style>
  <w:style w:type="table" w:customStyle="1" w:styleId="a5">
    <w:basedOn w:val="TableNormal"/>
    <w:pPr>
      <w:spacing w:after="0"/>
    </w:pPr>
    <w:rPr>
      <w:sz w:val="20"/>
      <w:szCs w:val="20"/>
    </w:rPr>
    <w:tblPr>
      <w:tblStyleRowBandSize w:val="1"/>
      <w:tblStyleColBandSize w:val="1"/>
      <w:tblCellMar>
        <w:left w:w="115" w:type="dxa"/>
        <w:right w:w="115" w:type="dxa"/>
      </w:tblCellMar>
    </w:tblPr>
  </w:style>
  <w:style w:type="table" w:customStyle="1" w:styleId="a6">
    <w:basedOn w:val="TableNormal"/>
    <w:pPr>
      <w:spacing w:after="0"/>
    </w:pPr>
    <w:rPr>
      <w:sz w:val="20"/>
      <w:szCs w:val="20"/>
    </w:rPr>
    <w:tblPr>
      <w:tblStyleRowBandSize w:val="1"/>
      <w:tblStyleColBandSize w:val="1"/>
      <w:tblCellMar>
        <w:left w:w="115" w:type="dxa"/>
        <w:right w:w="115" w:type="dxa"/>
      </w:tblCellMar>
    </w:tblPr>
  </w:style>
  <w:style w:type="table" w:styleId="TableGrid">
    <w:name w:val="Table Grid"/>
    <w:basedOn w:val="TableNormal"/>
    <w:uiPriority w:val="39"/>
    <w:rsid w:val="00B038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F4F"/>
    <w:pPr>
      <w:tabs>
        <w:tab w:val="center" w:pos="4513"/>
        <w:tab w:val="right" w:pos="9026"/>
      </w:tabs>
      <w:spacing w:after="0"/>
    </w:pPr>
  </w:style>
  <w:style w:type="character" w:customStyle="1" w:styleId="HeaderChar">
    <w:name w:val="Header Char"/>
    <w:basedOn w:val="DefaultParagraphFont"/>
    <w:link w:val="Header"/>
    <w:uiPriority w:val="99"/>
    <w:rsid w:val="00122F4F"/>
  </w:style>
  <w:style w:type="paragraph" w:styleId="Footer">
    <w:name w:val="footer"/>
    <w:basedOn w:val="Normal"/>
    <w:link w:val="FooterChar"/>
    <w:uiPriority w:val="99"/>
    <w:unhideWhenUsed/>
    <w:rsid w:val="00122F4F"/>
    <w:pPr>
      <w:tabs>
        <w:tab w:val="center" w:pos="4513"/>
        <w:tab w:val="right" w:pos="9026"/>
      </w:tabs>
      <w:spacing w:after="0"/>
    </w:pPr>
  </w:style>
  <w:style w:type="character" w:customStyle="1" w:styleId="FooterChar">
    <w:name w:val="Footer Char"/>
    <w:basedOn w:val="DefaultParagraphFont"/>
    <w:link w:val="Footer"/>
    <w:uiPriority w:val="99"/>
    <w:rsid w:val="00122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FFD73-71F3-495D-9492-E25383FD2A71}">
  <ds:schemaRefs>
    <ds:schemaRef ds:uri="http://schemas.microsoft.com/sharepoint/v3/contenttype/forms"/>
  </ds:schemaRefs>
</ds:datastoreItem>
</file>

<file path=customXml/itemProps2.xml><?xml version="1.0" encoding="utf-8"?>
<ds:datastoreItem xmlns:ds="http://schemas.openxmlformats.org/officeDocument/2006/customXml" ds:itemID="{74158EBB-44E4-40C7-8BA8-5976A0D250F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4738c6d-ecc8-46f1-821f-82e308eab3d9"/>
    <ds:schemaRef ds:uri="http://purl.org/dc/terms/"/>
    <ds:schemaRef ds:uri="http://schemas.microsoft.com/office/infopath/2007/PartnerControls"/>
    <ds:schemaRef ds:uri="e2b35971-f043-4b2c-90be-32503d656b9c"/>
    <ds:schemaRef ds:uri="http://www.w3.org/XML/1998/namespace"/>
    <ds:schemaRef ds:uri="http://purl.org/dc/dcmitype/"/>
  </ds:schemaRefs>
</ds:datastoreItem>
</file>

<file path=customXml/itemProps3.xml><?xml version="1.0" encoding="utf-8"?>
<ds:datastoreItem xmlns:ds="http://schemas.openxmlformats.org/officeDocument/2006/customXml" ds:itemID="{0C188942-7E33-44C2-9D0C-67710ADA2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4475</Words>
  <Characters>25513</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Smith</dc:creator>
  <cp:lastModifiedBy>Beavin, Joe Mr (UKStratCom DD-CM-SW-CO-71)</cp:lastModifiedBy>
  <cp:revision>2</cp:revision>
  <dcterms:created xsi:type="dcterms:W3CDTF">2025-06-27T11:20:00Z</dcterms:created>
  <dcterms:modified xsi:type="dcterms:W3CDTF">2025-06-27T11:20:00Z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MSIP_Label_d8a60473-494b-4586-a1bb-b0e663054676_Enabled">
    <vt:lpwstr>true</vt:lpwstr>
  </property>
  <property fmtid="{D5CDD505-2E9C-101B-9397-08002B2CF9AE}" pid="4" name="MSIP_Label_d8a60473-494b-4586-a1bb-b0e663054676_SetDate">
    <vt:lpwstr>2025-04-01T12:13:02Z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6a7d1f59-d328-49eb-84c3-e99e0f9c67cf</vt:lpwstr>
  </property>
  <property fmtid="{D5CDD505-2E9C-101B-9397-08002B2CF9AE}" pid="9" name="MSIP_Label_d8a60473-494b-4586-a1bb-b0e663054676_ContentBits">
    <vt:lpwstr>0</vt:lpwstr>
  </property>
  <property fmtid="{D5CDD505-2E9C-101B-9397-08002B2CF9AE}" pid="10" name="MediaServiceImageTags">
    <vt:lpwstr/>
  </property>
</Properties>
</file>